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2"/>
          <w:szCs w:val="12"/>
          <w:b w:val="1"/>
          <w:bCs w:val="1"/>
          <w:u w:val="single" w:color="auto"/>
          <w:color w:val="0000EE"/>
        </w:rPr>
      </w:pPr>
      <w:hyperlink w:anchor="page2">
        <w:r>
          <w:rPr>
            <w:rFonts w:ascii="Arial" w:cs="Arial" w:eastAsia="Arial" w:hAnsi="Arial"/>
            <w:sz w:val="12"/>
            <w:szCs w:val="12"/>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8502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5025" cy="24130"/>
                    </a:xfrm>
                    <a:prstGeom prst="rect">
                      <a:avLst/>
                    </a:prstGeom>
                    <a:noFill/>
                  </pic:spPr>
                </pic:pic>
              </a:graphicData>
            </a:graphic>
          </wp:anchor>
        </w:drawing>
      </w:r>
    </w:p>
    <w:p>
      <w:pPr>
        <w:spacing w:after="0" w:line="266"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UNITED STATES</w:t>
      </w:r>
    </w:p>
    <w:p>
      <w:pPr>
        <w:spacing w:after="0" w:line="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70485</wp:posOffset>
            </wp:positionV>
            <wp:extent cx="13716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5715"/>
                    </a:xfrm>
                    <a:prstGeom prst="rect">
                      <a:avLst/>
                    </a:prstGeom>
                    <a:noFill/>
                  </pic:spPr>
                </pic:pic>
              </a:graphicData>
            </a:graphic>
          </wp:anchor>
        </w:drawing>
      </w:r>
    </w:p>
    <w:p>
      <w:pPr>
        <w:spacing w:after="0" w:line="14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79375</wp:posOffset>
            </wp:positionV>
            <wp:extent cx="13716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5715"/>
                    </a:xfrm>
                    <a:prstGeom prst="rect">
                      <a:avLst/>
                    </a:prstGeom>
                    <a:noFill/>
                  </pic:spPr>
                </pic:pic>
              </a:graphicData>
            </a:graphic>
          </wp:anchor>
        </w:drawing>
      </w:r>
    </w:p>
    <w:p>
      <w:pPr>
        <w:spacing w:after="0" w:line="179" w:lineRule="exact"/>
        <w:rPr>
          <w:sz w:val="24"/>
          <w:szCs w:val="24"/>
          <w:color w:val="auto"/>
        </w:rPr>
      </w:pPr>
    </w:p>
    <w:p>
      <w:pPr>
        <w:ind w:left="8"/>
        <w:spacing w:after="0"/>
        <w:rPr>
          <w:sz w:val="20"/>
          <w:szCs w:val="20"/>
          <w:color w:val="auto"/>
        </w:rPr>
      </w:pPr>
      <w:r>
        <w:rPr>
          <w:rFonts w:ascii="Arial" w:cs="Arial" w:eastAsia="Arial" w:hAnsi="Arial"/>
          <w:sz w:val="9"/>
          <w:szCs w:val="9"/>
          <w:color w:val="auto"/>
        </w:rPr>
        <w:t>(Mark One)</w:t>
      </w:r>
    </w:p>
    <w:p>
      <w:pPr>
        <w:ind w:left="568" w:hanging="568"/>
        <w:spacing w:after="0"/>
        <w:tabs>
          <w:tab w:leader="none" w:pos="568"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-85090</wp:posOffset>
            </wp:positionV>
            <wp:extent cx="69215" cy="7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4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FOR THE FISCAL YEAR ENDED SEPTEMBER 30, 2007.</w:t>
      </w:r>
    </w:p>
    <w:p>
      <w:pPr>
        <w:spacing w:after="0" w:line="6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OR</w:t>
      </w:r>
    </w:p>
    <w:p>
      <w:pPr>
        <w:spacing w:after="0" w:line="48" w:lineRule="exact"/>
        <w:rPr>
          <w:sz w:val="24"/>
          <w:szCs w:val="24"/>
          <w:color w:val="auto"/>
        </w:rPr>
      </w:pPr>
    </w:p>
    <w:p>
      <w:pPr>
        <w:ind w:left="568" w:hanging="568"/>
        <w:spacing w:after="0"/>
        <w:tabs>
          <w:tab w:leader="none" w:pos="568"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76" w:lineRule="exact"/>
        <w:rPr>
          <w:sz w:val="24"/>
          <w:szCs w:val="24"/>
          <w:color w:val="auto"/>
        </w:rPr>
      </w:pPr>
    </w:p>
    <w:p>
      <w:pPr>
        <w:ind w:left="4188"/>
        <w:spacing w:after="0"/>
        <w:tabs>
          <w:tab w:leader="none" w:pos="6568" w:val="left"/>
        </w:tabs>
        <w:rPr>
          <w:sz w:val="20"/>
          <w:szCs w:val="20"/>
          <w:color w:val="auto"/>
        </w:rPr>
      </w:pPr>
      <w:r>
        <w:rPr>
          <w:rFonts w:ascii="Arial" w:cs="Arial" w:eastAsia="Arial" w:hAnsi="Arial"/>
          <w:sz w:val="12"/>
          <w:szCs w:val="12"/>
          <w:color w:val="auto"/>
        </w:rPr>
        <w:t>FOR THE TRANSITION PERIOD FROM</w:t>
      </w:r>
      <w:r>
        <w:rPr>
          <w:sz w:val="20"/>
          <w:szCs w:val="20"/>
          <w:color w:val="auto"/>
        </w:rPr>
        <w:tab/>
      </w:r>
      <w:r>
        <w:rPr>
          <w:rFonts w:ascii="Arial" w:cs="Arial" w:eastAsia="Arial" w:hAnsi="Arial"/>
          <w:sz w:val="11"/>
          <w:szCs w:val="11"/>
          <w:color w:val="auto"/>
        </w:rPr>
        <w:t>TO</w:t>
      </w:r>
    </w:p>
    <w:p>
      <w:pPr>
        <w:spacing w:after="0" w:line="6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87630</wp:posOffset>
            </wp:positionV>
            <wp:extent cx="13716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5715"/>
                    </a:xfrm>
                    <a:prstGeom prst="rect">
                      <a:avLst/>
                    </a:prstGeom>
                    <a:noFill/>
                  </pic:spPr>
                </pic:pic>
              </a:graphicData>
            </a:graphic>
          </wp:anchor>
        </w:drawing>
      </w:r>
    </w:p>
    <w:p>
      <w:pPr>
        <w:spacing w:after="0" w:line="172" w:lineRule="exact"/>
        <w:rPr>
          <w:sz w:val="24"/>
          <w:szCs w:val="24"/>
          <w:color w:val="auto"/>
        </w:rPr>
      </w:pPr>
    </w:p>
    <w:p>
      <w:pPr>
        <w:jc w:val="center"/>
        <w:ind w:right="-7"/>
        <w:spacing w:after="0"/>
        <w:rPr>
          <w:sz w:val="20"/>
          <w:szCs w:val="20"/>
          <w:color w:val="auto"/>
        </w:rPr>
      </w:pPr>
      <w:r>
        <w:rPr>
          <w:rFonts w:ascii="Arial" w:cs="Arial" w:eastAsia="Arial" w:hAnsi="Arial"/>
          <w:sz w:val="29"/>
          <w:szCs w:val="29"/>
          <w:b w:val="1"/>
          <w:bCs w:val="1"/>
          <w:color w:val="auto"/>
        </w:rPr>
        <w:t>PENNANTPARK INVESTMENT CORPORATION</w:t>
      </w:r>
    </w:p>
    <w:p>
      <w:pPr>
        <w:spacing w:after="0" w:line="28" w:lineRule="exact"/>
        <w:rPr>
          <w:sz w:val="24"/>
          <w:szCs w:val="24"/>
          <w:color w:val="auto"/>
        </w:rPr>
      </w:pPr>
    </w:p>
    <w:p>
      <w:pPr>
        <w:jc w:val="center"/>
        <w:ind w:right="-7"/>
        <w:spacing w:after="0"/>
        <w:rPr>
          <w:sz w:val="20"/>
          <w:szCs w:val="20"/>
          <w:color w:val="auto"/>
        </w:rPr>
      </w:pPr>
      <w:r>
        <w:rPr>
          <w:rFonts w:ascii="Arial" w:cs="Arial" w:eastAsia="Arial" w:hAnsi="Arial"/>
          <w:sz w:val="9"/>
          <w:szCs w:val="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76835</wp:posOffset>
            </wp:positionV>
            <wp:extent cx="13716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5715"/>
                    </a:xfrm>
                    <a:prstGeom prst="rect">
                      <a:avLst/>
                    </a:prstGeom>
                    <a:noFill/>
                  </pic:spPr>
                </pic:pic>
              </a:graphicData>
            </a:graphic>
          </wp:anchor>
        </w:drawing>
      </w:r>
    </w:p>
    <w:p>
      <w:pPr>
        <w:spacing w:after="0" w:line="227" w:lineRule="exact"/>
        <w:rPr>
          <w:sz w:val="24"/>
          <w:szCs w:val="24"/>
          <w:color w:val="auto"/>
        </w:rPr>
      </w:pPr>
    </w:p>
    <w:tbl>
      <w:tblPr>
        <w:tblLayout w:type="fixed"/>
        <w:tblInd w:w="8" w:type="dxa"/>
        <w:tblCellMar>
          <w:top w:w="0" w:type="dxa"/>
          <w:left w:w="0" w:type="dxa"/>
          <w:bottom w:w="0" w:type="dxa"/>
          <w:right w:w="0" w:type="dxa"/>
        </w:tblCellMar>
      </w:tblPr>
      <w:tr>
        <w:trPr>
          <w:trHeight w:val="143"/>
        </w:trPr>
        <w:tc>
          <w:tcPr>
            <w:tcW w:w="3780" w:type="dxa"/>
            <w:vAlign w:val="bottom"/>
          </w:tcPr>
          <w:p>
            <w:pPr>
              <w:jc w:val="center"/>
              <w:ind w:left="1807"/>
              <w:spacing w:after="0"/>
              <w:rPr>
                <w:sz w:val="20"/>
                <w:szCs w:val="20"/>
                <w:color w:val="auto"/>
              </w:rPr>
            </w:pPr>
            <w:r>
              <w:rPr>
                <w:rFonts w:ascii="Arial" w:cs="Arial" w:eastAsia="Arial" w:hAnsi="Arial"/>
                <w:sz w:val="12"/>
                <w:szCs w:val="12"/>
                <w:b w:val="1"/>
                <w:bCs w:val="1"/>
                <w:color w:val="auto"/>
                <w:w w:val="98"/>
              </w:rPr>
              <w:t>MARYLAND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0" w:type="dxa"/>
            <w:vAlign w:val="bottom"/>
            <w:gridSpan w:val="2"/>
          </w:tcPr>
          <w:p>
            <w:pPr>
              <w:jc w:val="right"/>
              <w:ind w:right="2395"/>
              <w:spacing w:after="0"/>
              <w:rPr>
                <w:sz w:val="20"/>
                <w:szCs w:val="20"/>
                <w:color w:val="auto"/>
              </w:rPr>
            </w:pPr>
            <w:r>
              <w:rPr>
                <w:rFonts w:ascii="Arial" w:cs="Arial" w:eastAsia="Arial" w:hAnsi="Arial"/>
                <w:sz w:val="12"/>
                <w:szCs w:val="12"/>
                <w:b w:val="1"/>
                <w:bCs w:val="1"/>
                <w:color w:val="auto"/>
              </w:rPr>
              <w:t>20-8250744</w:t>
            </w:r>
          </w:p>
        </w:tc>
      </w:tr>
      <w:tr>
        <w:trPr>
          <w:trHeight w:val="99"/>
        </w:trPr>
        <w:tc>
          <w:tcPr>
            <w:tcW w:w="3780" w:type="dxa"/>
            <w:vAlign w:val="bottom"/>
          </w:tcPr>
          <w:p>
            <w:pPr>
              <w:jc w:val="center"/>
              <w:ind w:left="1807"/>
              <w:spacing w:after="0" w:line="99" w:lineRule="exact"/>
              <w:rPr>
                <w:sz w:val="20"/>
                <w:szCs w:val="20"/>
                <w:color w:val="auto"/>
              </w:rPr>
            </w:pPr>
            <w:r>
              <w:rPr>
                <w:rFonts w:ascii="Arial" w:cs="Arial" w:eastAsia="Arial" w:hAnsi="Arial"/>
                <w:sz w:val="9"/>
                <w:szCs w:val="9"/>
                <w:b w:val="1"/>
                <w:bCs w:val="1"/>
                <w:color w:val="auto"/>
                <w:w w:val="92"/>
              </w:rPr>
              <w:t>(State or other jurisdiction</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580" w:type="dxa"/>
            <w:vAlign w:val="bottom"/>
          </w:tcPr>
          <w:p>
            <w:pPr>
              <w:jc w:val="center"/>
              <w:ind w:right="795"/>
              <w:spacing w:after="0" w:line="99" w:lineRule="exact"/>
              <w:rPr>
                <w:sz w:val="20"/>
                <w:szCs w:val="20"/>
                <w:color w:val="auto"/>
              </w:rPr>
            </w:pPr>
            <w:r>
              <w:rPr>
                <w:rFonts w:ascii="Arial" w:cs="Arial" w:eastAsia="Arial" w:hAnsi="Arial"/>
                <w:sz w:val="9"/>
                <w:szCs w:val="9"/>
                <w:b w:val="1"/>
                <w:bCs w:val="1"/>
                <w:color w:val="auto"/>
                <w:w w:val="95"/>
              </w:rPr>
              <w:t>(I.R.S. Employer</w:t>
            </w:r>
          </w:p>
        </w:tc>
      </w:tr>
      <w:tr>
        <w:trPr>
          <w:trHeight w:val="116"/>
        </w:trPr>
        <w:tc>
          <w:tcPr>
            <w:tcW w:w="3780" w:type="dxa"/>
            <w:vAlign w:val="bottom"/>
          </w:tcPr>
          <w:p>
            <w:pPr>
              <w:jc w:val="center"/>
              <w:ind w:left="1807"/>
              <w:spacing w:after="0"/>
              <w:rPr>
                <w:sz w:val="20"/>
                <w:szCs w:val="20"/>
                <w:color w:val="auto"/>
              </w:rPr>
            </w:pPr>
            <w:r>
              <w:rPr>
                <w:rFonts w:ascii="Arial" w:cs="Arial" w:eastAsia="Arial" w:hAnsi="Arial"/>
                <w:sz w:val="9"/>
                <w:szCs w:val="9"/>
                <w:b w:val="1"/>
                <w:bCs w:val="1"/>
                <w:color w:val="auto"/>
                <w:w w:val="91"/>
              </w:rPr>
              <w:t>of incorporation or organization)</w:t>
            </w: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580" w:type="dxa"/>
            <w:vAlign w:val="bottom"/>
          </w:tcPr>
          <w:p>
            <w:pPr>
              <w:jc w:val="center"/>
              <w:ind w:right="795"/>
              <w:spacing w:after="0"/>
              <w:rPr>
                <w:sz w:val="20"/>
                <w:szCs w:val="20"/>
                <w:color w:val="auto"/>
              </w:rPr>
            </w:pPr>
            <w:r>
              <w:rPr>
                <w:rFonts w:ascii="Arial" w:cs="Arial" w:eastAsia="Arial" w:hAnsi="Arial"/>
                <w:sz w:val="9"/>
                <w:szCs w:val="9"/>
                <w:b w:val="1"/>
                <w:bCs w:val="1"/>
                <w:color w:val="auto"/>
                <w:w w:val="92"/>
              </w:rPr>
              <w:t>Identification No.)</w:t>
            </w:r>
          </w:p>
        </w:tc>
      </w:tr>
      <w:tr>
        <w:trPr>
          <w:trHeight w:val="209"/>
        </w:trPr>
        <w:tc>
          <w:tcPr>
            <w:tcW w:w="3780" w:type="dxa"/>
            <w:vAlign w:val="bottom"/>
          </w:tcPr>
          <w:p>
            <w:pPr>
              <w:jc w:val="center"/>
              <w:ind w:left="1807"/>
              <w:spacing w:after="0"/>
              <w:rPr>
                <w:sz w:val="20"/>
                <w:szCs w:val="20"/>
                <w:color w:val="auto"/>
              </w:rPr>
            </w:pPr>
            <w:r>
              <w:rPr>
                <w:rFonts w:ascii="Arial" w:cs="Arial" w:eastAsia="Arial" w:hAnsi="Arial"/>
                <w:sz w:val="12"/>
                <w:szCs w:val="12"/>
                <w:b w:val="1"/>
                <w:bCs w:val="1"/>
                <w:color w:val="auto"/>
                <w:w w:val="88"/>
              </w:rPr>
              <w:t>590 Madison Avenue,</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152"/>
        </w:trPr>
        <w:tc>
          <w:tcPr>
            <w:tcW w:w="3780" w:type="dxa"/>
            <w:vAlign w:val="bottom"/>
          </w:tcPr>
          <w:p>
            <w:pPr>
              <w:jc w:val="center"/>
              <w:ind w:left="1807"/>
              <w:spacing w:after="0" w:line="152" w:lineRule="exact"/>
              <w:rPr>
                <w:sz w:val="20"/>
                <w:szCs w:val="20"/>
                <w:color w:val="auto"/>
              </w:rPr>
            </w:pPr>
            <w:r>
              <w:rPr>
                <w:rFonts w:ascii="Arial" w:cs="Arial" w:eastAsia="Arial" w:hAnsi="Arial"/>
                <w:sz w:val="12"/>
                <w:szCs w:val="12"/>
                <w:b w:val="1"/>
                <w:bCs w:val="1"/>
                <w:color w:val="auto"/>
                <w:w w:val="89"/>
              </w:rPr>
              <w:t>15</w:t>
            </w:r>
            <w:r>
              <w:rPr>
                <w:rFonts w:ascii="Arial" w:cs="Arial" w:eastAsia="Arial" w:hAnsi="Arial"/>
                <w:sz w:val="14"/>
                <w:szCs w:val="14"/>
                <w:b w:val="1"/>
                <w:bCs w:val="1"/>
                <w:color w:val="auto"/>
                <w:w w:val="89"/>
                <w:vertAlign w:val="superscript"/>
              </w:rPr>
              <w:t>th</w:t>
            </w:r>
            <w:r>
              <w:rPr>
                <w:rFonts w:ascii="Arial" w:cs="Arial" w:eastAsia="Arial" w:hAnsi="Arial"/>
                <w:sz w:val="12"/>
                <w:szCs w:val="12"/>
                <w:b w:val="1"/>
                <w:bCs w:val="1"/>
                <w:color w:val="auto"/>
                <w:w w:val="89"/>
              </w:rPr>
              <w:t xml:space="preserve"> Floor New York, N.Y.</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0" w:type="dxa"/>
            <w:vAlign w:val="bottom"/>
            <w:gridSpan w:val="2"/>
          </w:tcPr>
          <w:p>
            <w:pPr>
              <w:jc w:val="right"/>
              <w:ind w:right="2515"/>
              <w:spacing w:after="0"/>
              <w:rPr>
                <w:sz w:val="20"/>
                <w:szCs w:val="20"/>
                <w:color w:val="auto"/>
              </w:rPr>
            </w:pPr>
            <w:r>
              <w:rPr>
                <w:rFonts w:ascii="Arial" w:cs="Arial" w:eastAsia="Arial" w:hAnsi="Arial"/>
                <w:sz w:val="12"/>
                <w:szCs w:val="12"/>
                <w:b w:val="1"/>
                <w:bCs w:val="1"/>
                <w:color w:val="auto"/>
              </w:rPr>
              <w:t>10022</w:t>
            </w:r>
          </w:p>
        </w:tc>
      </w:tr>
      <w:tr>
        <w:trPr>
          <w:trHeight w:val="116"/>
        </w:trPr>
        <w:tc>
          <w:tcPr>
            <w:tcW w:w="3780" w:type="dxa"/>
            <w:vAlign w:val="bottom"/>
          </w:tcPr>
          <w:p>
            <w:pPr>
              <w:jc w:val="center"/>
              <w:ind w:left="1807"/>
              <w:spacing w:after="0"/>
              <w:rPr>
                <w:sz w:val="20"/>
                <w:szCs w:val="20"/>
                <w:color w:val="auto"/>
              </w:rPr>
            </w:pPr>
            <w:r>
              <w:rPr>
                <w:rFonts w:ascii="Arial" w:cs="Arial" w:eastAsia="Arial" w:hAnsi="Arial"/>
                <w:sz w:val="9"/>
                <w:szCs w:val="9"/>
                <w:b w:val="1"/>
                <w:bCs w:val="1"/>
                <w:color w:val="auto"/>
                <w:w w:val="88"/>
              </w:rPr>
              <w:t>(Address of principal executive offices)</w:t>
            </w: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580" w:type="dxa"/>
            <w:vAlign w:val="bottom"/>
          </w:tcPr>
          <w:p>
            <w:pPr>
              <w:jc w:val="center"/>
              <w:ind w:right="795"/>
              <w:spacing w:after="0"/>
              <w:rPr>
                <w:sz w:val="20"/>
                <w:szCs w:val="20"/>
                <w:color w:val="auto"/>
              </w:rPr>
            </w:pPr>
            <w:r>
              <w:rPr>
                <w:rFonts w:ascii="Arial" w:cs="Arial" w:eastAsia="Arial" w:hAnsi="Arial"/>
                <w:sz w:val="9"/>
                <w:szCs w:val="9"/>
                <w:b w:val="1"/>
                <w:bCs w:val="1"/>
                <w:color w:val="auto"/>
                <w:w w:val="94"/>
              </w:rPr>
              <w:t>(Zip Code)</w:t>
            </w:r>
          </w:p>
        </w:tc>
      </w:tr>
      <w:tr>
        <w:trPr>
          <w:trHeight w:val="188"/>
        </w:trPr>
        <w:tc>
          <w:tcPr>
            <w:tcW w:w="3780" w:type="dxa"/>
            <w:vAlign w:val="bottom"/>
          </w:tcPr>
          <w:p>
            <w:pPr>
              <w:spacing w:after="0"/>
              <w:rPr>
                <w:sz w:val="16"/>
                <w:szCs w:val="16"/>
                <w:color w:val="auto"/>
              </w:rPr>
            </w:pPr>
          </w:p>
        </w:tc>
        <w:tc>
          <w:tcPr>
            <w:tcW w:w="7520" w:type="dxa"/>
            <w:vAlign w:val="bottom"/>
            <w:gridSpan w:val="7"/>
          </w:tcPr>
          <w:p>
            <w:pPr>
              <w:jc w:val="center"/>
              <w:ind w:right="3735"/>
              <w:spacing w:after="0"/>
              <w:rPr>
                <w:sz w:val="20"/>
                <w:szCs w:val="20"/>
                <w:color w:val="auto"/>
              </w:rPr>
            </w:pPr>
            <w:r>
              <w:rPr>
                <w:rFonts w:ascii="Arial" w:cs="Arial" w:eastAsia="Arial" w:hAnsi="Arial"/>
                <w:sz w:val="12"/>
                <w:szCs w:val="12"/>
                <w:b w:val="1"/>
                <w:bCs w:val="1"/>
                <w:color w:val="auto"/>
                <w:w w:val="87"/>
              </w:rPr>
              <w:t>Registrant’s telephone number, including area code (212)-905-1000</w:t>
            </w:r>
          </w:p>
        </w:tc>
      </w:tr>
      <w:tr>
        <w:trPr>
          <w:trHeight w:val="198"/>
        </w:trPr>
        <w:tc>
          <w:tcPr>
            <w:tcW w:w="3780" w:type="dxa"/>
            <w:vAlign w:val="bottom"/>
          </w:tcPr>
          <w:p>
            <w:pPr>
              <w:spacing w:after="0"/>
              <w:rPr>
                <w:sz w:val="17"/>
                <w:szCs w:val="17"/>
                <w:color w:val="auto"/>
              </w:rPr>
            </w:pPr>
          </w:p>
        </w:tc>
        <w:tc>
          <w:tcPr>
            <w:tcW w:w="7520" w:type="dxa"/>
            <w:vAlign w:val="bottom"/>
            <w:gridSpan w:val="7"/>
          </w:tcPr>
          <w:p>
            <w:pPr>
              <w:jc w:val="center"/>
              <w:ind w:right="3735"/>
              <w:spacing w:after="0"/>
              <w:rPr>
                <w:sz w:val="20"/>
                <w:szCs w:val="20"/>
                <w:color w:val="auto"/>
              </w:rPr>
            </w:pPr>
            <w:r>
              <w:rPr>
                <w:rFonts w:ascii="Arial" w:cs="Arial" w:eastAsia="Arial" w:hAnsi="Arial"/>
                <w:sz w:val="12"/>
                <w:szCs w:val="12"/>
                <w:b w:val="1"/>
                <w:bCs w:val="1"/>
                <w:color w:val="auto"/>
                <w:w w:val="86"/>
              </w:rPr>
              <w:t>Securities registered pursuant to Section 12(b) of the Act:</w:t>
            </w:r>
          </w:p>
        </w:tc>
      </w:tr>
      <w:tr>
        <w:trPr>
          <w:trHeight w:val="256"/>
        </w:trPr>
        <w:tc>
          <w:tcPr>
            <w:tcW w:w="378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Title of Each Class</w:t>
            </w:r>
          </w:p>
        </w:tc>
        <w:tc>
          <w:tcPr>
            <w:tcW w:w="7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420" w:type="dxa"/>
            <w:vAlign w:val="bottom"/>
            <w:tcBorders>
              <w:bottom w:val="single" w:sz="8" w:color="auto"/>
            </w:tcBorders>
            <w:gridSpan w:val="4"/>
          </w:tcPr>
          <w:p>
            <w:pPr>
              <w:spacing w:after="0"/>
              <w:rPr>
                <w:sz w:val="20"/>
                <w:szCs w:val="20"/>
                <w:color w:val="auto"/>
              </w:rPr>
            </w:pPr>
            <w:r>
              <w:rPr>
                <w:rFonts w:ascii="Arial" w:cs="Arial" w:eastAsia="Arial" w:hAnsi="Arial"/>
                <w:sz w:val="9"/>
                <w:szCs w:val="9"/>
                <w:b w:val="1"/>
                <w:bCs w:val="1"/>
                <w:color w:val="auto"/>
              </w:rPr>
              <w:t>Name of Each Exchange on Which Registered</w:t>
            </w:r>
          </w:p>
        </w:tc>
      </w:tr>
      <w:tr>
        <w:trPr>
          <w:trHeight w:val="126"/>
        </w:trPr>
        <w:tc>
          <w:tcPr>
            <w:tcW w:w="3780" w:type="dxa"/>
            <w:vAlign w:val="bottom"/>
          </w:tcPr>
          <w:p>
            <w:pPr>
              <w:spacing w:after="0" w:line="126" w:lineRule="exact"/>
              <w:rPr>
                <w:sz w:val="20"/>
                <w:szCs w:val="20"/>
                <w:color w:val="auto"/>
              </w:rPr>
            </w:pPr>
            <w:r>
              <w:rPr>
                <w:rFonts w:ascii="Arial" w:cs="Arial" w:eastAsia="Arial" w:hAnsi="Arial"/>
                <w:sz w:val="12"/>
                <w:szCs w:val="12"/>
                <w:color w:val="auto"/>
              </w:rPr>
              <w:t>Common Stock, par value $0.001 per share</w:t>
            </w: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20" w:type="dxa"/>
            <w:vAlign w:val="bottom"/>
            <w:gridSpan w:val="4"/>
          </w:tcPr>
          <w:p>
            <w:pPr>
              <w:spacing w:after="0" w:line="126" w:lineRule="exact"/>
              <w:rPr>
                <w:sz w:val="20"/>
                <w:szCs w:val="20"/>
                <w:color w:val="auto"/>
              </w:rPr>
            </w:pPr>
            <w:r>
              <w:rPr>
                <w:rFonts w:ascii="Arial" w:cs="Arial" w:eastAsia="Arial" w:hAnsi="Arial"/>
                <w:sz w:val="12"/>
                <w:szCs w:val="12"/>
                <w:color w:val="auto"/>
              </w:rPr>
              <w:t>The NASDAQ Global Select Market</w:t>
            </w:r>
          </w:p>
        </w:tc>
      </w:tr>
      <w:tr>
        <w:trPr>
          <w:trHeight w:val="192"/>
        </w:trPr>
        <w:tc>
          <w:tcPr>
            <w:tcW w:w="3780" w:type="dxa"/>
            <w:vAlign w:val="bottom"/>
          </w:tcPr>
          <w:p>
            <w:pPr>
              <w:spacing w:after="0"/>
              <w:rPr>
                <w:sz w:val="16"/>
                <w:szCs w:val="16"/>
                <w:color w:val="auto"/>
              </w:rPr>
            </w:pPr>
          </w:p>
        </w:tc>
        <w:tc>
          <w:tcPr>
            <w:tcW w:w="7520" w:type="dxa"/>
            <w:vAlign w:val="bottom"/>
            <w:gridSpan w:val="7"/>
          </w:tcPr>
          <w:p>
            <w:pPr>
              <w:jc w:val="center"/>
              <w:ind w:right="3735"/>
              <w:spacing w:after="0"/>
              <w:rPr>
                <w:sz w:val="20"/>
                <w:szCs w:val="20"/>
                <w:color w:val="auto"/>
              </w:rPr>
            </w:pPr>
            <w:r>
              <w:rPr>
                <w:rFonts w:ascii="Arial" w:cs="Arial" w:eastAsia="Arial" w:hAnsi="Arial"/>
                <w:sz w:val="12"/>
                <w:szCs w:val="12"/>
                <w:b w:val="1"/>
                <w:bCs w:val="1"/>
                <w:color w:val="auto"/>
                <w:w w:val="86"/>
              </w:rPr>
              <w:t>Securities registered pursuant to Section 12(g) of the Act: None</w:t>
            </w:r>
          </w:p>
        </w:tc>
      </w:tr>
      <w:tr>
        <w:trPr>
          <w:trHeight w:val="110"/>
        </w:trPr>
        <w:tc>
          <w:tcPr>
            <w:tcW w:w="4560" w:type="dxa"/>
            <w:vAlign w:val="bottom"/>
            <w:gridSpan w:val="2"/>
          </w:tcPr>
          <w:p>
            <w:pPr>
              <w:spacing w:after="0"/>
              <w:rPr>
                <w:sz w:val="9"/>
                <w:szCs w:val="9"/>
                <w:color w:val="auto"/>
              </w:rPr>
            </w:pPr>
          </w:p>
        </w:tc>
        <w:tc>
          <w:tcPr>
            <w:tcW w:w="1480" w:type="dxa"/>
            <w:vAlign w:val="bottom"/>
            <w:tcBorders>
              <w:bottom w:val="single" w:sz="8" w:color="auto"/>
            </w:tcBorders>
            <w:gridSpan w:val="3"/>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r>
      <w:tr>
        <w:trPr>
          <w:trHeight w:val="217"/>
        </w:trPr>
        <w:tc>
          <w:tcPr>
            <w:tcW w:w="6040" w:type="dxa"/>
            <w:vAlign w:val="bottom"/>
            <w:gridSpan w:val="5"/>
          </w:tcPr>
          <w:p>
            <w:pPr>
              <w:ind w:left="440"/>
              <w:spacing w:after="0"/>
              <w:rPr>
                <w:sz w:val="20"/>
                <w:szCs w:val="20"/>
                <w:color w:val="auto"/>
              </w:rPr>
            </w:pPr>
            <w:r>
              <w:rPr>
                <w:rFonts w:ascii="Arial" w:cs="Arial" w:eastAsia="Arial" w:hAnsi="Arial"/>
                <w:sz w:val="12"/>
                <w:szCs w:val="12"/>
                <w:color w:val="auto"/>
                <w:w w:val="89"/>
              </w:rPr>
              <w:t>Indicate by check mark if the registrant is a well-known seasoned issuer, as defined in Rule 405 of the Securities Act.</w:t>
            </w:r>
          </w:p>
        </w:tc>
        <w:tc>
          <w:tcPr>
            <w:tcW w:w="460" w:type="dxa"/>
            <w:vAlign w:val="bottom"/>
          </w:tcPr>
          <w:p>
            <w:pPr>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tc>
        <w:tc>
          <w:tcPr>
            <w:tcW w:w="4800" w:type="dxa"/>
            <w:vAlign w:val="bottom"/>
            <w:gridSpan w:val="2"/>
          </w:tcPr>
          <w:p>
            <w:pPr>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r>
              <w:rPr>
                <w:rFonts w:ascii="Arial" w:cs="Arial" w:eastAsia="Arial" w:hAnsi="Arial"/>
                <w:sz w:val="12"/>
                <w:szCs w:val="12"/>
                <w:color w:val="auto"/>
              </w:rPr>
              <w:t>.</w:t>
            </w:r>
          </w:p>
        </w:tc>
      </w:tr>
      <w:tr>
        <w:trPr>
          <w:trHeight w:val="198"/>
        </w:trPr>
        <w:tc>
          <w:tcPr>
            <w:tcW w:w="6040" w:type="dxa"/>
            <w:vAlign w:val="bottom"/>
            <w:gridSpan w:val="5"/>
          </w:tcPr>
          <w:p>
            <w:pPr>
              <w:ind w:left="440"/>
              <w:spacing w:after="0"/>
              <w:rPr>
                <w:sz w:val="20"/>
                <w:szCs w:val="20"/>
                <w:color w:val="auto"/>
              </w:rPr>
            </w:pPr>
            <w:r>
              <w:rPr>
                <w:rFonts w:ascii="Arial" w:cs="Arial" w:eastAsia="Arial" w:hAnsi="Arial"/>
                <w:sz w:val="12"/>
                <w:szCs w:val="12"/>
                <w:color w:val="auto"/>
                <w:w w:val="88"/>
              </w:rPr>
              <w:t>Indicate by check mark if the registrant is not required to file reports pursuant to Section 13 or Section 15(d) of the Act.</w:t>
            </w:r>
          </w:p>
        </w:tc>
        <w:tc>
          <w:tcPr>
            <w:tcW w:w="460" w:type="dxa"/>
            <w:vAlign w:val="bottom"/>
          </w:tcPr>
          <w:p>
            <w:pPr>
              <w:ind w:left="120"/>
              <w:spacing w:after="0" w:line="138" w:lineRule="exact"/>
              <w:rPr>
                <w:sz w:val="20"/>
                <w:szCs w:val="20"/>
                <w:color w:val="auto"/>
              </w:rPr>
            </w:pPr>
            <w:r>
              <w:rPr>
                <w:rFonts w:ascii="Arial" w:cs="Arial" w:eastAsia="Arial" w:hAnsi="Arial"/>
                <w:sz w:val="12"/>
                <w:szCs w:val="12"/>
                <w:color w:val="auto"/>
                <w:w w:val="88"/>
              </w:rPr>
              <w:t xml:space="preserve">Yes </w:t>
            </w:r>
            <w:r>
              <w:rPr>
                <w:rFonts w:ascii="MS PGothic" w:cs="MS PGothic" w:eastAsia="MS PGothic" w:hAnsi="MS PGothic"/>
                <w:sz w:val="12"/>
                <w:szCs w:val="12"/>
                <w:color w:val="auto"/>
                <w:w w:val="88"/>
              </w:rPr>
              <w:t>☐</w:t>
            </w:r>
          </w:p>
        </w:tc>
        <w:tc>
          <w:tcPr>
            <w:tcW w:w="4800" w:type="dxa"/>
            <w:vAlign w:val="bottom"/>
            <w:gridSpan w:val="2"/>
          </w:tcPr>
          <w:p>
            <w:pPr>
              <w:ind w:left="10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r>
              <w:rPr>
                <w:rFonts w:ascii="Arial" w:cs="Arial" w:eastAsia="Arial" w:hAnsi="Arial"/>
                <w:sz w:val="12"/>
                <w:szCs w:val="12"/>
                <w:color w:val="auto"/>
              </w:rPr>
              <w:t>.</w:t>
            </w:r>
          </w:p>
        </w:tc>
      </w:tr>
    </w:tbl>
    <w:p>
      <w:pPr>
        <w:spacing w:after="0" w:line="36" w:lineRule="exact"/>
        <w:rPr>
          <w:sz w:val="24"/>
          <w:szCs w:val="24"/>
          <w:color w:val="auto"/>
        </w:rPr>
      </w:pPr>
    </w:p>
    <w:p>
      <w:pPr>
        <w:ind w:left="8" w:right="120" w:firstLine="452"/>
        <w:spacing w:after="0" w:line="153"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w:t>
      </w:r>
    </w:p>
    <w:p>
      <w:pPr>
        <w:spacing w:after="0" w:line="36" w:lineRule="exact"/>
        <w:rPr>
          <w:sz w:val="24"/>
          <w:szCs w:val="24"/>
          <w:color w:val="auto"/>
        </w:rPr>
      </w:pPr>
    </w:p>
    <w:p>
      <w:pPr>
        <w:ind w:left="8" w:right="60" w:firstLine="452"/>
        <w:spacing w:after="0" w:line="153"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36" w:lineRule="exact"/>
        <w:rPr>
          <w:sz w:val="24"/>
          <w:szCs w:val="24"/>
          <w:color w:val="auto"/>
        </w:rPr>
      </w:pPr>
    </w:p>
    <w:p>
      <w:pPr>
        <w:ind w:left="448"/>
        <w:spacing w:after="0"/>
        <w:rPr>
          <w:sz w:val="20"/>
          <w:szCs w:val="20"/>
          <w:color w:val="auto"/>
        </w:rPr>
      </w:pPr>
      <w:r>
        <w:rPr>
          <w:rFonts w:ascii="Arial" w:cs="Arial" w:eastAsia="Arial" w:hAnsi="Arial"/>
          <w:sz w:val="9"/>
          <w:szCs w:val="9"/>
          <w:color w:val="auto"/>
        </w:rPr>
        <w:t>Indicate by check mark whether the registrant is a large accelerated filer, an accelerated filer, or a non-accelerated filer. See definition of “accelerated filer” and large accelerated filer” in Rule 12b-2 of the Exchange Act. (Check</w:t>
      </w:r>
    </w:p>
    <w:p>
      <w:pPr>
        <w:spacing w:after="0" w:line="45" w:lineRule="exact"/>
        <w:rPr>
          <w:sz w:val="24"/>
          <w:szCs w:val="24"/>
          <w:color w:val="auto"/>
        </w:rPr>
      </w:pPr>
    </w:p>
    <w:p>
      <w:pPr>
        <w:ind w:left="8"/>
        <w:spacing w:after="0"/>
        <w:rPr>
          <w:sz w:val="20"/>
          <w:szCs w:val="20"/>
          <w:color w:val="auto"/>
        </w:rPr>
      </w:pPr>
      <w:r>
        <w:rPr>
          <w:rFonts w:ascii="Arial" w:cs="Arial" w:eastAsia="Arial" w:hAnsi="Arial"/>
          <w:sz w:val="12"/>
          <w:szCs w:val="12"/>
          <w:color w:val="auto"/>
        </w:rPr>
        <w:t>one):</w:t>
      </w:r>
    </w:p>
    <w:p>
      <w:pPr>
        <w:sectPr>
          <w:pgSz w:w="11900" w:h="16838" w:orient="portrait"/>
          <w:cols w:equalWidth="0" w:num="1">
            <w:col w:w="11308"/>
          </w:cols>
          <w:pgMar w:left="292" w:top="201" w:right="299" w:bottom="1440" w:gutter="0" w:footer="0" w:header="0"/>
        </w:sectPr>
      </w:pPr>
    </w:p>
    <w:p>
      <w:pPr>
        <w:spacing w:after="0" w:line="56" w:lineRule="exact"/>
        <w:rPr>
          <w:sz w:val="24"/>
          <w:szCs w:val="24"/>
          <w:color w:val="auto"/>
        </w:rPr>
      </w:pPr>
    </w:p>
    <w:p>
      <w:pPr>
        <w:ind w:left="3368"/>
        <w:spacing w:after="0"/>
        <w:rPr>
          <w:sz w:val="20"/>
          <w:szCs w:val="20"/>
          <w:color w:val="auto"/>
        </w:rPr>
      </w:pPr>
      <w:r>
        <w:rPr>
          <w:rFonts w:ascii="Arial" w:cs="Arial" w:eastAsia="Arial" w:hAnsi="Arial"/>
          <w:sz w:val="9"/>
          <w:szCs w:val="9"/>
          <w:color w:val="auto"/>
        </w:rPr>
        <w:t>Large accelerated filer</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9"/>
          <w:szCs w:val="9"/>
          <w:color w:val="auto"/>
        </w:rPr>
        <w:t>Accelerated filer</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9"/>
          <w:szCs w:val="9"/>
          <w:color w:val="auto"/>
        </w:rPr>
        <w:t>Non-accelerated filer</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w:t>
      </w:r>
    </w:p>
    <w:p>
      <w:pPr>
        <w:spacing w:after="0" w:line="94" w:lineRule="exact"/>
        <w:rPr>
          <w:sz w:val="24"/>
          <w:szCs w:val="24"/>
          <w:color w:val="auto"/>
        </w:rPr>
      </w:pPr>
    </w:p>
    <w:p>
      <w:pPr>
        <w:sectPr>
          <w:pgSz w:w="11900" w:h="16838" w:orient="portrait"/>
          <w:cols w:equalWidth="0" w:num="6">
            <w:col w:w="4408" w:space="60"/>
            <w:col w:w="140" w:space="580"/>
            <w:col w:w="780" w:space="60"/>
            <w:col w:w="140" w:space="580"/>
            <w:col w:w="1000" w:space="60"/>
            <w:col w:w="3500"/>
          </w:cols>
          <w:pgMar w:left="292" w:top="201" w:right="299" w:bottom="1440" w:gutter="0" w:footer="0" w:header="0"/>
          <w:type w:val="continuous"/>
        </w:sectPr>
      </w:pPr>
    </w:p>
    <w:p>
      <w:pPr>
        <w:spacing w:after="0" w:line="21" w:lineRule="exact"/>
        <w:rPr>
          <w:sz w:val="24"/>
          <w:szCs w:val="24"/>
          <w:color w:val="auto"/>
        </w:rPr>
      </w:pPr>
    </w:p>
    <w:p>
      <w:pPr>
        <w:ind w:left="448"/>
        <w:spacing w:after="0"/>
        <w:rPr>
          <w:sz w:val="20"/>
          <w:szCs w:val="20"/>
          <w:color w:val="auto"/>
        </w:rPr>
      </w:pPr>
      <w:r>
        <w:rPr>
          <w:rFonts w:ascii="Arial" w:cs="Arial" w:eastAsia="Arial" w:hAnsi="Arial"/>
          <w:sz w:val="9"/>
          <w:szCs w:val="9"/>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9"/>
          <w:szCs w:val="9"/>
          <w:color w:val="auto"/>
        </w:rPr>
        <w:t>No</w:t>
      </w:r>
    </w:p>
    <w:p>
      <w:pPr>
        <w:spacing w:after="0" w:line="20" w:lineRule="exact"/>
        <w:rPr>
          <w:sz w:val="24"/>
          <w:szCs w:val="24"/>
          <w:color w:val="auto"/>
        </w:rPr>
      </w:pPr>
      <w:r>
        <w:rPr>
          <w:sz w:val="24"/>
          <w:szCs w:val="24"/>
          <w:color w:val="auto"/>
        </w:rPr>
        <w:br w:type="column"/>
      </w:r>
    </w:p>
    <w:p>
      <w:pPr>
        <w:spacing w:after="0" w:line="8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w:t>
      </w:r>
    </w:p>
    <w:p>
      <w:pPr>
        <w:spacing w:after="0" w:line="115" w:lineRule="exact"/>
        <w:rPr>
          <w:sz w:val="24"/>
          <w:szCs w:val="24"/>
          <w:color w:val="auto"/>
        </w:rPr>
      </w:pPr>
    </w:p>
    <w:p>
      <w:pPr>
        <w:sectPr>
          <w:pgSz w:w="11900" w:h="16838" w:orient="portrait"/>
          <w:cols w:equalWidth="0" w:num="5">
            <w:col w:w="5768" w:space="120"/>
            <w:col w:w="160" w:space="80"/>
            <w:col w:w="120" w:space="120"/>
            <w:col w:w="140" w:space="60"/>
            <w:col w:w="4740"/>
          </w:cols>
          <w:pgMar w:left="292" w:top="201" w:right="299" w:bottom="1440" w:gutter="0" w:footer="0" w:header="0"/>
          <w:type w:val="continuous"/>
        </w:sectPr>
      </w:pPr>
    </w:p>
    <w:p>
      <w:pPr>
        <w:ind w:left="8" w:right="320" w:firstLine="452"/>
        <w:spacing w:after="0" w:line="396" w:lineRule="auto"/>
        <w:rPr>
          <w:sz w:val="20"/>
          <w:szCs w:val="20"/>
          <w:color w:val="auto"/>
        </w:rPr>
      </w:pPr>
      <w:r>
        <w:rPr>
          <w:rFonts w:ascii="Arial" w:cs="Arial" w:eastAsia="Arial" w:hAnsi="Arial"/>
          <w:sz w:val="9"/>
          <w:szCs w:val="9"/>
          <w:color w:val="auto"/>
        </w:rPr>
        <w:t>The aggregate market value of common stock held by non-affiliates of the Registrant on September 30, 2007 based on the closing price on that date of $13.40 on the NASDAQ Global Select Market was $276,893,337. For the purposes of calculating this amount only, all directors and executive officers of the Registrant have been treated as affiliates. There were 21,068,772 shares of the Registrant’s common stock outstanding as of November 30, 2007.</w:t>
      </w:r>
    </w:p>
    <w:p>
      <w:pPr>
        <w:ind w:left="8" w:right="40" w:firstLine="452"/>
        <w:spacing w:after="0" w:line="268" w:lineRule="auto"/>
        <w:rPr>
          <w:sz w:val="20"/>
          <w:szCs w:val="20"/>
          <w:color w:val="auto"/>
        </w:rPr>
      </w:pPr>
      <w:r>
        <w:rPr>
          <w:rFonts w:ascii="Arial" w:cs="Arial" w:eastAsia="Arial" w:hAnsi="Arial"/>
          <w:sz w:val="12"/>
          <w:szCs w:val="12"/>
          <w:color w:val="auto"/>
        </w:rPr>
        <w:t>Documents Incorporated by Reference: Portions of the Registrant’s Proxy Statement relating to the Registrant’s 2008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8502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5025" cy="24130"/>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type w:val="continuous"/>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20" w:type="dxa"/>
            <w:vAlign w:val="bottom"/>
          </w:tcPr>
          <w:p>
            <w:pPr>
              <w:spacing w:after="0"/>
              <w:rPr>
                <w:sz w:val="12"/>
                <w:szCs w:val="12"/>
                <w:color w:val="auto"/>
              </w:rPr>
            </w:pPr>
          </w:p>
        </w:tc>
        <w:tc>
          <w:tcPr>
            <w:tcW w:w="8440" w:type="dxa"/>
            <w:vAlign w:val="bottom"/>
          </w:tcPr>
          <w:p>
            <w:pPr>
              <w:jc w:val="center"/>
              <w:ind w:left="1362"/>
              <w:spacing w:after="0"/>
              <w:rPr>
                <w:sz w:val="20"/>
                <w:szCs w:val="20"/>
                <w:color w:val="auto"/>
              </w:rPr>
            </w:pPr>
            <w:r>
              <w:rPr>
                <w:rFonts w:ascii="Arial" w:cs="Arial" w:eastAsia="Arial" w:hAnsi="Arial"/>
                <w:sz w:val="12"/>
                <w:szCs w:val="12"/>
                <w:b w:val="1"/>
                <w:bCs w:val="1"/>
                <w:color w:val="auto"/>
                <w:w w:val="98"/>
              </w:rPr>
              <w:t>PENNANTPARK INVESTMENT CORPORATION</w:t>
            </w:r>
          </w:p>
        </w:tc>
        <w:tc>
          <w:tcPr>
            <w:tcW w:w="2140" w:type="dxa"/>
            <w:vAlign w:val="bottom"/>
          </w:tcPr>
          <w:p>
            <w:pPr>
              <w:spacing w:after="0"/>
              <w:rPr>
                <w:sz w:val="12"/>
                <w:szCs w:val="12"/>
                <w:color w:val="auto"/>
              </w:rPr>
            </w:pPr>
          </w:p>
        </w:tc>
      </w:tr>
      <w:tr>
        <w:trPr>
          <w:trHeight w:val="144"/>
        </w:trPr>
        <w:tc>
          <w:tcPr>
            <w:tcW w:w="720" w:type="dxa"/>
            <w:vAlign w:val="bottom"/>
          </w:tcPr>
          <w:p>
            <w:pPr>
              <w:spacing w:after="0"/>
              <w:rPr>
                <w:sz w:val="12"/>
                <w:szCs w:val="12"/>
                <w:color w:val="auto"/>
              </w:rPr>
            </w:pPr>
          </w:p>
        </w:tc>
        <w:tc>
          <w:tcPr>
            <w:tcW w:w="8440" w:type="dxa"/>
            <w:vAlign w:val="bottom"/>
          </w:tcPr>
          <w:p>
            <w:pPr>
              <w:jc w:val="center"/>
              <w:ind w:left="1342"/>
              <w:spacing w:after="0"/>
              <w:rPr>
                <w:sz w:val="20"/>
                <w:szCs w:val="20"/>
                <w:color w:val="auto"/>
              </w:rPr>
            </w:pPr>
            <w:r>
              <w:rPr>
                <w:rFonts w:ascii="Arial" w:cs="Arial" w:eastAsia="Arial" w:hAnsi="Arial"/>
                <w:sz w:val="12"/>
                <w:szCs w:val="12"/>
                <w:b w:val="1"/>
                <w:bCs w:val="1"/>
                <w:color w:val="auto"/>
                <w:w w:val="98"/>
              </w:rPr>
              <w:t>FORM 10-K</w:t>
            </w:r>
          </w:p>
        </w:tc>
        <w:tc>
          <w:tcPr>
            <w:tcW w:w="2140" w:type="dxa"/>
            <w:vAlign w:val="bottom"/>
          </w:tcPr>
          <w:p>
            <w:pPr>
              <w:spacing w:after="0"/>
              <w:rPr>
                <w:sz w:val="12"/>
                <w:szCs w:val="12"/>
                <w:color w:val="auto"/>
              </w:rPr>
            </w:pPr>
          </w:p>
        </w:tc>
      </w:tr>
      <w:tr>
        <w:trPr>
          <w:trHeight w:val="150"/>
        </w:trPr>
        <w:tc>
          <w:tcPr>
            <w:tcW w:w="720" w:type="dxa"/>
            <w:vAlign w:val="bottom"/>
          </w:tcPr>
          <w:p>
            <w:pPr>
              <w:spacing w:after="0"/>
              <w:rPr>
                <w:sz w:val="13"/>
                <w:szCs w:val="13"/>
                <w:color w:val="auto"/>
              </w:rPr>
            </w:pPr>
          </w:p>
        </w:tc>
        <w:tc>
          <w:tcPr>
            <w:tcW w:w="8440" w:type="dxa"/>
            <w:vAlign w:val="bottom"/>
          </w:tcPr>
          <w:p>
            <w:pPr>
              <w:jc w:val="center"/>
              <w:ind w:left="1342"/>
              <w:spacing w:after="0"/>
              <w:rPr>
                <w:sz w:val="20"/>
                <w:szCs w:val="20"/>
                <w:color w:val="auto"/>
              </w:rPr>
            </w:pPr>
            <w:r>
              <w:rPr>
                <w:rFonts w:ascii="Arial" w:cs="Arial" w:eastAsia="Arial" w:hAnsi="Arial"/>
                <w:sz w:val="12"/>
                <w:szCs w:val="12"/>
                <w:b w:val="1"/>
                <w:bCs w:val="1"/>
                <w:color w:val="auto"/>
                <w:w w:val="95"/>
              </w:rPr>
              <w:t>FOR THE FISCAL YEAR ENDED SEPTEMBER 30, 2007</w:t>
            </w:r>
          </w:p>
        </w:tc>
        <w:tc>
          <w:tcPr>
            <w:tcW w:w="2140" w:type="dxa"/>
            <w:vAlign w:val="bottom"/>
          </w:tcPr>
          <w:p>
            <w:pPr>
              <w:spacing w:after="0"/>
              <w:rPr>
                <w:sz w:val="13"/>
                <w:szCs w:val="13"/>
                <w:color w:val="auto"/>
              </w:rPr>
            </w:pPr>
          </w:p>
        </w:tc>
      </w:tr>
      <w:tr>
        <w:trPr>
          <w:trHeight w:val="252"/>
        </w:trPr>
        <w:tc>
          <w:tcPr>
            <w:tcW w:w="720" w:type="dxa"/>
            <w:vAlign w:val="bottom"/>
          </w:tcPr>
          <w:p>
            <w:pPr>
              <w:spacing w:after="0"/>
              <w:rPr>
                <w:sz w:val="21"/>
                <w:szCs w:val="21"/>
                <w:color w:val="auto"/>
              </w:rPr>
            </w:pPr>
          </w:p>
        </w:tc>
        <w:tc>
          <w:tcPr>
            <w:tcW w:w="8440" w:type="dxa"/>
            <w:vAlign w:val="bottom"/>
          </w:tcPr>
          <w:p>
            <w:pPr>
              <w:jc w:val="center"/>
              <w:ind w:left="1362"/>
              <w:spacing w:after="0"/>
              <w:rPr>
                <w:sz w:val="20"/>
                <w:szCs w:val="20"/>
                <w:color w:val="auto"/>
              </w:rPr>
            </w:pPr>
            <w:r>
              <w:rPr>
                <w:rFonts w:ascii="Arial" w:cs="Arial" w:eastAsia="Arial" w:hAnsi="Arial"/>
                <w:sz w:val="12"/>
                <w:szCs w:val="12"/>
                <w:b w:val="1"/>
                <w:bCs w:val="1"/>
                <w:color w:val="auto"/>
                <w:w w:val="97"/>
              </w:rPr>
              <w:t>TABLE OF CONTENTS</w:t>
            </w:r>
          </w:p>
        </w:tc>
        <w:tc>
          <w:tcPr>
            <w:tcW w:w="2140" w:type="dxa"/>
            <w:vAlign w:val="bottom"/>
          </w:tcPr>
          <w:p>
            <w:pPr>
              <w:spacing w:after="0"/>
              <w:rPr>
                <w:sz w:val="21"/>
                <w:szCs w:val="21"/>
                <w:color w:val="auto"/>
              </w:rPr>
            </w:pPr>
          </w:p>
        </w:tc>
      </w:tr>
      <w:tr>
        <w:trPr>
          <w:trHeight w:val="273"/>
        </w:trPr>
        <w:tc>
          <w:tcPr>
            <w:tcW w:w="720" w:type="dxa"/>
            <w:vAlign w:val="bottom"/>
          </w:tcPr>
          <w:p>
            <w:pPr>
              <w:spacing w:after="0"/>
              <w:rPr>
                <w:sz w:val="23"/>
                <w:szCs w:val="23"/>
                <w:color w:val="auto"/>
              </w:rPr>
            </w:pPr>
          </w:p>
        </w:tc>
        <w:tc>
          <w:tcPr>
            <w:tcW w:w="8440" w:type="dxa"/>
            <w:vAlign w:val="bottom"/>
          </w:tcPr>
          <w:p>
            <w:pPr>
              <w:jc w:val="center"/>
              <w:ind w:left="2002"/>
              <w:spacing w:after="0"/>
              <w:rPr>
                <w:sz w:val="20"/>
                <w:szCs w:val="20"/>
                <w:color w:val="auto"/>
              </w:rPr>
            </w:pPr>
            <w:r>
              <w:rPr>
                <w:rFonts w:ascii="Arial" w:cs="Arial" w:eastAsia="Arial" w:hAnsi="Arial"/>
                <w:sz w:val="12"/>
                <w:szCs w:val="12"/>
                <w:b w:val="1"/>
                <w:bCs w:val="1"/>
                <w:color w:val="auto"/>
                <w:w w:val="96"/>
              </w:rPr>
              <w:t>PART I</w:t>
            </w:r>
          </w:p>
        </w:tc>
        <w:tc>
          <w:tcPr>
            <w:tcW w:w="2140" w:type="dxa"/>
            <w:vAlign w:val="bottom"/>
          </w:tcPr>
          <w:p>
            <w:pPr>
              <w:spacing w:after="0"/>
              <w:rPr>
                <w:sz w:val="23"/>
                <w:szCs w:val="23"/>
                <w:color w:val="auto"/>
              </w:rPr>
            </w:pPr>
          </w:p>
        </w:tc>
      </w:tr>
      <w:tr>
        <w:trPr>
          <w:trHeight w:val="150"/>
        </w:trPr>
        <w:tc>
          <w:tcPr>
            <w:tcW w:w="72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Business</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1</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1A.</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20">
              <w:r>
                <w:rPr>
                  <w:rFonts w:ascii="Arial" w:cs="Arial" w:eastAsia="Arial" w:hAnsi="Arial"/>
                  <w:sz w:val="12"/>
                  <w:szCs w:val="12"/>
                  <w:b w:val="1"/>
                  <w:bCs w:val="1"/>
                  <w:u w:val="single" w:color="auto"/>
                  <w:color w:val="0000EE"/>
                </w:rPr>
                <w:t>Risk Factors</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18</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1B.</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34">
              <w:r>
                <w:rPr>
                  <w:rFonts w:ascii="Arial" w:cs="Arial" w:eastAsia="Arial" w:hAnsi="Arial"/>
                  <w:sz w:val="12"/>
                  <w:szCs w:val="12"/>
                  <w:b w:val="1"/>
                  <w:bCs w:val="1"/>
                  <w:u w:val="single" w:color="auto"/>
                  <w:color w:val="0000EE"/>
                </w:rPr>
                <w:t>Unresolved Staff Comments</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32</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2.</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34">
              <w:r>
                <w:rPr>
                  <w:rFonts w:ascii="Arial" w:cs="Arial" w:eastAsia="Arial" w:hAnsi="Arial"/>
                  <w:sz w:val="12"/>
                  <w:szCs w:val="12"/>
                  <w:b w:val="1"/>
                  <w:bCs w:val="1"/>
                  <w:u w:val="single" w:color="auto"/>
                  <w:color w:val="0000EE"/>
                </w:rPr>
                <w:t>Properties</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32</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3.</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35">
              <w:r>
                <w:rPr>
                  <w:rFonts w:ascii="Arial" w:cs="Arial" w:eastAsia="Arial" w:hAnsi="Arial"/>
                  <w:sz w:val="12"/>
                  <w:szCs w:val="12"/>
                  <w:b w:val="1"/>
                  <w:bCs w:val="1"/>
                  <w:u w:val="single" w:color="auto"/>
                  <w:color w:val="0000EE"/>
                </w:rPr>
                <w:t>Legal Proceedings</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33</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4.</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35">
              <w:r>
                <w:rPr>
                  <w:rFonts w:ascii="Arial" w:cs="Arial" w:eastAsia="Arial" w:hAnsi="Arial"/>
                  <w:sz w:val="12"/>
                  <w:szCs w:val="12"/>
                  <w:b w:val="1"/>
                  <w:bCs w:val="1"/>
                  <w:u w:val="single" w:color="auto"/>
                  <w:color w:val="0000EE"/>
                </w:rPr>
                <w:t>Submission of Matters to a Vote of Security Holders</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33</w:t>
            </w:r>
          </w:p>
        </w:tc>
      </w:tr>
      <w:tr>
        <w:trPr>
          <w:trHeight w:val="234"/>
        </w:trPr>
        <w:tc>
          <w:tcPr>
            <w:tcW w:w="720" w:type="dxa"/>
            <w:vAlign w:val="bottom"/>
          </w:tcPr>
          <w:p>
            <w:pPr>
              <w:spacing w:after="0"/>
              <w:rPr>
                <w:sz w:val="20"/>
                <w:szCs w:val="20"/>
                <w:color w:val="auto"/>
              </w:rPr>
            </w:pPr>
          </w:p>
        </w:tc>
        <w:tc>
          <w:tcPr>
            <w:tcW w:w="8440" w:type="dxa"/>
            <w:vAlign w:val="bottom"/>
          </w:tcPr>
          <w:p>
            <w:pPr>
              <w:jc w:val="center"/>
              <w:ind w:left="2002"/>
              <w:spacing w:after="0"/>
              <w:rPr>
                <w:sz w:val="20"/>
                <w:szCs w:val="20"/>
                <w:color w:val="auto"/>
              </w:rPr>
            </w:pPr>
            <w:r>
              <w:rPr>
                <w:rFonts w:ascii="Arial" w:cs="Arial" w:eastAsia="Arial" w:hAnsi="Arial"/>
                <w:sz w:val="12"/>
                <w:szCs w:val="12"/>
                <w:b w:val="1"/>
                <w:bCs w:val="1"/>
                <w:color w:val="auto"/>
                <w:w w:val="98"/>
              </w:rPr>
              <w:t>PART II</w:t>
            </w:r>
          </w:p>
        </w:tc>
        <w:tc>
          <w:tcPr>
            <w:tcW w:w="2140" w:type="dxa"/>
            <w:vAlign w:val="bottom"/>
          </w:tcPr>
          <w:p>
            <w:pPr>
              <w:spacing w:after="0"/>
              <w:rPr>
                <w:sz w:val="20"/>
                <w:szCs w:val="20"/>
                <w:color w:val="auto"/>
              </w:rPr>
            </w:pPr>
          </w:p>
        </w:tc>
      </w:tr>
      <w:tr>
        <w:trPr>
          <w:trHeight w:val="234"/>
        </w:trPr>
        <w:tc>
          <w:tcPr>
            <w:tcW w:w="720" w:type="dxa"/>
            <w:vAlign w:val="bottom"/>
          </w:tcPr>
          <w:p>
            <w:pPr>
              <w:spacing w:after="0"/>
              <w:rPr>
                <w:sz w:val="20"/>
                <w:szCs w:val="20"/>
                <w:color w:val="auto"/>
              </w:rPr>
            </w:pPr>
            <w:r>
              <w:rPr>
                <w:rFonts w:ascii="Arial" w:cs="Arial" w:eastAsia="Arial" w:hAnsi="Arial"/>
                <w:sz w:val="12"/>
                <w:szCs w:val="12"/>
                <w:b w:val="1"/>
                <w:bCs w:val="1"/>
                <w:color w:val="auto"/>
              </w:rPr>
              <w:t>Item 5.</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36">
              <w:r>
                <w:rPr>
                  <w:rFonts w:ascii="Arial" w:cs="Arial" w:eastAsia="Arial" w:hAnsi="Arial"/>
                  <w:sz w:val="12"/>
                  <w:szCs w:val="12"/>
                  <w:b w:val="1"/>
                  <w:bCs w:val="1"/>
                  <w:u w:val="single" w:color="auto"/>
                  <w:color w:val="0000EE"/>
                </w:rPr>
                <w:t>Market for Registrant’s Common Equity, Related Stockholder Matters and Issuer Purchases of Equity Securities</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34</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6.</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38">
              <w:r>
                <w:rPr>
                  <w:rFonts w:ascii="Arial" w:cs="Arial" w:eastAsia="Arial" w:hAnsi="Arial"/>
                  <w:sz w:val="12"/>
                  <w:szCs w:val="12"/>
                  <w:b w:val="1"/>
                  <w:bCs w:val="1"/>
                  <w:u w:val="single" w:color="auto"/>
                  <w:color w:val="0000EE"/>
                </w:rPr>
                <w:t>Selected Financial Data</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36</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7.</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39">
              <w:r>
                <w:rPr>
                  <w:rFonts w:ascii="Arial" w:cs="Arial" w:eastAsia="Arial" w:hAnsi="Arial"/>
                  <w:sz w:val="12"/>
                  <w:szCs w:val="12"/>
                  <w:b w:val="1"/>
                  <w:bCs w:val="1"/>
                  <w:u w:val="single" w:color="auto"/>
                  <w:color w:val="0000EE"/>
                </w:rPr>
                <w:t>Management’s Discussion and Analysis of Financial Condition and Results of Operations</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37</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7A.</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47">
              <w:r>
                <w:rPr>
                  <w:rFonts w:ascii="Arial" w:cs="Arial" w:eastAsia="Arial" w:hAnsi="Arial"/>
                  <w:sz w:val="12"/>
                  <w:szCs w:val="12"/>
                  <w:b w:val="1"/>
                  <w:bCs w:val="1"/>
                  <w:u w:val="single" w:color="auto"/>
                  <w:color w:val="0000EE"/>
                </w:rPr>
                <w:t>Quantitative And Qualitative Disclosures About Market Risk</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45</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8.</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48">
              <w:r>
                <w:rPr>
                  <w:rFonts w:ascii="Arial" w:cs="Arial" w:eastAsia="Arial" w:hAnsi="Arial"/>
                  <w:sz w:val="12"/>
                  <w:szCs w:val="12"/>
                  <w:b w:val="1"/>
                  <w:bCs w:val="1"/>
                  <w:u w:val="single" w:color="auto"/>
                  <w:color w:val="0000EE"/>
                </w:rPr>
                <w:t>Financial Statements and Supplementary Data</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46</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9.</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67">
              <w:r>
                <w:rPr>
                  <w:rFonts w:ascii="Arial" w:cs="Arial" w:eastAsia="Arial" w:hAnsi="Arial"/>
                  <w:sz w:val="12"/>
                  <w:szCs w:val="12"/>
                  <w:b w:val="1"/>
                  <w:bCs w:val="1"/>
                  <w:u w:val="single" w:color="auto"/>
                  <w:color w:val="0000EE"/>
                </w:rPr>
                <w:t>Changes in and Disagreements with Accountants on Accounting and Financial Disclosure</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65</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9A.</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67">
              <w:r>
                <w:rPr>
                  <w:rFonts w:ascii="Arial" w:cs="Arial" w:eastAsia="Arial" w:hAnsi="Arial"/>
                  <w:sz w:val="12"/>
                  <w:szCs w:val="12"/>
                  <w:b w:val="1"/>
                  <w:bCs w:val="1"/>
                  <w:u w:val="single" w:color="auto"/>
                  <w:color w:val="0000EE"/>
                </w:rPr>
                <w:t>Controls and Procedures</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65</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9B.</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67">
              <w:r>
                <w:rPr>
                  <w:rFonts w:ascii="Arial" w:cs="Arial" w:eastAsia="Arial" w:hAnsi="Arial"/>
                  <w:sz w:val="12"/>
                  <w:szCs w:val="12"/>
                  <w:b w:val="1"/>
                  <w:bCs w:val="1"/>
                  <w:u w:val="single" w:color="auto"/>
                  <w:color w:val="0000EE"/>
                </w:rPr>
                <w:t>Other Information</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65</w:t>
            </w:r>
          </w:p>
        </w:tc>
      </w:tr>
      <w:tr>
        <w:trPr>
          <w:trHeight w:val="234"/>
        </w:trPr>
        <w:tc>
          <w:tcPr>
            <w:tcW w:w="720" w:type="dxa"/>
            <w:vAlign w:val="bottom"/>
          </w:tcPr>
          <w:p>
            <w:pPr>
              <w:spacing w:after="0"/>
              <w:rPr>
                <w:sz w:val="20"/>
                <w:szCs w:val="20"/>
                <w:color w:val="auto"/>
              </w:rPr>
            </w:pPr>
          </w:p>
        </w:tc>
        <w:tc>
          <w:tcPr>
            <w:tcW w:w="8440" w:type="dxa"/>
            <w:vAlign w:val="bottom"/>
          </w:tcPr>
          <w:p>
            <w:pPr>
              <w:jc w:val="center"/>
              <w:ind w:left="2002"/>
              <w:spacing w:after="0"/>
              <w:rPr>
                <w:sz w:val="20"/>
                <w:szCs w:val="20"/>
                <w:color w:val="auto"/>
              </w:rPr>
            </w:pPr>
            <w:r>
              <w:rPr>
                <w:rFonts w:ascii="Arial" w:cs="Arial" w:eastAsia="Arial" w:hAnsi="Arial"/>
                <w:sz w:val="12"/>
                <w:szCs w:val="12"/>
                <w:b w:val="1"/>
                <w:bCs w:val="1"/>
                <w:color w:val="auto"/>
                <w:w w:val="99"/>
              </w:rPr>
              <w:t>PART III</w:t>
            </w:r>
          </w:p>
        </w:tc>
        <w:tc>
          <w:tcPr>
            <w:tcW w:w="2140" w:type="dxa"/>
            <w:vAlign w:val="bottom"/>
          </w:tcPr>
          <w:p>
            <w:pPr>
              <w:spacing w:after="0"/>
              <w:rPr>
                <w:sz w:val="20"/>
                <w:szCs w:val="20"/>
                <w:color w:val="auto"/>
              </w:rPr>
            </w:pPr>
          </w:p>
        </w:tc>
      </w:tr>
      <w:tr>
        <w:trPr>
          <w:trHeight w:val="234"/>
        </w:trPr>
        <w:tc>
          <w:tcPr>
            <w:tcW w:w="720" w:type="dxa"/>
            <w:vAlign w:val="bottom"/>
          </w:tcPr>
          <w:p>
            <w:pPr>
              <w:spacing w:after="0"/>
              <w:rPr>
                <w:sz w:val="20"/>
                <w:szCs w:val="20"/>
                <w:color w:val="auto"/>
              </w:rPr>
            </w:pPr>
            <w:r>
              <w:rPr>
                <w:rFonts w:ascii="Arial" w:cs="Arial" w:eastAsia="Arial" w:hAnsi="Arial"/>
                <w:sz w:val="12"/>
                <w:szCs w:val="12"/>
                <w:b w:val="1"/>
                <w:bCs w:val="1"/>
                <w:color w:val="auto"/>
              </w:rPr>
              <w:t>Item 10.</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68">
              <w:r>
                <w:rPr>
                  <w:rFonts w:ascii="Arial" w:cs="Arial" w:eastAsia="Arial" w:hAnsi="Arial"/>
                  <w:sz w:val="12"/>
                  <w:szCs w:val="12"/>
                  <w:b w:val="1"/>
                  <w:bCs w:val="1"/>
                  <w:u w:val="single" w:color="auto"/>
                  <w:color w:val="0000EE"/>
                </w:rPr>
                <w:t>Directors, Executive Officers and Corporate Governance</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66</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11.</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68">
              <w:r>
                <w:rPr>
                  <w:rFonts w:ascii="Arial" w:cs="Arial" w:eastAsia="Arial" w:hAnsi="Arial"/>
                  <w:sz w:val="12"/>
                  <w:szCs w:val="12"/>
                  <w:b w:val="1"/>
                  <w:bCs w:val="1"/>
                  <w:u w:val="single" w:color="auto"/>
                  <w:color w:val="0000EE"/>
                </w:rPr>
                <w:t>Executive Compensation</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66</w:t>
            </w:r>
          </w:p>
        </w:tc>
      </w:tr>
      <w:tr>
        <w:trPr>
          <w:trHeight w:val="216"/>
        </w:trPr>
        <w:tc>
          <w:tcPr>
            <w:tcW w:w="720" w:type="dxa"/>
            <w:vAlign w:val="bottom"/>
          </w:tcPr>
          <w:p>
            <w:pPr>
              <w:spacing w:after="0"/>
              <w:rPr>
                <w:sz w:val="20"/>
                <w:szCs w:val="20"/>
                <w:color w:val="auto"/>
              </w:rPr>
            </w:pPr>
            <w:r>
              <w:rPr>
                <w:rFonts w:ascii="Arial" w:cs="Arial" w:eastAsia="Arial" w:hAnsi="Arial"/>
                <w:sz w:val="12"/>
                <w:szCs w:val="12"/>
                <w:b w:val="1"/>
                <w:bCs w:val="1"/>
                <w:color w:val="auto"/>
              </w:rPr>
              <w:t>Item 12.</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68">
              <w:r>
                <w:rPr>
                  <w:rFonts w:ascii="Arial" w:cs="Arial" w:eastAsia="Arial" w:hAnsi="Arial"/>
                  <w:sz w:val="12"/>
                  <w:szCs w:val="12"/>
                  <w:b w:val="1"/>
                  <w:bCs w:val="1"/>
                  <w:u w:val="single" w:color="auto"/>
                  <w:color w:val="0000EE"/>
                </w:rPr>
                <w:t>Security Ownership of Certain Beneficial Owners and Management and Related Stockholder Matters</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66</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13.</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68">
              <w:r>
                <w:rPr>
                  <w:rFonts w:ascii="Arial" w:cs="Arial" w:eastAsia="Arial" w:hAnsi="Arial"/>
                  <w:sz w:val="12"/>
                  <w:szCs w:val="12"/>
                  <w:b w:val="1"/>
                  <w:bCs w:val="1"/>
                  <w:u w:val="single" w:color="auto"/>
                  <w:color w:val="0000EE"/>
                </w:rPr>
                <w:t>Certain Relationships and Related Transactions, and Director Independence</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66</w:t>
            </w:r>
          </w:p>
        </w:tc>
      </w:tr>
      <w:tr>
        <w:trPr>
          <w:trHeight w:val="189"/>
        </w:trPr>
        <w:tc>
          <w:tcPr>
            <w:tcW w:w="720" w:type="dxa"/>
            <w:vAlign w:val="bottom"/>
          </w:tcPr>
          <w:p>
            <w:pPr>
              <w:spacing w:after="0"/>
              <w:rPr>
                <w:sz w:val="20"/>
                <w:szCs w:val="20"/>
                <w:color w:val="auto"/>
              </w:rPr>
            </w:pPr>
            <w:r>
              <w:rPr>
                <w:rFonts w:ascii="Arial" w:cs="Arial" w:eastAsia="Arial" w:hAnsi="Arial"/>
                <w:sz w:val="12"/>
                <w:szCs w:val="12"/>
                <w:b w:val="1"/>
                <w:bCs w:val="1"/>
                <w:color w:val="auto"/>
              </w:rPr>
              <w:t>Item 14.</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68">
              <w:r>
                <w:rPr>
                  <w:rFonts w:ascii="Arial" w:cs="Arial" w:eastAsia="Arial" w:hAnsi="Arial"/>
                  <w:sz w:val="12"/>
                  <w:szCs w:val="12"/>
                  <w:b w:val="1"/>
                  <w:bCs w:val="1"/>
                  <w:u w:val="single" w:color="auto"/>
                  <w:color w:val="0000EE"/>
                </w:rPr>
                <w:t>Principal Accountant Fees and Services</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66</w:t>
            </w:r>
          </w:p>
        </w:tc>
      </w:tr>
      <w:tr>
        <w:trPr>
          <w:trHeight w:val="234"/>
        </w:trPr>
        <w:tc>
          <w:tcPr>
            <w:tcW w:w="720" w:type="dxa"/>
            <w:vAlign w:val="bottom"/>
          </w:tcPr>
          <w:p>
            <w:pPr>
              <w:spacing w:after="0"/>
              <w:rPr>
                <w:sz w:val="20"/>
                <w:szCs w:val="20"/>
                <w:color w:val="auto"/>
              </w:rPr>
            </w:pPr>
          </w:p>
        </w:tc>
        <w:tc>
          <w:tcPr>
            <w:tcW w:w="8440" w:type="dxa"/>
            <w:vAlign w:val="bottom"/>
          </w:tcPr>
          <w:p>
            <w:pPr>
              <w:jc w:val="center"/>
              <w:ind w:left="2002"/>
              <w:spacing w:after="0"/>
              <w:rPr>
                <w:sz w:val="20"/>
                <w:szCs w:val="20"/>
                <w:color w:val="auto"/>
              </w:rPr>
            </w:pPr>
            <w:r>
              <w:rPr>
                <w:rFonts w:ascii="Arial" w:cs="Arial" w:eastAsia="Arial" w:hAnsi="Arial"/>
                <w:sz w:val="12"/>
                <w:szCs w:val="12"/>
                <w:b w:val="1"/>
                <w:bCs w:val="1"/>
                <w:color w:val="auto"/>
                <w:w w:val="97"/>
              </w:rPr>
              <w:t>PART IV</w:t>
            </w:r>
          </w:p>
        </w:tc>
        <w:tc>
          <w:tcPr>
            <w:tcW w:w="2140" w:type="dxa"/>
            <w:vAlign w:val="bottom"/>
          </w:tcPr>
          <w:p>
            <w:pPr>
              <w:spacing w:after="0"/>
              <w:rPr>
                <w:sz w:val="20"/>
                <w:szCs w:val="20"/>
                <w:color w:val="auto"/>
              </w:rPr>
            </w:pPr>
          </w:p>
        </w:tc>
      </w:tr>
      <w:tr>
        <w:trPr>
          <w:trHeight w:val="234"/>
        </w:trPr>
        <w:tc>
          <w:tcPr>
            <w:tcW w:w="720" w:type="dxa"/>
            <w:vAlign w:val="bottom"/>
          </w:tcPr>
          <w:p>
            <w:pPr>
              <w:spacing w:after="0"/>
              <w:rPr>
                <w:sz w:val="20"/>
                <w:szCs w:val="20"/>
                <w:color w:val="auto"/>
              </w:rPr>
            </w:pPr>
            <w:r>
              <w:rPr>
                <w:rFonts w:ascii="Arial" w:cs="Arial" w:eastAsia="Arial" w:hAnsi="Arial"/>
                <w:sz w:val="12"/>
                <w:szCs w:val="12"/>
                <w:b w:val="1"/>
                <w:bCs w:val="1"/>
                <w:color w:val="auto"/>
              </w:rPr>
              <w:t>Item 15.</w:t>
            </w: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69">
              <w:r>
                <w:rPr>
                  <w:rFonts w:ascii="Arial" w:cs="Arial" w:eastAsia="Arial" w:hAnsi="Arial"/>
                  <w:sz w:val="12"/>
                  <w:szCs w:val="12"/>
                  <w:b w:val="1"/>
                  <w:bCs w:val="1"/>
                  <w:u w:val="single" w:color="auto"/>
                  <w:color w:val="0000EE"/>
                </w:rPr>
                <w:t>Exhibits and Financial Statement Schedules</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67</w:t>
            </w:r>
          </w:p>
        </w:tc>
      </w:tr>
      <w:tr>
        <w:trPr>
          <w:trHeight w:val="198"/>
        </w:trPr>
        <w:tc>
          <w:tcPr>
            <w:tcW w:w="720" w:type="dxa"/>
            <w:vAlign w:val="bottom"/>
          </w:tcPr>
          <w:p>
            <w:pPr>
              <w:spacing w:after="0"/>
              <w:rPr>
                <w:sz w:val="17"/>
                <w:szCs w:val="17"/>
                <w:color w:val="auto"/>
              </w:rPr>
            </w:pPr>
          </w:p>
        </w:tc>
        <w:tc>
          <w:tcPr>
            <w:tcW w:w="8440" w:type="dxa"/>
            <w:vAlign w:val="bottom"/>
          </w:tcPr>
          <w:p>
            <w:pPr>
              <w:ind w:left="280"/>
              <w:spacing w:after="0"/>
              <w:rPr>
                <w:rFonts w:ascii="Arial" w:cs="Arial" w:eastAsia="Arial" w:hAnsi="Arial"/>
                <w:sz w:val="12"/>
                <w:szCs w:val="12"/>
                <w:b w:val="1"/>
                <w:bCs w:val="1"/>
                <w:u w:val="single" w:color="auto"/>
                <w:color w:val="0000EE"/>
              </w:rPr>
            </w:pPr>
            <w:hyperlink w:anchor="page70">
              <w:r>
                <w:rPr>
                  <w:rFonts w:ascii="Arial" w:cs="Arial" w:eastAsia="Arial" w:hAnsi="Arial"/>
                  <w:sz w:val="12"/>
                  <w:szCs w:val="12"/>
                  <w:b w:val="1"/>
                  <w:bCs w:val="1"/>
                  <w:u w:val="single" w:color="auto"/>
                  <w:color w:val="0000EE"/>
                </w:rPr>
                <w:t>SIGNATURES</w:t>
              </w:r>
            </w:hyperlink>
          </w:p>
        </w:tc>
        <w:tc>
          <w:tcPr>
            <w:tcW w:w="2140" w:type="dxa"/>
            <w:vAlign w:val="bottom"/>
          </w:tcPr>
          <w:p>
            <w:pPr>
              <w:jc w:val="right"/>
              <w:spacing w:after="0"/>
              <w:rPr>
                <w:sz w:val="20"/>
                <w:szCs w:val="20"/>
                <w:color w:val="auto"/>
              </w:rPr>
            </w:pPr>
            <w:r>
              <w:rPr>
                <w:rFonts w:ascii="Arial" w:cs="Arial" w:eastAsia="Arial" w:hAnsi="Arial"/>
                <w:sz w:val="12"/>
                <w:szCs w:val="12"/>
                <w:b w:val="1"/>
                <w:bCs w:val="1"/>
                <w:color w:val="auto"/>
              </w:rPr>
              <w:t>68</w:t>
            </w:r>
          </w:p>
        </w:tc>
      </w:tr>
    </w:tbl>
    <w:p>
      <w:pPr>
        <w:sectPr>
          <w:pgSz w:w="11900" w:h="16838" w:orient="portrait"/>
          <w:cols w:equalWidth="0" w:num="1">
            <w:col w:w="11300"/>
          </w:cols>
          <w:pgMar w:left="300" w:top="354" w:right="299"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41"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9"/>
          <w:szCs w:val="9"/>
          <w:b w:val="1"/>
          <w:bCs w:val="1"/>
          <w:color w:val="auto"/>
        </w:rPr>
        <w:t>Business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PENNANTPARK INVESTMENT CORPORATION</w:t>
      </w:r>
    </w:p>
    <w:p>
      <w:pPr>
        <w:spacing w:after="0" w:line="62" w:lineRule="exact"/>
        <w:rPr>
          <w:sz w:val="20"/>
          <w:szCs w:val="20"/>
          <w:color w:val="auto"/>
        </w:rPr>
      </w:pPr>
    </w:p>
    <w:p>
      <w:pPr>
        <w:ind w:right="160" w:firstLine="452"/>
        <w:spacing w:after="0" w:line="259" w:lineRule="auto"/>
        <w:rPr>
          <w:sz w:val="20"/>
          <w:szCs w:val="20"/>
          <w:color w:val="auto"/>
        </w:rPr>
      </w:pPr>
      <w:r>
        <w:rPr>
          <w:rFonts w:ascii="Arial" w:cs="Arial" w:eastAsia="Arial" w:hAnsi="Arial"/>
          <w:sz w:val="12"/>
          <w:szCs w:val="12"/>
          <w:color w:val="auto"/>
        </w:rPr>
        <w:t>PennantPark Investment Corporation (“PennantPark Investment”, “we”, “our” or “us”), a Maryland corporation organized on January 11, 2007, is a closed-end, externally managed, non-diversified investment company that has elected to be treated as a business development company (“BDC”) under the Investment Company Act of 1940 (the “1940 Act”). In addition, for tax purposes we have elected to be treated as a regulated investment company, or RIC, under the Internal Revenue Code of 1986, as amended (the “Code”).</w:t>
      </w:r>
    </w:p>
    <w:p>
      <w:pPr>
        <w:spacing w:after="0" w:line="93" w:lineRule="exact"/>
        <w:rPr>
          <w:sz w:val="20"/>
          <w:szCs w:val="20"/>
          <w:color w:val="auto"/>
        </w:rPr>
      </w:pPr>
    </w:p>
    <w:p>
      <w:pPr>
        <w:ind w:right="340" w:firstLine="452"/>
        <w:spacing w:after="0" w:line="268" w:lineRule="auto"/>
        <w:rPr>
          <w:sz w:val="20"/>
          <w:szCs w:val="20"/>
          <w:color w:val="auto"/>
        </w:rPr>
      </w:pPr>
      <w:r>
        <w:rPr>
          <w:rFonts w:ascii="Arial" w:cs="Arial" w:eastAsia="Arial" w:hAnsi="Arial"/>
          <w:sz w:val="12"/>
          <w:szCs w:val="12"/>
          <w:color w:val="auto"/>
        </w:rPr>
        <w:t>Our investment objectives are to generate both current income and capital appreciation through debt and equity investments. We invest primarily in U.S. middle-market private companies in the form of mezzanine debt, senior secured loans and, to a lesser extent, equity investments. From time to time, we may also invest in public companies that are thinly traded.</w:t>
      </w:r>
    </w:p>
    <w:p>
      <w:pPr>
        <w:spacing w:after="0" w:line="88" w:lineRule="exact"/>
        <w:rPr>
          <w:sz w:val="20"/>
          <w:szCs w:val="20"/>
          <w:color w:val="auto"/>
        </w:rPr>
      </w:pPr>
    </w:p>
    <w:p>
      <w:pPr>
        <w:jc w:val="both"/>
        <w:ind w:right="220" w:firstLine="452"/>
        <w:spacing w:after="0" w:line="293" w:lineRule="auto"/>
        <w:rPr>
          <w:sz w:val="20"/>
          <w:szCs w:val="20"/>
          <w:color w:val="auto"/>
        </w:rPr>
      </w:pPr>
      <w:r>
        <w:rPr>
          <w:rFonts w:ascii="Arial" w:cs="Arial" w:eastAsia="Arial" w:hAnsi="Arial"/>
          <w:sz w:val="11"/>
          <w:szCs w:val="11"/>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 We expect that our investments in mezzanine debt, senior secured loans and other investments will range between $10 million and $50 million each, although this investment size will vary proportionately with the size of our capital base.</w:t>
      </w:r>
    </w:p>
    <w:p>
      <w:pPr>
        <w:spacing w:after="0" w:line="77" w:lineRule="exact"/>
        <w:rPr>
          <w:sz w:val="20"/>
          <w:szCs w:val="20"/>
          <w:color w:val="auto"/>
        </w:rPr>
      </w:pPr>
    </w:p>
    <w:p>
      <w:pPr>
        <w:jc w:val="both"/>
        <w:ind w:right="100" w:firstLine="452"/>
        <w:spacing w:after="0" w:line="259" w:lineRule="auto"/>
        <w:rPr>
          <w:sz w:val="20"/>
          <w:szCs w:val="20"/>
          <w:color w:val="auto"/>
        </w:rPr>
      </w:pPr>
      <w:r>
        <w:rPr>
          <w:rFonts w:ascii="Arial" w:cs="Arial" w:eastAsia="Arial" w:hAnsi="Arial"/>
          <w:sz w:val="12"/>
          <w:szCs w:val="12"/>
          <w:color w:val="auto"/>
        </w:rPr>
        <w:t>During 2007, PennantPark Investment completed an initial public offering and a private placement of common stock, which raised gross proceeds of $315.4 million after exercise of the underwriters’ over-allotment option. Prior to the initial public offering, we purchased approximately $250 million of senior secured loans, enabling us to generate an immediate dividend yield for our stockholders. On June 25, 2007, we closed on a $300 million, five-year credit facility priced at 100 basis points over the London Interbank Offered Rate, or LIBOR.</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9"/>
          <w:szCs w:val="9"/>
          <w:color w:val="auto"/>
        </w:rPr>
        <w:t>For the quarter ended June 30, 2007, we purchased $102.7 million of subordinated debt, second lien secured debt and equity investments, which we consider to be our core assets by value and investment focus (our “core assets”).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 subordinated debt and second lien secured debt purchased during the quarter had an average yield of 12.2%.</w:t>
      </w:r>
    </w:p>
    <w:p>
      <w:pPr>
        <w:spacing w:after="0" w:line="110" w:lineRule="exact"/>
        <w:rPr>
          <w:sz w:val="20"/>
          <w:szCs w:val="20"/>
          <w:color w:val="auto"/>
        </w:rPr>
      </w:pPr>
    </w:p>
    <w:p>
      <w:pPr>
        <w:ind w:right="160" w:firstLine="452"/>
        <w:spacing w:after="0" w:line="268" w:lineRule="auto"/>
        <w:rPr>
          <w:sz w:val="20"/>
          <w:szCs w:val="20"/>
          <w:color w:val="auto"/>
        </w:rPr>
      </w:pPr>
      <w:r>
        <w:rPr>
          <w:rFonts w:ascii="Arial" w:cs="Arial" w:eastAsia="Arial" w:hAnsi="Arial"/>
          <w:sz w:val="12"/>
          <w:szCs w:val="12"/>
          <w:color w:val="auto"/>
        </w:rPr>
        <w:t>The overall leveraged finance credit market experienced a substantial downturn during the summer of 2007, which resulted in unrealized depreciation of our existing portfolio, slowing of new investment activity and an improved risk/reward environment for new investments.</w:t>
      </w:r>
    </w:p>
    <w:p>
      <w:pPr>
        <w:spacing w:after="0" w:line="88" w:lineRule="exact"/>
        <w:rPr>
          <w:sz w:val="20"/>
          <w:szCs w:val="20"/>
          <w:color w:val="auto"/>
        </w:rPr>
      </w:pPr>
    </w:p>
    <w:p>
      <w:pPr>
        <w:ind w:firstLine="452"/>
        <w:spacing w:after="0" w:line="268" w:lineRule="auto"/>
        <w:rPr>
          <w:sz w:val="20"/>
          <w:szCs w:val="20"/>
          <w:color w:val="auto"/>
        </w:rPr>
      </w:pPr>
      <w:r>
        <w:rPr>
          <w:rFonts w:ascii="Arial" w:cs="Arial" w:eastAsia="Arial" w:hAnsi="Arial"/>
          <w:sz w:val="12"/>
          <w:szCs w:val="12"/>
          <w:color w:val="auto"/>
        </w:rPr>
        <w:t>For the quarter ended September 30, 2007, we purchased $41.3 million of core assets. The subordinated debt and second lien secured debt purchased during the quarter had an average yield of 15.2%. For the period April 24, 2007 to September 30, 2007, we purchased $144.4 million of core assets, with an overall average yield of 13.0% on subordinated debt and second lien secured debt.</w:t>
      </w:r>
    </w:p>
    <w:p>
      <w:pPr>
        <w:spacing w:after="0" w:line="88" w:lineRule="exact"/>
        <w:rPr>
          <w:sz w:val="20"/>
          <w:szCs w:val="20"/>
          <w:color w:val="auto"/>
        </w:rPr>
      </w:pPr>
    </w:p>
    <w:p>
      <w:pPr>
        <w:ind w:right="300" w:firstLine="452"/>
        <w:spacing w:after="0" w:line="268" w:lineRule="auto"/>
        <w:rPr>
          <w:sz w:val="20"/>
          <w:szCs w:val="20"/>
          <w:color w:val="auto"/>
        </w:rPr>
      </w:pPr>
      <w:r>
        <w:rPr>
          <w:rFonts w:ascii="Arial" w:cs="Arial" w:eastAsia="Arial" w:hAnsi="Arial"/>
          <w:sz w:val="12"/>
          <w:szCs w:val="12"/>
          <w:color w:val="auto"/>
        </w:rPr>
        <w:t>We did not experience any compromised liquidity during the recent turmoil in the global credit markets because of our ability to sell loans from our senior secured loans, which totaled $158.9 million, and availability under our credit facility.</w:t>
      </w:r>
    </w:p>
    <w:p>
      <w:pPr>
        <w:spacing w:after="0" w:line="88" w:lineRule="exact"/>
        <w:rPr>
          <w:sz w:val="20"/>
          <w:szCs w:val="20"/>
          <w:color w:val="auto"/>
        </w:rPr>
      </w:pPr>
    </w:p>
    <w:p>
      <w:pPr>
        <w:ind w:right="20" w:firstLine="452"/>
        <w:spacing w:after="0" w:line="259" w:lineRule="auto"/>
        <w:rPr>
          <w:sz w:val="20"/>
          <w:szCs w:val="20"/>
          <w:color w:val="auto"/>
        </w:rPr>
      </w:pPr>
      <w:r>
        <w:rPr>
          <w:rFonts w:ascii="Arial" w:cs="Arial" w:eastAsia="Arial" w:hAnsi="Arial"/>
          <w:sz w:val="12"/>
          <w:szCs w:val="12"/>
          <w:color w:val="auto"/>
        </w:rPr>
        <w:t>We completed our first fiscal year on September 30, 2007 with our portfolio invested $57.3 million in subordinated debt, $67.8 million in second lien secured debt, $7.0 million in equity investments and $158.9 million in senior secured loans. On September 30, 2007, our core assets totaled $132.1 million and consisted of investments in eight different companies with an average investment size of $16.5 million per company and a weighted average yield of 13.0% on the debt investments. Our senior secured loan portfolio at September 30, 2007</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354" w:right="299" w:bottom="1440" w:gutter="0" w:footer="0" w:header="0"/>
        </w:sectPr>
      </w:pPr>
    </w:p>
    <w:bookmarkStart w:id="3" w:name="page4"/>
    <w:bookmarkEnd w:id="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totaled $158.9 million and consisted of 30 different companies with an average investment size of $5.3 million, and a weighted average yield of 7.5%. The overall portfolio had unrealized depreciation of $23.9 million due to recent erosion in the market prices of leveraged finance instruments. At September 30, 2007, our portfolio consisted of 38 companies and was invested 20% in subordinated debt, 23% in second lien secured debt, 2% in equity investments and 55% in senior secured loans.</w:t>
      </w:r>
    </w:p>
    <w:p>
      <w:pPr>
        <w:spacing w:after="0" w:line="93" w:lineRule="exact"/>
        <w:rPr>
          <w:sz w:val="20"/>
          <w:szCs w:val="20"/>
          <w:color w:val="auto"/>
        </w:rPr>
      </w:pPr>
    </w:p>
    <w:p>
      <w:pPr>
        <w:ind w:right="60" w:firstLine="452"/>
        <w:spacing w:after="0" w:line="256" w:lineRule="auto"/>
        <w:rPr>
          <w:sz w:val="20"/>
          <w:szCs w:val="20"/>
          <w:color w:val="auto"/>
        </w:rPr>
      </w:pPr>
      <w:r>
        <w:rPr>
          <w:rFonts w:ascii="Arial" w:cs="Arial" w:eastAsia="Arial" w:hAnsi="Arial"/>
          <w:sz w:val="12"/>
          <w:szCs w:val="12"/>
          <w:color w:val="auto"/>
        </w:rPr>
        <w:t>We anticipate that our level of investment activity will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our types of investments. Depending on these factors and owing to the substantial due diligence and structuring involved in negotiated investments in illiquid securities, we anticipate that it may take up to two years from the date of our initial public offering to invest all of our assets in accordance with our investment objectives. We will consider selling senior secured loans and/or drawing on our credit facility for liquidity purposes.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Available</w:t>
      </w:r>
    </w:p>
    <w:p>
      <w:pPr>
        <w:spacing w:after="0" w:line="62" w:lineRule="exact"/>
        <w:rPr>
          <w:sz w:val="20"/>
          <w:szCs w:val="20"/>
          <w:color w:val="auto"/>
        </w:rPr>
      </w:pPr>
    </w:p>
    <w:p>
      <w:pPr>
        <w:ind w:firstLine="452"/>
        <w:spacing w:after="0" w:line="256" w:lineRule="auto"/>
        <w:rPr>
          <w:sz w:val="20"/>
          <w:szCs w:val="20"/>
          <w:color w:val="auto"/>
        </w:rPr>
      </w:pPr>
      <w:r>
        <w:rPr>
          <w:rFonts w:ascii="Arial" w:cs="Arial" w:eastAsia="Arial" w:hAnsi="Arial"/>
          <w:sz w:val="12"/>
          <w:szCs w:val="12"/>
          <w:color w:val="auto"/>
        </w:rPr>
        <w:t xml:space="preserve">Our address is 590 Madison Avenue, 15th Floor, New York, NY 10022. Our phone number is (212) 905-1000, and our internet address is </w:t>
      </w:r>
      <w:r>
        <w:rPr>
          <w:rFonts w:ascii="Arial" w:cs="Arial" w:eastAsia="Arial" w:hAnsi="Arial"/>
          <w:sz w:val="12"/>
          <w:szCs w:val="12"/>
          <w:i w:val="1"/>
          <w:iCs w:val="1"/>
          <w:color w:val="auto"/>
        </w:rPr>
        <w:t>www.pennantpark.com</w:t>
      </w:r>
      <w:r>
        <w:rPr>
          <w:rFonts w:ascii="Arial" w:cs="Arial" w:eastAsia="Arial" w:hAnsi="Arial"/>
          <w:sz w:val="12"/>
          <w:szCs w:val="12"/>
          <w:color w:val="auto"/>
        </w:rPr>
        <w:t>. We make available free of charge on our website our annual report on Form 10-K, quarterly reports on Form 10-Q, current reports on Form 8-K, and amendments to those reports as soon as reasonably practicable after we electronically file such material with, or furnish it to, the U.S. Securities and Exchange Commission, or SEC. Information contained on our website is not incorporated by reference into this annual report on Form 10-K and you should not consider information contained on our website to be part of this annual report on Form 10-K or any other report we file with the SEC.</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Structure</w:t>
      </w:r>
    </w:p>
    <w:p>
      <w:pPr>
        <w:spacing w:after="0" w:line="62" w:lineRule="exact"/>
        <w:rPr>
          <w:sz w:val="20"/>
          <w:szCs w:val="20"/>
          <w:color w:val="auto"/>
        </w:rPr>
      </w:pPr>
    </w:p>
    <w:p>
      <w:pPr>
        <w:ind w:right="60" w:firstLine="452"/>
        <w:spacing w:after="0" w:line="259" w:lineRule="auto"/>
        <w:rPr>
          <w:sz w:val="20"/>
          <w:szCs w:val="20"/>
          <w:color w:val="auto"/>
        </w:rPr>
      </w:pPr>
      <w:r>
        <w:rPr>
          <w:rFonts w:ascii="Arial" w:cs="Arial" w:eastAsia="Arial" w:hAnsi="Arial"/>
          <w:sz w:val="12"/>
          <w:szCs w:val="12"/>
          <w:color w:val="auto"/>
        </w:rPr>
        <w:t>Our investment activities are managed by PennantPark Investment Advisers, LLC (the “Investment Adviser” or “PennantPark Investment Advisers”) and supervised by our board of directors, a majority of whom are independent of us and our Investment Adviser. Under our Investment Management Agreement, we have agreed to pay our Investment Adviser an annual base management fee based on our adjusted gross assets as well as an incentive fee based on our investment performance. See “Business-Investment Management Agreement.”</w:t>
      </w:r>
    </w:p>
    <w:p>
      <w:pPr>
        <w:spacing w:after="0" w:line="93" w:lineRule="exact"/>
        <w:rPr>
          <w:sz w:val="20"/>
          <w:szCs w:val="20"/>
          <w:color w:val="auto"/>
        </w:rPr>
      </w:pPr>
    </w:p>
    <w:p>
      <w:pPr>
        <w:ind w:right="80" w:firstLine="452"/>
        <w:spacing w:after="0" w:line="293" w:lineRule="auto"/>
        <w:rPr>
          <w:sz w:val="20"/>
          <w:szCs w:val="20"/>
          <w:color w:val="auto"/>
        </w:rPr>
      </w:pPr>
      <w:r>
        <w:rPr>
          <w:rFonts w:ascii="Arial" w:cs="Arial" w:eastAsia="Arial" w:hAnsi="Arial"/>
          <w:sz w:val="11"/>
          <w:szCs w:val="11"/>
          <w:color w:val="auto"/>
        </w:rPr>
        <w:t>We have also entered into an administration agreement (the “Administration Agreement”) with PennantPark Investment Administration, LLC (the “Administrator” or “PennantPark Investment Administration”). Under the Administration Agreement,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See “Business-Administration Agreement.”</w:t>
      </w:r>
    </w:p>
    <w:p>
      <w:pPr>
        <w:spacing w:after="0" w:line="77" w:lineRule="exact"/>
        <w:rPr>
          <w:sz w:val="20"/>
          <w:szCs w:val="20"/>
          <w:color w:val="auto"/>
        </w:rPr>
      </w:pPr>
    </w:p>
    <w:p>
      <w:pPr>
        <w:ind w:right="280" w:firstLine="452"/>
        <w:spacing w:after="0" w:line="437" w:lineRule="auto"/>
        <w:rPr>
          <w:sz w:val="20"/>
          <w:szCs w:val="20"/>
          <w:color w:val="auto"/>
        </w:rPr>
      </w:pPr>
      <w:r>
        <w:rPr>
          <w:rFonts w:ascii="Arial" w:cs="Arial" w:eastAsia="Arial" w:hAnsi="Arial"/>
          <w:sz w:val="9"/>
          <w:szCs w:val="9"/>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Investment Adviser and Investment Administrator</w:t>
      </w:r>
    </w:p>
    <w:p>
      <w:pPr>
        <w:spacing w:after="0" w:line="62" w:lineRule="exact"/>
        <w:rPr>
          <w:sz w:val="20"/>
          <w:szCs w:val="20"/>
          <w:color w:val="auto"/>
        </w:rPr>
      </w:pPr>
    </w:p>
    <w:p>
      <w:pPr>
        <w:ind w:right="20" w:firstLine="452"/>
        <w:spacing w:after="0" w:line="268" w:lineRule="auto"/>
        <w:rPr>
          <w:sz w:val="20"/>
          <w:szCs w:val="20"/>
          <w:color w:val="auto"/>
        </w:rPr>
      </w:pPr>
      <w:r>
        <w:rPr>
          <w:rFonts w:ascii="Arial" w:cs="Arial" w:eastAsia="Arial" w:hAnsi="Arial"/>
          <w:sz w:val="12"/>
          <w:szCs w:val="12"/>
          <w:color w:val="auto"/>
        </w:rPr>
        <w:t>We utilize the investing experience and contacts of Arthur H. Penn, the founder of PennantPark Investment Corporation and PennantPark Investment Advisers, as well as the other investment professionals of the Investment Adviser. Mr. Penn has over 21 years of experience in the mezzanine lending, leveraged finance,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354" w:right="299" w:bottom="1440" w:gutter="0" w:footer="0" w:header="0"/>
        </w:sectPr>
      </w:pPr>
    </w:p>
    <w:bookmarkStart w:id="4" w:name="page5"/>
    <w:bookmarkEnd w:id="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100"/>
        <w:spacing w:after="0" w:line="293" w:lineRule="auto"/>
        <w:rPr>
          <w:sz w:val="20"/>
          <w:szCs w:val="20"/>
          <w:color w:val="auto"/>
        </w:rPr>
      </w:pPr>
      <w:r>
        <w:rPr>
          <w:rFonts w:ascii="Arial" w:cs="Arial" w:eastAsia="Arial" w:hAnsi="Arial"/>
          <w:sz w:val="11"/>
          <w:szCs w:val="11"/>
          <w:color w:val="auto"/>
        </w:rPr>
        <w:t>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w:t>
      </w:r>
    </w:p>
    <w:p>
      <w:pPr>
        <w:spacing w:after="0" w:line="77" w:lineRule="exact"/>
        <w:rPr>
          <w:sz w:val="20"/>
          <w:szCs w:val="20"/>
          <w:color w:val="auto"/>
        </w:rPr>
      </w:pPr>
    </w:p>
    <w:p>
      <w:pPr>
        <w:jc w:val="both"/>
        <w:ind w:right="140" w:firstLine="452"/>
        <w:spacing w:after="0" w:line="293" w:lineRule="auto"/>
        <w:rPr>
          <w:sz w:val="20"/>
          <w:szCs w:val="20"/>
          <w:color w:val="auto"/>
        </w:rPr>
      </w:pPr>
      <w:r>
        <w:rPr>
          <w:rFonts w:ascii="Arial" w:cs="Arial" w:eastAsia="Arial" w:hAnsi="Arial"/>
          <w:sz w:val="11"/>
          <w:szCs w:val="11"/>
          <w:color w:val="auto"/>
        </w:rPr>
        <w:t>During the period in which Mr. Penn was the Chief Operating Officer, Apollo Investment Corporation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provides for borrowings up to $2.0 billion. During Mr. Penn’s tenure with Apollo Investment Corporation, it invested approximately $2.8 billion in 73 companies in partnership with 54 different financial sponsors.</w:t>
      </w:r>
    </w:p>
    <w:p>
      <w:pPr>
        <w:spacing w:after="0" w:line="77" w:lineRule="exact"/>
        <w:rPr>
          <w:sz w:val="20"/>
          <w:szCs w:val="20"/>
          <w:color w:val="auto"/>
        </w:rPr>
      </w:pPr>
    </w:p>
    <w:p>
      <w:pPr>
        <w:ind w:firstLine="452"/>
        <w:spacing w:after="0" w:line="256" w:lineRule="auto"/>
        <w:rPr>
          <w:sz w:val="20"/>
          <w:szCs w:val="20"/>
          <w:color w:val="auto"/>
        </w:rPr>
      </w:pPr>
      <w:r>
        <w:rPr>
          <w:rFonts w:ascii="Arial" w:cs="Arial" w:eastAsia="Arial" w:hAnsi="Arial"/>
          <w:sz w:val="12"/>
          <w:szCs w:val="12"/>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95" w:lineRule="exact"/>
        <w:rPr>
          <w:sz w:val="20"/>
          <w:szCs w:val="20"/>
          <w:color w:val="auto"/>
        </w:rPr>
      </w:pPr>
    </w:p>
    <w:p>
      <w:pPr>
        <w:ind w:firstLine="452"/>
        <w:spacing w:after="0" w:line="268" w:lineRule="auto"/>
        <w:rPr>
          <w:sz w:val="20"/>
          <w:szCs w:val="20"/>
          <w:color w:val="auto"/>
        </w:rPr>
      </w:pPr>
      <w:r>
        <w:rPr>
          <w:rFonts w:ascii="Arial" w:cs="Arial" w:eastAsia="Arial" w:hAnsi="Arial"/>
          <w:sz w:val="12"/>
          <w:szCs w:val="12"/>
          <w:color w:val="auto"/>
        </w:rPr>
        <w:t>Over his 21-year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88" w:lineRule="exact"/>
        <w:rPr>
          <w:sz w:val="20"/>
          <w:szCs w:val="20"/>
          <w:color w:val="auto"/>
        </w:rPr>
      </w:pPr>
    </w:p>
    <w:p>
      <w:pPr>
        <w:ind w:right="20" w:firstLine="452"/>
        <w:spacing w:after="0" w:line="359" w:lineRule="auto"/>
        <w:rPr>
          <w:sz w:val="20"/>
          <w:szCs w:val="20"/>
          <w:color w:val="auto"/>
        </w:rPr>
      </w:pPr>
      <w:r>
        <w:rPr>
          <w:rFonts w:ascii="Arial" w:cs="Arial" w:eastAsia="Arial" w:hAnsi="Arial"/>
          <w:sz w:val="9"/>
          <w:szCs w:val="9"/>
          <w:color w:val="auto"/>
        </w:rPr>
        <w:t>Our Investment Adviser has three experienced investment professionals, in addition to Mr. Penn, who are also partners. These professionals, Geoffrey Chang, Salvatore Giannetti III and Whit Williams, have a combined 44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 Groups from March 2000 to November 2001. Mr. Williams was an officer at UBS Investment Bank from 1996 to March 2007, most recently as a Managing Director in its Leveraged Finance and Financial Sponsors Group. They are supported by a team of employees, including three investment professionals who have experience in middle-market investing, leveraged finance and capital markets.</w:t>
      </w:r>
    </w:p>
    <w:p>
      <w:pPr>
        <w:spacing w:after="0" w:line="54" w:lineRule="exact"/>
        <w:rPr>
          <w:sz w:val="20"/>
          <w:szCs w:val="20"/>
          <w:color w:val="auto"/>
        </w:rPr>
      </w:pPr>
    </w:p>
    <w:p>
      <w:pPr>
        <w:ind w:right="80" w:firstLine="452"/>
        <w:spacing w:after="0" w:line="259" w:lineRule="auto"/>
        <w:rPr>
          <w:sz w:val="20"/>
          <w:szCs w:val="20"/>
          <w:color w:val="auto"/>
        </w:rPr>
      </w:pPr>
      <w:r>
        <w:rPr>
          <w:rFonts w:ascii="Arial" w:cs="Arial" w:eastAsia="Arial" w:hAnsi="Arial"/>
          <w:sz w:val="12"/>
          <w:szCs w:val="12"/>
          <w:color w:val="auto"/>
        </w:rPr>
        <w:t>Aviv Efrat serves as our Chief Financial Officer and Treasurer. Mr. Efrat, who is also a Managing Director of the Administrator, has extensive experience in finance, operations, and administration of registered investment companies, having served for a decade as a Director at BlackRock, Inc., a leading investment firm. Matthew Hardin, who serves as our Chief Compliance Officer, has over 20 years of regulatory compliance and securities law experience in the financial services industry, having served as Corporate and General Counsel with various organizations and as an enforcement attorney with the SEC.</w:t>
      </w:r>
    </w:p>
    <w:p>
      <w:pPr>
        <w:spacing w:after="0" w:line="93" w:lineRule="exact"/>
        <w:rPr>
          <w:sz w:val="20"/>
          <w:szCs w:val="20"/>
          <w:color w:val="auto"/>
        </w:rPr>
      </w:pPr>
    </w:p>
    <w:p>
      <w:pPr>
        <w:ind w:right="60" w:firstLine="452"/>
        <w:spacing w:after="0" w:line="314" w:lineRule="auto"/>
        <w:rPr>
          <w:sz w:val="20"/>
          <w:szCs w:val="20"/>
          <w:color w:val="auto"/>
        </w:rPr>
      </w:pPr>
      <w:r>
        <w:rPr>
          <w:rFonts w:ascii="Arial" w:cs="Arial" w:eastAsia="Arial" w:hAnsi="Arial"/>
          <w:sz w:val="11"/>
          <w:szCs w:val="11"/>
          <w:color w:val="auto"/>
        </w:rPr>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40"/>
          </w:cols>
          <w:pgMar w:left="300" w:top="354" w:right="359"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480"/>
        <w:spacing w:after="0" w:line="268" w:lineRule="auto"/>
        <w:rPr>
          <w:sz w:val="20"/>
          <w:szCs w:val="20"/>
          <w:color w:val="auto"/>
        </w:rPr>
      </w:pPr>
      <w:r>
        <w:rPr>
          <w:rFonts w:ascii="Arial" w:cs="Arial" w:eastAsia="Arial" w:hAnsi="Arial"/>
          <w:sz w:val="12"/>
          <w:szCs w:val="12"/>
          <w:color w:val="auto"/>
        </w:rPr>
        <w:t>performance of administrative and professional services rendered to us by others. Furthermore, our Administrator provides, on our behalf, managerial assistance to those portfolio companies to which we are required to provide such assistance. See “Risk Factors-Risks Related to our Business and Structure”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OPPORTUNITY</w:t>
      </w:r>
    </w:p>
    <w:p>
      <w:pPr>
        <w:spacing w:after="0" w:line="62" w:lineRule="exact"/>
        <w:rPr>
          <w:sz w:val="20"/>
          <w:szCs w:val="20"/>
          <w:color w:val="auto"/>
        </w:rPr>
      </w:pPr>
    </w:p>
    <w:p>
      <w:pPr>
        <w:ind w:right="120" w:firstLine="452"/>
        <w:spacing w:after="0" w:line="259" w:lineRule="auto"/>
        <w:rPr>
          <w:sz w:val="20"/>
          <w:szCs w:val="20"/>
          <w:color w:val="auto"/>
        </w:rPr>
      </w:pPr>
      <w:r>
        <w:rPr>
          <w:rFonts w:ascii="Arial" w:cs="Arial" w:eastAsia="Arial" w:hAnsi="Arial"/>
          <w:sz w:val="12"/>
          <w:szCs w:val="12"/>
          <w:color w:val="auto"/>
        </w:rPr>
        <w:t>We believe there is a large pool of un-invested private equity capital likely to seek mezzanine capital to support private investments. We believe that, when proposing a private investment, private equity funds generally seek to package their equity investments together with senior secured loans and/or mezzanine debt, which should provide opportunities for us to partner with such funds. We believe that this opportunity may be complemented by a reduction in the amount of debt capital available for lending in leveraged buyout transactions since the downturn in the credit markets in the summer months of 2007.</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COMPETITIVE ADVANTAGES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believe that we have the following competitive advantages over other capital providers in middle-market companies: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Disciplined Investment Approach with Strong Value Orientation</w:t>
      </w:r>
    </w:p>
    <w:p>
      <w:pPr>
        <w:spacing w:after="0" w:line="62" w:lineRule="exact"/>
        <w:rPr>
          <w:sz w:val="20"/>
          <w:szCs w:val="20"/>
          <w:color w:val="auto"/>
        </w:rPr>
      </w:pPr>
    </w:p>
    <w:p>
      <w:pPr>
        <w:ind w:firstLine="452"/>
        <w:spacing w:after="0" w:line="293" w:lineRule="auto"/>
        <w:rPr>
          <w:sz w:val="20"/>
          <w:szCs w:val="20"/>
          <w:color w:val="auto"/>
        </w:rPr>
      </w:pPr>
      <w:r>
        <w:rPr>
          <w:rFonts w:ascii="Arial" w:cs="Arial" w:eastAsia="Arial" w:hAnsi="Arial"/>
          <w:sz w:val="11"/>
          <w:szCs w:val="11"/>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do not intend to pursue short-term origination targets. We believe our approach will enable us to build an attractive investment portfolio that meets our return and value criteria over the long-term.</w:t>
      </w:r>
    </w:p>
    <w:p>
      <w:pPr>
        <w:spacing w:after="0" w:line="77" w:lineRule="exact"/>
        <w:rPr>
          <w:sz w:val="20"/>
          <w:szCs w:val="20"/>
          <w:color w:val="auto"/>
        </w:rPr>
      </w:pPr>
    </w:p>
    <w:p>
      <w:pPr>
        <w:jc w:val="both"/>
        <w:ind w:right="420" w:firstLine="452"/>
        <w:spacing w:after="0" w:line="259" w:lineRule="auto"/>
        <w:rPr>
          <w:sz w:val="20"/>
          <w:szCs w:val="20"/>
          <w:color w:val="auto"/>
        </w:rPr>
      </w:pPr>
      <w:r>
        <w:rPr>
          <w:rFonts w:ascii="Arial" w:cs="Arial" w:eastAsia="Arial" w:hAnsi="Arial"/>
          <w:sz w:val="12"/>
          <w:szCs w:val="12"/>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“Business-Investment Process-Investment Selection” and “Business-Investment Process-Due Diligence.”</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Ability to Source and Evaluate Transactions through our Investment Adviser’s Research Capability and Established Network</w:t>
      </w:r>
    </w:p>
    <w:p>
      <w:pPr>
        <w:spacing w:after="0" w:line="62" w:lineRule="exact"/>
        <w:rPr>
          <w:sz w:val="20"/>
          <w:szCs w:val="20"/>
          <w:color w:val="auto"/>
        </w:rPr>
      </w:pPr>
    </w:p>
    <w:p>
      <w:pPr>
        <w:ind w:right="40" w:firstLine="452"/>
        <w:spacing w:after="0" w:line="259" w:lineRule="auto"/>
        <w:rPr>
          <w:sz w:val="20"/>
          <w:szCs w:val="20"/>
          <w:color w:val="auto"/>
        </w:rPr>
      </w:pPr>
      <w:r>
        <w:rPr>
          <w:rFonts w:ascii="Arial" w:cs="Arial" w:eastAsia="Arial" w:hAnsi="Arial"/>
          <w:sz w:val="12"/>
          <w:szCs w:val="12"/>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Flexible Transaction Structuring</w:t>
      </w:r>
    </w:p>
    <w:p>
      <w:pPr>
        <w:spacing w:after="0" w:line="62" w:lineRule="exact"/>
        <w:rPr>
          <w:sz w:val="20"/>
          <w:szCs w:val="20"/>
          <w:color w:val="auto"/>
        </w:rPr>
      </w:pPr>
    </w:p>
    <w:p>
      <w:pPr>
        <w:ind w:right="300" w:firstLine="452"/>
        <w:spacing w:after="0" w:line="268" w:lineRule="auto"/>
        <w:rPr>
          <w:sz w:val="20"/>
          <w:szCs w:val="20"/>
          <w:color w:val="auto"/>
        </w:rPr>
      </w:pPr>
      <w:r>
        <w:rPr>
          <w:rFonts w:ascii="Arial" w:cs="Arial" w:eastAsia="Arial" w:hAnsi="Arial"/>
          <w:sz w:val="12"/>
          <w:szCs w:val="12"/>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88" w:lineRule="exact"/>
        <w:rPr>
          <w:sz w:val="20"/>
          <w:szCs w:val="20"/>
          <w:color w:val="auto"/>
        </w:rPr>
      </w:pPr>
    </w:p>
    <w:p>
      <w:pPr>
        <w:ind w:right="220" w:firstLine="452"/>
        <w:spacing w:after="0" w:line="268" w:lineRule="auto"/>
        <w:rPr>
          <w:sz w:val="20"/>
          <w:szCs w:val="20"/>
          <w:color w:val="auto"/>
        </w:rPr>
      </w:pPr>
      <w:r>
        <w:rPr>
          <w:rFonts w:ascii="Arial" w:cs="Arial" w:eastAsia="Arial" w:hAnsi="Arial"/>
          <w:sz w:val="12"/>
          <w:szCs w:val="12"/>
          <w:color w:val="auto"/>
        </w:rPr>
        <w:t>We expect that the in-depth coverage and experience of Mr. Penn, as well as that of the other investment professionals of our Investment Adviser, will enable us to invest throughout various stages of the economic cycle and will provide us with ongoing market insights in addition to a significant investment sourcing engine.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80"/>
          </w:cols>
          <w:pgMar w:left="300" w:top="354" w:right="319" w:bottom="1440" w:gutter="0" w:footer="0" w:header="0"/>
        </w:sectPr>
      </w:pPr>
    </w:p>
    <w:bookmarkStart w:id="6" w:name="page7"/>
    <w:bookmarkEnd w:id="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Longer Investment Horizon with Attractive Publicly Traded Model</w:t>
      </w:r>
    </w:p>
    <w:p>
      <w:pPr>
        <w:spacing w:after="0" w:line="62" w:lineRule="exact"/>
        <w:rPr>
          <w:sz w:val="20"/>
          <w:szCs w:val="20"/>
          <w:color w:val="auto"/>
        </w:rPr>
      </w:pPr>
    </w:p>
    <w:p>
      <w:pPr>
        <w:ind w:right="20" w:firstLine="452"/>
        <w:spacing w:after="0" w:line="293" w:lineRule="auto"/>
        <w:rPr>
          <w:sz w:val="20"/>
          <w:szCs w:val="20"/>
          <w:color w:val="auto"/>
        </w:rPr>
      </w:pPr>
      <w:r>
        <w:rPr>
          <w:rFonts w:ascii="Arial" w:cs="Arial" w:eastAsia="Arial" w:hAnsi="Arial"/>
          <w:sz w:val="11"/>
          <w:szCs w:val="11"/>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62" w:lineRule="exact"/>
        <w:rPr>
          <w:sz w:val="20"/>
          <w:szCs w:val="20"/>
          <w:color w:val="auto"/>
        </w:rPr>
      </w:pPr>
    </w:p>
    <w:p>
      <w:pPr>
        <w:ind w:right="100" w:firstLine="452"/>
        <w:spacing w:after="0" w:line="368" w:lineRule="auto"/>
        <w:rPr>
          <w:sz w:val="20"/>
          <w:szCs w:val="20"/>
          <w:color w:val="auto"/>
        </w:rPr>
      </w:pPr>
      <w:r>
        <w:rPr>
          <w:rFonts w:ascii="Arial" w:cs="Arial" w:eastAsia="Arial" w:hAnsi="Arial"/>
          <w:sz w:val="9"/>
          <w:szCs w:val="9"/>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investments in middle-market companies. As a result of these new entrants, competition for investment opportunities at middle-market companies has intensified. However, we believe that there has been a reduction in the amount of debt capital available for lending in leveraged buyout transactions since the downturn in the credit markets in the summer months of 2007. This has resulted in a less competitive environment.</w:t>
      </w:r>
    </w:p>
    <w:p>
      <w:pPr>
        <w:spacing w:after="0" w:line="49" w:lineRule="exact"/>
        <w:rPr>
          <w:sz w:val="20"/>
          <w:szCs w:val="20"/>
          <w:color w:val="auto"/>
        </w:rPr>
      </w:pPr>
    </w:p>
    <w:p>
      <w:pPr>
        <w:jc w:val="both"/>
        <w:ind w:right="160" w:firstLine="452"/>
        <w:spacing w:after="0" w:line="293" w:lineRule="auto"/>
        <w:rPr>
          <w:sz w:val="20"/>
          <w:szCs w:val="20"/>
          <w:color w:val="auto"/>
        </w:rPr>
      </w:pPr>
      <w:r>
        <w:rPr>
          <w:rFonts w:ascii="Arial" w:cs="Arial" w:eastAsia="Arial" w:hAnsi="Arial"/>
          <w:sz w:val="11"/>
          <w:szCs w:val="11"/>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77" w:lineRule="exact"/>
        <w:rPr>
          <w:sz w:val="20"/>
          <w:szCs w:val="20"/>
          <w:color w:val="auto"/>
        </w:rPr>
      </w:pPr>
    </w:p>
    <w:p>
      <w:pPr>
        <w:ind w:firstLine="452"/>
        <w:spacing w:after="0" w:line="385" w:lineRule="auto"/>
        <w:rPr>
          <w:sz w:val="20"/>
          <w:szCs w:val="20"/>
          <w:color w:val="auto"/>
        </w:rPr>
      </w:pPr>
      <w:r>
        <w:rPr>
          <w:rFonts w:ascii="Arial" w:cs="Arial" w:eastAsia="Arial" w:hAnsi="Arial"/>
          <w:sz w:val="9"/>
          <w:szCs w:val="9"/>
          <w:color w:val="auto"/>
        </w:rPr>
        <w:t>We use the industry information available to our Investment Adviser to assess investment risks and determine appropriate pricing for our investments in portfolio companies. We benefit from the relationships of Messrs. Penn, Chang, Giannetti and Williams, and other of our senior investment professionals retained by our Investment Adviser, who enable us to learn about, and compete effectively for, financing opportunities with attractive middle-market companies in the industries in which we invest. For additional information concerning the competitive risks we face, see “Risk Factors-Risks relating to our business and structure-We operate in a highly competitive market for investment opportunities.”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PROCESS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Overview</w:t>
      </w:r>
    </w:p>
    <w:p>
      <w:pPr>
        <w:spacing w:after="0" w:line="62" w:lineRule="exact"/>
        <w:rPr>
          <w:sz w:val="20"/>
          <w:szCs w:val="20"/>
          <w:color w:val="auto"/>
        </w:rPr>
      </w:pPr>
    </w:p>
    <w:p>
      <w:pPr>
        <w:ind w:right="100" w:firstLine="452"/>
        <w:spacing w:after="0" w:line="256" w:lineRule="auto"/>
        <w:rPr>
          <w:sz w:val="20"/>
          <w:szCs w:val="20"/>
          <w:color w:val="auto"/>
        </w:rPr>
      </w:pPr>
      <w:r>
        <w:rPr>
          <w:rFonts w:ascii="Arial" w:cs="Arial" w:eastAsia="Arial" w:hAnsi="Arial"/>
          <w:sz w:val="12"/>
          <w:szCs w:val="12"/>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95" w:lineRule="exact"/>
        <w:rPr>
          <w:sz w:val="20"/>
          <w:szCs w:val="20"/>
          <w:color w:val="auto"/>
        </w:rPr>
      </w:pPr>
    </w:p>
    <w:p>
      <w:pPr>
        <w:jc w:val="both"/>
        <w:ind w:right="260" w:firstLine="452"/>
        <w:spacing w:after="0" w:line="259" w:lineRule="auto"/>
        <w:rPr>
          <w:sz w:val="20"/>
          <w:szCs w:val="20"/>
          <w:color w:val="auto"/>
        </w:rPr>
      </w:pPr>
      <w:r>
        <w:rPr>
          <w:rFonts w:ascii="Arial" w:cs="Arial" w:eastAsia="Arial" w:hAnsi="Arial"/>
          <w:sz w:val="12"/>
          <w:szCs w:val="12"/>
          <w:color w:val="auto"/>
        </w:rPr>
        <w:t>Over time, we expect that our portfolio will continue to consist of mezzanine debt, senior secured loans and, to a lesser extent, equity investments. In addition to mezzanine debt and equity investments in private or thinly traded public middle-market U.S. companies, we may invest up to 30% of our portfolio in opportunistic investments. These investments may include investments in public companies whose securities are not thinly traded, securities of middle-market companies located outside of the U.S. and investment companies as defined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354" w:right="299" w:bottom="1440" w:gutter="0" w:footer="0" w:header="0"/>
        </w:sectPr>
      </w:pPr>
    </w:p>
    <w:bookmarkStart w:id="7" w:name="page8"/>
    <w:bookmarkEnd w:id="7"/>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left="8" w:right="120"/>
        <w:spacing w:after="0" w:line="268" w:lineRule="auto"/>
        <w:rPr>
          <w:sz w:val="20"/>
          <w:szCs w:val="20"/>
          <w:color w:val="auto"/>
        </w:rPr>
      </w:pPr>
      <w:r>
        <w:rPr>
          <w:rFonts w:ascii="Arial" w:cs="Arial" w:eastAsia="Arial" w:hAnsi="Arial"/>
          <w:sz w:val="12"/>
          <w:szCs w:val="12"/>
          <w:color w:val="auto"/>
        </w:rPr>
        <w:t>in the Investment Company Act of 1940. We expect that these companies will generally issue debt securities that are not investment grade. Moreover, we may acquire investments in the secondary market. In analyzing such investments, we will employ the same analytical process as we use for our primary investments.</w:t>
      </w:r>
    </w:p>
    <w:p>
      <w:pPr>
        <w:spacing w:after="0" w:line="88" w:lineRule="exact"/>
        <w:rPr>
          <w:sz w:val="20"/>
          <w:szCs w:val="20"/>
          <w:color w:val="auto"/>
        </w:rPr>
      </w:pPr>
    </w:p>
    <w:p>
      <w:pPr>
        <w:ind w:left="8" w:right="60" w:firstLine="452"/>
        <w:spacing w:after="0" w:line="259" w:lineRule="auto"/>
        <w:rPr>
          <w:sz w:val="20"/>
          <w:szCs w:val="20"/>
          <w:color w:val="auto"/>
        </w:rPr>
      </w:pPr>
      <w:r>
        <w:rPr>
          <w:rFonts w:ascii="Arial" w:cs="Arial" w:eastAsia="Arial" w:hAnsi="Arial"/>
          <w:sz w:val="12"/>
          <w:szCs w:val="12"/>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“Business-Investment Process-Investment selection.”</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Mezzanine Debt</w:t>
      </w:r>
    </w:p>
    <w:p>
      <w:pPr>
        <w:spacing w:after="0" w:line="62" w:lineRule="exact"/>
        <w:rPr>
          <w:sz w:val="20"/>
          <w:szCs w:val="20"/>
          <w:color w:val="auto"/>
        </w:rPr>
      </w:pPr>
    </w:p>
    <w:p>
      <w:pPr>
        <w:ind w:left="8" w:firstLine="452"/>
        <w:spacing w:after="0" w:line="287" w:lineRule="auto"/>
        <w:rPr>
          <w:sz w:val="20"/>
          <w:szCs w:val="20"/>
          <w:color w:val="auto"/>
        </w:rPr>
      </w:pPr>
      <w:r>
        <w:rPr>
          <w:rFonts w:ascii="Arial" w:cs="Arial" w:eastAsia="Arial" w:hAnsi="Arial"/>
          <w:sz w:val="11"/>
          <w:szCs w:val="11"/>
          <w:color w:val="auto"/>
        </w:rPr>
        <w:t>Structurally, mezzanine debt (which includes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Our Portfolio</w:t>
      </w:r>
    </w:p>
    <w:p>
      <w:pPr>
        <w:spacing w:after="0" w:line="62" w:lineRule="exact"/>
        <w:rPr>
          <w:sz w:val="20"/>
          <w:szCs w:val="20"/>
          <w:color w:val="auto"/>
        </w:rPr>
      </w:pPr>
    </w:p>
    <w:p>
      <w:pPr>
        <w:ind w:left="8" w:right="460" w:firstLine="452"/>
        <w:spacing w:after="0" w:line="314" w:lineRule="auto"/>
        <w:rPr>
          <w:sz w:val="20"/>
          <w:szCs w:val="20"/>
          <w:color w:val="auto"/>
        </w:rPr>
      </w:pPr>
      <w:r>
        <w:rPr>
          <w:rFonts w:ascii="Arial" w:cs="Arial" w:eastAsia="Arial" w:hAnsi="Arial"/>
          <w:sz w:val="11"/>
          <w:szCs w:val="11"/>
          <w:color w:val="auto"/>
        </w:rPr>
        <w:t>Our principal investment focus is to provide mezzanine debt and senior secured loans to U.S. middle-market companies in a variety of industries. We generally seek to target companies that generate positive cash flows. We generally seek to invest in companies from the broad variety of industries in which our Investment Adviser has direct expertise. The following is a representative list of the industries in which we have invested:</w:t>
      </w:r>
    </w:p>
    <w:p>
      <w:pPr>
        <w:spacing w:after="0" w:line="92"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740" w:type="dxa"/>
            <w:vAlign w:val="bottom"/>
          </w:tcPr>
          <w:p>
            <w:pPr>
              <w:ind w:left="120"/>
              <w:spacing w:after="0"/>
              <w:rPr>
                <w:sz w:val="20"/>
                <w:szCs w:val="20"/>
                <w:color w:val="auto"/>
              </w:rPr>
            </w:pPr>
            <w:r>
              <w:rPr>
                <w:rFonts w:ascii="Arial" w:cs="Arial" w:eastAsia="Arial" w:hAnsi="Arial"/>
                <w:sz w:val="12"/>
                <w:szCs w:val="12"/>
                <w:color w:val="auto"/>
              </w:rPr>
              <w:t>Aerospace/Defense</w:t>
            </w:r>
          </w:p>
        </w:tc>
        <w:tc>
          <w:tcPr>
            <w:tcW w:w="2260" w:type="dxa"/>
            <w:vAlign w:val="bottom"/>
          </w:tcPr>
          <w:p>
            <w:pPr>
              <w:ind w:left="2100"/>
              <w:spacing w:after="0"/>
              <w:rPr>
                <w:sz w:val="20"/>
                <w:szCs w:val="20"/>
                <w:color w:val="auto"/>
              </w:rPr>
            </w:pPr>
            <w:r>
              <w:rPr>
                <w:rFonts w:ascii="Arial" w:cs="Arial" w:eastAsia="Arial" w:hAnsi="Arial"/>
                <w:sz w:val="12"/>
                <w:szCs w:val="12"/>
                <w:color w:val="auto"/>
              </w:rPr>
              <w:t>•</w:t>
            </w:r>
          </w:p>
        </w:tc>
        <w:tc>
          <w:tcPr>
            <w:tcW w:w="3440" w:type="dxa"/>
            <w:vAlign w:val="bottom"/>
          </w:tcPr>
          <w:p>
            <w:pPr>
              <w:ind w:left="120"/>
              <w:spacing w:after="0"/>
              <w:rPr>
                <w:sz w:val="20"/>
                <w:szCs w:val="20"/>
                <w:color w:val="auto"/>
              </w:rPr>
            </w:pPr>
            <w:r>
              <w:rPr>
                <w:rFonts w:ascii="Arial" w:cs="Arial" w:eastAsia="Arial" w:hAnsi="Arial"/>
                <w:sz w:val="12"/>
                <w:szCs w:val="12"/>
                <w:color w:val="auto"/>
                <w:w w:val="88"/>
              </w:rPr>
              <w:t>Home &amp; Office Furnishings, Housewares, Durable Consumer Products</w:t>
            </w:r>
          </w:p>
        </w:tc>
      </w:tr>
      <w:tr>
        <w:trPr>
          <w:trHeight w:val="198"/>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740" w:type="dxa"/>
            <w:vAlign w:val="bottom"/>
          </w:tcPr>
          <w:p>
            <w:pPr>
              <w:ind w:left="120"/>
              <w:spacing w:after="0"/>
              <w:rPr>
                <w:sz w:val="20"/>
                <w:szCs w:val="20"/>
                <w:color w:val="auto"/>
              </w:rPr>
            </w:pPr>
            <w:r>
              <w:rPr>
                <w:rFonts w:ascii="Arial" w:cs="Arial" w:eastAsia="Arial" w:hAnsi="Arial"/>
                <w:sz w:val="12"/>
                <w:szCs w:val="12"/>
                <w:color w:val="auto"/>
              </w:rPr>
              <w:t>Broadcasting &amp; Entertainment</w:t>
            </w:r>
          </w:p>
        </w:tc>
        <w:tc>
          <w:tcPr>
            <w:tcW w:w="2260" w:type="dxa"/>
            <w:vAlign w:val="bottom"/>
          </w:tcPr>
          <w:p>
            <w:pPr>
              <w:ind w:left="2100"/>
              <w:spacing w:after="0"/>
              <w:rPr>
                <w:sz w:val="20"/>
                <w:szCs w:val="20"/>
                <w:color w:val="auto"/>
              </w:rPr>
            </w:pPr>
            <w:r>
              <w:rPr>
                <w:rFonts w:ascii="Arial" w:cs="Arial" w:eastAsia="Arial" w:hAnsi="Arial"/>
                <w:sz w:val="12"/>
                <w:szCs w:val="12"/>
                <w:color w:val="auto"/>
              </w:rPr>
              <w:t>•</w:t>
            </w:r>
          </w:p>
        </w:tc>
        <w:tc>
          <w:tcPr>
            <w:tcW w:w="3440" w:type="dxa"/>
            <w:vAlign w:val="bottom"/>
          </w:tcPr>
          <w:p>
            <w:pPr>
              <w:ind w:left="120"/>
              <w:spacing w:after="0"/>
              <w:rPr>
                <w:sz w:val="20"/>
                <w:szCs w:val="20"/>
                <w:color w:val="auto"/>
              </w:rPr>
            </w:pPr>
            <w:r>
              <w:rPr>
                <w:rFonts w:ascii="Arial" w:cs="Arial" w:eastAsia="Arial" w:hAnsi="Arial"/>
                <w:sz w:val="12"/>
                <w:szCs w:val="12"/>
                <w:color w:val="auto"/>
              </w:rPr>
              <w:t>Leisure, Amusement, Motion Pictures, Entertainment</w:t>
            </w:r>
          </w:p>
        </w:tc>
      </w:tr>
      <w:tr>
        <w:trPr>
          <w:trHeight w:val="198"/>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740" w:type="dxa"/>
            <w:vAlign w:val="bottom"/>
          </w:tcPr>
          <w:p>
            <w:pPr>
              <w:ind w:left="120"/>
              <w:spacing w:after="0"/>
              <w:rPr>
                <w:sz w:val="20"/>
                <w:szCs w:val="20"/>
                <w:color w:val="auto"/>
              </w:rPr>
            </w:pPr>
            <w:r>
              <w:rPr>
                <w:rFonts w:ascii="Arial" w:cs="Arial" w:eastAsia="Arial" w:hAnsi="Arial"/>
                <w:sz w:val="12"/>
                <w:szCs w:val="12"/>
                <w:color w:val="auto"/>
              </w:rPr>
              <w:t>Buildings &amp; Real Estate</w:t>
            </w:r>
          </w:p>
        </w:tc>
        <w:tc>
          <w:tcPr>
            <w:tcW w:w="2260" w:type="dxa"/>
            <w:vAlign w:val="bottom"/>
          </w:tcPr>
          <w:p>
            <w:pPr>
              <w:ind w:left="2100"/>
              <w:spacing w:after="0"/>
              <w:rPr>
                <w:sz w:val="20"/>
                <w:szCs w:val="20"/>
                <w:color w:val="auto"/>
              </w:rPr>
            </w:pPr>
            <w:r>
              <w:rPr>
                <w:rFonts w:ascii="Arial" w:cs="Arial" w:eastAsia="Arial" w:hAnsi="Arial"/>
                <w:sz w:val="12"/>
                <w:szCs w:val="12"/>
                <w:color w:val="auto"/>
              </w:rPr>
              <w:t>•</w:t>
            </w:r>
          </w:p>
        </w:tc>
        <w:tc>
          <w:tcPr>
            <w:tcW w:w="3440" w:type="dxa"/>
            <w:vAlign w:val="bottom"/>
          </w:tcPr>
          <w:p>
            <w:pPr>
              <w:ind w:left="120"/>
              <w:spacing w:after="0"/>
              <w:rPr>
                <w:sz w:val="20"/>
                <w:szCs w:val="20"/>
                <w:color w:val="auto"/>
              </w:rPr>
            </w:pPr>
            <w:r>
              <w:rPr>
                <w:rFonts w:ascii="Arial" w:cs="Arial" w:eastAsia="Arial" w:hAnsi="Arial"/>
                <w:sz w:val="12"/>
                <w:szCs w:val="12"/>
                <w:color w:val="auto"/>
              </w:rPr>
              <w:t>Manufacturing/Basic Industry</w:t>
            </w:r>
          </w:p>
        </w:tc>
      </w:tr>
      <w:tr>
        <w:trPr>
          <w:trHeight w:val="198"/>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740" w:type="dxa"/>
            <w:vAlign w:val="bottom"/>
          </w:tcPr>
          <w:p>
            <w:pPr>
              <w:ind w:left="120"/>
              <w:spacing w:after="0"/>
              <w:rPr>
                <w:sz w:val="20"/>
                <w:szCs w:val="20"/>
                <w:color w:val="auto"/>
              </w:rPr>
            </w:pPr>
            <w:r>
              <w:rPr>
                <w:rFonts w:ascii="Arial" w:cs="Arial" w:eastAsia="Arial" w:hAnsi="Arial"/>
                <w:sz w:val="12"/>
                <w:szCs w:val="12"/>
                <w:color w:val="auto"/>
              </w:rPr>
              <w:t>Business Services</w:t>
            </w:r>
          </w:p>
        </w:tc>
        <w:tc>
          <w:tcPr>
            <w:tcW w:w="2260" w:type="dxa"/>
            <w:vAlign w:val="bottom"/>
          </w:tcPr>
          <w:p>
            <w:pPr>
              <w:ind w:left="2100"/>
              <w:spacing w:after="0"/>
              <w:rPr>
                <w:sz w:val="20"/>
                <w:szCs w:val="20"/>
                <w:color w:val="auto"/>
              </w:rPr>
            </w:pPr>
            <w:r>
              <w:rPr>
                <w:rFonts w:ascii="Arial" w:cs="Arial" w:eastAsia="Arial" w:hAnsi="Arial"/>
                <w:sz w:val="12"/>
                <w:szCs w:val="12"/>
                <w:color w:val="auto"/>
              </w:rPr>
              <w:t>•</w:t>
            </w:r>
          </w:p>
        </w:tc>
        <w:tc>
          <w:tcPr>
            <w:tcW w:w="3440" w:type="dxa"/>
            <w:vAlign w:val="bottom"/>
          </w:tcPr>
          <w:p>
            <w:pPr>
              <w:ind w:left="120"/>
              <w:spacing w:after="0"/>
              <w:rPr>
                <w:sz w:val="20"/>
                <w:szCs w:val="20"/>
                <w:color w:val="auto"/>
              </w:rPr>
            </w:pPr>
            <w:r>
              <w:rPr>
                <w:rFonts w:ascii="Arial" w:cs="Arial" w:eastAsia="Arial" w:hAnsi="Arial"/>
                <w:sz w:val="12"/>
                <w:szCs w:val="12"/>
                <w:color w:val="auto"/>
              </w:rPr>
              <w:t>Media</w:t>
            </w:r>
          </w:p>
        </w:tc>
      </w:tr>
      <w:tr>
        <w:trPr>
          <w:trHeight w:val="198"/>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740" w:type="dxa"/>
            <w:vAlign w:val="bottom"/>
          </w:tcPr>
          <w:p>
            <w:pPr>
              <w:ind w:left="120"/>
              <w:spacing w:after="0"/>
              <w:rPr>
                <w:sz w:val="20"/>
                <w:szCs w:val="20"/>
                <w:color w:val="auto"/>
              </w:rPr>
            </w:pPr>
            <w:r>
              <w:rPr>
                <w:rFonts w:ascii="Arial" w:cs="Arial" w:eastAsia="Arial" w:hAnsi="Arial"/>
                <w:sz w:val="12"/>
                <w:szCs w:val="12"/>
                <w:color w:val="auto"/>
              </w:rPr>
              <w:t>Cable TV</w:t>
            </w:r>
          </w:p>
        </w:tc>
        <w:tc>
          <w:tcPr>
            <w:tcW w:w="2260" w:type="dxa"/>
            <w:vAlign w:val="bottom"/>
          </w:tcPr>
          <w:p>
            <w:pPr>
              <w:ind w:left="2100"/>
              <w:spacing w:after="0"/>
              <w:rPr>
                <w:sz w:val="20"/>
                <w:szCs w:val="20"/>
                <w:color w:val="auto"/>
              </w:rPr>
            </w:pPr>
            <w:r>
              <w:rPr>
                <w:rFonts w:ascii="Arial" w:cs="Arial" w:eastAsia="Arial" w:hAnsi="Arial"/>
                <w:sz w:val="12"/>
                <w:szCs w:val="12"/>
                <w:color w:val="auto"/>
              </w:rPr>
              <w:t>•</w:t>
            </w:r>
          </w:p>
        </w:tc>
        <w:tc>
          <w:tcPr>
            <w:tcW w:w="3440" w:type="dxa"/>
            <w:vAlign w:val="bottom"/>
          </w:tcPr>
          <w:p>
            <w:pPr>
              <w:ind w:left="120"/>
              <w:spacing w:after="0"/>
              <w:rPr>
                <w:sz w:val="20"/>
                <w:szCs w:val="20"/>
                <w:color w:val="auto"/>
              </w:rPr>
            </w:pPr>
            <w:r>
              <w:rPr>
                <w:rFonts w:ascii="Arial" w:cs="Arial" w:eastAsia="Arial" w:hAnsi="Arial"/>
                <w:sz w:val="12"/>
                <w:szCs w:val="12"/>
                <w:color w:val="auto"/>
              </w:rPr>
              <w:t>Oil &amp; Gas</w:t>
            </w:r>
          </w:p>
        </w:tc>
      </w:tr>
      <w:tr>
        <w:trPr>
          <w:trHeight w:val="198"/>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740" w:type="dxa"/>
            <w:vAlign w:val="bottom"/>
          </w:tcPr>
          <w:p>
            <w:pPr>
              <w:ind w:left="120"/>
              <w:spacing w:after="0"/>
              <w:rPr>
                <w:sz w:val="20"/>
                <w:szCs w:val="20"/>
                <w:color w:val="auto"/>
              </w:rPr>
            </w:pPr>
            <w:r>
              <w:rPr>
                <w:rFonts w:ascii="Arial" w:cs="Arial" w:eastAsia="Arial" w:hAnsi="Arial"/>
                <w:sz w:val="12"/>
                <w:szCs w:val="12"/>
                <w:color w:val="auto"/>
              </w:rPr>
              <w:t>Cargo Transport</w:t>
            </w:r>
          </w:p>
        </w:tc>
        <w:tc>
          <w:tcPr>
            <w:tcW w:w="2260" w:type="dxa"/>
            <w:vAlign w:val="bottom"/>
          </w:tcPr>
          <w:p>
            <w:pPr>
              <w:ind w:left="2100"/>
              <w:spacing w:after="0"/>
              <w:rPr>
                <w:sz w:val="20"/>
                <w:szCs w:val="20"/>
                <w:color w:val="auto"/>
              </w:rPr>
            </w:pPr>
            <w:r>
              <w:rPr>
                <w:rFonts w:ascii="Arial" w:cs="Arial" w:eastAsia="Arial" w:hAnsi="Arial"/>
                <w:sz w:val="12"/>
                <w:szCs w:val="12"/>
                <w:color w:val="auto"/>
              </w:rPr>
              <w:t>•</w:t>
            </w:r>
          </w:p>
        </w:tc>
        <w:tc>
          <w:tcPr>
            <w:tcW w:w="3440" w:type="dxa"/>
            <w:vAlign w:val="bottom"/>
          </w:tcPr>
          <w:p>
            <w:pPr>
              <w:ind w:left="120"/>
              <w:spacing w:after="0"/>
              <w:rPr>
                <w:sz w:val="20"/>
                <w:szCs w:val="20"/>
                <w:color w:val="auto"/>
              </w:rPr>
            </w:pPr>
            <w:r>
              <w:rPr>
                <w:rFonts w:ascii="Arial" w:cs="Arial" w:eastAsia="Arial" w:hAnsi="Arial"/>
                <w:sz w:val="12"/>
                <w:szCs w:val="12"/>
                <w:color w:val="auto"/>
              </w:rPr>
              <w:t>Other Media</w:t>
            </w:r>
          </w:p>
        </w:tc>
      </w:tr>
      <w:tr>
        <w:trPr>
          <w:trHeight w:val="198"/>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740" w:type="dxa"/>
            <w:vAlign w:val="bottom"/>
          </w:tcPr>
          <w:p>
            <w:pPr>
              <w:ind w:left="120"/>
              <w:spacing w:after="0"/>
              <w:rPr>
                <w:sz w:val="20"/>
                <w:szCs w:val="20"/>
                <w:color w:val="auto"/>
              </w:rPr>
            </w:pPr>
            <w:r>
              <w:rPr>
                <w:rFonts w:ascii="Arial" w:cs="Arial" w:eastAsia="Arial" w:hAnsi="Arial"/>
                <w:sz w:val="12"/>
                <w:szCs w:val="12"/>
                <w:color w:val="auto"/>
              </w:rPr>
              <w:t>Chemical, Plastics, &amp; Rubber</w:t>
            </w:r>
          </w:p>
        </w:tc>
        <w:tc>
          <w:tcPr>
            <w:tcW w:w="2260" w:type="dxa"/>
            <w:vAlign w:val="bottom"/>
          </w:tcPr>
          <w:p>
            <w:pPr>
              <w:ind w:left="2100"/>
              <w:spacing w:after="0"/>
              <w:rPr>
                <w:sz w:val="20"/>
                <w:szCs w:val="20"/>
                <w:color w:val="auto"/>
              </w:rPr>
            </w:pPr>
            <w:r>
              <w:rPr>
                <w:rFonts w:ascii="Arial" w:cs="Arial" w:eastAsia="Arial" w:hAnsi="Arial"/>
                <w:sz w:val="12"/>
                <w:szCs w:val="12"/>
                <w:color w:val="auto"/>
              </w:rPr>
              <w:t>•</w:t>
            </w:r>
          </w:p>
        </w:tc>
        <w:tc>
          <w:tcPr>
            <w:tcW w:w="3440" w:type="dxa"/>
            <w:vAlign w:val="bottom"/>
          </w:tcPr>
          <w:p>
            <w:pPr>
              <w:ind w:left="120"/>
              <w:spacing w:after="0"/>
              <w:rPr>
                <w:sz w:val="20"/>
                <w:szCs w:val="20"/>
                <w:color w:val="auto"/>
              </w:rPr>
            </w:pPr>
            <w:r>
              <w:rPr>
                <w:rFonts w:ascii="Arial" w:cs="Arial" w:eastAsia="Arial" w:hAnsi="Arial"/>
                <w:sz w:val="12"/>
                <w:szCs w:val="12"/>
                <w:color w:val="auto"/>
              </w:rPr>
              <w:t>Printing &amp; Publishing</w:t>
            </w:r>
          </w:p>
        </w:tc>
      </w:tr>
      <w:tr>
        <w:trPr>
          <w:trHeight w:val="198"/>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740" w:type="dxa"/>
            <w:vAlign w:val="bottom"/>
          </w:tcPr>
          <w:p>
            <w:pPr>
              <w:ind w:left="120"/>
              <w:spacing w:after="0"/>
              <w:rPr>
                <w:sz w:val="20"/>
                <w:szCs w:val="20"/>
                <w:color w:val="auto"/>
              </w:rPr>
            </w:pPr>
            <w:r>
              <w:rPr>
                <w:rFonts w:ascii="Arial" w:cs="Arial" w:eastAsia="Arial" w:hAnsi="Arial"/>
                <w:sz w:val="12"/>
                <w:szCs w:val="12"/>
                <w:color w:val="auto"/>
              </w:rPr>
              <w:t>Containers, Packaging, &amp; Glass</w:t>
            </w:r>
          </w:p>
        </w:tc>
        <w:tc>
          <w:tcPr>
            <w:tcW w:w="2260" w:type="dxa"/>
            <w:vAlign w:val="bottom"/>
          </w:tcPr>
          <w:p>
            <w:pPr>
              <w:ind w:left="2100"/>
              <w:spacing w:after="0"/>
              <w:rPr>
                <w:sz w:val="20"/>
                <w:szCs w:val="20"/>
                <w:color w:val="auto"/>
              </w:rPr>
            </w:pPr>
            <w:r>
              <w:rPr>
                <w:rFonts w:ascii="Arial" w:cs="Arial" w:eastAsia="Arial" w:hAnsi="Arial"/>
                <w:sz w:val="12"/>
                <w:szCs w:val="12"/>
                <w:color w:val="auto"/>
              </w:rPr>
              <w:t>•</w:t>
            </w:r>
          </w:p>
        </w:tc>
        <w:tc>
          <w:tcPr>
            <w:tcW w:w="3440" w:type="dxa"/>
            <w:vAlign w:val="bottom"/>
          </w:tcPr>
          <w:p>
            <w:pPr>
              <w:ind w:left="120"/>
              <w:spacing w:after="0"/>
              <w:rPr>
                <w:sz w:val="20"/>
                <w:szCs w:val="20"/>
                <w:color w:val="auto"/>
              </w:rPr>
            </w:pPr>
            <w:r>
              <w:rPr>
                <w:rFonts w:ascii="Arial" w:cs="Arial" w:eastAsia="Arial" w:hAnsi="Arial"/>
                <w:sz w:val="12"/>
                <w:szCs w:val="12"/>
                <w:color w:val="auto"/>
              </w:rPr>
              <w:t>Retail Store</w:t>
            </w:r>
          </w:p>
        </w:tc>
      </w:tr>
      <w:tr>
        <w:trPr>
          <w:trHeight w:val="198"/>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740" w:type="dxa"/>
            <w:vAlign w:val="bottom"/>
          </w:tcPr>
          <w:p>
            <w:pPr>
              <w:ind w:left="120"/>
              <w:spacing w:after="0"/>
              <w:rPr>
                <w:sz w:val="20"/>
                <w:szCs w:val="20"/>
                <w:color w:val="auto"/>
              </w:rPr>
            </w:pPr>
            <w:r>
              <w:rPr>
                <w:rFonts w:ascii="Arial" w:cs="Arial" w:eastAsia="Arial" w:hAnsi="Arial"/>
                <w:sz w:val="12"/>
                <w:szCs w:val="12"/>
                <w:color w:val="auto"/>
              </w:rPr>
              <w:t>Consumer Products</w:t>
            </w:r>
          </w:p>
        </w:tc>
        <w:tc>
          <w:tcPr>
            <w:tcW w:w="2260" w:type="dxa"/>
            <w:vAlign w:val="bottom"/>
          </w:tcPr>
          <w:p>
            <w:pPr>
              <w:ind w:left="2100"/>
              <w:spacing w:after="0"/>
              <w:rPr>
                <w:sz w:val="20"/>
                <w:szCs w:val="20"/>
                <w:color w:val="auto"/>
              </w:rPr>
            </w:pPr>
            <w:r>
              <w:rPr>
                <w:rFonts w:ascii="Arial" w:cs="Arial" w:eastAsia="Arial" w:hAnsi="Arial"/>
                <w:sz w:val="12"/>
                <w:szCs w:val="12"/>
                <w:color w:val="auto"/>
              </w:rPr>
              <w:t>•</w:t>
            </w:r>
          </w:p>
        </w:tc>
        <w:tc>
          <w:tcPr>
            <w:tcW w:w="3440" w:type="dxa"/>
            <w:vAlign w:val="bottom"/>
          </w:tcPr>
          <w:p>
            <w:pPr>
              <w:ind w:left="120"/>
              <w:spacing w:after="0"/>
              <w:rPr>
                <w:sz w:val="20"/>
                <w:szCs w:val="20"/>
                <w:color w:val="auto"/>
              </w:rPr>
            </w:pPr>
            <w:r>
              <w:rPr>
                <w:rFonts w:ascii="Arial" w:cs="Arial" w:eastAsia="Arial" w:hAnsi="Arial"/>
                <w:sz w:val="12"/>
                <w:szCs w:val="12"/>
                <w:color w:val="auto"/>
              </w:rPr>
              <w:t>Telecommunications</w:t>
            </w:r>
          </w:p>
        </w:tc>
      </w:tr>
      <w:tr>
        <w:trPr>
          <w:trHeight w:val="198"/>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740" w:type="dxa"/>
            <w:vAlign w:val="bottom"/>
          </w:tcPr>
          <w:p>
            <w:pPr>
              <w:ind w:left="120"/>
              <w:spacing w:after="0"/>
              <w:rPr>
                <w:sz w:val="20"/>
                <w:szCs w:val="20"/>
                <w:color w:val="auto"/>
              </w:rPr>
            </w:pPr>
            <w:r>
              <w:rPr>
                <w:rFonts w:ascii="Arial" w:cs="Arial" w:eastAsia="Arial" w:hAnsi="Arial"/>
                <w:sz w:val="12"/>
                <w:szCs w:val="12"/>
                <w:color w:val="auto"/>
              </w:rPr>
              <w:t>Education</w:t>
            </w:r>
          </w:p>
        </w:tc>
        <w:tc>
          <w:tcPr>
            <w:tcW w:w="2260" w:type="dxa"/>
            <w:vAlign w:val="bottom"/>
          </w:tcPr>
          <w:p>
            <w:pPr>
              <w:ind w:left="2100"/>
              <w:spacing w:after="0"/>
              <w:rPr>
                <w:sz w:val="20"/>
                <w:szCs w:val="20"/>
                <w:color w:val="auto"/>
              </w:rPr>
            </w:pPr>
            <w:r>
              <w:rPr>
                <w:rFonts w:ascii="Arial" w:cs="Arial" w:eastAsia="Arial" w:hAnsi="Arial"/>
                <w:sz w:val="12"/>
                <w:szCs w:val="12"/>
                <w:color w:val="auto"/>
              </w:rPr>
              <w:t>•</w:t>
            </w:r>
          </w:p>
        </w:tc>
        <w:tc>
          <w:tcPr>
            <w:tcW w:w="3440" w:type="dxa"/>
            <w:vAlign w:val="bottom"/>
          </w:tcPr>
          <w:p>
            <w:pPr>
              <w:ind w:left="120"/>
              <w:spacing w:after="0"/>
              <w:rPr>
                <w:sz w:val="20"/>
                <w:szCs w:val="20"/>
                <w:color w:val="auto"/>
              </w:rPr>
            </w:pPr>
            <w:r>
              <w:rPr>
                <w:rFonts w:ascii="Arial" w:cs="Arial" w:eastAsia="Arial" w:hAnsi="Arial"/>
                <w:sz w:val="12"/>
                <w:szCs w:val="12"/>
                <w:color w:val="auto"/>
              </w:rPr>
              <w:t>Transportation</w:t>
            </w:r>
          </w:p>
        </w:tc>
      </w:tr>
      <w:tr>
        <w:trPr>
          <w:trHeight w:val="198"/>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3740" w:type="dxa"/>
            <w:vAlign w:val="bottom"/>
          </w:tcPr>
          <w:p>
            <w:pPr>
              <w:ind w:left="120"/>
              <w:spacing w:after="0"/>
              <w:rPr>
                <w:sz w:val="20"/>
                <w:szCs w:val="20"/>
                <w:color w:val="auto"/>
              </w:rPr>
            </w:pPr>
            <w:r>
              <w:rPr>
                <w:rFonts w:ascii="Arial" w:cs="Arial" w:eastAsia="Arial" w:hAnsi="Arial"/>
                <w:sz w:val="12"/>
                <w:szCs w:val="12"/>
                <w:color w:val="auto"/>
              </w:rPr>
              <w:t>Energy/Utilities</w:t>
            </w:r>
          </w:p>
        </w:tc>
        <w:tc>
          <w:tcPr>
            <w:tcW w:w="2260" w:type="dxa"/>
            <w:vAlign w:val="bottom"/>
          </w:tcPr>
          <w:p>
            <w:pPr>
              <w:ind w:left="2100"/>
              <w:spacing w:after="0"/>
              <w:rPr>
                <w:sz w:val="20"/>
                <w:szCs w:val="20"/>
                <w:color w:val="auto"/>
              </w:rPr>
            </w:pPr>
            <w:r>
              <w:rPr>
                <w:rFonts w:ascii="Arial" w:cs="Arial" w:eastAsia="Arial" w:hAnsi="Arial"/>
                <w:sz w:val="12"/>
                <w:szCs w:val="12"/>
                <w:color w:val="auto"/>
              </w:rPr>
              <w:t>•</w:t>
            </w:r>
          </w:p>
        </w:tc>
        <w:tc>
          <w:tcPr>
            <w:tcW w:w="3440" w:type="dxa"/>
            <w:vAlign w:val="bottom"/>
          </w:tcPr>
          <w:p>
            <w:pPr>
              <w:ind w:left="120"/>
              <w:spacing w:after="0"/>
              <w:rPr>
                <w:sz w:val="20"/>
                <w:szCs w:val="20"/>
                <w:color w:val="auto"/>
              </w:rPr>
            </w:pPr>
            <w:r>
              <w:rPr>
                <w:rFonts w:ascii="Arial" w:cs="Arial" w:eastAsia="Arial" w:hAnsi="Arial"/>
                <w:sz w:val="12"/>
                <w:szCs w:val="12"/>
                <w:color w:val="auto"/>
              </w:rPr>
              <w:t>Utilities</w:t>
            </w:r>
          </w:p>
        </w:tc>
      </w:tr>
    </w:tbl>
    <w:p>
      <w:pPr>
        <w:spacing w:after="0" w:line="50" w:lineRule="exact"/>
        <w:rPr>
          <w:sz w:val="20"/>
          <w:szCs w:val="20"/>
          <w:color w:val="auto"/>
        </w:rPr>
      </w:pPr>
    </w:p>
    <w:p>
      <w:pPr>
        <w:ind w:left="268" w:hanging="268"/>
        <w:spacing w:after="0"/>
        <w:tabs>
          <w:tab w:leader="none" w:pos="268" w:val="left"/>
        </w:tabs>
        <w:numPr>
          <w:ilvl w:val="0"/>
          <w:numId w:val="3"/>
        </w:numPr>
        <w:rPr>
          <w:rFonts w:ascii="Arial" w:cs="Arial" w:eastAsia="Arial" w:hAnsi="Arial"/>
          <w:sz w:val="12"/>
          <w:szCs w:val="12"/>
          <w:color w:val="auto"/>
        </w:rPr>
      </w:pPr>
      <w:r>
        <w:rPr>
          <w:rFonts w:ascii="Arial" w:cs="Arial" w:eastAsia="Arial" w:hAnsi="Arial"/>
          <w:sz w:val="12"/>
          <w:szCs w:val="12"/>
          <w:color w:val="auto"/>
        </w:rPr>
        <w:t>Healthcare, Education &amp; Childcare</w:t>
      </w:r>
    </w:p>
    <w:p>
      <w:pPr>
        <w:spacing w:after="0" w:line="123" w:lineRule="exact"/>
        <w:rPr>
          <w:sz w:val="20"/>
          <w:szCs w:val="20"/>
          <w:color w:val="auto"/>
        </w:rPr>
      </w:pPr>
    </w:p>
    <w:p>
      <w:pPr>
        <w:ind w:left="448"/>
        <w:spacing w:after="0"/>
        <w:rPr>
          <w:sz w:val="20"/>
          <w:szCs w:val="20"/>
          <w:color w:val="auto"/>
        </w:rPr>
      </w:pPr>
      <w:r>
        <w:rPr>
          <w:rFonts w:ascii="Arial" w:cs="Arial" w:eastAsia="Arial" w:hAnsi="Arial"/>
          <w:sz w:val="12"/>
          <w:szCs w:val="12"/>
          <w:color w:val="auto"/>
        </w:rPr>
        <w:t>We may invest in other industries if we are presented with attractive opportunities.</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8"/>
          </w:cols>
          <w:pgMar w:left="292" w:top="354" w:right="299"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Listed below are our top ten portfolio companies and industries represented as percentage of portfolio assets (excluding cash equivalents) as of September 30, 2007:</w:t>
      </w:r>
    </w:p>
    <w:p>
      <w:pPr>
        <w:spacing w:after="0" w:line="138" w:lineRule="exact"/>
        <w:rPr>
          <w:sz w:val="20"/>
          <w:szCs w:val="20"/>
          <w:color w:val="auto"/>
        </w:rPr>
      </w:pPr>
    </w:p>
    <w:tbl>
      <w:tblPr>
        <w:tblLayout w:type="fixed"/>
        <w:tblInd w:w="900" w:type="dxa"/>
        <w:tblCellMar>
          <w:top w:w="0" w:type="dxa"/>
          <w:left w:w="0" w:type="dxa"/>
          <w:bottom w:w="0" w:type="dxa"/>
          <w:right w:w="0" w:type="dxa"/>
        </w:tblCellMar>
      </w:tblPr>
      <w:tr>
        <w:trPr>
          <w:trHeight w:val="108"/>
        </w:trPr>
        <w:tc>
          <w:tcPr>
            <w:tcW w:w="6000" w:type="dxa"/>
            <w:vAlign w:val="bottom"/>
            <w:gridSpan w:val="2"/>
          </w:tcPr>
          <w:p>
            <w:pPr>
              <w:spacing w:after="0"/>
              <w:rPr>
                <w:sz w:val="20"/>
                <w:szCs w:val="20"/>
                <w:color w:val="auto"/>
              </w:rPr>
            </w:pPr>
            <w:r>
              <w:rPr>
                <w:rFonts w:ascii="Arial" w:cs="Arial" w:eastAsia="Arial" w:hAnsi="Arial"/>
                <w:sz w:val="9"/>
                <w:szCs w:val="9"/>
                <w:b w:val="1"/>
                <w:bCs w:val="1"/>
                <w:color w:val="auto"/>
              </w:rPr>
              <w:t>Portfolio Company</w:t>
            </w:r>
          </w:p>
        </w:tc>
        <w:tc>
          <w:tcPr>
            <w:tcW w:w="3500" w:type="dxa"/>
            <w:vAlign w:val="bottom"/>
            <w:gridSpan w:val="3"/>
          </w:tcPr>
          <w:p>
            <w:pPr>
              <w:jc w:val="right"/>
              <w:ind w:right="100"/>
              <w:spacing w:after="0"/>
              <w:rPr>
                <w:sz w:val="20"/>
                <w:szCs w:val="20"/>
                <w:color w:val="auto"/>
              </w:rPr>
            </w:pPr>
            <w:r>
              <w:rPr>
                <w:rFonts w:ascii="Arial" w:cs="Arial" w:eastAsia="Arial" w:hAnsi="Arial"/>
                <w:sz w:val="9"/>
                <w:szCs w:val="9"/>
                <w:b w:val="1"/>
                <w:bCs w:val="1"/>
                <w:color w:val="auto"/>
              </w:rPr>
              <w:t>Percentage of Market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Realogy Corp.</w:t>
            </w:r>
          </w:p>
        </w:tc>
        <w:tc>
          <w:tcPr>
            <w:tcW w:w="2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Saint Acquisition Corp.</w:t>
            </w:r>
          </w:p>
        </w:tc>
        <w:tc>
          <w:tcPr>
            <w:tcW w:w="3500" w:type="dxa"/>
            <w:vAlign w:val="bottom"/>
            <w:gridSpan w:val="3"/>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Advanstar, Inc.</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Affinion Group Holding, Inc.</w:t>
            </w:r>
          </w:p>
        </w:tc>
        <w:tc>
          <w:tcPr>
            <w:tcW w:w="3500" w:type="dxa"/>
            <w:vAlign w:val="bottom"/>
            <w:gridSpan w:val="3"/>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Performance Holdings, Inc.</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Specialized Technology Resources, Inc.</w:t>
            </w:r>
          </w:p>
        </w:tc>
        <w:tc>
          <w:tcPr>
            <w:tcW w:w="3500" w:type="dxa"/>
            <w:vAlign w:val="bottom"/>
            <w:gridSpan w:val="3"/>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Charter Communications Operating, L.L.C.</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Questex Media Group, Inc.</w:t>
            </w:r>
          </w:p>
        </w:tc>
        <w:tc>
          <w:tcPr>
            <w:tcW w:w="3500" w:type="dxa"/>
            <w:vAlign w:val="bottom"/>
            <w:gridSpan w:val="3"/>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Univision Communications, Inc.</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TransFirst Holdings, Inc.</w:t>
            </w:r>
          </w:p>
        </w:tc>
        <w:tc>
          <w:tcPr>
            <w:tcW w:w="3500" w:type="dxa"/>
            <w:vAlign w:val="bottom"/>
            <w:gridSpan w:val="3"/>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39"/>
        </w:trPr>
        <w:tc>
          <w:tcPr>
            <w:tcW w:w="6000" w:type="dxa"/>
            <w:vAlign w:val="bottom"/>
            <w:gridSpan w:val="2"/>
          </w:tcPr>
          <w:p>
            <w:pPr>
              <w:spacing w:after="0"/>
              <w:rPr>
                <w:sz w:val="20"/>
                <w:szCs w:val="20"/>
                <w:color w:val="auto"/>
              </w:rPr>
            </w:pPr>
            <w:r>
              <w:rPr>
                <w:rFonts w:ascii="Arial" w:cs="Arial" w:eastAsia="Arial" w:hAnsi="Arial"/>
                <w:sz w:val="9"/>
                <w:szCs w:val="9"/>
                <w:b w:val="1"/>
                <w:bCs w:val="1"/>
                <w:color w:val="auto"/>
              </w:rPr>
              <w:t>Industry</w:t>
            </w:r>
          </w:p>
        </w:tc>
        <w:tc>
          <w:tcPr>
            <w:tcW w:w="3500" w:type="dxa"/>
            <w:vAlign w:val="bottom"/>
            <w:gridSpan w:val="3"/>
          </w:tcPr>
          <w:p>
            <w:pPr>
              <w:jc w:val="right"/>
              <w:ind w:right="100"/>
              <w:spacing w:after="0"/>
              <w:rPr>
                <w:sz w:val="20"/>
                <w:szCs w:val="20"/>
                <w:color w:val="auto"/>
              </w:rPr>
            </w:pPr>
            <w:r>
              <w:rPr>
                <w:rFonts w:ascii="Arial" w:cs="Arial" w:eastAsia="Arial" w:hAnsi="Arial"/>
                <w:sz w:val="9"/>
                <w:szCs w:val="9"/>
                <w:b w:val="1"/>
                <w:bCs w:val="1"/>
                <w:color w:val="auto"/>
              </w:rPr>
              <w:t>Percentage of Market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Other Media</w:t>
            </w:r>
          </w:p>
        </w:tc>
        <w:tc>
          <w:tcPr>
            <w:tcW w:w="2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Consumer Products</w:t>
            </w:r>
          </w:p>
        </w:tc>
        <w:tc>
          <w:tcPr>
            <w:tcW w:w="3500" w:type="dxa"/>
            <w:vAlign w:val="bottom"/>
            <w:gridSpan w:val="3"/>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Buildings &amp; Real Estate</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Business Services</w:t>
            </w:r>
          </w:p>
        </w:tc>
        <w:tc>
          <w:tcPr>
            <w:tcW w:w="3500" w:type="dxa"/>
            <w:vAlign w:val="bottom"/>
            <w:gridSpan w:val="3"/>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Home &amp; Office Furnishings, House wares &amp; Durable Consumer Products</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Transportation</w:t>
            </w:r>
          </w:p>
        </w:tc>
        <w:tc>
          <w:tcPr>
            <w:tcW w:w="3500" w:type="dxa"/>
            <w:vAlign w:val="bottom"/>
            <w:gridSpan w:val="3"/>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Chemical, Plastics, &amp; Rubber</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Leisure, Amusement, Motion Pictures, Entertainment</w:t>
            </w:r>
          </w:p>
        </w:tc>
        <w:tc>
          <w:tcPr>
            <w:tcW w:w="3500" w:type="dxa"/>
            <w:vAlign w:val="bottom"/>
            <w:gridSpan w:val="3"/>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Broadcasting &amp; Entertainment</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Cable Television</w:t>
            </w:r>
          </w:p>
        </w:tc>
        <w:tc>
          <w:tcPr>
            <w:tcW w:w="3500" w:type="dxa"/>
            <w:vAlign w:val="bottom"/>
            <w:gridSpan w:val="3"/>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40" w:firstLine="452"/>
        <w:spacing w:after="0" w:line="259" w:lineRule="auto"/>
        <w:rPr>
          <w:sz w:val="20"/>
          <w:szCs w:val="20"/>
          <w:color w:val="auto"/>
        </w:rPr>
      </w:pPr>
      <w:r>
        <w:rPr>
          <w:rFonts w:ascii="Arial" w:cs="Arial" w:eastAsia="Arial" w:hAnsi="Arial"/>
          <w:sz w:val="12"/>
          <w:szCs w:val="12"/>
          <w:color w:val="auto"/>
        </w:rPr>
        <w:t>We may invest from time to time, and only to the extent permitted by law, in the securities and instruments of other investment companies, including private funds. We may also co-invest in the future on a concurrent basis with affiliates of PennantPark Investment,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Selection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1"/>
          <w:szCs w:val="11"/>
          <w:color w:val="auto"/>
        </w:rPr>
        <w:t>We are committed to a value oriented philosophy used by the investment professionals who manage our portfolio and seek to minimize the risk of capital loss without foregoing potential for capital appreciation.</w:t>
      </w:r>
    </w:p>
    <w:p>
      <w:pPr>
        <w:spacing w:after="0" w:line="126" w:lineRule="exact"/>
        <w:rPr>
          <w:sz w:val="20"/>
          <w:szCs w:val="20"/>
          <w:color w:val="auto"/>
        </w:rPr>
      </w:pPr>
    </w:p>
    <w:p>
      <w:pPr>
        <w:ind w:right="40" w:firstLine="452"/>
        <w:spacing w:after="0" w:line="268" w:lineRule="auto"/>
        <w:rPr>
          <w:sz w:val="20"/>
          <w:szCs w:val="20"/>
          <w:color w:val="auto"/>
        </w:rPr>
      </w:pPr>
      <w:r>
        <w:rPr>
          <w:rFonts w:ascii="Arial" w:cs="Arial" w:eastAsia="Arial" w:hAnsi="Arial"/>
          <w:sz w:val="12"/>
          <w:szCs w:val="12"/>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Generally, we seek to use our experience and access to market information to identify investment candidates and to structure investments quickly and effectively.</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Value orientation and positive cash flow</w:t>
      </w:r>
    </w:p>
    <w:p>
      <w:pPr>
        <w:spacing w:after="0" w:line="60" w:lineRule="exact"/>
        <w:rPr>
          <w:sz w:val="20"/>
          <w:szCs w:val="20"/>
          <w:color w:val="auto"/>
        </w:rPr>
      </w:pPr>
    </w:p>
    <w:p>
      <w:pPr>
        <w:ind w:firstLine="452"/>
        <w:spacing w:after="0" w:line="314" w:lineRule="auto"/>
        <w:rPr>
          <w:sz w:val="20"/>
          <w:szCs w:val="20"/>
          <w:color w:val="auto"/>
        </w:rPr>
      </w:pPr>
      <w:r>
        <w:rPr>
          <w:rFonts w:ascii="Arial" w:cs="Arial" w:eastAsia="Arial" w:hAnsi="Arial"/>
          <w:sz w:val="11"/>
          <w:szCs w:val="11"/>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00"/>
          </w:cols>
          <w:pgMar w:left="300" w:top="354" w:right="399"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Experienced management and established financial sponsor relationship</w:t>
      </w:r>
    </w:p>
    <w:p>
      <w:pPr>
        <w:spacing w:after="0" w:line="60" w:lineRule="exact"/>
        <w:rPr>
          <w:sz w:val="20"/>
          <w:szCs w:val="20"/>
          <w:color w:val="auto"/>
        </w:rPr>
      </w:pPr>
    </w:p>
    <w:p>
      <w:pPr>
        <w:ind w:right="20" w:firstLine="452"/>
        <w:spacing w:after="0" w:line="259" w:lineRule="auto"/>
        <w:rPr>
          <w:sz w:val="20"/>
          <w:szCs w:val="20"/>
          <w:color w:val="auto"/>
        </w:rPr>
      </w:pPr>
      <w:r>
        <w:rPr>
          <w:rFonts w:ascii="Arial" w:cs="Arial" w:eastAsia="Arial" w:hAnsi="Arial"/>
          <w:sz w:val="12"/>
          <w:szCs w:val="12"/>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Strong and defensible competitive market position in industry</w:t>
      </w:r>
    </w:p>
    <w:p>
      <w:pPr>
        <w:spacing w:after="0" w:line="60" w:lineRule="exact"/>
        <w:rPr>
          <w:sz w:val="20"/>
          <w:szCs w:val="20"/>
          <w:color w:val="auto"/>
        </w:rPr>
      </w:pPr>
    </w:p>
    <w:p>
      <w:pPr>
        <w:ind w:firstLine="452"/>
        <w:spacing w:after="0" w:line="268" w:lineRule="auto"/>
        <w:rPr>
          <w:sz w:val="20"/>
          <w:szCs w:val="20"/>
          <w:color w:val="auto"/>
        </w:rPr>
      </w:pPr>
      <w:r>
        <w:rPr>
          <w:rFonts w:ascii="Arial" w:cs="Arial" w:eastAsia="Arial" w:hAnsi="Arial"/>
          <w:sz w:val="12"/>
          <w:szCs w:val="12"/>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Viable exit strategy</w:t>
      </w:r>
    </w:p>
    <w:p>
      <w:pPr>
        <w:spacing w:after="0" w:line="60" w:lineRule="exact"/>
        <w:rPr>
          <w:sz w:val="20"/>
          <w:szCs w:val="20"/>
          <w:color w:val="auto"/>
        </w:rPr>
      </w:pPr>
    </w:p>
    <w:p>
      <w:pPr>
        <w:ind w:right="80" w:firstLine="452"/>
        <w:spacing w:after="0" w:line="256" w:lineRule="auto"/>
        <w:rPr>
          <w:sz w:val="20"/>
          <w:szCs w:val="20"/>
          <w:color w:val="auto"/>
        </w:rPr>
      </w:pPr>
      <w:r>
        <w:rPr>
          <w:rFonts w:ascii="Arial" w:cs="Arial" w:eastAsia="Arial" w:hAnsi="Arial"/>
          <w:sz w:val="12"/>
          <w:szCs w:val="12"/>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Due Diligence</w:t>
      </w:r>
    </w:p>
    <w:p>
      <w:pPr>
        <w:spacing w:after="0" w:line="62" w:lineRule="exact"/>
        <w:rPr>
          <w:sz w:val="20"/>
          <w:szCs w:val="20"/>
          <w:color w:val="auto"/>
        </w:rPr>
      </w:pPr>
    </w:p>
    <w:p>
      <w:pPr>
        <w:ind w:right="60" w:firstLine="452"/>
        <w:spacing w:after="0" w:line="259" w:lineRule="auto"/>
        <w:rPr>
          <w:sz w:val="20"/>
          <w:szCs w:val="20"/>
          <w:color w:val="auto"/>
        </w:rPr>
      </w:pPr>
      <w:r>
        <w:rPr>
          <w:rFonts w:ascii="Arial" w:cs="Arial" w:eastAsia="Arial" w:hAnsi="Arial"/>
          <w:sz w:val="12"/>
          <w:szCs w:val="12"/>
          <w:color w:val="auto"/>
        </w:rPr>
        <w:t>We believe it is critical to conduct extensive due diligence on investment targets and in evaluating new investments. We, through our Investment Adviser, conduct a rigorous due diligence process that is applied to 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due diligence typically includes:</w:t>
      </w:r>
    </w:p>
    <w:p>
      <w:pPr>
        <w:spacing w:after="0" w:line="60" w:lineRule="exact"/>
        <w:rPr>
          <w:sz w:val="20"/>
          <w:szCs w:val="20"/>
          <w:color w:val="auto"/>
        </w:rPr>
      </w:pPr>
    </w:p>
    <w:p>
      <w:pPr>
        <w:ind w:left="880" w:hanging="438"/>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review of historical and prospective financial information;</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on-site visits;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interviews with management, employees, customers and vendors of the potential portfolio company;</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review of loan documents;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color w:val="auto"/>
        </w:rPr>
        <w:t>background checks; and</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research relating to the company’s management, industry, markets, products and services and competitors.</w:t>
      </w:r>
    </w:p>
    <w:p>
      <w:pPr>
        <w:spacing w:after="0" w:line="114" w:lineRule="exact"/>
        <w:rPr>
          <w:sz w:val="20"/>
          <w:szCs w:val="20"/>
          <w:color w:val="auto"/>
        </w:rPr>
      </w:pPr>
    </w:p>
    <w:p>
      <w:pPr>
        <w:ind w:right="100" w:firstLine="452"/>
        <w:spacing w:after="0" w:line="287" w:lineRule="auto"/>
        <w:rPr>
          <w:sz w:val="20"/>
          <w:szCs w:val="20"/>
          <w:color w:val="auto"/>
        </w:rPr>
      </w:pPr>
      <w:r>
        <w:rPr>
          <w:rFonts w:ascii="Arial" w:cs="Arial" w:eastAsia="Arial" w:hAnsi="Arial"/>
          <w:sz w:val="11"/>
          <w:szCs w:val="11"/>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Chang, Giannetti and Williams, subject to final approval by Mr. Penn. As our Investment Adviser adds senior investment professionals, our investment adviser may add them to its investment committee. The members of our investment committee receive no compensation from us. These members are employees of our Investment Adviser and receive compensation from our Investment Adviser.</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220"/>
          </w:cols>
          <w:pgMar w:left="300" w:top="354" w:right="379"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left="440"/>
        <w:spacing w:after="0"/>
        <w:rPr>
          <w:sz w:val="20"/>
          <w:szCs w:val="20"/>
          <w:color w:val="auto"/>
        </w:rPr>
      </w:pPr>
      <w:r>
        <w:rPr>
          <w:rFonts w:ascii="Arial" w:cs="Arial" w:eastAsia="Arial" w:hAnsi="Arial"/>
          <w:sz w:val="11"/>
          <w:szCs w:val="11"/>
          <w:color w:val="auto"/>
        </w:rPr>
        <w:t>Additional due diligence with respect to any investment may be conducted on our behalf by attorneys and independent auditors prior to the closing of the investment, as well as other outside advisers, as appropriate.</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Structure</w:t>
      </w:r>
    </w:p>
    <w:p>
      <w:pPr>
        <w:spacing w:after="0" w:line="62" w:lineRule="exact"/>
        <w:rPr>
          <w:sz w:val="20"/>
          <w:szCs w:val="20"/>
          <w:color w:val="auto"/>
        </w:rPr>
      </w:pPr>
    </w:p>
    <w:p>
      <w:pPr>
        <w:ind w:right="20" w:firstLine="452"/>
        <w:spacing w:after="0" w:line="268"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88" w:lineRule="exact"/>
        <w:rPr>
          <w:sz w:val="20"/>
          <w:szCs w:val="20"/>
          <w:color w:val="auto"/>
        </w:rPr>
      </w:pPr>
    </w:p>
    <w:p>
      <w:pPr>
        <w:ind w:right="340" w:firstLine="452"/>
        <w:spacing w:after="0" w:line="268" w:lineRule="auto"/>
        <w:rPr>
          <w:sz w:val="20"/>
          <w:szCs w:val="20"/>
          <w:color w:val="auto"/>
        </w:rPr>
      </w:pPr>
      <w:r>
        <w:rPr>
          <w:rFonts w:ascii="Arial" w:cs="Arial" w:eastAsia="Arial" w:hAnsi="Arial"/>
          <w:sz w:val="12"/>
          <w:szCs w:val="12"/>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88" w:lineRule="exact"/>
        <w:rPr>
          <w:sz w:val="20"/>
          <w:szCs w:val="20"/>
          <w:color w:val="auto"/>
        </w:rPr>
      </w:pPr>
    </w:p>
    <w:p>
      <w:pPr>
        <w:ind w:right="160" w:firstLine="452"/>
        <w:spacing w:after="0" w:line="259" w:lineRule="auto"/>
        <w:rPr>
          <w:sz w:val="20"/>
          <w:szCs w:val="20"/>
          <w:color w:val="auto"/>
        </w:rPr>
      </w:pPr>
      <w:r>
        <w:rPr>
          <w:rFonts w:ascii="Arial" w:cs="Arial" w:eastAsia="Arial" w:hAnsi="Arial"/>
          <w:sz w:val="12"/>
          <w:szCs w:val="12"/>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93"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2"/>
          <w:szCs w:val="12"/>
          <w:color w:val="auto"/>
        </w:rPr>
        <w:t>In the case of our mezzanine debt and senior secured loan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39" w:lineRule="exact"/>
        <w:rPr>
          <w:sz w:val="20"/>
          <w:szCs w:val="20"/>
          <w:color w:val="auto"/>
        </w:rPr>
      </w:pPr>
    </w:p>
    <w:p>
      <w:pPr>
        <w:ind w:left="880" w:hanging="438"/>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requiring a total return on our investments (including both interest and potential equity appreciation) that compensates us for credit risk;</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incorporating “put” rights and call protection into the investment structure; and</w:t>
      </w:r>
    </w:p>
    <w:p>
      <w:pPr>
        <w:spacing w:after="0" w:line="60" w:lineRule="exact"/>
        <w:rPr>
          <w:rFonts w:ascii="Arial" w:cs="Arial" w:eastAsia="Arial" w:hAnsi="Arial"/>
          <w:sz w:val="12"/>
          <w:szCs w:val="12"/>
          <w:color w:val="auto"/>
        </w:rPr>
      </w:pPr>
    </w:p>
    <w:p>
      <w:pPr>
        <w:ind w:left="880" w:right="100" w:hanging="438"/>
        <w:spacing w:after="0" w:line="314" w:lineRule="auto"/>
        <w:tabs>
          <w:tab w:leader="none" w:pos="880" w:val="left"/>
        </w:tabs>
        <w:numPr>
          <w:ilvl w:val="0"/>
          <w:numId w:val="5"/>
        </w:numPr>
        <w:rPr>
          <w:rFonts w:ascii="Arial" w:cs="Arial" w:eastAsia="Arial" w:hAnsi="Arial"/>
          <w:sz w:val="11"/>
          <w:szCs w:val="11"/>
          <w:color w:val="auto"/>
        </w:rPr>
      </w:pPr>
      <w:r>
        <w:rPr>
          <w:rFonts w:ascii="Arial" w:cs="Arial" w:eastAsia="Arial" w:hAnsi="Arial"/>
          <w:sz w:val="11"/>
          <w:szCs w:val="11"/>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65" w:lineRule="exact"/>
        <w:rPr>
          <w:sz w:val="20"/>
          <w:szCs w:val="20"/>
          <w:color w:val="auto"/>
        </w:rPr>
      </w:pPr>
    </w:p>
    <w:p>
      <w:pPr>
        <w:ind w:right="140" w:firstLine="452"/>
        <w:spacing w:after="0" w:line="256" w:lineRule="auto"/>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expect to hold most of our investments to maturity or repayment, but may sell certain investments earlier if a liquidity event takes place, such as the sale or recapitalization of a portfolio company.</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Ongoing Relationships with Portfolio Companies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Monitoring</w:t>
      </w:r>
    </w:p>
    <w:p>
      <w:pPr>
        <w:spacing w:after="0" w:line="60" w:lineRule="exact"/>
        <w:rPr>
          <w:sz w:val="20"/>
          <w:szCs w:val="20"/>
          <w:color w:val="auto"/>
        </w:rPr>
      </w:pPr>
    </w:p>
    <w:p>
      <w:pPr>
        <w:ind w:right="20" w:firstLine="452"/>
        <w:spacing w:after="0" w:line="268" w:lineRule="auto"/>
        <w:rPr>
          <w:sz w:val="20"/>
          <w:szCs w:val="20"/>
          <w:color w:val="auto"/>
        </w:rPr>
      </w:pPr>
      <w:r>
        <w:rPr>
          <w:rFonts w:ascii="Arial" w:cs="Arial" w:eastAsia="Arial" w:hAnsi="Arial"/>
          <w:sz w:val="12"/>
          <w:szCs w:val="12"/>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280"/>
          </w:cols>
          <w:pgMar w:left="300" w:top="354" w:right="319"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Investment Adviser has several methods of evaluating and monitoring the performance and fair value of our investments, which may include the following:</w:t>
      </w:r>
    </w:p>
    <w:p>
      <w:pPr>
        <w:spacing w:after="0" w:line="60" w:lineRule="exact"/>
        <w:rPr>
          <w:sz w:val="20"/>
          <w:szCs w:val="20"/>
          <w:color w:val="auto"/>
        </w:rPr>
      </w:pPr>
    </w:p>
    <w:p>
      <w:pPr>
        <w:ind w:left="880" w:hanging="438"/>
        <w:spacing w:after="0"/>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Assessment of success in adhering to portfolio company’s business plan and compliance with covenants;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Periodic and regular contact with portfolio company management and, if appropriate, the financial or strategic sponsor, to discuss financial position, requirements and accomplishments;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Comparisons to other PennantPark Investment portfolio companies in the industry, if any;</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Attendance at and participation in board meetings; and</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Review of monthly and quarterly financial statements and financial projections for portfolio companies.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Valuation Process</w:t>
      </w:r>
    </w:p>
    <w:p>
      <w:pPr>
        <w:spacing w:after="0" w:line="60" w:lineRule="exact"/>
        <w:rPr>
          <w:sz w:val="20"/>
          <w:szCs w:val="20"/>
          <w:color w:val="auto"/>
        </w:rPr>
      </w:pPr>
    </w:p>
    <w:p>
      <w:pPr>
        <w:ind w:firstLine="452"/>
        <w:spacing w:after="0" w:line="283" w:lineRule="auto"/>
        <w:rPr>
          <w:sz w:val="20"/>
          <w:szCs w:val="20"/>
          <w:color w:val="auto"/>
        </w:rPr>
      </w:pPr>
      <w:r>
        <w:rPr>
          <w:rFonts w:ascii="Arial" w:cs="Arial" w:eastAsia="Arial" w:hAnsi="Arial"/>
          <w:sz w:val="11"/>
          <w:szCs w:val="11"/>
          <w:color w:val="auto"/>
        </w:rPr>
        <w:t>The following is a description of the steps we take each quarter to determine the value of our portfolio.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 by using the valuation procedure that it uses with respect to assets for which market quotations are not readily available. With respect to investments for which market quotations are not readily available or are readily available but believed to not reflect the value of an investment, our board of directors undertakes a multi-step valuation process each quarter, as described below:</w:t>
      </w:r>
    </w:p>
    <w:p>
      <w:pPr>
        <w:spacing w:after="0" w:line="28" w:lineRule="exact"/>
        <w:rPr>
          <w:sz w:val="20"/>
          <w:szCs w:val="20"/>
          <w:color w:val="auto"/>
        </w:rPr>
      </w:pPr>
    </w:p>
    <w:p>
      <w:pPr>
        <w:ind w:left="880" w:hanging="438"/>
        <w:spacing w:after="0"/>
        <w:tabs>
          <w:tab w:leader="none" w:pos="880" w:val="left"/>
        </w:tabs>
        <w:numPr>
          <w:ilvl w:val="0"/>
          <w:numId w:val="7"/>
        </w:numPr>
        <w:rPr>
          <w:rFonts w:ascii="Arial" w:cs="Arial" w:eastAsia="Arial" w:hAnsi="Arial"/>
          <w:sz w:val="11"/>
          <w:szCs w:val="11"/>
          <w:color w:val="auto"/>
        </w:rPr>
      </w:pPr>
      <w:r>
        <w:rPr>
          <w:rFonts w:ascii="Arial" w:cs="Arial" w:eastAsia="Arial" w:hAnsi="Arial"/>
          <w:sz w:val="11"/>
          <w:szCs w:val="11"/>
          <w:color w:val="auto"/>
        </w:rPr>
        <w:t>Our quarterly valuation process begins with each portfolio company or investment being initially valued by the investment professionals of our Investment Adviser responsible for the portfolio investment;</w:t>
      </w:r>
    </w:p>
    <w:p>
      <w:pPr>
        <w:spacing w:after="0" w:line="71" w:lineRule="exact"/>
        <w:rPr>
          <w:rFonts w:ascii="Arial" w:cs="Arial" w:eastAsia="Arial" w:hAnsi="Arial"/>
          <w:sz w:val="11"/>
          <w:szCs w:val="11"/>
          <w:color w:val="auto"/>
        </w:rPr>
      </w:pPr>
    </w:p>
    <w:p>
      <w:pPr>
        <w:ind w:left="880" w:hanging="438"/>
        <w:spacing w:after="0"/>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Preliminary valuation conclusions are then documented and discussed with the management of our Investment Adviser;</w:t>
      </w:r>
    </w:p>
    <w:p>
      <w:pPr>
        <w:spacing w:after="0" w:line="60" w:lineRule="exact"/>
        <w:rPr>
          <w:rFonts w:ascii="Arial" w:cs="Arial" w:eastAsia="Arial" w:hAnsi="Arial"/>
          <w:sz w:val="12"/>
          <w:szCs w:val="12"/>
          <w:color w:val="auto"/>
        </w:rPr>
      </w:pPr>
    </w:p>
    <w:p>
      <w:pPr>
        <w:ind w:left="880" w:right="80" w:hanging="438"/>
        <w:spacing w:after="0" w:line="268" w:lineRule="auto"/>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board of directors also engages one or more independent valuation firms to conduct independent appraisals of our investments for which market quotations are not readily available or are readily available but believed to not reflect the value of an investment. The independent valuation firm reviews management’s preliminary valuations in light of its own independent assessment;</w:t>
      </w:r>
    </w:p>
    <w:p>
      <w:pPr>
        <w:spacing w:after="0" w:line="33" w:lineRule="exact"/>
        <w:rPr>
          <w:rFonts w:ascii="Arial" w:cs="Arial" w:eastAsia="Arial" w:hAnsi="Arial"/>
          <w:sz w:val="12"/>
          <w:szCs w:val="12"/>
          <w:color w:val="auto"/>
        </w:rPr>
      </w:pPr>
    </w:p>
    <w:p>
      <w:pPr>
        <w:ind w:left="880" w:right="60" w:hanging="438"/>
        <w:spacing w:after="0" w:line="268" w:lineRule="auto"/>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33" w:lineRule="exact"/>
        <w:rPr>
          <w:rFonts w:ascii="Arial" w:cs="Arial" w:eastAsia="Arial" w:hAnsi="Arial"/>
          <w:sz w:val="12"/>
          <w:szCs w:val="12"/>
          <w:color w:val="auto"/>
        </w:rPr>
      </w:pPr>
    </w:p>
    <w:p>
      <w:pPr>
        <w:ind w:left="880" w:right="240" w:hanging="438"/>
        <w:spacing w:after="0" w:line="268" w:lineRule="auto"/>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88" w:lineRule="exact"/>
        <w:rPr>
          <w:sz w:val="20"/>
          <w:szCs w:val="20"/>
          <w:color w:val="auto"/>
        </w:rPr>
      </w:pPr>
    </w:p>
    <w:p>
      <w:pPr>
        <w:ind w:right="20" w:firstLine="452"/>
        <w:spacing w:after="0" w:line="268" w:lineRule="auto"/>
        <w:rPr>
          <w:sz w:val="20"/>
          <w:szCs w:val="20"/>
          <w:color w:val="auto"/>
        </w:rPr>
      </w:pPr>
      <w:r>
        <w:rPr>
          <w:rFonts w:ascii="Arial" w:cs="Arial" w:eastAsia="Arial" w:hAnsi="Arial"/>
          <w:sz w:val="12"/>
          <w:szCs w:val="12"/>
          <w:color w:val="auto"/>
        </w:rPr>
        <w:t>When we make investments that involve deferrals of interest payable to us, any increase in the value of the investment due to the accrual or receipt of payment of interest is allocated to the increase in the cost basis of the investment, rather than to capital appreciation or gain.</w:t>
      </w:r>
    </w:p>
    <w:p>
      <w:pPr>
        <w:spacing w:after="0" w:line="88" w:lineRule="exact"/>
        <w:rPr>
          <w:sz w:val="20"/>
          <w:szCs w:val="20"/>
          <w:color w:val="auto"/>
        </w:rPr>
      </w:pPr>
    </w:p>
    <w:p>
      <w:pPr>
        <w:ind w:right="20" w:firstLine="452"/>
        <w:spacing w:after="0" w:line="293" w:lineRule="auto"/>
        <w:rPr>
          <w:sz w:val="20"/>
          <w:szCs w:val="20"/>
          <w:color w:val="auto"/>
        </w:rPr>
      </w:pPr>
      <w:r>
        <w:rPr>
          <w:rFonts w:ascii="Arial" w:cs="Arial" w:eastAsia="Arial" w:hAnsi="Arial"/>
          <w:sz w:val="11"/>
          <w:szCs w:val="11"/>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354" w:right="299"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60"/>
        <w:spacing w:after="0" w:line="293" w:lineRule="auto"/>
        <w:rPr>
          <w:sz w:val="20"/>
          <w:szCs w:val="20"/>
          <w:color w:val="auto"/>
        </w:rPr>
      </w:pPr>
      <w:r>
        <w:rPr>
          <w:rFonts w:ascii="Arial" w:cs="Arial" w:eastAsia="Arial" w:hAnsi="Arial"/>
          <w:sz w:val="11"/>
          <w:szCs w:val="11"/>
          <w:color w:val="auto"/>
        </w:rPr>
        <w:t>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Managerial Assistance</w:t>
      </w:r>
    </w:p>
    <w:p>
      <w:pPr>
        <w:spacing w:after="0" w:line="62" w:lineRule="exact"/>
        <w:rPr>
          <w:sz w:val="20"/>
          <w:szCs w:val="20"/>
          <w:color w:val="auto"/>
        </w:rPr>
      </w:pPr>
    </w:p>
    <w:p>
      <w:pPr>
        <w:ind w:right="80" w:firstLine="452"/>
        <w:spacing w:after="0" w:line="259" w:lineRule="auto"/>
        <w:rPr>
          <w:sz w:val="20"/>
          <w:szCs w:val="20"/>
          <w:color w:val="auto"/>
        </w:rPr>
      </w:pPr>
      <w:r>
        <w:rPr>
          <w:rFonts w:ascii="Arial" w:cs="Arial" w:eastAsia="Arial" w:hAnsi="Arial"/>
          <w:sz w:val="12"/>
          <w:szCs w:val="12"/>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provides such managerial assistance on our behalf to portfolio companies that request this assistance. We have not received any fees for such services since inception.</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Staffing</w:t>
      </w:r>
    </w:p>
    <w:p>
      <w:pPr>
        <w:spacing w:after="0" w:line="62" w:lineRule="exact"/>
        <w:rPr>
          <w:sz w:val="20"/>
          <w:szCs w:val="20"/>
          <w:color w:val="auto"/>
        </w:rPr>
      </w:pPr>
    </w:p>
    <w:p>
      <w:pPr>
        <w:ind w:right="140" w:firstLine="452"/>
        <w:spacing w:after="0" w:line="293" w:lineRule="auto"/>
        <w:rPr>
          <w:sz w:val="20"/>
          <w:szCs w:val="20"/>
          <w:color w:val="auto"/>
        </w:rPr>
      </w:pPr>
      <w:r>
        <w:rPr>
          <w:rFonts w:ascii="Arial" w:cs="Arial" w:eastAsia="Arial" w:hAnsi="Arial"/>
          <w:sz w:val="11"/>
          <w:szCs w:val="11"/>
          <w:color w:val="auto"/>
        </w:rPr>
        <w:t>We do not currently have any employees. Mr. Penn, our Chief Executive Officer, is the Managing Member of our Investment Adviser. Our Investment Adviser currently has four senior investment professionals, Messrs. Chang, Giannetti, Penn and Williams. In addition, Mr. Efrat, our Chief Financial Officer and Treasurer, is a Managing Director of our Administrator, and Mr. Hardin is our Chief Compliance Officer. Our Administrator and our Investment Adviser have hired and expect to continue to hire professionals with skills applicable to our business plan, including experience in middle-market investing, leveraged finance and capital markets.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MANAGEMENT AGREEMENT</w:t>
      </w:r>
    </w:p>
    <w:p>
      <w:pPr>
        <w:spacing w:after="0" w:line="62" w:lineRule="exact"/>
        <w:rPr>
          <w:sz w:val="20"/>
          <w:szCs w:val="20"/>
          <w:color w:val="auto"/>
        </w:rPr>
      </w:pPr>
    </w:p>
    <w:p>
      <w:pPr>
        <w:ind w:right="100" w:firstLine="452"/>
        <w:spacing w:after="0" w:line="314" w:lineRule="auto"/>
        <w:rPr>
          <w:sz w:val="20"/>
          <w:szCs w:val="20"/>
          <w:color w:val="auto"/>
        </w:rPr>
      </w:pPr>
      <w:r>
        <w:rPr>
          <w:rFonts w:ascii="Arial" w:cs="Arial" w:eastAsia="Arial" w:hAnsi="Arial"/>
          <w:sz w:val="11"/>
          <w:szCs w:val="11"/>
          <w:color w:val="auto"/>
        </w:rPr>
        <w:t>PennantPark Investment has entered into an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Under the terms of the Investment Management Agreement, PennantPark Investment Advisers:</w:t>
      </w:r>
    </w:p>
    <w:p>
      <w:pPr>
        <w:spacing w:after="0" w:line="11" w:lineRule="exact"/>
        <w:rPr>
          <w:sz w:val="20"/>
          <w:szCs w:val="20"/>
          <w:color w:val="auto"/>
        </w:rPr>
      </w:pPr>
    </w:p>
    <w:p>
      <w:pPr>
        <w:ind w:left="880" w:hanging="438"/>
        <w:spacing w:after="0"/>
        <w:tabs>
          <w:tab w:leader="none" w:pos="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determines the composition of our portfolio, the nature and timing of the changes to our portfolio and the manner of implementing such changes;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identifies, evaluates and negotiates the structure of the investments we make (including performing due diligence on our prospective portfolio companies); and</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closes and monitors the investments we make.</w:t>
      </w:r>
    </w:p>
    <w:p>
      <w:pPr>
        <w:spacing w:after="0" w:line="114" w:lineRule="exact"/>
        <w:rPr>
          <w:sz w:val="20"/>
          <w:szCs w:val="20"/>
          <w:color w:val="auto"/>
        </w:rPr>
      </w:pPr>
    </w:p>
    <w:p>
      <w:pPr>
        <w:ind w:firstLine="452"/>
        <w:spacing w:after="0" w:line="385" w:lineRule="auto"/>
        <w:rPr>
          <w:sz w:val="20"/>
          <w:szCs w:val="20"/>
          <w:color w:val="auto"/>
        </w:rPr>
      </w:pPr>
      <w:r>
        <w:rPr>
          <w:rFonts w:ascii="Arial" w:cs="Arial" w:eastAsia="Arial" w:hAnsi="Arial"/>
          <w:sz w:val="9"/>
          <w:szCs w:val="9"/>
          <w:color w:val="auto"/>
        </w:rPr>
        <w:t>PennantPark Investment Advisers’ services under the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Advisory Fees</w:t>
      </w:r>
    </w:p>
    <w:p>
      <w:pPr>
        <w:spacing w:after="0" w:line="62" w:lineRule="exact"/>
        <w:rPr>
          <w:sz w:val="20"/>
          <w:szCs w:val="20"/>
          <w:color w:val="auto"/>
        </w:rPr>
      </w:pPr>
    </w:p>
    <w:p>
      <w:pPr>
        <w:ind w:right="60" w:firstLine="452"/>
        <w:spacing w:after="0" w:line="259" w:lineRule="auto"/>
        <w:rPr>
          <w:sz w:val="20"/>
          <w:szCs w:val="20"/>
          <w:color w:val="auto"/>
        </w:rPr>
      </w:pPr>
      <w:r>
        <w:rPr>
          <w:rFonts w:ascii="Arial" w:cs="Arial" w:eastAsia="Arial" w:hAnsi="Arial"/>
          <w:sz w:val="12"/>
          <w:szCs w:val="12"/>
          <w:color w:val="auto"/>
        </w:rPr>
        <w:t>The base management fee is calculated at an annual rate of 2.00% of our gross assets (net of U.S. Treasury Bills (“adjusted gross assets”)). Although the base management fee is 2.00% of our adjusted gross assets, the Investment Adviser waived a portion of the base management fee such that the base management fee equaled 1.50% from the consummation of the initial public offering through September 30, 2007. The base management fee is 1.75% from October 1, 2007 through March 31, 2008, and 2.00% thereafter. For services rendered under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80"/>
          </w:cols>
          <w:pgMar w:left="300" w:top="354" w:right="319"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the Investment Management Agreement during the period commencing from the closing of the initial public offering through and including September 30, 2007, the base management fee was payable monthly in arrears. For services rendered under the Investment Management Agreement after September 30, 2007, the base management fee is payable quarterly in arrears. For the first quarter of our operations, the base management fee was calculated based on the initial value of our gross assets. Subsequently, the base management fee is calculated based on the average value of our adjusted gross assets at the end of the two most recently completed calendar quarters, and appropriately adjusted for any share issuances or repurchases during the current calendar quarter. Base investment advisory fees for any partial month or quarter are appropriately pro rated.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incentive fee has two parts, as follows:</w:t>
      </w:r>
    </w:p>
    <w:p>
      <w:pPr>
        <w:spacing w:after="0" w:line="60" w:lineRule="exact"/>
        <w:rPr>
          <w:sz w:val="20"/>
          <w:szCs w:val="20"/>
          <w:color w:val="auto"/>
        </w:rPr>
      </w:pPr>
    </w:p>
    <w:p>
      <w:pPr>
        <w:ind w:right="100" w:firstLine="452"/>
        <w:spacing w:after="0" w:line="335" w:lineRule="auto"/>
        <w:rPr>
          <w:sz w:val="20"/>
          <w:szCs w:val="20"/>
          <w:color w:val="auto"/>
        </w:rPr>
      </w:pPr>
      <w:r>
        <w:rPr>
          <w:rFonts w:ascii="Arial" w:cs="Arial" w:eastAsia="Arial" w:hAnsi="Arial"/>
          <w:sz w:val="9"/>
          <w:szCs w:val="9"/>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1.75% per quarter (7.00% annualized). Our net investment income used to calculate this part of the incentive fee is also included in the amount of our adjusted gross assets used to calculate the 2.00% base management fee. We have agreed to pay PennantPark Investment Advisers an incentive fee with respect to our Pre-Incentive Fee Net Investment Income in each calendar quarter as follows:</w:t>
      </w:r>
    </w:p>
    <w:p>
      <w:pPr>
        <w:spacing w:after="0" w:line="39" w:lineRule="exact"/>
        <w:rPr>
          <w:sz w:val="20"/>
          <w:szCs w:val="20"/>
          <w:color w:val="auto"/>
        </w:rPr>
      </w:pPr>
    </w:p>
    <w:p>
      <w:pPr>
        <w:ind w:left="880" w:hanging="438"/>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no incentive fee in any calendar quarter in which our Pre-Incentive Fee Net Investment Income does not exceed the Hurdle of 1.75%;</w:t>
      </w:r>
    </w:p>
    <w:p>
      <w:pPr>
        <w:spacing w:after="0" w:line="60" w:lineRule="exact"/>
        <w:rPr>
          <w:rFonts w:ascii="Arial" w:cs="Arial" w:eastAsia="Arial" w:hAnsi="Arial"/>
          <w:sz w:val="12"/>
          <w:szCs w:val="12"/>
          <w:color w:val="auto"/>
        </w:rPr>
      </w:pPr>
    </w:p>
    <w:p>
      <w:pPr>
        <w:jc w:val="both"/>
        <w:ind w:left="880" w:right="60" w:hanging="438"/>
        <w:spacing w:after="0" w:line="293" w:lineRule="auto"/>
        <w:tabs>
          <w:tab w:leader="none" w:pos="880" w:val="left"/>
        </w:tabs>
        <w:numPr>
          <w:ilvl w:val="0"/>
          <w:numId w:val="9"/>
        </w:numPr>
        <w:rPr>
          <w:rFonts w:ascii="Arial" w:cs="Arial" w:eastAsia="Arial" w:hAnsi="Arial"/>
          <w:sz w:val="11"/>
          <w:szCs w:val="11"/>
          <w:color w:val="auto"/>
        </w:rPr>
      </w:pPr>
      <w:r>
        <w:rPr>
          <w:rFonts w:ascii="Arial" w:cs="Arial" w:eastAsia="Arial" w:hAnsi="Arial"/>
          <w:sz w:val="11"/>
          <w:szCs w:val="11"/>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w:t>
      </w:r>
    </w:p>
    <w:p>
      <w:pPr>
        <w:spacing w:after="0" w:line="22" w:lineRule="exact"/>
        <w:rPr>
          <w:rFonts w:ascii="Arial" w:cs="Arial" w:eastAsia="Arial" w:hAnsi="Arial"/>
          <w:sz w:val="11"/>
          <w:szCs w:val="11"/>
          <w:color w:val="auto"/>
        </w:rPr>
      </w:pPr>
    </w:p>
    <w:p>
      <w:pPr>
        <w:jc w:val="both"/>
        <w:ind w:left="880" w:right="60" w:hanging="438"/>
        <w:spacing w:after="0" w:line="259" w:lineRule="auto"/>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 rated for any period of less than three months and adjusted for any share issuances or repurchases during the current quarter.</w:t>
      </w:r>
    </w:p>
    <w:p>
      <w:pPr>
        <w:spacing w:after="0" w:line="93" w:lineRule="exact"/>
        <w:rPr>
          <w:sz w:val="20"/>
          <w:szCs w:val="20"/>
          <w:color w:val="auto"/>
        </w:rPr>
      </w:pPr>
    </w:p>
    <w:p>
      <w:pPr>
        <w:ind w:right="20" w:firstLine="452"/>
        <w:spacing w:after="0" w:line="254"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advisory and management agreement, as of the termination date), commencing on December 31, 2007, and will equal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will be calculated for a period of shorter than twelve calendar months to take into account any realized capital gains computed net of all realized capital losses and unrealized capital depreciation from inception. For the period ended September 30, 2007 PennantPark Investment paid PennantPark Investment Advisers a Management Fee of $1.9 million after a fee rebate.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354" w:right="299"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Examples of Quarterly Incentive Fee Calculation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Example 1: Income Related Portion of Incentive Fee (*):</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Alternative 1</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Assumptions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Investment income (including interest, distributions, fees, etc.) = 1.25%</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Hurdle</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 1.75%</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Base management fee</w:t>
      </w:r>
      <w:r>
        <w:rPr>
          <w:rFonts w:ascii="Arial" w:cs="Arial" w:eastAsia="Arial" w:hAnsi="Arial"/>
          <w:sz w:val="14"/>
          <w:szCs w:val="14"/>
          <w:color w:val="auto"/>
          <w:vertAlign w:val="superscript"/>
        </w:rPr>
        <w:t>(2)</w:t>
      </w:r>
      <w:r>
        <w:rPr>
          <w:rFonts w:ascii="Arial" w:cs="Arial" w:eastAsia="Arial" w:hAnsi="Arial"/>
          <w:sz w:val="12"/>
          <w:szCs w:val="12"/>
          <w:color w:val="auto"/>
        </w:rPr>
        <w:t xml:space="preserve"> = 0.50%</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Other expenses (legal, accounting, custodian, transfer agent, etc.)</w:t>
      </w:r>
      <w:r>
        <w:rPr>
          <w:rFonts w:ascii="Arial" w:cs="Arial" w:eastAsia="Arial" w:hAnsi="Arial"/>
          <w:sz w:val="14"/>
          <w:szCs w:val="14"/>
          <w:color w:val="auto"/>
          <w:vertAlign w:val="superscript"/>
        </w:rPr>
        <w:t>(3)</w:t>
      </w:r>
      <w:r>
        <w:rPr>
          <w:rFonts w:ascii="Arial" w:cs="Arial" w:eastAsia="Arial" w:hAnsi="Arial"/>
          <w:sz w:val="12"/>
          <w:szCs w:val="12"/>
          <w:color w:val="auto"/>
        </w:rPr>
        <w:t xml:space="preserve"> = 0.20%</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Pre-Incentive Fee Net Investment Income</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(investment income—(base management fee + other expenses)) = 0.55%</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Pre-incentive net investment income does not exceed Hurdle; therefore there is no incentive fee.</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Alternative 2</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Assumptions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Investment income (including interest, distributions, fees, etc.) = 2.70%</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Hurdle</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 1.75%</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Base management fee</w:t>
      </w:r>
      <w:r>
        <w:rPr>
          <w:rFonts w:ascii="Arial" w:cs="Arial" w:eastAsia="Arial" w:hAnsi="Arial"/>
          <w:sz w:val="14"/>
          <w:szCs w:val="14"/>
          <w:color w:val="auto"/>
          <w:vertAlign w:val="superscript"/>
        </w:rPr>
        <w:t>(2)</w:t>
      </w:r>
      <w:r>
        <w:rPr>
          <w:rFonts w:ascii="Arial" w:cs="Arial" w:eastAsia="Arial" w:hAnsi="Arial"/>
          <w:sz w:val="12"/>
          <w:szCs w:val="12"/>
          <w:color w:val="auto"/>
        </w:rPr>
        <w:t xml:space="preserve"> = 0.50%</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Other expenses (legal, accounting, custodian, transfer agent, etc.)</w:t>
      </w:r>
      <w:r>
        <w:rPr>
          <w:rFonts w:ascii="Arial" w:cs="Arial" w:eastAsia="Arial" w:hAnsi="Arial"/>
          <w:sz w:val="14"/>
          <w:szCs w:val="14"/>
          <w:color w:val="auto"/>
          <w:vertAlign w:val="superscript"/>
        </w:rPr>
        <w:t>(3)</w:t>
      </w:r>
      <w:r>
        <w:rPr>
          <w:rFonts w:ascii="Arial" w:cs="Arial" w:eastAsia="Arial" w:hAnsi="Arial"/>
          <w:sz w:val="12"/>
          <w:szCs w:val="12"/>
          <w:color w:val="auto"/>
        </w:rPr>
        <w:t xml:space="preserve"> = 0.20%</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Pre-Incentive Fee Net Investment Income</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(investment income—(base management fee + other expenses)) = 2.00%</w:t>
      </w:r>
    </w:p>
    <w:p>
      <w:pPr>
        <w:spacing w:after="0" w:line="56" w:lineRule="exact"/>
        <w:rPr>
          <w:sz w:val="20"/>
          <w:szCs w:val="20"/>
          <w:color w:val="auto"/>
        </w:rPr>
      </w:pPr>
    </w:p>
    <w:p>
      <w:pPr>
        <w:ind w:left="440"/>
        <w:spacing w:after="0"/>
        <w:tabs>
          <w:tab w:leader="none" w:pos="1780" w:val="left"/>
        </w:tabs>
        <w:rPr>
          <w:sz w:val="20"/>
          <w:szCs w:val="20"/>
          <w:color w:val="auto"/>
        </w:rPr>
      </w:pPr>
      <w:r>
        <w:rPr>
          <w:rFonts w:ascii="Arial" w:cs="Arial" w:eastAsia="Arial" w:hAnsi="Arial"/>
          <w:sz w:val="12"/>
          <w:szCs w:val="12"/>
          <w:color w:val="auto"/>
        </w:rPr>
        <w:t>Incentive fee</w:t>
      </w:r>
      <w:r>
        <w:rPr>
          <w:sz w:val="20"/>
          <w:szCs w:val="20"/>
          <w:color w:val="auto"/>
        </w:rPr>
        <w:tab/>
      </w:r>
      <w:r>
        <w:rPr>
          <w:rFonts w:ascii="Arial" w:cs="Arial" w:eastAsia="Arial" w:hAnsi="Arial"/>
          <w:sz w:val="9"/>
          <w:szCs w:val="9"/>
          <w:color w:val="auto"/>
        </w:rPr>
        <w:t>= 20% x Pre-Incentive Fee Net Investment Income, subject to “catch-up”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6600825"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0825" cy="91440"/>
                    </a:xfrm>
                    <a:prstGeom prst="rect">
                      <a:avLst/>
                    </a:prstGeom>
                    <a:noFill/>
                  </pic:spPr>
                </pic:pic>
              </a:graphicData>
            </a:graphic>
          </wp:anchor>
        </w:drawing>
      </w:r>
    </w:p>
    <w:p>
      <w:pPr>
        <w:spacing w:after="0" w:line="58" w:lineRule="exact"/>
        <w:rPr>
          <w:sz w:val="20"/>
          <w:szCs w:val="20"/>
          <w:color w:val="auto"/>
        </w:rPr>
      </w:pPr>
    </w:p>
    <w:p>
      <w:pPr>
        <w:ind w:left="1900" w:hanging="95"/>
        <w:spacing w:after="0"/>
        <w:tabs>
          <w:tab w:leader="none" w:pos="1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2.00% - 1.75%</w:t>
      </w:r>
    </w:p>
    <w:p>
      <w:pPr>
        <w:spacing w:after="0" w:line="78" w:lineRule="exact"/>
        <w:rPr>
          <w:rFonts w:ascii="Arial" w:cs="Arial" w:eastAsia="Arial" w:hAnsi="Arial"/>
          <w:sz w:val="12"/>
          <w:szCs w:val="12"/>
          <w:color w:val="auto"/>
        </w:rPr>
      </w:pPr>
    </w:p>
    <w:p>
      <w:pPr>
        <w:ind w:left="1900" w:hanging="95"/>
        <w:spacing w:after="0"/>
        <w:tabs>
          <w:tab w:leader="none" w:pos="1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0.25%</w:t>
      </w:r>
    </w:p>
    <w:p>
      <w:pPr>
        <w:spacing w:after="0" w:line="78" w:lineRule="exact"/>
        <w:rPr>
          <w:rFonts w:ascii="Arial" w:cs="Arial" w:eastAsia="Arial" w:hAnsi="Arial"/>
          <w:sz w:val="12"/>
          <w:szCs w:val="12"/>
          <w:color w:val="auto"/>
        </w:rPr>
      </w:pPr>
    </w:p>
    <w:p>
      <w:pPr>
        <w:ind w:left="1900" w:hanging="95"/>
        <w:spacing w:after="0"/>
        <w:tabs>
          <w:tab w:leader="none" w:pos="1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100% x 0.25%</w:t>
      </w:r>
    </w:p>
    <w:p>
      <w:pPr>
        <w:spacing w:after="0" w:line="78" w:lineRule="exact"/>
        <w:rPr>
          <w:rFonts w:ascii="Arial" w:cs="Arial" w:eastAsia="Arial" w:hAnsi="Arial"/>
          <w:sz w:val="12"/>
          <w:szCs w:val="12"/>
          <w:color w:val="auto"/>
        </w:rPr>
      </w:pPr>
    </w:p>
    <w:p>
      <w:pPr>
        <w:ind w:left="1900" w:hanging="95"/>
        <w:spacing w:after="0"/>
        <w:tabs>
          <w:tab w:leader="none" w:pos="1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-357505</wp:posOffset>
            </wp:positionV>
            <wp:extent cx="6600825" cy="91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0825" cy="9144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-83185</wp:posOffset>
            </wp:positionV>
            <wp:extent cx="6600825"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0825" cy="9144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Alternative 3</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Assumptions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Investment income (including interest, distributions, fees, etc.) = 3.00%</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Hurdle</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 1.75%</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Base management fee</w:t>
      </w:r>
      <w:r>
        <w:rPr>
          <w:rFonts w:ascii="Arial" w:cs="Arial" w:eastAsia="Arial" w:hAnsi="Arial"/>
          <w:sz w:val="14"/>
          <w:szCs w:val="14"/>
          <w:color w:val="auto"/>
          <w:vertAlign w:val="superscript"/>
        </w:rPr>
        <w:t>(2)</w:t>
      </w:r>
      <w:r>
        <w:rPr>
          <w:rFonts w:ascii="Arial" w:cs="Arial" w:eastAsia="Arial" w:hAnsi="Arial"/>
          <w:sz w:val="12"/>
          <w:szCs w:val="12"/>
          <w:color w:val="auto"/>
        </w:rPr>
        <w:t xml:space="preserve"> = 0.50%</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Other expenses (legal, accounting, custodian, transfer agent, etc.)</w:t>
      </w:r>
      <w:r>
        <w:rPr>
          <w:rFonts w:ascii="Arial" w:cs="Arial" w:eastAsia="Arial" w:hAnsi="Arial"/>
          <w:sz w:val="14"/>
          <w:szCs w:val="14"/>
          <w:color w:val="auto"/>
          <w:vertAlign w:val="superscript"/>
        </w:rPr>
        <w:t>(3)</w:t>
      </w:r>
      <w:r>
        <w:rPr>
          <w:rFonts w:ascii="Arial" w:cs="Arial" w:eastAsia="Arial" w:hAnsi="Arial"/>
          <w:sz w:val="12"/>
          <w:szCs w:val="12"/>
          <w:color w:val="auto"/>
        </w:rPr>
        <w:t xml:space="preserve"> = 0.20%</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Pre-Incentive Fee Net Investment Income</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(investment income—(base management fee + other expenses)) = 2.30%</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Incentive fee = 20% x Pre-Incentive Fee Net Investment Income, subject to “catch-up”</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Incentive fee = 100% x “catch-up” + (20% x (Pre-Incentive Fee Net Investment Income - 2.1875%))</w:t>
      </w:r>
    </w:p>
    <w:p>
      <w:pPr>
        <w:spacing w:after="0" w:line="105"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159"/>
          </w:cols>
          <w:pgMar w:left="300" w:top="354" w:right="1440" w:bottom="1440" w:gutter="0" w:footer="0" w:header="0"/>
        </w:sectPr>
      </w:pPr>
    </w:p>
    <w:bookmarkStart w:id="15" w:name="page16"/>
    <w:bookmarkEnd w:id="15"/>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left="448"/>
        <w:spacing w:after="0"/>
        <w:rPr>
          <w:sz w:val="20"/>
          <w:szCs w:val="20"/>
          <w:color w:val="auto"/>
        </w:rPr>
      </w:pPr>
      <w:r>
        <w:rPr>
          <w:rFonts w:ascii="Arial" w:cs="Arial" w:eastAsia="Arial" w:hAnsi="Arial"/>
          <w:sz w:val="12"/>
          <w:szCs w:val="12"/>
          <w:color w:val="auto"/>
        </w:rPr>
        <w:t>Catch-up = 2.1875% - 1.75%</w:t>
      </w:r>
    </w:p>
    <w:p>
      <w:pPr>
        <w:spacing w:after="0" w:line="60" w:lineRule="exact"/>
        <w:rPr>
          <w:sz w:val="20"/>
          <w:szCs w:val="20"/>
          <w:color w:val="auto"/>
        </w:rPr>
      </w:pPr>
    </w:p>
    <w:p>
      <w:pPr>
        <w:ind w:left="548" w:hanging="96"/>
        <w:spacing w:after="0"/>
        <w:tabs>
          <w:tab w:leader="none" w:pos="548" w:val="left"/>
        </w:tabs>
        <w:numPr>
          <w:ilvl w:val="0"/>
          <w:numId w:val="11"/>
        </w:numPr>
        <w:rPr>
          <w:rFonts w:ascii="Arial" w:cs="Arial" w:eastAsia="Arial" w:hAnsi="Arial"/>
          <w:sz w:val="12"/>
          <w:szCs w:val="12"/>
          <w:color w:val="auto"/>
        </w:rPr>
      </w:pPr>
      <w:r>
        <w:rPr>
          <w:rFonts w:ascii="Arial" w:cs="Arial" w:eastAsia="Arial" w:hAnsi="Arial"/>
          <w:sz w:val="12"/>
          <w:szCs w:val="12"/>
          <w:color w:val="auto"/>
        </w:rPr>
        <w:t>0.4375%</w:t>
      </w:r>
    </w:p>
    <w:p>
      <w:pPr>
        <w:spacing w:after="0" w:line="60" w:lineRule="exact"/>
        <w:rPr>
          <w:rFonts w:ascii="Arial" w:cs="Arial" w:eastAsia="Arial" w:hAnsi="Arial"/>
          <w:sz w:val="12"/>
          <w:szCs w:val="12"/>
          <w:color w:val="auto"/>
        </w:rPr>
      </w:pPr>
    </w:p>
    <w:p>
      <w:pPr>
        <w:ind w:left="448" w:right="8460" w:firstLine="4"/>
        <w:spacing w:after="0" w:line="344" w:lineRule="auto"/>
        <w:tabs>
          <w:tab w:leader="none" w:pos="543" w:val="left"/>
        </w:tabs>
        <w:numPr>
          <w:ilvl w:val="0"/>
          <w:numId w:val="11"/>
        </w:numPr>
        <w:rPr>
          <w:rFonts w:ascii="Arial" w:cs="Arial" w:eastAsia="Arial" w:hAnsi="Arial"/>
          <w:sz w:val="12"/>
          <w:szCs w:val="12"/>
          <w:color w:val="auto"/>
        </w:rPr>
      </w:pPr>
      <w:r>
        <w:rPr>
          <w:rFonts w:ascii="Arial" w:cs="Arial" w:eastAsia="Arial" w:hAnsi="Arial"/>
          <w:sz w:val="12"/>
          <w:szCs w:val="12"/>
          <w:color w:val="auto"/>
        </w:rPr>
        <w:t>(100% x 0.4375%) + (20% x (2.3% - 2.1875%)) =0.4375% + (20% x 0.1125%)</w:t>
      </w:r>
    </w:p>
    <w:p>
      <w:pPr>
        <w:ind w:left="548" w:hanging="96"/>
        <w:spacing w:after="0"/>
        <w:tabs>
          <w:tab w:leader="none" w:pos="548" w:val="left"/>
        </w:tabs>
        <w:numPr>
          <w:ilvl w:val="0"/>
          <w:numId w:val="11"/>
        </w:numPr>
        <w:rPr>
          <w:rFonts w:ascii="Arial" w:cs="Arial" w:eastAsia="Arial" w:hAnsi="Arial"/>
          <w:sz w:val="12"/>
          <w:szCs w:val="12"/>
          <w:color w:val="auto"/>
        </w:rPr>
      </w:pPr>
      <w:r>
        <w:rPr>
          <w:rFonts w:ascii="Arial" w:cs="Arial" w:eastAsia="Arial" w:hAnsi="Arial"/>
          <w:sz w:val="12"/>
          <w:szCs w:val="12"/>
          <w:color w:val="auto"/>
        </w:rPr>
        <w:t>0.4375% + 0.0225%</w:t>
      </w:r>
    </w:p>
    <w:p>
      <w:pPr>
        <w:spacing w:after="0" w:line="60" w:lineRule="exact"/>
        <w:rPr>
          <w:rFonts w:ascii="Arial" w:cs="Arial" w:eastAsia="Arial" w:hAnsi="Arial"/>
          <w:sz w:val="12"/>
          <w:szCs w:val="12"/>
          <w:color w:val="auto"/>
        </w:rPr>
      </w:pPr>
    </w:p>
    <w:p>
      <w:pPr>
        <w:ind w:left="548" w:hanging="96"/>
        <w:spacing w:after="0"/>
        <w:tabs>
          <w:tab w:leader="none" w:pos="548" w:val="left"/>
        </w:tabs>
        <w:numPr>
          <w:ilvl w:val="0"/>
          <w:numId w:val="11"/>
        </w:numPr>
        <w:rPr>
          <w:rFonts w:ascii="Arial" w:cs="Arial" w:eastAsia="Arial" w:hAnsi="Arial"/>
          <w:sz w:val="12"/>
          <w:szCs w:val="12"/>
          <w:color w:val="auto"/>
        </w:rPr>
      </w:pPr>
      <w:r>
        <w:rPr>
          <w:rFonts w:ascii="Arial" w:cs="Arial" w:eastAsia="Arial" w:hAnsi="Arial"/>
          <w:sz w:val="12"/>
          <w:szCs w:val="12"/>
          <w:color w:val="auto"/>
        </w:rPr>
        <w:t>0.46%</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Example 2: Capital Gains Portion of Incentive Fee:</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Assumptions</w:t>
      </w:r>
    </w:p>
    <w:p>
      <w:pPr>
        <w:spacing w:after="0" w:line="60" w:lineRule="exact"/>
        <w:rPr>
          <w:sz w:val="20"/>
          <w:szCs w:val="20"/>
          <w:color w:val="auto"/>
        </w:rPr>
      </w:pPr>
    </w:p>
    <w:p>
      <w:pPr>
        <w:ind w:left="448"/>
        <w:spacing w:after="0"/>
        <w:rPr>
          <w:sz w:val="20"/>
          <w:szCs w:val="20"/>
          <w:color w:val="auto"/>
        </w:rPr>
      </w:pPr>
      <w:r>
        <w:rPr>
          <w:rFonts w:ascii="Arial" w:cs="Arial" w:eastAsia="Arial" w:hAnsi="Arial"/>
          <w:sz w:val="12"/>
          <w:szCs w:val="12"/>
          <w:color w:val="auto"/>
        </w:rPr>
        <w:t>Year 1 = no net realized capital gains or losses</w:t>
      </w:r>
    </w:p>
    <w:p>
      <w:pPr>
        <w:spacing w:after="0" w:line="60" w:lineRule="exact"/>
        <w:rPr>
          <w:sz w:val="20"/>
          <w:szCs w:val="20"/>
          <w:color w:val="auto"/>
        </w:rPr>
      </w:pPr>
    </w:p>
    <w:p>
      <w:pPr>
        <w:ind w:left="448" w:right="140"/>
        <w:spacing w:after="0" w:line="268" w:lineRule="auto"/>
        <w:rPr>
          <w:sz w:val="20"/>
          <w:szCs w:val="20"/>
          <w:color w:val="auto"/>
        </w:rPr>
      </w:pPr>
      <w:r>
        <w:rPr>
          <w:rFonts w:ascii="Arial" w:cs="Arial" w:eastAsia="Arial" w:hAnsi="Arial"/>
          <w:sz w:val="12"/>
          <w:szCs w:val="12"/>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Management</w:t>
      </w:r>
    </w:p>
    <w:p>
      <w:pPr>
        <w:sectPr>
          <w:pgSz w:w="11900" w:h="16838" w:orient="portrait"/>
          <w:cols w:equalWidth="0" w:num="1">
            <w:col w:w="11268"/>
          </w:cols>
          <w:pgMar w:left="292" w:top="354" w:right="339" w:bottom="1440" w:gutter="0" w:footer="0" w:header="0"/>
        </w:sectPr>
      </w:pPr>
    </w:p>
    <w:p>
      <w:pPr>
        <w:spacing w:after="0" w:line="143" w:lineRule="exact"/>
        <w:rPr>
          <w:sz w:val="20"/>
          <w:szCs w:val="20"/>
          <w:color w:val="auto"/>
        </w:rPr>
      </w:pPr>
    </w:p>
    <w:p>
      <w:pPr>
        <w:ind w:left="908"/>
        <w:spacing w:after="0"/>
        <w:rPr>
          <w:sz w:val="20"/>
          <w:szCs w:val="20"/>
          <w:color w:val="auto"/>
        </w:rPr>
      </w:pPr>
      <w:r>
        <w:rPr>
          <w:rFonts w:ascii="Arial" w:cs="Arial" w:eastAsia="Arial" w:hAnsi="Arial"/>
          <w:sz w:val="9"/>
          <w:szCs w:val="9"/>
          <w:color w:val="auto"/>
        </w:rPr>
        <w:t>Year 1 incentive fee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 20% x (0)</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 0</w:t>
      </w:r>
    </w:p>
    <w:p>
      <w:pPr>
        <w:spacing w:after="0" w:line="6" w:lineRule="exact"/>
        <w:rPr>
          <w:sz w:val="20"/>
          <w:szCs w:val="20"/>
          <w:color w:val="auto"/>
        </w:rPr>
      </w:pPr>
    </w:p>
    <w:p>
      <w:pPr>
        <w:spacing w:after="0"/>
        <w:rPr>
          <w:sz w:val="20"/>
          <w:szCs w:val="20"/>
          <w:color w:val="auto"/>
        </w:rPr>
      </w:pPr>
      <w:r>
        <w:rPr>
          <w:rFonts w:ascii="Arial" w:cs="Arial" w:eastAsia="Arial" w:hAnsi="Arial"/>
          <w:sz w:val="9"/>
          <w:szCs w:val="9"/>
          <w:color w:val="auto"/>
        </w:rPr>
        <w:t>= no incentive fee</w:t>
      </w:r>
    </w:p>
    <w:p>
      <w:pPr>
        <w:spacing w:after="0" w:line="108" w:lineRule="exact"/>
        <w:rPr>
          <w:sz w:val="20"/>
          <w:szCs w:val="20"/>
          <w:color w:val="auto"/>
        </w:rPr>
      </w:pPr>
    </w:p>
    <w:p>
      <w:pPr>
        <w:sectPr>
          <w:pgSz w:w="11900" w:h="16838" w:orient="portrait"/>
          <w:cols w:equalWidth="0" w:num="2">
            <w:col w:w="5308" w:space="720"/>
            <w:col w:w="5240"/>
          </w:cols>
          <w:pgMar w:left="292" w:top="354" w:right="339" w:bottom="1440" w:gutter="0" w:footer="0" w:header="0"/>
          <w:type w:val="continuous"/>
        </w:sectPr>
      </w:pPr>
    </w:p>
    <w:p>
      <w:pPr>
        <w:ind w:left="908"/>
        <w:spacing w:after="0"/>
        <w:rPr>
          <w:sz w:val="20"/>
          <w:szCs w:val="20"/>
          <w:color w:val="auto"/>
        </w:rPr>
      </w:pPr>
      <w:r>
        <w:rPr>
          <w:rFonts w:ascii="Arial" w:cs="Arial" w:eastAsia="Arial" w:hAnsi="Arial"/>
          <w:sz w:val="9"/>
          <w:szCs w:val="9"/>
          <w:color w:val="auto"/>
        </w:rPr>
        <w:t>Year 2 incentive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73152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52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 20% x (6% - 1%)</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 20% x 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 1%</w:t>
      </w:r>
    </w:p>
    <w:p>
      <w:pPr>
        <w:spacing w:after="0" w:line="155" w:lineRule="exact"/>
        <w:rPr>
          <w:sz w:val="20"/>
          <w:szCs w:val="20"/>
          <w:color w:val="auto"/>
        </w:rPr>
      </w:pPr>
    </w:p>
    <w:p>
      <w:pPr>
        <w:sectPr>
          <w:pgSz w:w="11900" w:h="16838" w:orient="portrait"/>
          <w:cols w:equalWidth="0" w:num="2">
            <w:col w:w="5308" w:space="720"/>
            <w:col w:w="5240"/>
          </w:cols>
          <w:pgMar w:left="292" w:top="354" w:right="339" w:bottom="1440" w:gutter="0" w:footer="0" w:header="0"/>
          <w:type w:val="continuous"/>
        </w:sectPr>
      </w:pPr>
    </w:p>
    <w:p>
      <w:pPr>
        <w:ind w:left="448" w:hanging="448"/>
        <w:spacing w:after="0"/>
        <w:tabs>
          <w:tab w:leader="none" w:pos="44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hypothetical amount of Pre-Incentive Fee Net Investment Income shown is based on a percentage of total net assets.</w:t>
      </w:r>
    </w:p>
    <w:p>
      <w:pPr>
        <w:spacing w:after="0" w:line="10" w:lineRule="exact"/>
        <w:rPr>
          <w:sz w:val="20"/>
          <w:szCs w:val="20"/>
          <w:color w:val="auto"/>
        </w:rPr>
      </w:pPr>
    </w:p>
    <w:p>
      <w:pPr>
        <w:ind w:left="448" w:hanging="448"/>
        <w:spacing w:after="0"/>
        <w:tabs>
          <w:tab w:leader="none" w:pos="448"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7.0% annualized Hurdle.</w:t>
      </w:r>
    </w:p>
    <w:p>
      <w:pPr>
        <w:spacing w:after="0" w:line="6" w:lineRule="exact"/>
        <w:rPr>
          <w:rFonts w:ascii="Arial" w:cs="Arial" w:eastAsia="Arial" w:hAnsi="Arial"/>
          <w:sz w:val="12"/>
          <w:szCs w:val="12"/>
          <w:color w:val="auto"/>
        </w:rPr>
      </w:pPr>
    </w:p>
    <w:p>
      <w:pPr>
        <w:ind w:left="448" w:right="240" w:hanging="448"/>
        <w:spacing w:after="0" w:line="273" w:lineRule="auto"/>
        <w:tabs>
          <w:tab w:leader="none" w:pos="448"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Represents 2.0% annualized base management fee. Although the management fee will be 2.00% of our adjusted gross assets, the Investment Adviser has agreed to waive a portion of the base management fee such that the base management fee will equal 1.50% from the consummation of the initial public offering through September 30, 2007, 1.75% from October 1, 2007 through March 31, 2008, and 2.00% thereafter.</w:t>
      </w:r>
    </w:p>
    <w:p>
      <w:pPr>
        <w:ind w:left="448" w:hanging="448"/>
        <w:spacing w:after="0"/>
        <w:tabs>
          <w:tab w:leader="none" w:pos="448"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Excludes organizational and offering expenses.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Duration and Termination</w:t>
      </w:r>
    </w:p>
    <w:p>
      <w:pPr>
        <w:spacing w:after="0" w:line="62" w:lineRule="exact"/>
        <w:rPr>
          <w:sz w:val="20"/>
          <w:szCs w:val="20"/>
          <w:color w:val="auto"/>
        </w:rPr>
      </w:pPr>
    </w:p>
    <w:p>
      <w:pPr>
        <w:ind w:left="8" w:firstLine="452"/>
        <w:spacing w:after="0" w:line="254" w:lineRule="auto"/>
        <w:rPr>
          <w:sz w:val="20"/>
          <w:szCs w:val="20"/>
          <w:color w:val="auto"/>
        </w:rPr>
      </w:pPr>
      <w:r>
        <w:rPr>
          <w:rFonts w:ascii="Arial" w:cs="Arial" w:eastAsia="Arial" w:hAnsi="Arial"/>
          <w:sz w:val="12"/>
          <w:szCs w:val="12"/>
          <w:color w:val="auto"/>
        </w:rPr>
        <w:t>The Investment Management Agreement was approved by our board of directors, including a majority of our directors who are not interested persons of PennantPark Investment, on February 13, 2007. Unless terminated earlier as described below, the Investment Management Agreement will continue in effect for a period of two years from its execution date.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8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268"/>
          </w:cols>
          <w:pgMar w:left="292" w:top="354" w:right="339" w:bottom="1440" w:gutter="0" w:footer="0" w:header="0"/>
          <w:type w:val="continuous"/>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Indemnification</w:t>
      </w:r>
    </w:p>
    <w:p>
      <w:pPr>
        <w:spacing w:after="0" w:line="62" w:lineRule="exact"/>
        <w:rPr>
          <w:sz w:val="20"/>
          <w:szCs w:val="20"/>
          <w:color w:val="auto"/>
        </w:rPr>
      </w:pPr>
    </w:p>
    <w:p>
      <w:pPr>
        <w:ind w:right="200" w:firstLine="452"/>
        <w:spacing w:after="0" w:line="256" w:lineRule="auto"/>
        <w:rPr>
          <w:sz w:val="20"/>
          <w:szCs w:val="20"/>
          <w:color w:val="auto"/>
        </w:rPr>
      </w:pPr>
      <w:r>
        <w:rPr>
          <w:rFonts w:ascii="Arial" w:cs="Arial" w:eastAsia="Arial" w:hAnsi="Arial"/>
          <w:sz w:val="12"/>
          <w:szCs w:val="12"/>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 Investment.</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Organization of the Investment Adviser</w:t>
      </w:r>
    </w:p>
    <w:p>
      <w:pPr>
        <w:spacing w:after="0" w:line="62" w:lineRule="exact"/>
        <w:rPr>
          <w:sz w:val="20"/>
          <w:szCs w:val="20"/>
          <w:color w:val="auto"/>
        </w:rPr>
      </w:pPr>
    </w:p>
    <w:p>
      <w:pPr>
        <w:ind w:right="100" w:firstLine="452"/>
        <w:spacing w:after="0" w:line="268" w:lineRule="auto"/>
        <w:rPr>
          <w:sz w:val="20"/>
          <w:szCs w:val="20"/>
          <w:color w:val="auto"/>
        </w:rPr>
      </w:pPr>
      <w:r>
        <w:rPr>
          <w:rFonts w:ascii="Arial" w:cs="Arial" w:eastAsia="Arial" w:hAnsi="Arial"/>
          <w:sz w:val="12"/>
          <w:szCs w:val="12"/>
          <w:color w:val="auto"/>
        </w:rPr>
        <w:t>PennantPark Investment Advisers is a registered investment adviser under the Advisers Act of 1940. The principal executive offices of PennantPark Investment Advisers are located at 590 Madison Avenue, 15th Floor, New York, NY 10022.</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ADMINISTRATION AGREEMENT</w:t>
      </w:r>
    </w:p>
    <w:p>
      <w:pPr>
        <w:spacing w:after="0" w:line="62" w:lineRule="exact"/>
        <w:rPr>
          <w:sz w:val="20"/>
          <w:szCs w:val="20"/>
          <w:color w:val="auto"/>
        </w:rPr>
      </w:pPr>
    </w:p>
    <w:p>
      <w:pPr>
        <w:ind w:firstLine="452"/>
        <w:spacing w:after="0" w:line="279" w:lineRule="auto"/>
        <w:rPr>
          <w:sz w:val="20"/>
          <w:szCs w:val="20"/>
          <w:color w:val="auto"/>
        </w:rPr>
      </w:pPr>
      <w:r>
        <w:rPr>
          <w:rFonts w:ascii="Arial" w:cs="Arial" w:eastAsia="Arial" w:hAnsi="Arial"/>
          <w:sz w:val="11"/>
          <w:szCs w:val="11"/>
          <w:color w:val="auto"/>
        </w:rPr>
        <w:t>Pursuant to the Administration Agreement, the Administrator furnishes us with office facilities, equipment and clerical, bookkeeping and record keeping services at such facilities. Under the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the Administrator’s overhead in performing its obligations under the Administration Agreement, including rent and our allocable portion of the cost of compensation and related expenses of our Chief Compliance Officer and Chief Financial Officer and their respective staffs. Under the Administration Agreement, the Administrator provides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will pay the fees associated with such functions on a direct basis without profit to the Administrator.</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Indemnification</w:t>
      </w:r>
    </w:p>
    <w:p>
      <w:pPr>
        <w:spacing w:after="0" w:line="62" w:lineRule="exact"/>
        <w:rPr>
          <w:sz w:val="20"/>
          <w:szCs w:val="20"/>
          <w:color w:val="auto"/>
        </w:rPr>
      </w:pPr>
    </w:p>
    <w:p>
      <w:pPr>
        <w:ind w:right="180" w:firstLine="452"/>
        <w:spacing w:after="0" w:line="256" w:lineRule="auto"/>
        <w:rPr>
          <w:sz w:val="20"/>
          <w:szCs w:val="20"/>
          <w:color w:val="auto"/>
        </w:rPr>
      </w:pPr>
      <w:r>
        <w:rPr>
          <w:rFonts w:ascii="Arial" w:cs="Arial" w:eastAsia="Arial" w:hAnsi="Arial"/>
          <w:sz w:val="12"/>
          <w:szCs w:val="12"/>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Administration’s services under the Administration Agreement or otherwise as administrator for PennantPark Investment.</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LICENSE AGREEMENT</w:t>
      </w:r>
    </w:p>
    <w:p>
      <w:pPr>
        <w:spacing w:after="0" w:line="62" w:lineRule="exact"/>
        <w:rPr>
          <w:sz w:val="20"/>
          <w:szCs w:val="20"/>
          <w:color w:val="auto"/>
        </w:rPr>
      </w:pPr>
    </w:p>
    <w:p>
      <w:pPr>
        <w:ind w:right="20" w:firstLine="452"/>
        <w:spacing w:after="0" w:line="259" w:lineRule="auto"/>
        <w:rPr>
          <w:sz w:val="20"/>
          <w:szCs w:val="20"/>
          <w:color w:val="auto"/>
        </w:rPr>
      </w:pPr>
      <w:r>
        <w:rPr>
          <w:rFonts w:ascii="Arial" w:cs="Arial" w:eastAsia="Arial" w:hAnsi="Arial"/>
          <w:sz w:val="12"/>
          <w:szCs w:val="12"/>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260"/>
          </w:cols>
          <w:pgMar w:left="300" w:top="354" w:right="339"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REGULATORY STRUCTURE</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62" w:lineRule="exact"/>
        <w:rPr>
          <w:sz w:val="20"/>
          <w:szCs w:val="20"/>
          <w:color w:val="auto"/>
        </w:rPr>
      </w:pPr>
    </w:p>
    <w:p>
      <w:pPr>
        <w:ind w:right="420" w:firstLine="452"/>
        <w:spacing w:after="0" w:line="437" w:lineRule="auto"/>
        <w:rPr>
          <w:sz w:val="20"/>
          <w:szCs w:val="20"/>
          <w:color w:val="auto"/>
        </w:rPr>
      </w:pPr>
      <w:r>
        <w:rPr>
          <w:rFonts w:ascii="Arial" w:cs="Arial" w:eastAsia="Arial" w:hAnsi="Arial"/>
          <w:sz w:val="9"/>
          <w:szCs w:val="9"/>
          <w:color w:val="auto"/>
        </w:rPr>
        <w:t>As a business development company, we are regulated by portions of the 1940 Act and may be examined by the SEC. We are organized for the purpose of investing in or lending to primarily private companies and making managerial assistance available to them. We provide our stockholders the ability to retain the liquidity of a publicly traded stock, while sharing in the benefits, if any, of investing in middle-market privately owned companies.</w:t>
      </w:r>
    </w:p>
    <w:p>
      <w:pPr>
        <w:spacing w:after="0" w:line="19" w:lineRule="exact"/>
        <w:rPr>
          <w:sz w:val="20"/>
          <w:szCs w:val="20"/>
          <w:color w:val="auto"/>
        </w:rPr>
      </w:pPr>
    </w:p>
    <w:p>
      <w:pPr>
        <w:ind w:right="60" w:firstLine="452"/>
        <w:spacing w:after="0" w:line="287" w:lineRule="auto"/>
        <w:rPr>
          <w:sz w:val="20"/>
          <w:szCs w:val="20"/>
          <w:color w:val="auto"/>
        </w:rPr>
      </w:pPr>
      <w:r>
        <w:rPr>
          <w:rFonts w:ascii="Arial" w:cs="Arial" w:eastAsia="Arial" w:hAnsi="Arial"/>
          <w:sz w:val="11"/>
          <w:szCs w:val="11"/>
          <w:color w:val="auto"/>
        </w:rPr>
        <w:t>We may not change the nature of our business as a business development company unless authorized by vote of a majority of the outstanding voting securities. We do not anticipate any substantial change in the nature of our business. We note that any affiliated investment vehicle formed in the future and managed by our Investment Adviser may, notwithstanding different stated investment objectives, have overlapping investment objectives with our own and, accordingly, may invest in asset classes similar to those targeted by us. If our Investment Adviser undertakes to manage a new fund in the future, we will not invest in any portfolio company in which that fund has a pre-existing investment, although we may co-invest with such affiliate on a concurrent basis, subject to compliance with existing regulatory guidance, applicable regulations and our allocation procedures.</w:t>
      </w:r>
    </w:p>
    <w:p>
      <w:pPr>
        <w:spacing w:after="0" w:line="79" w:lineRule="exact"/>
        <w:rPr>
          <w:sz w:val="20"/>
          <w:szCs w:val="20"/>
          <w:color w:val="auto"/>
        </w:rPr>
      </w:pPr>
    </w:p>
    <w:p>
      <w:pPr>
        <w:jc w:val="both"/>
        <w:ind w:firstLine="452"/>
        <w:spacing w:after="0" w:line="293" w:lineRule="auto"/>
        <w:rPr>
          <w:sz w:val="20"/>
          <w:szCs w:val="20"/>
          <w:color w:val="auto"/>
        </w:rPr>
      </w:pPr>
      <w:r>
        <w:rPr>
          <w:rFonts w:ascii="Arial" w:cs="Arial" w:eastAsia="Arial" w:hAnsi="Arial"/>
          <w:sz w:val="11"/>
          <w:szCs w:val="11"/>
          <w:color w:val="auto"/>
        </w:rPr>
        <w:t>As a business development company, we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business development company. Moreover,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77" w:lineRule="exact"/>
        <w:rPr>
          <w:sz w:val="20"/>
          <w:szCs w:val="20"/>
          <w:color w:val="auto"/>
        </w:rPr>
      </w:pPr>
    </w:p>
    <w:p>
      <w:pPr>
        <w:jc w:val="both"/>
        <w:ind w:right="60" w:firstLine="452"/>
        <w:spacing w:after="0" w:line="385" w:lineRule="auto"/>
        <w:rPr>
          <w:sz w:val="20"/>
          <w:szCs w:val="20"/>
          <w:color w:val="auto"/>
        </w:rPr>
      </w:pPr>
      <w:r>
        <w:rPr>
          <w:rFonts w:ascii="Arial" w:cs="Arial" w:eastAsia="Arial" w:hAnsi="Arial"/>
          <w:sz w:val="9"/>
          <w:szCs w:val="9"/>
          <w:color w:val="auto"/>
        </w:rPr>
        <w:t>We also are required to hold certain qualifying assets and meet a coverage ratio of the value of our total assets to total senior securities, which include all of our borrowings and any preferred stock we may issue in the future, of at least 200%. We may also be prohibited under the 1940 Act from knowingly participating in certain transactions with our affiliates without the prior approval of our directors who are not interested persons and, in some cases, prior approval by the SEC. See “Risk Factors-Risks relating to our Business and Structure-Regulations governing our operation as a business development company will affect our ability to, and the way in which we raise additional capital.”</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Qualifying Assets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9"/>
          <w:szCs w:val="9"/>
          <w:color w:val="auto"/>
        </w:rPr>
        <w:t>As a business development company, we may not acquire any asset other than “qualifying assets” unless; at the time we make the acquisition, the value of our qualifying assets represent at least 70% of the value of our total assets.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 principal categories of qualifying assets relevant to our business are:</w:t>
      </w:r>
    </w:p>
    <w:p>
      <w:pPr>
        <w:spacing w:after="0" w:line="56" w:lineRule="exact"/>
        <w:rPr>
          <w:sz w:val="20"/>
          <w:szCs w:val="20"/>
          <w:color w:val="auto"/>
        </w:rPr>
      </w:pPr>
    </w:p>
    <w:p>
      <w:pPr>
        <w:ind w:left="880" w:hanging="438"/>
        <w:spacing w:after="0"/>
        <w:tabs>
          <w:tab w:leader="none" w:pos="8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Securities purchased in transactions not involving any public offering, the issuer of which is an eligible portfolio company, as that term is defined in the 1940 act;</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with respect to securities described above or pursuant to the exercise of options, warrants or rights relating to such securities; and</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Cash, cash items, government securities or high quality debt securities (within the meaning of the 1940 Act), maturing in one year or less from the time of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Ethics</w:t>
      </w:r>
    </w:p>
    <w:p>
      <w:pPr>
        <w:spacing w:after="0" w:line="62" w:lineRule="exact"/>
        <w:rPr>
          <w:sz w:val="20"/>
          <w:szCs w:val="20"/>
          <w:color w:val="auto"/>
        </w:rPr>
      </w:pPr>
    </w:p>
    <w:p>
      <w:pPr>
        <w:ind w:right="180" w:firstLine="452"/>
        <w:spacing w:after="0" w:line="268" w:lineRule="auto"/>
        <w:rPr>
          <w:sz w:val="20"/>
          <w:szCs w:val="20"/>
          <w:color w:val="auto"/>
        </w:rPr>
      </w:pPr>
      <w:r>
        <w:rPr>
          <w:rFonts w:ascii="Arial" w:cs="Arial" w:eastAsia="Arial" w:hAnsi="Arial"/>
          <w:sz w:val="12"/>
          <w:szCs w:val="12"/>
          <w:color w:val="auto"/>
        </w:rPr>
        <w:t xml:space="preserve">As required by the 1940 Act, we maintain a code of ethics that establishes procedures for personal investments and restricts certain transactions by our personnel. Our code of ethics generally does not permit investments by our employees in securities that may be purchased or held by us. You may read a copy of our code of ethics on our website at </w:t>
      </w:r>
      <w:r>
        <w:rPr>
          <w:rFonts w:ascii="Arial" w:cs="Arial" w:eastAsia="Arial" w:hAnsi="Arial"/>
          <w:sz w:val="12"/>
          <w:szCs w:val="12"/>
          <w:i w:val="1"/>
          <w:iCs w:val="1"/>
          <w:color w:val="auto"/>
        </w:rPr>
        <w:t>http://www.pennantpark.com.</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220"/>
          </w:cols>
          <w:pgMar w:left="300" w:top="354" w:right="379"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Privacy Principles</w:t>
      </w:r>
    </w:p>
    <w:p>
      <w:pPr>
        <w:spacing w:after="0" w:line="62" w:lineRule="exact"/>
        <w:rPr>
          <w:sz w:val="20"/>
          <w:szCs w:val="20"/>
          <w:color w:val="auto"/>
        </w:rPr>
      </w:pPr>
    </w:p>
    <w:p>
      <w:pPr>
        <w:ind w:right="60" w:firstLine="452"/>
        <w:spacing w:after="0" w:line="268" w:lineRule="auto"/>
        <w:rPr>
          <w:sz w:val="20"/>
          <w:szCs w:val="20"/>
          <w:color w:val="auto"/>
        </w:rPr>
      </w:pPr>
      <w:r>
        <w:rPr>
          <w:rFonts w:ascii="Arial" w:cs="Arial" w:eastAsia="Arial" w:hAnsi="Arial"/>
          <w:sz w:val="12"/>
          <w:szCs w:val="12"/>
          <w:color w:val="auto"/>
        </w:rPr>
        <w:t>We are committed to maintaining the privacy of our stockholders and to safeguarding their non-public personal information. Our privacy policy is attached as Exhibit 99.1 to this report on Form 10-K. The following information is provided to help you understand what personal information we collect, how we protect that information and why, in certain cases, we may share information with select other parties.</w:t>
      </w:r>
    </w:p>
    <w:p>
      <w:pPr>
        <w:spacing w:after="0" w:line="88" w:lineRule="exact"/>
        <w:rPr>
          <w:sz w:val="20"/>
          <w:szCs w:val="20"/>
          <w:color w:val="auto"/>
        </w:rPr>
      </w:pPr>
    </w:p>
    <w:p>
      <w:pPr>
        <w:ind w:right="100" w:firstLine="452"/>
        <w:spacing w:after="0" w:line="437" w:lineRule="auto"/>
        <w:rPr>
          <w:sz w:val="20"/>
          <w:szCs w:val="20"/>
          <w:color w:val="auto"/>
        </w:rPr>
      </w:pPr>
      <w:r>
        <w:rPr>
          <w:rFonts w:ascii="Arial" w:cs="Arial" w:eastAsia="Arial" w:hAnsi="Arial"/>
          <w:sz w:val="9"/>
          <w:szCs w:val="9"/>
          <w:color w:val="auto"/>
        </w:rPr>
        <w:t>Generally, we do not receive any non-public personal information relating to our stockholders, although certain non-public personal information of our stockholders may become available to us. We do not disclose any non-public personal information about our current or former stockholders to anyone, except as permitted by law or as is necessary in order to service stockholder accounts (for example, to a transfer agent or third party administrator).</w:t>
      </w:r>
    </w:p>
    <w:p>
      <w:pPr>
        <w:spacing w:after="0" w:line="19" w:lineRule="exact"/>
        <w:rPr>
          <w:sz w:val="20"/>
          <w:szCs w:val="20"/>
          <w:color w:val="auto"/>
        </w:rPr>
      </w:pPr>
    </w:p>
    <w:p>
      <w:pPr>
        <w:ind w:right="140" w:firstLine="452"/>
        <w:spacing w:after="0" w:line="314" w:lineRule="auto"/>
        <w:rPr>
          <w:sz w:val="20"/>
          <w:szCs w:val="20"/>
          <w:color w:val="auto"/>
        </w:rPr>
      </w:pPr>
      <w:r>
        <w:rPr>
          <w:rFonts w:ascii="Arial" w:cs="Arial" w:eastAsia="Arial" w:hAnsi="Arial"/>
          <w:sz w:val="11"/>
          <w:szCs w:val="11"/>
          <w:color w:val="auto"/>
        </w:rPr>
        <w:t xml:space="preserve">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 You may read a copy of our code of ethics on our website at </w:t>
      </w:r>
      <w:r>
        <w:rPr>
          <w:rFonts w:ascii="Arial" w:cs="Arial" w:eastAsia="Arial" w:hAnsi="Arial"/>
          <w:sz w:val="11"/>
          <w:szCs w:val="11"/>
          <w:i w:val="1"/>
          <w:iCs w:val="1"/>
          <w:color w:val="auto"/>
        </w:rPr>
        <w:t>http://www.pennantpark.com.</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Compliance Policies and Procedures</w:t>
      </w:r>
    </w:p>
    <w:p>
      <w:pPr>
        <w:spacing w:after="0" w:line="62" w:lineRule="exact"/>
        <w:rPr>
          <w:sz w:val="20"/>
          <w:szCs w:val="20"/>
          <w:color w:val="auto"/>
        </w:rPr>
      </w:pPr>
    </w:p>
    <w:p>
      <w:pPr>
        <w:ind w:right="320" w:firstLine="452"/>
        <w:spacing w:after="0" w:line="314" w:lineRule="auto"/>
        <w:rPr>
          <w:sz w:val="20"/>
          <w:szCs w:val="20"/>
          <w:color w:val="auto"/>
        </w:rPr>
      </w:pPr>
      <w:r>
        <w:rPr>
          <w:rFonts w:ascii="Arial" w:cs="Arial" w:eastAsia="Arial" w:hAnsi="Arial"/>
          <w:sz w:val="11"/>
          <w:szCs w:val="11"/>
          <w:color w:val="auto"/>
        </w:rPr>
        <w:t>We and our Investment Adviser have adopted and implemented written policies and procedures reasonably designed to prevent violation of the federal securities laws, and we review these compliance policies and procedures annually to ensure our continued compliance with the federal securities laws. Our Chief Compliance Officer, Matthew Hardin, is responsible for administering the policies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Sarbanes-Oxley Act of 2002</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Sarbanes-Oxley Act of 2002 imposes a wide variety of new regulatory requirements on publicly held companies and their insiders. Many of these requirements will affect us. For example:</w:t>
      </w:r>
    </w:p>
    <w:p>
      <w:pPr>
        <w:spacing w:after="0" w:line="60" w:lineRule="exact"/>
        <w:rPr>
          <w:sz w:val="20"/>
          <w:szCs w:val="20"/>
          <w:color w:val="auto"/>
        </w:rPr>
      </w:pPr>
    </w:p>
    <w:p>
      <w:pPr>
        <w:ind w:left="880" w:hanging="438"/>
        <w:spacing w:after="0"/>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pursuant to Rule 13a-14 of the Exchange Act, our Chief Executive Officer and Chief Financial Officer must certify the accuracy of the financial statements contained in our periodic reports;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pursuant to Item 307 of Regulation S-K, our periodic reports must disclose our conclusions about the effectiveness of our disclosure controls and procedures;</w:t>
      </w:r>
    </w:p>
    <w:p>
      <w:pPr>
        <w:spacing w:after="0" w:line="60" w:lineRule="exact"/>
        <w:rPr>
          <w:rFonts w:ascii="Arial" w:cs="Arial" w:eastAsia="Arial" w:hAnsi="Arial"/>
          <w:sz w:val="12"/>
          <w:szCs w:val="12"/>
          <w:color w:val="auto"/>
        </w:rPr>
      </w:pPr>
    </w:p>
    <w:p>
      <w:pPr>
        <w:ind w:left="880" w:right="140" w:hanging="438"/>
        <w:spacing w:after="0" w:line="314" w:lineRule="auto"/>
        <w:tabs>
          <w:tab w:leader="none" w:pos="8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65" w:lineRule="exact"/>
        <w:rPr>
          <w:sz w:val="20"/>
          <w:szCs w:val="20"/>
          <w:color w:val="auto"/>
        </w:rPr>
      </w:pPr>
    </w:p>
    <w:p>
      <w:pPr>
        <w:ind w:right="380" w:firstLine="452"/>
        <w:spacing w:after="0" w:line="268"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all actions necessary to ensure that we are in compliance with that Act.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Election to be taxed as a RIC</w:t>
      </w:r>
    </w:p>
    <w:p>
      <w:pPr>
        <w:spacing w:after="0" w:line="62" w:lineRule="exact"/>
        <w:rPr>
          <w:sz w:val="20"/>
          <w:szCs w:val="20"/>
          <w:color w:val="auto"/>
        </w:rPr>
      </w:pPr>
    </w:p>
    <w:p>
      <w:pPr>
        <w:ind w:firstLine="452"/>
        <w:spacing w:after="0" w:line="293" w:lineRule="auto"/>
        <w:rPr>
          <w:sz w:val="20"/>
          <w:szCs w:val="20"/>
          <w:color w:val="auto"/>
        </w:rPr>
      </w:pPr>
      <w:r>
        <w:rPr>
          <w:rFonts w:ascii="Arial" w:cs="Arial" w:eastAsia="Arial" w:hAnsi="Arial"/>
          <w:sz w:val="11"/>
          <w:szCs w:val="11"/>
          <w:color w:val="auto"/>
        </w:rPr>
        <w:t>We have elected to be treated, and intend to qualify annually, as a RIC under Subchapter M of the Code. For a short period ending April 30, 2007, we were not a RIC and were subject to corporate-level income tax. To maintain RIC tax benefits, we must, among other requirements, meet certain source-of-income and asset diversification requirements (as described below). We also must distribute at least 90% of our ordinary income and realized net short-term capital gains in excess of realized net long-term capital losses, if any, out of the assets legally available for distribution. In order to avoid certain excise taxes imposed on RICs, we currently intend to</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240"/>
          </w:cols>
          <w:pgMar w:left="300" w:top="354" w:right="359"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60"/>
        <w:spacing w:after="0" w:line="293" w:lineRule="auto"/>
        <w:rPr>
          <w:sz w:val="20"/>
          <w:szCs w:val="20"/>
          <w:color w:val="auto"/>
        </w:rPr>
      </w:pPr>
      <w:r>
        <w:rPr>
          <w:rFonts w:ascii="Arial" w:cs="Arial" w:eastAsia="Arial" w:hAnsi="Arial"/>
          <w:sz w:val="11"/>
          <w:szCs w:val="11"/>
          <w:color w:val="auto"/>
        </w:rPr>
        <w:t>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 order to qualify as a RIC for federal income tax purposes, we must:</w:t>
      </w:r>
    </w:p>
    <w:p>
      <w:pPr>
        <w:spacing w:after="0" w:line="60" w:lineRule="exact"/>
        <w:rPr>
          <w:sz w:val="20"/>
          <w:szCs w:val="20"/>
          <w:color w:val="auto"/>
        </w:rPr>
      </w:pPr>
    </w:p>
    <w:p>
      <w:pPr>
        <w:ind w:left="880" w:hanging="438"/>
        <w:spacing w:after="0"/>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qualify to be treated as a business development company under the 1940 Act at all times during each taxable year;</w:t>
      </w:r>
    </w:p>
    <w:p>
      <w:pPr>
        <w:spacing w:after="0" w:line="60" w:lineRule="exact"/>
        <w:rPr>
          <w:rFonts w:ascii="Arial" w:cs="Arial" w:eastAsia="Arial" w:hAnsi="Arial"/>
          <w:sz w:val="12"/>
          <w:szCs w:val="12"/>
          <w:color w:val="auto"/>
        </w:rPr>
      </w:pPr>
    </w:p>
    <w:p>
      <w:pPr>
        <w:ind w:left="880" w:right="120" w:hanging="438"/>
        <w:spacing w:after="0" w:line="268" w:lineRule="auto"/>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33" w:lineRule="exact"/>
        <w:rPr>
          <w:rFonts w:ascii="Arial" w:cs="Arial" w:eastAsia="Arial" w:hAnsi="Arial"/>
          <w:sz w:val="12"/>
          <w:szCs w:val="12"/>
          <w:color w:val="auto"/>
        </w:rPr>
      </w:pPr>
    </w:p>
    <w:p>
      <w:pPr>
        <w:ind w:left="880" w:hanging="438"/>
        <w:spacing w:after="0"/>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diversify our holdings so that at the end of each quarter of the taxable year:</w:t>
      </w:r>
    </w:p>
    <w:p>
      <w:pPr>
        <w:spacing w:after="0" w:line="60" w:lineRule="exact"/>
        <w:rPr>
          <w:rFonts w:ascii="Arial" w:cs="Arial" w:eastAsia="Arial" w:hAnsi="Arial"/>
          <w:sz w:val="12"/>
          <w:szCs w:val="12"/>
          <w:color w:val="auto"/>
        </w:rPr>
      </w:pPr>
    </w:p>
    <w:p>
      <w:pPr>
        <w:ind w:left="880" w:right="20" w:hanging="438"/>
        <w:spacing w:after="0" w:line="268" w:lineRule="auto"/>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33" w:lineRule="exact"/>
        <w:rPr>
          <w:rFonts w:ascii="Arial" w:cs="Arial" w:eastAsia="Arial" w:hAnsi="Arial"/>
          <w:sz w:val="12"/>
          <w:szCs w:val="12"/>
          <w:color w:val="auto"/>
        </w:rPr>
      </w:pPr>
    </w:p>
    <w:p>
      <w:pPr>
        <w:ind w:left="880" w:right="160" w:hanging="438"/>
        <w:spacing w:after="0" w:line="314" w:lineRule="auto"/>
        <w:tabs>
          <w:tab w:leader="none" w:pos="8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Failure to qualify as a RIC</w:t>
      </w:r>
    </w:p>
    <w:p>
      <w:pPr>
        <w:spacing w:after="0" w:line="62" w:lineRule="exact"/>
        <w:rPr>
          <w:sz w:val="20"/>
          <w:szCs w:val="20"/>
          <w:color w:val="auto"/>
        </w:rPr>
      </w:pPr>
    </w:p>
    <w:p>
      <w:pPr>
        <w:ind w:right="20" w:firstLine="452"/>
        <w:spacing w:after="0" w:line="368" w:lineRule="auto"/>
        <w:rPr>
          <w:sz w:val="20"/>
          <w:szCs w:val="20"/>
          <w:color w:val="auto"/>
        </w:rPr>
      </w:pPr>
      <w:r>
        <w:rPr>
          <w:rFonts w:ascii="Arial" w:cs="Arial" w:eastAsia="Arial" w:hAnsi="Arial"/>
          <w:sz w:val="9"/>
          <w:szCs w:val="9"/>
          <w:color w:val="auto"/>
        </w:rPr>
        <w:t>If we were unable to qualify for treatment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 See “Risk Factors-Risks Relating to our Business and Structure-We will be subject to corporate-level income tax if we are unable to qualify as a RIC.”</w:t>
      </w:r>
    </w:p>
    <w:p>
      <w:pPr>
        <w:spacing w:after="0" w:line="128"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9"/>
          <w:szCs w:val="9"/>
          <w:b w:val="1"/>
          <w:bCs w:val="1"/>
          <w:color w:val="auto"/>
        </w:rPr>
        <w:t>Risk Factors</w:t>
      </w:r>
    </w:p>
    <w:p>
      <w:pPr>
        <w:spacing w:after="0" w:line="62" w:lineRule="exact"/>
        <w:rPr>
          <w:sz w:val="20"/>
          <w:szCs w:val="20"/>
          <w:color w:val="auto"/>
        </w:rPr>
      </w:pPr>
    </w:p>
    <w:p>
      <w:pPr>
        <w:ind w:firstLine="452"/>
        <w:spacing w:after="0" w:line="259" w:lineRule="auto"/>
        <w:rPr>
          <w:sz w:val="20"/>
          <w:szCs w:val="20"/>
          <w:color w:val="auto"/>
        </w:rPr>
      </w:pPr>
      <w:r>
        <w:rPr>
          <w:rFonts w:ascii="Arial" w:cs="Arial" w:eastAsia="Arial" w:hAnsi="Arial"/>
          <w:sz w:val="12"/>
          <w:szCs w:val="12"/>
          <w:color w:val="auto"/>
        </w:rPr>
        <w:t>An investment in our shares involves substantial risks relating to our structure and investment objectives, including those described below. The risks set out below are not the only risks we face. If any of the following events occur, our business, financial condition and results of operations could be materially adversely affected. In such case, our net asset value and the trading price of our common stock could decline significantly, and our investors may lose all or part of their investment.</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BUSINESS AND STRUCTURE</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have a limited operating history.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1"/>
          <w:szCs w:val="11"/>
          <w:color w:val="auto"/>
        </w:rPr>
        <w:t>We were incorporated in January 2007. We are subject to all of the business risks and uncertainties associated with any new business, including the risk that we will not achieve our investment objectives and that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260"/>
          </w:cols>
          <w:pgMar w:left="300" w:top="354" w:right="339"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value of our common stock could decline substantially. Although we have used, and will continue to use, the proceeds of our initial public offering and of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45" w:lineRule="exact"/>
        <w:rPr>
          <w:sz w:val="20"/>
          <w:szCs w:val="20"/>
          <w:color w:val="auto"/>
        </w:rPr>
      </w:pPr>
    </w:p>
    <w:p>
      <w:pPr>
        <w:ind w:right="140"/>
        <w:spacing w:after="0" w:line="271" w:lineRule="auto"/>
        <w:rPr>
          <w:sz w:val="20"/>
          <w:szCs w:val="20"/>
          <w:color w:val="auto"/>
        </w:rPr>
      </w:pPr>
      <w:r>
        <w:rPr>
          <w:rFonts w:ascii="Arial" w:cs="Arial" w:eastAsia="Arial" w:hAnsi="Arial"/>
          <w:sz w:val="12"/>
          <w:szCs w:val="12"/>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spacing w:after="0" w:line="32" w:lineRule="exact"/>
        <w:rPr>
          <w:sz w:val="20"/>
          <w:szCs w:val="20"/>
          <w:color w:val="auto"/>
        </w:rPr>
      </w:pPr>
    </w:p>
    <w:p>
      <w:pPr>
        <w:jc w:val="both"/>
        <w:ind w:right="80" w:firstLine="452"/>
        <w:spacing w:after="0" w:line="368" w:lineRule="auto"/>
        <w:rPr>
          <w:sz w:val="20"/>
          <w:szCs w:val="20"/>
          <w:color w:val="auto"/>
        </w:rPr>
      </w:pPr>
      <w:r>
        <w:rPr>
          <w:rFonts w:ascii="Arial" w:cs="Arial" w:eastAsia="Arial" w:hAnsi="Arial"/>
          <w:sz w:val="9"/>
          <w:szCs w:val="9"/>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Mr. Penn and other managers of our Investment Adviser evaluate, negotiate, structure, close and monitor our investments. Our future success depends on the continued service of Mr. Penn and other management personnel of our Investment Adviser. The departure of Mr. Penn or any other managers of PennantPark Investment Advisers could have a material adverse effect on our ability to achieve our investment objectives. In addition, we can offer no assurance that PennantPark Investment Advisers will remain our investment adviser.</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PennantPark Investment Advisers and its management have limited experience managing a business development company.</w:t>
      </w:r>
    </w:p>
    <w:p>
      <w:pPr>
        <w:spacing w:after="0" w:line="62" w:lineRule="exact"/>
        <w:rPr>
          <w:sz w:val="20"/>
          <w:szCs w:val="20"/>
          <w:color w:val="auto"/>
        </w:rPr>
      </w:pPr>
    </w:p>
    <w:p>
      <w:pPr>
        <w:ind w:right="20" w:firstLine="452"/>
        <w:spacing w:after="0" w:line="253" w:lineRule="auto"/>
        <w:rPr>
          <w:sz w:val="20"/>
          <w:szCs w:val="20"/>
          <w:color w:val="auto"/>
        </w:rPr>
      </w:pPr>
      <w:r>
        <w:rPr>
          <w:rFonts w:ascii="Arial" w:cs="Arial" w:eastAsia="Arial" w:hAnsi="Arial"/>
          <w:sz w:val="12"/>
          <w:szCs w:val="12"/>
          <w:color w:val="auto"/>
        </w:rPr>
        <w:t>The 1940 Act imposes numerous constraints on the operations of business development companies. For example, business development companies are required to invest at least 70% of their total assets primarily in securities of private or thinly traded U.S. public companies, cash, cash equivalents, U.S. government securities and other high quality debt investments that mature in one year or less. These constraints may hinder our Investment Adviser’s ability to take advantage of attractive investment opportunities and to achieve our investment objectives. While Mr. Penn, our Chief Executive Officer and the Managing Member of our Investment Adviser, has approximately two and one-half years of experience managing the investments of another business development company, such experience may not translate directly into his roles acting on our behalf. This is also true of the other investment professionals of our Investment Adviser. In addition, the investment philosophy and techniques used by our Investment Adviser may differ from those other investment companies. Accordingly, we can offer no assurance that PennantPark Investment will replicate the historical performance of other investment companies with which Mr. Penn or our other investment professionals have been affiliated, and we caution that our investment returns could be substantially lower than the returns achieved by such other companies.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financial condition and results of operation will depend on our ability to manage future growth effectively.</w:t>
      </w:r>
    </w:p>
    <w:p>
      <w:pPr>
        <w:spacing w:after="0" w:line="62" w:lineRule="exact"/>
        <w:rPr>
          <w:sz w:val="20"/>
          <w:szCs w:val="20"/>
          <w:color w:val="auto"/>
        </w:rPr>
      </w:pPr>
    </w:p>
    <w:p>
      <w:pPr>
        <w:ind w:firstLine="452"/>
        <w:spacing w:after="0" w:line="281" w:lineRule="auto"/>
        <w:rPr>
          <w:sz w:val="20"/>
          <w:szCs w:val="20"/>
          <w:color w:val="auto"/>
        </w:rPr>
      </w:pPr>
      <w:r>
        <w:rPr>
          <w:rFonts w:ascii="Arial" w:cs="Arial" w:eastAsia="Arial" w:hAnsi="Arial"/>
          <w:sz w:val="11"/>
          <w:szCs w:val="11"/>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will have substantial responsibilities under the investment advisory and management agreement. In order to grow, we and our Investment Adviser will need to hire, train, supervise and manage new employees. However, we can offer no assurance that any such employees will contribute effectively to the work of the Investment Adviser, and caution you that they may also be called upon to provide managerial assistance to our portfolio companies as the principals of our Administrator. Such demands on their time may distract them or slow our rate of investment. Any failure to manage our future growth effectively could have a material adverse effect on our business, financial condition and results of operations.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260"/>
          </w:cols>
          <w:pgMar w:left="300" w:top="354" w:right="339"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operate in a highly competitive market for investment opportunities.</w:t>
      </w:r>
    </w:p>
    <w:p>
      <w:pPr>
        <w:spacing w:after="0" w:line="62" w:lineRule="exact"/>
        <w:rPr>
          <w:sz w:val="20"/>
          <w:szCs w:val="20"/>
          <w:color w:val="auto"/>
        </w:rPr>
      </w:pPr>
    </w:p>
    <w:p>
      <w:pPr>
        <w:ind w:right="120" w:firstLine="452"/>
        <w:spacing w:after="0" w:line="278" w:lineRule="auto"/>
        <w:rPr>
          <w:sz w:val="20"/>
          <w:szCs w:val="20"/>
          <w:color w:val="auto"/>
        </w:rPr>
      </w:pPr>
      <w:r>
        <w:rPr>
          <w:rFonts w:ascii="Arial" w:cs="Arial" w:eastAsia="Arial" w:hAnsi="Arial"/>
          <w:sz w:val="11"/>
          <w:szCs w:val="11"/>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making investments in middle- market companies. As a result of these new entrants, competition for investment opportunities at middle-market companies has intensified, and we expect the trend to continue.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85" w:lineRule="exact"/>
        <w:rPr>
          <w:sz w:val="20"/>
          <w:szCs w:val="20"/>
          <w:color w:val="auto"/>
        </w:rPr>
      </w:pPr>
    </w:p>
    <w:p>
      <w:pPr>
        <w:ind w:right="20" w:firstLine="452"/>
        <w:spacing w:after="0" w:line="293" w:lineRule="auto"/>
        <w:rPr>
          <w:sz w:val="20"/>
          <w:szCs w:val="20"/>
          <w:color w:val="auto"/>
        </w:rPr>
      </w:pPr>
      <w:r>
        <w:rPr>
          <w:rFonts w:ascii="Arial" w:cs="Arial" w:eastAsia="Arial" w:hAnsi="Arial"/>
          <w:sz w:val="11"/>
          <w:szCs w:val="11"/>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Any failure on our part to maintain our status as a business development company would reduce our operating flexibility.</w:t>
      </w:r>
    </w:p>
    <w:p>
      <w:pPr>
        <w:spacing w:after="0" w:line="62" w:lineRule="exact"/>
        <w:rPr>
          <w:sz w:val="20"/>
          <w:szCs w:val="20"/>
          <w:color w:val="auto"/>
        </w:rPr>
      </w:pPr>
    </w:p>
    <w:p>
      <w:pPr>
        <w:ind w:right="200" w:firstLine="452"/>
        <w:spacing w:after="0" w:line="268" w:lineRule="auto"/>
        <w:rPr>
          <w:sz w:val="20"/>
          <w:szCs w:val="20"/>
          <w:color w:val="auto"/>
        </w:rPr>
      </w:pPr>
      <w:r>
        <w:rPr>
          <w:rFonts w:ascii="Arial" w:cs="Arial" w:eastAsia="Arial" w:hAnsi="Arial"/>
          <w:sz w:val="12"/>
          <w:szCs w:val="12"/>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will be subject to corporate-level income tax if we are unable to qualify as a RIC.</w:t>
      </w:r>
    </w:p>
    <w:p>
      <w:pPr>
        <w:spacing w:after="0" w:line="62" w:lineRule="exact"/>
        <w:rPr>
          <w:sz w:val="20"/>
          <w:szCs w:val="20"/>
          <w:color w:val="auto"/>
        </w:rPr>
      </w:pPr>
    </w:p>
    <w:p>
      <w:pPr>
        <w:ind w:firstLine="452"/>
        <w:spacing w:after="0" w:line="280" w:lineRule="auto"/>
        <w:rPr>
          <w:sz w:val="20"/>
          <w:szCs w:val="20"/>
          <w:color w:val="auto"/>
        </w:rPr>
      </w:pPr>
      <w:r>
        <w:rPr>
          <w:rFonts w:ascii="Arial" w:cs="Arial" w:eastAsia="Arial" w:hAnsi="Arial"/>
          <w:sz w:val="11"/>
          <w:szCs w:val="11"/>
          <w:color w:val="auto"/>
        </w:rPr>
        <w:t>To qualify as a RIC under the Code, we must meet certain source-of-income, asset diversification and annual distribution requirements. The annual distribution requirement for a RIC is satisfied if we distribute at least 90% of our ordinary income and realized net short-term capital gains in excess of realized net long-term capital losses, if any, to our stockholders on an annual basis. To the extent we use debt financing, we are subject to certain asset coverage ratio requirements under the 1940 Act and financial covenants under loan and credit agreements that could, under certain circumstances, restrict us from making distributions necessary to qualify as a RIC. If we are unable to obtain cash from other sources, we may fail to qualify as a RIC and, thus, may be subject to corporate-level income tax. To qualify as a RIC, we must also meet certain asset diversification requirements at the end of each calendar quarter. Failure to meet these tests may result in having to dispose of certain investments quickly in order to prevent the loss of RIC status. Because most of our investments are in private companies, any such dispositions could be made at disadvantageous prices and may result in substantial losses. If we fail to qualify as a RIC for any reason and become subject to corporate income tax, the resulting corporate taxes could substantially reduce our net assets, the amount of income available for distribution and the amount of our distributions. Such a failure would have a material adverse effect on us and our stockholders.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354" w:right="299"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have difficulty paying our required distributions if we recognize income before or without receiving cash representing such income.</w:t>
      </w:r>
    </w:p>
    <w:p>
      <w:pPr>
        <w:spacing w:after="0" w:line="62" w:lineRule="exact"/>
        <w:rPr>
          <w:sz w:val="20"/>
          <w:szCs w:val="20"/>
          <w:color w:val="auto"/>
        </w:rPr>
      </w:pPr>
    </w:p>
    <w:p>
      <w:pPr>
        <w:ind w:right="100" w:firstLine="452"/>
        <w:spacing w:after="0" w:line="293" w:lineRule="auto"/>
        <w:rPr>
          <w:sz w:val="20"/>
          <w:szCs w:val="20"/>
          <w:color w:val="auto"/>
        </w:rPr>
      </w:pPr>
      <w:r>
        <w:rPr>
          <w:rFonts w:ascii="Arial" w:cs="Arial" w:eastAsia="Arial" w:hAnsi="Arial"/>
          <w:sz w:val="11"/>
          <w:szCs w:val="11"/>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77" w:lineRule="exact"/>
        <w:rPr>
          <w:sz w:val="20"/>
          <w:szCs w:val="20"/>
          <w:color w:val="auto"/>
        </w:rPr>
      </w:pPr>
    </w:p>
    <w:p>
      <w:pPr>
        <w:ind w:right="80" w:firstLine="452"/>
        <w:spacing w:after="0" w:line="268" w:lineRule="auto"/>
        <w:rPr>
          <w:sz w:val="20"/>
          <w:szCs w:val="20"/>
          <w:color w:val="auto"/>
        </w:rPr>
      </w:pPr>
      <w:r>
        <w:rPr>
          <w:rFonts w:ascii="Arial" w:cs="Arial" w:eastAsia="Arial" w:hAnsi="Arial"/>
          <w:sz w:val="12"/>
          <w:szCs w:val="12"/>
          <w:color w:val="auto"/>
        </w:rPr>
        <w:t>The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88" w:lineRule="exact"/>
        <w:rPr>
          <w:sz w:val="20"/>
          <w:szCs w:val="20"/>
          <w:color w:val="auto"/>
        </w:rPr>
      </w:pPr>
    </w:p>
    <w:p>
      <w:pPr>
        <w:ind w:right="40" w:firstLine="452"/>
        <w:spacing w:after="0" w:line="385" w:lineRule="auto"/>
        <w:rPr>
          <w:sz w:val="20"/>
          <w:szCs w:val="20"/>
          <w:color w:val="auto"/>
        </w:rPr>
      </w:pPr>
      <w:r>
        <w:rPr>
          <w:rFonts w:ascii="Arial" w:cs="Arial" w:eastAsia="Arial" w:hAnsi="Arial"/>
          <w:sz w:val="9"/>
          <w:szCs w:val="9"/>
          <w:color w:val="auto"/>
        </w:rPr>
        <w:t>In some cases we may recognize income before or without receiving cash representing such income. As a result, we may have difficulty meeting the tax requirement to distribute at least 90% of our ordinary income and realized net short-term capital gains in excess of realized net long-term capital losses,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governing our operation as a business development company will affect our ability to, and the way in which we raise additional capital.</w:t>
      </w:r>
    </w:p>
    <w:p>
      <w:pPr>
        <w:spacing w:after="0" w:line="62" w:lineRule="exact"/>
        <w:rPr>
          <w:sz w:val="20"/>
          <w:szCs w:val="20"/>
          <w:color w:val="auto"/>
        </w:rPr>
      </w:pPr>
    </w:p>
    <w:p>
      <w:pPr>
        <w:ind w:right="40" w:firstLine="452"/>
        <w:spacing w:after="0" w:line="256" w:lineRule="auto"/>
        <w:rPr>
          <w:sz w:val="20"/>
          <w:szCs w:val="20"/>
          <w:color w:val="auto"/>
        </w:rPr>
      </w:pPr>
      <w:r>
        <w:rPr>
          <w:rFonts w:ascii="Arial" w:cs="Arial" w:eastAsia="Arial" w:hAnsi="Arial"/>
          <w:sz w:val="12"/>
          <w:szCs w:val="12"/>
          <w:color w:val="auto"/>
        </w:rPr>
        <w:t>We may issue debt securities, preferred stock and/or borrow money from banks or other financial institutions, which we refer to collectively as “senior securities,” up to the maximum amount permitted by the 1940 Act. Under the provisions of the 1940 Act, we will be permitted as a business development company to issue senior securities only in amounts such that our asset coverage, as defined in the 1940 Act, equals at least 200%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w:t>
      </w:r>
    </w:p>
    <w:p>
      <w:pPr>
        <w:spacing w:after="0" w:line="95" w:lineRule="exact"/>
        <w:rPr>
          <w:sz w:val="20"/>
          <w:szCs w:val="20"/>
          <w:color w:val="auto"/>
        </w:rPr>
      </w:pPr>
    </w:p>
    <w:p>
      <w:pPr>
        <w:ind w:right="140" w:firstLine="452"/>
        <w:spacing w:after="0" w:line="287" w:lineRule="auto"/>
        <w:rPr>
          <w:sz w:val="20"/>
          <w:szCs w:val="20"/>
          <w:color w:val="auto"/>
        </w:rPr>
      </w:pPr>
      <w:r>
        <w:rPr>
          <w:rFonts w:ascii="Arial" w:cs="Arial" w:eastAsia="Arial" w:hAnsi="Arial"/>
          <w:sz w:val="11"/>
          <w:szCs w:val="11"/>
          <w:color w:val="auto"/>
        </w:rPr>
        <w:t>Generally we are not able to issue and sell our common stock at a price below net asset value per share. We may, however, sell our common stock, at a price below the current net asset value of the common stock, or sell warrants, options or rights to acquire such common stock, at a price below the current net asset value of the common stock. To do this, our board of directors must determine that such sale is in the best interests of PennantPark Investment and our stockholders, and our stockholders must approve PennantPark Investment’s policy and practice of making such sales. In any such case, the price at which our securities are to be issued and sold may not be less than a price which, in the determination of our board of directors, closely approximates the market value of such securities (less any distributing commission or discount).</w:t>
      </w:r>
    </w:p>
    <w:p>
      <w:pPr>
        <w:spacing w:after="0" w:line="79" w:lineRule="exact"/>
        <w:rPr>
          <w:sz w:val="20"/>
          <w:szCs w:val="20"/>
          <w:color w:val="auto"/>
        </w:rPr>
      </w:pPr>
    </w:p>
    <w:p>
      <w:pPr>
        <w:ind w:firstLine="452"/>
        <w:spacing w:after="0" w:line="368" w:lineRule="auto"/>
        <w:rPr>
          <w:sz w:val="20"/>
          <w:szCs w:val="20"/>
          <w:color w:val="auto"/>
        </w:rPr>
      </w:pPr>
      <w:r>
        <w:rPr>
          <w:rFonts w:ascii="Arial" w:cs="Arial" w:eastAsia="Arial" w:hAnsi="Arial"/>
          <w:sz w:val="9"/>
          <w:szCs w:val="9"/>
          <w:color w:val="auto"/>
        </w:rPr>
        <w:t>In addition to issuing securities to raise capital as described above, we may in the future seek to securitize our loans to generate cash for funding new investments. To securitize loans, we may create a wholly owned subsidiary and contribute a pool of loans to the subsidiary. This could include the sale of interests in the subsidiary on a non-recourse basis to purchasers who we would expect to be willing to accept a lower interest rate to invest in investment grade loan pools, and we would retain a portion of the equity in any such securitized pool of loans. An inability to successfully securitize our loan portfolio could limit our ability to grow our business, fully execute our business strategy and decrease our earnings, if any. Moreover, the successful securitization of our loan portfolio might expose us to losses as the residual loans in which we do not sell interests will tend to be those that are riskier and more apt to generate losses.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280"/>
          </w:cols>
          <w:pgMar w:left="300" w:top="354" w:right="319"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currently use borrowed funds to make investments and are exposed to the typical risks associated with leverage.</w:t>
      </w:r>
    </w:p>
    <w:p>
      <w:pPr>
        <w:spacing w:after="0" w:line="62" w:lineRule="exact"/>
        <w:rPr>
          <w:sz w:val="20"/>
          <w:szCs w:val="20"/>
          <w:color w:val="auto"/>
        </w:rPr>
      </w:pPr>
    </w:p>
    <w:p>
      <w:pPr>
        <w:ind w:right="80" w:firstLine="452"/>
        <w:spacing w:after="0" w:line="259" w:lineRule="auto"/>
        <w:rPr>
          <w:sz w:val="20"/>
          <w:szCs w:val="20"/>
          <w:color w:val="auto"/>
        </w:rPr>
      </w:pPr>
      <w:r>
        <w:rPr>
          <w:rFonts w:ascii="Arial" w:cs="Arial" w:eastAsia="Arial" w:hAnsi="Arial"/>
          <w:sz w:val="12"/>
          <w:szCs w:val="12"/>
          <w:color w:val="auto"/>
        </w:rPr>
        <w:t>Because we borrow funds to make investments we are exposed to increased risk of loss due to our use of debt to make investments. A decrease in the value of our investments will have a greater negative impact on the value of our common stock than it would if we did not use debt. Our ability to pay distributions is restricted when our asset coverage ratio is not at least 200% and any amounts that we use to service our indebtedness is not available for distributions to our common stockholders.</w:t>
      </w:r>
    </w:p>
    <w:p>
      <w:pPr>
        <w:spacing w:after="0" w:line="93" w:lineRule="exact"/>
        <w:rPr>
          <w:sz w:val="20"/>
          <w:szCs w:val="20"/>
          <w:color w:val="auto"/>
        </w:rPr>
      </w:pPr>
    </w:p>
    <w:p>
      <w:pPr>
        <w:ind w:firstLine="452"/>
        <w:spacing w:after="0" w:line="314" w:lineRule="auto"/>
        <w:rPr>
          <w:sz w:val="20"/>
          <w:szCs w:val="20"/>
          <w:color w:val="auto"/>
        </w:rPr>
      </w:pPr>
      <w:r>
        <w:rPr>
          <w:rFonts w:ascii="Arial" w:cs="Arial" w:eastAsia="Arial" w:hAnsi="Arial"/>
          <w:sz w:val="11"/>
          <w:szCs w:val="11"/>
          <w:color w:val="auto"/>
        </w:rPr>
        <w:t>Our current and future debt is governed by the terms of the credit facility, and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fund a portion of our investments with borrowed money, which magnifies the potential for gain or loss on amounts invested and may increase the risk of investing in us.</w:t>
      </w:r>
    </w:p>
    <w:p>
      <w:pPr>
        <w:spacing w:after="0" w:line="62" w:lineRule="exact"/>
        <w:rPr>
          <w:sz w:val="20"/>
          <w:szCs w:val="20"/>
          <w:color w:val="auto"/>
        </w:rPr>
      </w:pPr>
    </w:p>
    <w:p>
      <w:pPr>
        <w:ind w:right="60" w:firstLine="452"/>
        <w:spacing w:after="0" w:line="280" w:lineRule="auto"/>
        <w:rPr>
          <w:sz w:val="20"/>
          <w:szCs w:val="20"/>
          <w:color w:val="auto"/>
        </w:rPr>
      </w:pPr>
      <w:r>
        <w:rPr>
          <w:rFonts w:ascii="Arial" w:cs="Arial" w:eastAsia="Arial" w:hAnsi="Arial"/>
          <w:sz w:val="11"/>
          <w:szCs w:val="11"/>
          <w:color w:val="auto"/>
        </w:rPr>
        <w:t>Borrowings, also known as leverage, magnify the potential for gain or loss on amounts invested and therefore, increase the risks associated with investing in our securities. We entered into a credit agreement in June 2007 with institutional banks and other lenders to facilitate such borrowing, with a total commitment under the credit agreement of $300 million. Our lenders have fixed dollar claims on our consolidated assets that are superior to the claims of our common stockholders. If the value of our consolidated assets increases, then leveraging would cause the net asset value to increase more sharply than it would have had we not leveraged. Conversely, if the value of our consolidated assets decreases, leveraging would cause the net asset value to decline more sharply than it otherwise would have had we not leveraged. Similarly, any increase in our consolidated income in excess of consolidated interest payable on the borrowed funds would cause our net income to increase more than it would without the leverage, while any decrease in our consolidated income would cause net income to decline more sharply than it would have had we not borrowed. Such a decline could negatively affect our ability to make common stock dividend payments. The overall leveraged finance credit market experienced a substantial downturn during the summer of 2007, and this resulted in unrealized depreciation on some of our existing assets. Leverage is generally considered a speculative investment technique.</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 addition, the costs associated with our borrowings, including any increase in the management fee payable to our Investment Adviser, will be borne by our common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interest rates may affect our cost of capital and net investment income.</w:t>
      </w:r>
    </w:p>
    <w:p>
      <w:pPr>
        <w:spacing w:after="0" w:line="62" w:lineRule="exact"/>
        <w:rPr>
          <w:sz w:val="20"/>
          <w:szCs w:val="20"/>
          <w:color w:val="auto"/>
        </w:rPr>
      </w:pPr>
    </w:p>
    <w:p>
      <w:pPr>
        <w:ind w:firstLine="452"/>
        <w:spacing w:after="0" w:line="281" w:lineRule="auto"/>
        <w:rPr>
          <w:sz w:val="20"/>
          <w:szCs w:val="20"/>
          <w:color w:val="auto"/>
        </w:rPr>
      </w:pPr>
      <w:r>
        <w:rPr>
          <w:rFonts w:ascii="Arial" w:cs="Arial" w:eastAsia="Arial" w:hAnsi="Arial"/>
          <w:sz w:val="11"/>
          <w:szCs w:val="11"/>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since June 25, 2007, when we executed our credit facility, the applicable LIBOR rate has decreased from 5.32% to 5.12% at September 30, 2007.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w:t>
      </w:r>
    </w:p>
    <w:p>
      <w:pPr>
        <w:spacing w:after="0" w:line="83" w:lineRule="exact"/>
        <w:rPr>
          <w:sz w:val="20"/>
          <w:szCs w:val="20"/>
          <w:color w:val="auto"/>
        </w:rPr>
      </w:pPr>
    </w:p>
    <w:p>
      <w:pPr>
        <w:jc w:val="both"/>
        <w:ind w:right="100" w:firstLine="452"/>
        <w:spacing w:after="0" w:line="437" w:lineRule="auto"/>
        <w:rPr>
          <w:sz w:val="20"/>
          <w:szCs w:val="20"/>
          <w:color w:val="auto"/>
        </w:rPr>
      </w:pPr>
      <w:r>
        <w:rPr>
          <w:rFonts w:ascii="Arial" w:cs="Arial" w:eastAsia="Arial" w:hAnsi="Arial"/>
          <w:sz w:val="9"/>
          <w:szCs w:val="9"/>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See “Quantitative and Qualitative Disclosures about Market Risk”.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280"/>
          </w:cols>
          <w:pgMar w:left="300" w:top="354" w:right="319"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will need to raise additional capital to grow because we must distribute most of our income.</w:t>
      </w:r>
    </w:p>
    <w:p>
      <w:pPr>
        <w:spacing w:after="0" w:line="62" w:lineRule="exact"/>
        <w:rPr>
          <w:sz w:val="20"/>
          <w:szCs w:val="20"/>
          <w:color w:val="auto"/>
        </w:rPr>
      </w:pPr>
    </w:p>
    <w:p>
      <w:pPr>
        <w:jc w:val="both"/>
        <w:ind w:right="20" w:firstLine="452"/>
        <w:spacing w:after="0" w:line="293" w:lineRule="auto"/>
        <w:rPr>
          <w:sz w:val="20"/>
          <w:szCs w:val="20"/>
          <w:color w:val="auto"/>
        </w:rPr>
      </w:pPr>
      <w:r>
        <w:rPr>
          <w:rFonts w:ascii="Arial" w:cs="Arial" w:eastAsia="Arial" w:hAnsi="Arial"/>
          <w:sz w:val="11"/>
          <w:szCs w:val="11"/>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In addition, as a business development company, we are generally required to maintain a ratio of at least 200% of total assets to total borrowings, which may restrict our ability to borrow in certain circumstances.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experience fluctuations in our quarterly results.</w:t>
      </w:r>
    </w:p>
    <w:p>
      <w:pPr>
        <w:spacing w:after="0" w:line="62" w:lineRule="exact"/>
        <w:rPr>
          <w:sz w:val="20"/>
          <w:szCs w:val="20"/>
          <w:color w:val="auto"/>
        </w:rPr>
      </w:pPr>
    </w:p>
    <w:p>
      <w:pPr>
        <w:ind w:right="260" w:firstLine="452"/>
        <w:spacing w:after="0" w:line="259" w:lineRule="auto"/>
        <w:rPr>
          <w:sz w:val="20"/>
          <w:szCs w:val="20"/>
          <w:color w:val="auto"/>
        </w:rPr>
      </w:pPr>
      <w:r>
        <w:rPr>
          <w:rFonts w:ascii="Arial" w:cs="Arial" w:eastAsia="Arial" w:hAnsi="Arial"/>
          <w:sz w:val="12"/>
          <w:szCs w:val="12"/>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borrowers may default on their payments, which may have a negative effect on our financial performance.</w:t>
      </w:r>
    </w:p>
    <w:p>
      <w:pPr>
        <w:spacing w:after="0" w:line="62" w:lineRule="exact"/>
        <w:rPr>
          <w:sz w:val="20"/>
          <w:szCs w:val="20"/>
          <w:color w:val="auto"/>
        </w:rPr>
      </w:pPr>
    </w:p>
    <w:p>
      <w:pPr>
        <w:ind w:right="40" w:firstLine="452"/>
        <w:spacing w:after="0" w:line="281" w:lineRule="auto"/>
        <w:rPr>
          <w:sz w:val="20"/>
          <w:szCs w:val="20"/>
          <w:color w:val="auto"/>
        </w:rPr>
      </w:pPr>
      <w:r>
        <w:rPr>
          <w:rFonts w:ascii="Arial" w:cs="Arial" w:eastAsia="Arial" w:hAnsi="Arial"/>
          <w:sz w:val="11"/>
          <w:szCs w:val="11"/>
          <w:color w:val="auto"/>
        </w:rPr>
        <w:t>We make long-term, subordinated loans and invest in equity investments, which may involve a high degree of repayment risk. We invest in companies that may have limited financial resources, may be highly leveraged and may be unable to obtain financing from traditional sources. Numerous factors may affect a borrower’s ability to repay its loan, including the failure to meet its business plan, a downturn in its industry, or negative economic conditions. A portfolio company’s failure to satisfy financial or operating covenants imposed by us or other lenders could lead to defaults and, potentially, termination of its loans or foreclosure on its secured assets, which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negative effect on our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There are significant potential conflicts of interest which could impact our investment returns.</w:t>
      </w:r>
    </w:p>
    <w:p>
      <w:pPr>
        <w:spacing w:after="0" w:line="62" w:lineRule="exact"/>
        <w:rPr>
          <w:sz w:val="20"/>
          <w:szCs w:val="20"/>
          <w:color w:val="auto"/>
        </w:rPr>
      </w:pPr>
    </w:p>
    <w:p>
      <w:pPr>
        <w:ind w:firstLine="452"/>
        <w:spacing w:after="0" w:line="385" w:lineRule="auto"/>
        <w:rPr>
          <w:sz w:val="20"/>
          <w:szCs w:val="20"/>
          <w:color w:val="auto"/>
        </w:rPr>
      </w:pPr>
      <w:r>
        <w:rPr>
          <w:rFonts w:ascii="Arial" w:cs="Arial" w:eastAsia="Arial" w:hAnsi="Arial"/>
          <w:sz w:val="9"/>
          <w:szCs w:val="9"/>
          <w:color w:val="auto"/>
        </w:rPr>
        <w:t>The partners of our Investment Adviser may serve as officers, directors or principals of entities that operate in the same or a related line of business as we do or of investment funds managed by affiliates of PennantPark Investment that may be formed in the future. The Investment Adviser has not yet undertaken any such services, but may do so at any time and without the prior approval of our stockholders or our board of directors. Our board of directors would monitor any potential conflict that may arise upon such a development. Accordingly, if this occurs, they may have obligations to investors in those entities, the fulfillment of which might not be in the best interests of us or our stockholders.</w:t>
      </w:r>
    </w:p>
    <w:p>
      <w:pPr>
        <w:spacing w:after="0" w:line="42" w:lineRule="exact"/>
        <w:rPr>
          <w:sz w:val="20"/>
          <w:szCs w:val="20"/>
          <w:color w:val="auto"/>
        </w:rPr>
      </w:pPr>
    </w:p>
    <w:p>
      <w:pPr>
        <w:ind w:firstLine="452"/>
        <w:spacing w:after="0" w:line="259" w:lineRule="auto"/>
        <w:rPr>
          <w:sz w:val="20"/>
          <w:szCs w:val="20"/>
          <w:color w:val="auto"/>
        </w:rPr>
      </w:pPr>
      <w:r>
        <w:rPr>
          <w:rFonts w:ascii="Arial" w:cs="Arial" w:eastAsia="Arial" w:hAnsi="Arial"/>
          <w:sz w:val="12"/>
          <w:szCs w:val="12"/>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280"/>
          </w:cols>
          <w:pgMar w:left="300" w:top="354" w:right="319" w:bottom="1440" w:gutter="0" w:footer="0" w:header="0"/>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120" w:firstLine="452"/>
        <w:spacing w:after="0" w:line="293" w:lineRule="auto"/>
        <w:rPr>
          <w:sz w:val="20"/>
          <w:szCs w:val="20"/>
          <w:color w:val="auto"/>
        </w:rPr>
      </w:pPr>
      <w:r>
        <w:rPr>
          <w:rFonts w:ascii="Arial" w:cs="Arial" w:eastAsia="Arial" w:hAnsi="Arial"/>
          <w:sz w:val="11"/>
          <w:szCs w:val="11"/>
          <w:color w:val="auto"/>
        </w:rPr>
        <w:t>The Investment Adviser may receive a quarterly incentive fee based, in part, on our pre-incentive fee income, if any, for the immediately preceding calendar quarter. This incentive fee is subject to a quarterly hurdle rate before providing an incentive fee return to the Investment Adviser. To the extent we or the Investment Adviser are able to exert influence over our portfolio companies, the quarterly pre-incentive fee may provide PennantPark Investment Advisers with an incentive to induce our portfolio companies to accelerate or defer interest or other obligations owed to us from one calendar quarter to another.</w:t>
      </w:r>
    </w:p>
    <w:p>
      <w:pPr>
        <w:spacing w:after="0" w:line="77" w:lineRule="exact"/>
        <w:rPr>
          <w:sz w:val="20"/>
          <w:szCs w:val="20"/>
          <w:color w:val="auto"/>
        </w:rPr>
      </w:pPr>
    </w:p>
    <w:p>
      <w:pPr>
        <w:ind w:right="40" w:firstLine="452"/>
        <w:spacing w:after="0" w:line="254" w:lineRule="auto"/>
        <w:rPr>
          <w:sz w:val="20"/>
          <w:szCs w:val="20"/>
          <w:color w:val="auto"/>
        </w:rPr>
      </w:pPr>
      <w:r>
        <w:rPr>
          <w:rFonts w:ascii="Arial" w:cs="Arial" w:eastAsia="Arial" w:hAnsi="Arial"/>
          <w:sz w:val="12"/>
          <w:szCs w:val="12"/>
          <w:color w:val="auto"/>
        </w:rPr>
        <w:t>We have entered into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will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laws or regulations governing our operations may adversely affect our business.</w:t>
      </w:r>
    </w:p>
    <w:p>
      <w:pPr>
        <w:spacing w:after="0" w:line="62" w:lineRule="exact"/>
        <w:rPr>
          <w:sz w:val="20"/>
          <w:szCs w:val="20"/>
          <w:color w:val="auto"/>
        </w:rPr>
      </w:pPr>
    </w:p>
    <w:p>
      <w:pPr>
        <w:ind w:right="100" w:firstLine="452"/>
        <w:spacing w:after="0" w:line="268" w:lineRule="auto"/>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affect on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board of directors may change our investment objectives, operating policies and strategies without prior notice or stockholder approval.</w:t>
      </w:r>
    </w:p>
    <w:p>
      <w:pPr>
        <w:spacing w:after="0" w:line="62" w:lineRule="exact"/>
        <w:rPr>
          <w:sz w:val="20"/>
          <w:szCs w:val="20"/>
          <w:color w:val="auto"/>
        </w:rPr>
      </w:pPr>
    </w:p>
    <w:p>
      <w:pPr>
        <w:ind w:right="80" w:firstLine="452"/>
        <w:spacing w:after="0" w:line="293" w:lineRule="auto"/>
        <w:rPr>
          <w:sz w:val="20"/>
          <w:szCs w:val="20"/>
          <w:color w:val="auto"/>
        </w:rPr>
      </w:pPr>
      <w:r>
        <w:rPr>
          <w:rFonts w:ascii="Arial" w:cs="Arial" w:eastAsia="Arial" w:hAnsi="Arial"/>
          <w:sz w:val="11"/>
          <w:szCs w:val="11"/>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THE ILLIQUID NATURE OF OUR PORTFOLIO ASSETS</w:t>
      </w:r>
    </w:p>
    <w:p>
      <w:pPr>
        <w:spacing w:after="0" w:line="62"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2"/>
          <w:szCs w:val="12"/>
          <w:color w:val="auto"/>
        </w:rPr>
        <w:t>All of our investments are recorded using broker/dealers quotes, or at fair value as determined in good faith by our board of directors. As a result, there will be uncertainty as to the value of our portfolio investments. We expect that a large percentage of our portfolio investments will be in the form of securities that have no broker/dealers quotes. The fair value of such securities may not be readily determinable. We value these securities quarterly at fair value as determined in good faith by our board of directors.</w:t>
      </w:r>
    </w:p>
    <w:p>
      <w:pPr>
        <w:spacing w:after="0" w:line="93" w:lineRule="exact"/>
        <w:rPr>
          <w:sz w:val="20"/>
          <w:szCs w:val="20"/>
          <w:color w:val="auto"/>
        </w:rPr>
      </w:pPr>
    </w:p>
    <w:p>
      <w:pPr>
        <w:ind w:right="40" w:firstLine="452"/>
        <w:spacing w:after="0" w:line="283" w:lineRule="auto"/>
        <w:rPr>
          <w:sz w:val="20"/>
          <w:szCs w:val="20"/>
          <w:color w:val="auto"/>
        </w:rPr>
      </w:pPr>
      <w:r>
        <w:rPr>
          <w:rFonts w:ascii="Arial" w:cs="Arial" w:eastAsia="Arial" w:hAnsi="Arial"/>
          <w:sz w:val="11"/>
          <w:szCs w:val="11"/>
          <w:color w:val="auto"/>
        </w:rPr>
        <w:t>At September 30, 2007, most of our portfolio assets were recorded using broker/dealers quotes. As we invest a greater percentage of our total assets in core assets,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300"/>
          </w:cols>
          <w:pgMar w:left="300" w:top="354" w:right="299"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1"/>
          <w:szCs w:val="11"/>
          <w:color w:val="auto"/>
        </w:rPr>
        <w:t>uncertain. Our net asset value could be adversely affected if our determinations regarding the fair value of our investments were materially higher than the values that we ultimately realize upon the disposal of such securities.</w:t>
      </w:r>
    </w:p>
    <w:p>
      <w:pPr>
        <w:spacing w:after="0" w:line="126" w:lineRule="exact"/>
        <w:rPr>
          <w:sz w:val="20"/>
          <w:szCs w:val="20"/>
          <w:color w:val="auto"/>
        </w:rPr>
      </w:pPr>
    </w:p>
    <w:p>
      <w:pPr>
        <w:ind w:right="40" w:firstLine="452"/>
        <w:spacing w:after="0" w:line="279" w:lineRule="auto"/>
        <w:rPr>
          <w:sz w:val="20"/>
          <w:szCs w:val="20"/>
          <w:color w:val="auto"/>
        </w:rPr>
      </w:pPr>
      <w:r>
        <w:rPr>
          <w:rFonts w:ascii="Arial" w:cs="Arial" w:eastAsia="Arial" w:hAnsi="Arial"/>
          <w:sz w:val="11"/>
          <w:szCs w:val="11"/>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value each individual investment on a quarterly basis and record unrealized depreciation for an investment that we believe has become impaired, including where collection of a loan or realization of an equity investment is doubtful, or when the enterprise value of the portfolio company does not currently support the cost of our debt or equity investment. Enterprise value means the entire value of the company to a potential buyer, including the sum of the values of debt and equity investments used to capitalize the enterprise at a point in time. We will record unrealized appreciation if we believe that the underlying portfolio company has appreciated in value. Without a readily available market value and because of the inherent uncertainty of valuation, the fair value of our investments determined in good faith by the board of directors may differ significantly from the values that would have been used had a ready market existed for the investments, and the differences could be material. Our net asset value could be affected if our determination of the fair value of our investments is materially different than the value that we ultimately realize.</w:t>
      </w:r>
    </w:p>
    <w:p>
      <w:pPr>
        <w:spacing w:after="0" w:line="84" w:lineRule="exact"/>
        <w:rPr>
          <w:sz w:val="20"/>
          <w:szCs w:val="20"/>
          <w:color w:val="auto"/>
        </w:rPr>
      </w:pPr>
    </w:p>
    <w:p>
      <w:pPr>
        <w:ind w:right="280" w:firstLine="452"/>
        <w:spacing w:after="0" w:line="268" w:lineRule="auto"/>
        <w:rPr>
          <w:sz w:val="20"/>
          <w:szCs w:val="20"/>
          <w:color w:val="auto"/>
        </w:rPr>
      </w:pPr>
      <w:r>
        <w:rPr>
          <w:rFonts w:ascii="Arial" w:cs="Arial" w:eastAsia="Arial" w:hAnsi="Arial"/>
          <w:sz w:val="12"/>
          <w:szCs w:val="12"/>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lack of liquidity in our investments may adversely affect our business.</w:t>
      </w:r>
    </w:p>
    <w:p>
      <w:pPr>
        <w:spacing w:after="0" w:line="62" w:lineRule="exact"/>
        <w:rPr>
          <w:sz w:val="20"/>
          <w:szCs w:val="20"/>
          <w:color w:val="auto"/>
        </w:rPr>
      </w:pPr>
    </w:p>
    <w:p>
      <w:pPr>
        <w:ind w:right="280" w:firstLine="452"/>
        <w:spacing w:after="0" w:line="268" w:lineRule="auto"/>
        <w:rPr>
          <w:sz w:val="20"/>
          <w:szCs w:val="20"/>
          <w:color w:val="auto"/>
        </w:rPr>
      </w:pPr>
      <w:r>
        <w:rPr>
          <w:rFonts w:ascii="Arial" w:cs="Arial" w:eastAsia="Arial" w:hAnsi="Arial"/>
          <w:sz w:val="12"/>
          <w:szCs w:val="12"/>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w:t>
      </w:r>
    </w:p>
    <w:p>
      <w:pPr>
        <w:spacing w:after="0" w:line="88" w:lineRule="exact"/>
        <w:rPr>
          <w:sz w:val="20"/>
          <w:szCs w:val="20"/>
          <w:color w:val="auto"/>
        </w:rPr>
      </w:pPr>
    </w:p>
    <w:p>
      <w:pPr>
        <w:ind w:right="80" w:firstLine="452"/>
        <w:spacing w:after="0" w:line="259" w:lineRule="auto"/>
        <w:rPr>
          <w:sz w:val="20"/>
          <w:szCs w:val="20"/>
          <w:color w:val="auto"/>
        </w:rPr>
      </w:pPr>
      <w:r>
        <w:rPr>
          <w:rFonts w:ascii="Arial" w:cs="Arial" w:eastAsia="Arial" w:hAnsi="Arial"/>
          <w:sz w:val="12"/>
          <w:szCs w:val="12"/>
          <w:color w:val="auto"/>
        </w:rPr>
        <w:t>The illiquidity of our investments may make it difficult or impossible for us to sell such investments if the need arises, particularly if investor appetite for the securities of private middle-market companies substantially diminishes.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93" w:lineRule="exact"/>
        <w:rPr>
          <w:sz w:val="20"/>
          <w:szCs w:val="20"/>
          <w:color w:val="auto"/>
        </w:rPr>
      </w:pPr>
    </w:p>
    <w:p>
      <w:pPr>
        <w:jc w:val="both"/>
        <w:ind w:right="160" w:firstLine="452"/>
        <w:spacing w:after="0" w:line="259"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markets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general disruption in the credit markets could materially damage our business.</w:t>
      </w:r>
    </w:p>
    <w:p>
      <w:pPr>
        <w:spacing w:after="0" w:line="62"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2"/>
          <w:szCs w:val="12"/>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260"/>
          </w:cols>
          <w:pgMar w:left="300" w:top="354" w:right="339"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20" w:firstLine="452"/>
        <w:spacing w:after="0" w:line="385" w:lineRule="auto"/>
        <w:rPr>
          <w:sz w:val="20"/>
          <w:szCs w:val="20"/>
          <w:color w:val="auto"/>
        </w:rPr>
      </w:pPr>
      <w:r>
        <w:rPr>
          <w:rFonts w:ascii="Arial" w:cs="Arial" w:eastAsia="Arial" w:hAnsi="Arial"/>
          <w:sz w:val="9"/>
          <w:szCs w:val="9"/>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rely in part on our senior secured securities to provide us with adequate liquidity, but even these securities may become illiquid.</w:t>
      </w:r>
    </w:p>
    <w:p>
      <w:pPr>
        <w:spacing w:after="0" w:line="62" w:lineRule="exact"/>
        <w:rPr>
          <w:sz w:val="20"/>
          <w:szCs w:val="20"/>
          <w:color w:val="auto"/>
        </w:rPr>
      </w:pPr>
    </w:p>
    <w:p>
      <w:pPr>
        <w:ind w:firstLine="452"/>
        <w:spacing w:after="0" w:line="268" w:lineRule="auto"/>
        <w:rPr>
          <w:sz w:val="20"/>
          <w:szCs w:val="20"/>
          <w:color w:val="auto"/>
        </w:rPr>
      </w:pPr>
      <w:r>
        <w:rPr>
          <w:rFonts w:ascii="Arial" w:cs="Arial" w:eastAsia="Arial" w:hAnsi="Arial"/>
          <w:sz w:val="12"/>
          <w:szCs w:val="12"/>
          <w:color w:val="auto"/>
        </w:rPr>
        <w:t>Even liquid securities, particularly debt securities and other over-the-counter traded securities may become illiquid, as the viability of any over-the-counter secondary market depends on the continued willingness of dealers and other participants to purchase the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INVESTMENTS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investments in prospective portfolio companies may be risky, and you could lose all or part of your investment.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intend to invest primarily in mezzanine debt and selected equity investments issued by U.S. middle-market companies.</w:t>
      </w:r>
    </w:p>
    <w:p>
      <w:pPr>
        <w:spacing w:after="0" w:line="114" w:lineRule="exact"/>
        <w:rPr>
          <w:sz w:val="20"/>
          <w:szCs w:val="20"/>
          <w:color w:val="auto"/>
        </w:rPr>
      </w:pPr>
    </w:p>
    <w:p>
      <w:pPr>
        <w:ind w:right="120" w:firstLine="452"/>
        <w:spacing w:after="0" w:line="254" w:lineRule="auto"/>
        <w:rPr>
          <w:sz w:val="20"/>
          <w:szCs w:val="20"/>
          <w:color w:val="auto"/>
        </w:rPr>
      </w:pPr>
      <w:r>
        <w:rPr>
          <w:rFonts w:ascii="Arial" w:cs="Arial" w:eastAsia="Arial" w:hAnsi="Arial"/>
          <w:sz w:val="12"/>
          <w:szCs w:val="12"/>
          <w:i w:val="1"/>
          <w:iCs w:val="1"/>
          <w:color w:val="auto"/>
        </w:rPr>
        <w:t xml:space="preserve">Senior Secured Loans: </w:t>
      </w:r>
      <w:r>
        <w:rPr>
          <w:rFonts w:ascii="Arial" w:cs="Arial" w:eastAsia="Arial" w:hAnsi="Arial"/>
          <w:sz w:val="12"/>
          <w:szCs w:val="12"/>
          <w:color w:val="auto"/>
        </w:rPr>
        <w:t>When we extend senior secured loans, we will generally take a security interest in the available assets of these portfolio companies, including the equity interests of their subsidiaries, although this will not</w:t>
      </w:r>
      <w:r>
        <w:rPr>
          <w:rFonts w:ascii="Arial" w:cs="Arial" w:eastAsia="Arial" w:hAnsi="Arial"/>
          <w:sz w:val="12"/>
          <w:szCs w:val="12"/>
          <w:i w:val="1"/>
          <w:iCs w:val="1"/>
          <w:color w:val="auto"/>
        </w:rPr>
        <w:t xml:space="preserve"> </w:t>
      </w:r>
      <w:r>
        <w:rPr>
          <w:rFonts w:ascii="Arial" w:cs="Arial" w:eastAsia="Arial" w:hAnsi="Arial"/>
          <w:sz w:val="12"/>
          <w:szCs w:val="12"/>
          <w:color w:val="auto"/>
        </w:rPr>
        <w:t>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9"/>
          <w:szCs w:val="9"/>
          <w:i w:val="1"/>
          <w:iCs w:val="1"/>
          <w:color w:val="auto"/>
        </w:rPr>
        <w:t xml:space="preserve">Mezzanine Debt: </w:t>
      </w:r>
      <w:r>
        <w:rPr>
          <w:rFonts w:ascii="Arial" w:cs="Arial" w:eastAsia="Arial" w:hAnsi="Arial"/>
          <w:sz w:val="9"/>
          <w:szCs w:val="9"/>
          <w:color w:val="auto"/>
        </w:rPr>
        <w:t>Our mezzanine debt investments will generally be subordinated to senior secured loans and will generally be unsecured. This may result in an above average amount of risk and volatility or a loss of principal.</w:t>
      </w:r>
    </w:p>
    <w:p>
      <w:pPr>
        <w:spacing w:after="0" w:line="149" w:lineRule="exact"/>
        <w:rPr>
          <w:sz w:val="20"/>
          <w:szCs w:val="20"/>
          <w:color w:val="auto"/>
        </w:rPr>
      </w:pPr>
    </w:p>
    <w:p>
      <w:pPr>
        <w:ind w:right="60" w:firstLine="452"/>
        <w:spacing w:after="0" w:line="259" w:lineRule="auto"/>
        <w:rPr>
          <w:sz w:val="20"/>
          <w:szCs w:val="20"/>
          <w:color w:val="auto"/>
        </w:rPr>
      </w:pPr>
      <w:r>
        <w:rPr>
          <w:rFonts w:ascii="Arial" w:cs="Arial" w:eastAsia="Arial" w:hAnsi="Arial"/>
          <w:sz w:val="12"/>
          <w:szCs w:val="12"/>
          <w:color w:val="auto"/>
        </w:rPr>
        <w:t>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any cash prior to the maturity of some of our mezzanine debt investment, such investments will be of greater risk than amortizing loans.</w:t>
      </w:r>
    </w:p>
    <w:p>
      <w:pPr>
        <w:spacing w:after="0" w:line="93" w:lineRule="exact"/>
        <w:rPr>
          <w:sz w:val="20"/>
          <w:szCs w:val="20"/>
          <w:color w:val="auto"/>
        </w:rPr>
      </w:pPr>
    </w:p>
    <w:p>
      <w:pPr>
        <w:ind w:right="100" w:firstLine="452"/>
        <w:spacing w:after="0" w:line="385" w:lineRule="auto"/>
        <w:rPr>
          <w:sz w:val="20"/>
          <w:szCs w:val="20"/>
          <w:color w:val="auto"/>
        </w:rPr>
      </w:pPr>
      <w:r>
        <w:rPr>
          <w:rFonts w:ascii="Arial" w:cs="Arial" w:eastAsia="Arial" w:hAnsi="Arial"/>
          <w:sz w:val="9"/>
          <w:szCs w:val="9"/>
          <w:i w:val="1"/>
          <w:iCs w:val="1"/>
          <w:color w:val="auto"/>
        </w:rPr>
        <w:t xml:space="preserve">Equity Investments: </w:t>
      </w:r>
      <w:r>
        <w:rPr>
          <w:rFonts w:ascii="Arial" w:cs="Arial" w:eastAsia="Arial" w:hAnsi="Arial"/>
          <w:sz w:val="9"/>
          <w:szCs w:val="9"/>
          <w:color w:val="auto"/>
        </w:rPr>
        <w:t>We have made and expect to continue to make selected equity investments. In addition, when we invest in senior secured loans or mezzanine debt, we may acquire warrants to purchase equity investments from</w:t>
      </w:r>
      <w:r>
        <w:rPr>
          <w:rFonts w:ascii="Arial" w:cs="Arial" w:eastAsia="Arial" w:hAnsi="Arial"/>
          <w:sz w:val="9"/>
          <w:szCs w:val="9"/>
          <w:i w:val="1"/>
          <w:iCs w:val="1"/>
          <w:color w:val="auto"/>
        </w:rPr>
        <w:t xml:space="preserve"> </w:t>
      </w:r>
      <w:r>
        <w:rPr>
          <w:rFonts w:ascii="Arial" w:cs="Arial" w:eastAsia="Arial" w:hAnsi="Arial"/>
          <w:sz w:val="9"/>
          <w:szCs w:val="9"/>
          <w:color w:val="auto"/>
        </w:rPr>
        <w:t>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300"/>
          </w:cols>
          <w:pgMar w:left="300" w:top="354" w:right="299"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 addition, investing in middle-market companies involves a number of significant risks, including:</w:t>
      </w:r>
    </w:p>
    <w:p>
      <w:pPr>
        <w:spacing w:after="0" w:line="60" w:lineRule="exact"/>
        <w:rPr>
          <w:sz w:val="20"/>
          <w:szCs w:val="20"/>
          <w:color w:val="auto"/>
        </w:rPr>
      </w:pPr>
    </w:p>
    <w:p>
      <w:pPr>
        <w:ind w:left="880" w:right="60" w:hanging="438"/>
        <w:spacing w:after="0" w:line="268" w:lineRule="auto"/>
        <w:tabs>
          <w:tab w:leader="none" w:pos="8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33" w:lineRule="exact"/>
        <w:rPr>
          <w:rFonts w:ascii="Arial" w:cs="Arial" w:eastAsia="Arial" w:hAnsi="Arial"/>
          <w:sz w:val="12"/>
          <w:szCs w:val="12"/>
          <w:color w:val="auto"/>
        </w:rPr>
      </w:pPr>
    </w:p>
    <w:p>
      <w:pPr>
        <w:ind w:left="880" w:right="80" w:hanging="438"/>
        <w:spacing w:after="0" w:line="268" w:lineRule="auto"/>
        <w:tabs>
          <w:tab w:leader="none" w:pos="8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33" w:lineRule="exact"/>
        <w:rPr>
          <w:rFonts w:ascii="Arial" w:cs="Arial" w:eastAsia="Arial" w:hAnsi="Arial"/>
          <w:sz w:val="12"/>
          <w:szCs w:val="12"/>
          <w:color w:val="auto"/>
        </w:rPr>
      </w:pPr>
    </w:p>
    <w:p>
      <w:pPr>
        <w:ind w:left="880" w:right="180" w:hanging="438"/>
        <w:spacing w:after="0" w:line="268" w:lineRule="auto"/>
        <w:tabs>
          <w:tab w:leader="none" w:pos="8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33" w:lineRule="exact"/>
        <w:rPr>
          <w:rFonts w:ascii="Arial" w:cs="Arial" w:eastAsia="Arial" w:hAnsi="Arial"/>
          <w:sz w:val="12"/>
          <w:szCs w:val="12"/>
          <w:color w:val="auto"/>
        </w:rPr>
      </w:pPr>
    </w:p>
    <w:p>
      <w:pPr>
        <w:ind w:left="880" w:hanging="438"/>
        <w:spacing w:after="0" w:line="259" w:lineRule="auto"/>
        <w:tabs>
          <w:tab w:leader="none" w:pos="8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9" w:lineRule="exact"/>
        <w:rPr>
          <w:rFonts w:ascii="Arial" w:cs="Arial" w:eastAsia="Arial" w:hAnsi="Arial"/>
          <w:sz w:val="12"/>
          <w:szCs w:val="12"/>
          <w:color w:val="auto"/>
        </w:rPr>
      </w:pPr>
    </w:p>
    <w:p>
      <w:pPr>
        <w:ind w:left="880" w:hanging="438"/>
        <w:spacing w:after="0"/>
        <w:tabs>
          <w:tab w:leader="none" w:pos="8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they may have difficulty accessing the capital markets to meet future capital needs, which may limit their ability to grow or to repay their outstanding indebtedness upon maturity.</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not realize gains from our equity investments.</w:t>
      </w:r>
    </w:p>
    <w:p>
      <w:pPr>
        <w:spacing w:after="0" w:line="62" w:lineRule="exact"/>
        <w:rPr>
          <w:sz w:val="20"/>
          <w:szCs w:val="20"/>
          <w:color w:val="auto"/>
        </w:rPr>
      </w:pPr>
    </w:p>
    <w:p>
      <w:pPr>
        <w:jc w:val="both"/>
        <w:ind w:right="20" w:firstLine="452"/>
        <w:spacing w:after="0" w:line="385" w:lineRule="auto"/>
        <w:rPr>
          <w:sz w:val="20"/>
          <w:szCs w:val="20"/>
          <w:color w:val="auto"/>
        </w:rPr>
      </w:pPr>
      <w:r>
        <w:rPr>
          <w:rFonts w:ascii="Arial" w:cs="Arial" w:eastAsia="Arial" w:hAnsi="Arial"/>
          <w:sz w:val="9"/>
          <w:szCs w:val="9"/>
          <w:color w:val="auto"/>
        </w:rPr>
        <w:t>When we invest in mezzanine debt or senior secured loans, we may also acquire equity investments of the borrower or acquire warrant or other equity securities as well. In addition, we may invest directly in the equity investments of portfolio companies.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If we do not invest a sufficient portion of our assets in qualifying assets, we could fail to qualify as a business development company or be precluded from investing according to our current business strategy.</w:t>
      </w:r>
    </w:p>
    <w:p>
      <w:pPr>
        <w:spacing w:after="0" w:line="74" w:lineRule="exact"/>
        <w:rPr>
          <w:sz w:val="20"/>
          <w:szCs w:val="20"/>
          <w:color w:val="auto"/>
        </w:rPr>
      </w:pPr>
    </w:p>
    <w:p>
      <w:pPr>
        <w:ind w:right="540" w:firstLine="452"/>
        <w:spacing w:after="0" w:line="268" w:lineRule="auto"/>
        <w:rPr>
          <w:sz w:val="20"/>
          <w:szCs w:val="20"/>
          <w:color w:val="auto"/>
        </w:rPr>
      </w:pPr>
      <w:r>
        <w:rPr>
          <w:rFonts w:ascii="Arial" w:cs="Arial" w:eastAsia="Arial" w:hAnsi="Arial"/>
          <w:sz w:val="12"/>
          <w:szCs w:val="12"/>
          <w:color w:val="auto"/>
        </w:rPr>
        <w:t>As a business development company, we may not acquire any assets other than “qualifying assets” unless, at the time of and after giving effect to such acquisition, at least 70% of our total assets are qualifying assets. See “Regulation.”</w:t>
      </w:r>
    </w:p>
    <w:p>
      <w:pPr>
        <w:spacing w:after="0" w:line="88" w:lineRule="exact"/>
        <w:rPr>
          <w:sz w:val="20"/>
          <w:szCs w:val="20"/>
          <w:color w:val="auto"/>
        </w:rPr>
      </w:pPr>
    </w:p>
    <w:p>
      <w:pPr>
        <w:ind w:right="40" w:firstLine="452"/>
        <w:spacing w:after="0" w:line="283" w:lineRule="auto"/>
        <w:rPr>
          <w:sz w:val="20"/>
          <w:szCs w:val="20"/>
          <w:color w:val="auto"/>
        </w:rPr>
      </w:pPr>
      <w:r>
        <w:rPr>
          <w:rFonts w:ascii="Arial" w:cs="Arial" w:eastAsia="Arial" w:hAnsi="Arial"/>
          <w:sz w:val="11"/>
          <w:szCs w:val="11"/>
          <w:color w:val="auto"/>
        </w:rPr>
        <w:t>We believe that most of our senior secured loans and mezzanine debt investments will constitute as qualifying assets. However, we may be precluded from investing in what we believe are attractive investments if such investments are not qualifying assets for purposes of the 1940 Act. If we do not invest a sufficient portion of our assets in qualifying assets, we could lose our status as a business development company, which would have a material adverse effect on our business, financial condition and results of operations.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We are classified as a non-diversified investment company within the meaning of the 1940 Act, which means that we are not limited by the 1940 Act with respect to the proportion of our assets that we may invest in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260"/>
          </w:cols>
          <w:pgMar w:left="300" w:top="354" w:right="339"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Economic recessions or downturns could impair our portfolio companies and harm our operating results.</w:t>
      </w:r>
    </w:p>
    <w:p>
      <w:pPr>
        <w:spacing w:after="0" w:line="62" w:lineRule="exact"/>
        <w:rPr>
          <w:sz w:val="20"/>
          <w:szCs w:val="20"/>
          <w:color w:val="auto"/>
        </w:rPr>
      </w:pPr>
    </w:p>
    <w:p>
      <w:pPr>
        <w:jc w:val="both"/>
        <w:ind w:right="40" w:firstLine="452"/>
        <w:spacing w:after="0" w:line="256" w:lineRule="auto"/>
        <w:rPr>
          <w:sz w:val="20"/>
          <w:szCs w:val="20"/>
          <w:color w:val="auto"/>
        </w:rPr>
      </w:pPr>
      <w:r>
        <w:rPr>
          <w:rFonts w:ascii="Arial" w:cs="Arial" w:eastAsia="Arial" w:hAnsi="Arial"/>
          <w:sz w:val="12"/>
          <w:szCs w:val="12"/>
          <w:color w:val="auto"/>
        </w:rPr>
        <w:t>Many of our portfolio companies may be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95" w:lineRule="exact"/>
        <w:rPr>
          <w:sz w:val="20"/>
          <w:szCs w:val="20"/>
          <w:color w:val="auto"/>
        </w:rPr>
      </w:pPr>
    </w:p>
    <w:p>
      <w:pPr>
        <w:ind w:right="120" w:firstLine="452"/>
        <w:spacing w:after="0" w:line="254" w:lineRule="auto"/>
        <w:rPr>
          <w:sz w:val="20"/>
          <w:szCs w:val="20"/>
          <w:color w:val="auto"/>
        </w:rPr>
      </w:pPr>
      <w:r>
        <w:rPr>
          <w:rFonts w:ascii="Arial" w:cs="Arial" w:eastAsia="Arial" w:hAnsi="Arial"/>
          <w:sz w:val="12"/>
          <w:szCs w:val="12"/>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If we fail to make follow-on investments in our portfolio companies, this could impair the value of our portfolio.</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Following an initial investment in a portfolio company, we may make additional investments in that portfolio company as “follow-on” investments, in order to:</w:t>
      </w:r>
    </w:p>
    <w:p>
      <w:pPr>
        <w:spacing w:after="0" w:line="60" w:lineRule="exact"/>
        <w:rPr>
          <w:sz w:val="20"/>
          <w:szCs w:val="20"/>
          <w:color w:val="auto"/>
        </w:rPr>
      </w:pPr>
    </w:p>
    <w:p>
      <w:pPr>
        <w:ind w:left="880" w:hanging="438"/>
        <w:spacing w:after="0"/>
        <w:tabs>
          <w:tab w:leader="none" w:pos="8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increase or maintain in whole or in part our equity ownership percentage;</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exercise warrants, options or convertible securities that were acquired in the original or subsequent financing; or</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attempt to preserve or enhance the value of our investment. We may elect not to make follow-on investments or otherwise lack sufficient funds to make those investments.</w:t>
      </w:r>
    </w:p>
    <w:p>
      <w:pPr>
        <w:spacing w:after="0" w:line="114" w:lineRule="exact"/>
        <w:rPr>
          <w:sz w:val="20"/>
          <w:szCs w:val="20"/>
          <w:color w:val="auto"/>
        </w:rPr>
      </w:pPr>
    </w:p>
    <w:p>
      <w:pPr>
        <w:ind w:right="160" w:firstLine="452"/>
        <w:spacing w:after="0" w:line="256" w:lineRule="auto"/>
        <w:rPr>
          <w:sz w:val="20"/>
          <w:szCs w:val="20"/>
          <w:color w:val="auto"/>
        </w:rPr>
      </w:pPr>
      <w:r>
        <w:rPr>
          <w:rFonts w:ascii="Arial" w:cs="Arial" w:eastAsia="Arial" w:hAnsi="Arial"/>
          <w:sz w:val="12"/>
          <w:szCs w:val="12"/>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47" w:lineRule="exact"/>
        <w:rPr>
          <w:sz w:val="20"/>
          <w:szCs w:val="20"/>
          <w:color w:val="auto"/>
        </w:rPr>
      </w:pPr>
    </w:p>
    <w:p>
      <w:pPr>
        <w:ind w:right="320"/>
        <w:spacing w:after="0" w:line="271" w:lineRule="auto"/>
        <w:rPr>
          <w:sz w:val="20"/>
          <w:szCs w:val="20"/>
          <w:color w:val="auto"/>
        </w:rPr>
      </w:pPr>
      <w:r>
        <w:rPr>
          <w:rFonts w:ascii="Arial" w:cs="Arial" w:eastAsia="Arial" w:hAnsi="Arial"/>
          <w:sz w:val="12"/>
          <w:szCs w:val="12"/>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32" w:lineRule="exact"/>
        <w:rPr>
          <w:sz w:val="20"/>
          <w:szCs w:val="20"/>
          <w:color w:val="auto"/>
        </w:rPr>
      </w:pPr>
    </w:p>
    <w:p>
      <w:pPr>
        <w:jc w:val="center"/>
        <w:ind w:right="180"/>
        <w:spacing w:after="0" w:line="440" w:lineRule="auto"/>
        <w:rPr>
          <w:sz w:val="20"/>
          <w:szCs w:val="20"/>
          <w:color w:val="auto"/>
        </w:rPr>
      </w:pPr>
      <w:r>
        <w:rPr>
          <w:rFonts w:ascii="Arial" w:cs="Arial" w:eastAsia="Arial" w:hAnsi="Arial"/>
          <w:sz w:val="12"/>
          <w:szCs w:val="12"/>
          <w:color w:val="auto"/>
        </w:rPr>
        <w:t>Although we may do so in the future, we do not currently have a controlling equity positions in our portfolio companies. As a result, we are subject to the risk that a portfolio company may make business decisions with 28</w:t>
      </w:r>
    </w:p>
    <w:p>
      <w:pPr>
        <w:sectPr>
          <w:pgSz w:w="11900" w:h="16838" w:orient="portrait"/>
          <w:cols w:equalWidth="0" w:num="1">
            <w:col w:w="11280"/>
          </w:cols>
          <w:pgMar w:left="300" w:top="354" w:right="319"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80"/>
        <w:spacing w:after="0" w:line="314" w:lineRule="auto"/>
        <w:rPr>
          <w:sz w:val="20"/>
          <w:szCs w:val="20"/>
          <w:color w:val="auto"/>
        </w:rPr>
      </w:pPr>
      <w:r>
        <w:rPr>
          <w:rFonts w:ascii="Arial" w:cs="Arial" w:eastAsia="Arial" w:hAnsi="Arial"/>
          <w:sz w:val="11"/>
          <w:szCs w:val="11"/>
          <w:color w:val="auto"/>
        </w:rPr>
        <w:t>which we disagree, and the stockholders and management of a portfolio company may take risks or otherwise act in ways that are adverse to our interests. Due to the lack of liquidity for the debt and equity investments that we will typically hold in our portfolio companies, we may not be able to dispose of our investments in the event we disagree with the actions of a portfolio company, and may therefore suffer a decrease in the value of our investments.</w:t>
      </w:r>
    </w:p>
    <w:p>
      <w:pPr>
        <w:spacing w:after="0" w:line="117" w:lineRule="exact"/>
        <w:rPr>
          <w:sz w:val="20"/>
          <w:szCs w:val="20"/>
          <w:color w:val="auto"/>
        </w:rPr>
      </w:pPr>
    </w:p>
    <w:p>
      <w:pPr>
        <w:ind w:right="220"/>
        <w:spacing w:after="0" w:line="271" w:lineRule="auto"/>
        <w:rPr>
          <w:sz w:val="20"/>
          <w:szCs w:val="20"/>
          <w:color w:val="auto"/>
        </w:rPr>
      </w:pPr>
      <w:r>
        <w:rPr>
          <w:rFonts w:ascii="Arial" w:cs="Arial" w:eastAsia="Arial" w:hAnsi="Arial"/>
          <w:sz w:val="12"/>
          <w:szCs w:val="12"/>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32" w:lineRule="exact"/>
        <w:rPr>
          <w:sz w:val="20"/>
          <w:szCs w:val="20"/>
          <w:color w:val="auto"/>
        </w:rPr>
      </w:pPr>
    </w:p>
    <w:p>
      <w:pPr>
        <w:ind w:firstLine="452"/>
        <w:spacing w:after="0" w:line="256"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portfolio companies may incur debt that ranks equally with, or senior to, our investments in such companies.</w:t>
      </w:r>
    </w:p>
    <w:p>
      <w:pPr>
        <w:spacing w:after="0" w:line="62" w:lineRule="exact"/>
        <w:rPr>
          <w:sz w:val="20"/>
          <w:szCs w:val="20"/>
          <w:color w:val="auto"/>
        </w:rPr>
      </w:pPr>
    </w:p>
    <w:p>
      <w:pPr>
        <w:ind w:right="40" w:firstLine="452"/>
        <w:spacing w:after="0" w:line="254" w:lineRule="auto"/>
        <w:rPr>
          <w:sz w:val="20"/>
          <w:szCs w:val="20"/>
          <w:color w:val="auto"/>
        </w:rPr>
      </w:pPr>
      <w:r>
        <w:rPr>
          <w:rFonts w:ascii="Arial" w:cs="Arial" w:eastAsia="Arial" w:hAnsi="Arial"/>
          <w:sz w:val="12"/>
          <w:szCs w:val="12"/>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incentive fee may induce the Investment Adviser to make speculative investments.</w:t>
      </w:r>
    </w:p>
    <w:p>
      <w:pPr>
        <w:spacing w:after="0" w:line="62" w:lineRule="exact"/>
        <w:rPr>
          <w:sz w:val="20"/>
          <w:szCs w:val="20"/>
          <w:color w:val="auto"/>
        </w:rPr>
      </w:pPr>
    </w:p>
    <w:p>
      <w:pPr>
        <w:ind w:firstLine="452"/>
        <w:spacing w:after="0" w:line="281" w:lineRule="auto"/>
        <w:rPr>
          <w:sz w:val="20"/>
          <w:szCs w:val="20"/>
          <w:color w:val="auto"/>
        </w:rPr>
      </w:pPr>
      <w:r>
        <w:rPr>
          <w:rFonts w:ascii="Arial" w:cs="Arial" w:eastAsia="Arial" w:hAnsi="Arial"/>
          <w:sz w:val="11"/>
          <w:szCs w:val="11"/>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The incentive fee payable by us to our Investment Adviser also may induce PennantPark Investment Advisers to invest on our behalf in instruments that have a deferred interest feature, even if such deferred</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280"/>
          </w:cols>
          <w:pgMar w:left="300" w:top="354" w:right="319"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jc w:val="both"/>
        <w:ind w:right="300"/>
        <w:spacing w:after="0" w:line="259" w:lineRule="auto"/>
        <w:rPr>
          <w:sz w:val="20"/>
          <w:szCs w:val="20"/>
          <w:color w:val="auto"/>
        </w:rPr>
      </w:pPr>
      <w:r>
        <w:rPr>
          <w:rFonts w:ascii="Arial" w:cs="Arial" w:eastAsia="Arial" w:hAnsi="Arial"/>
          <w:sz w:val="12"/>
          <w:szCs w:val="12"/>
          <w:color w:val="auto"/>
        </w:rPr>
        <w:t>payments would not provide cash necessary to enable us to pay current distributions to our stockholders. Under these investments, we would accrue interest over the life of the investment but would not receive the cash income from the investment until the end of the term. Our Pre-Incentive Fee Net Investment Income used to calculate the income portion of our investment fee, however, includes accrued interest. Thus, a portion of this incentive fee would be based on income that we have not yet received in cash.</w:t>
      </w:r>
    </w:p>
    <w:p>
      <w:pPr>
        <w:spacing w:after="0" w:line="93" w:lineRule="exact"/>
        <w:rPr>
          <w:sz w:val="20"/>
          <w:szCs w:val="20"/>
          <w:color w:val="auto"/>
        </w:rPr>
      </w:pPr>
    </w:p>
    <w:p>
      <w:pPr>
        <w:ind w:firstLine="452"/>
        <w:spacing w:after="0" w:line="287" w:lineRule="auto"/>
        <w:rPr>
          <w:sz w:val="20"/>
          <w:szCs w:val="20"/>
          <w:color w:val="auto"/>
        </w:rPr>
      </w:pPr>
      <w:r>
        <w:rPr>
          <w:rFonts w:ascii="Arial" w:cs="Arial" w:eastAsia="Arial" w:hAnsi="Arial"/>
          <w:sz w:val="11"/>
          <w:szCs w:val="11"/>
          <w:color w:val="auto"/>
        </w:rPr>
        <w:t>We may invest, to the extent permitted by law, in the securities and instruments of other investment companies, including private funds.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investments in foreign debt securities may involve significant risks in addition to the risks inherent in U.S. investments.</w:t>
      </w:r>
    </w:p>
    <w:p>
      <w:pPr>
        <w:spacing w:after="0" w:line="62" w:lineRule="exact"/>
        <w:rPr>
          <w:sz w:val="20"/>
          <w:szCs w:val="20"/>
          <w:color w:val="auto"/>
        </w:rPr>
      </w:pPr>
    </w:p>
    <w:p>
      <w:pPr>
        <w:ind w:right="20" w:firstLine="452"/>
        <w:spacing w:after="0" w:line="385" w:lineRule="auto"/>
        <w:rPr>
          <w:sz w:val="20"/>
          <w:szCs w:val="20"/>
          <w:color w:val="auto"/>
        </w:rPr>
      </w:pPr>
      <w:r>
        <w:rPr>
          <w:rFonts w:ascii="Arial" w:cs="Arial" w:eastAsia="Arial" w:hAnsi="Arial"/>
          <w:sz w:val="9"/>
          <w:szCs w:val="9"/>
          <w:color w:val="auto"/>
        </w:rPr>
        <w:t>Our investment strategy contemplates potential investments in securities of foreign companies.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42" w:lineRule="exact"/>
        <w:rPr>
          <w:sz w:val="20"/>
          <w:szCs w:val="20"/>
          <w:color w:val="auto"/>
        </w:rPr>
      </w:pPr>
    </w:p>
    <w:p>
      <w:pPr>
        <w:ind w:right="120" w:firstLine="452"/>
        <w:spacing w:after="0" w:line="385" w:lineRule="auto"/>
        <w:rPr>
          <w:sz w:val="20"/>
          <w:szCs w:val="20"/>
          <w:color w:val="auto"/>
        </w:rPr>
      </w:pPr>
      <w:r>
        <w:rPr>
          <w:rFonts w:ascii="Arial" w:cs="Arial" w:eastAsia="Arial" w:hAnsi="Arial"/>
          <w:sz w:val="9"/>
          <w:szCs w:val="9"/>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expose ourselves to risks if we engage in hedging transactions.</w:t>
      </w:r>
    </w:p>
    <w:p>
      <w:pPr>
        <w:spacing w:after="0" w:line="62" w:lineRule="exact"/>
        <w:rPr>
          <w:sz w:val="20"/>
          <w:szCs w:val="20"/>
          <w:color w:val="auto"/>
        </w:rPr>
      </w:pPr>
    </w:p>
    <w:p>
      <w:pPr>
        <w:ind w:right="60" w:firstLine="452"/>
        <w:spacing w:after="0" w:line="359" w:lineRule="auto"/>
        <w:rPr>
          <w:sz w:val="20"/>
          <w:szCs w:val="20"/>
          <w:color w:val="auto"/>
        </w:rPr>
      </w:pPr>
      <w:r>
        <w:rPr>
          <w:rFonts w:ascii="Arial" w:cs="Arial" w:eastAsia="Arial" w:hAnsi="Arial"/>
          <w:sz w:val="9"/>
          <w:szCs w:val="9"/>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54" w:lineRule="exact"/>
        <w:rPr>
          <w:sz w:val="20"/>
          <w:szCs w:val="20"/>
          <w:color w:val="auto"/>
        </w:rPr>
      </w:pPr>
    </w:p>
    <w:p>
      <w:pPr>
        <w:ind w:right="40" w:firstLine="452"/>
        <w:spacing w:after="0" w:line="268"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280"/>
          </w:cols>
          <w:pgMar w:left="300" w:top="354" w:right="319"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40"/>
        <w:spacing w:after="0" w:line="385" w:lineRule="auto"/>
        <w:rPr>
          <w:sz w:val="20"/>
          <w:szCs w:val="20"/>
          <w:color w:val="auto"/>
        </w:rPr>
      </w:pPr>
      <w:r>
        <w:rPr>
          <w:rFonts w:ascii="Arial" w:cs="Arial" w:eastAsia="Arial" w:hAnsi="Arial"/>
          <w:sz w:val="9"/>
          <w:szCs w:val="9"/>
          <w:color w:val="auto"/>
        </w:rPr>
        <w:t>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firstLine="452"/>
        <w:spacing w:after="0" w:line="281" w:lineRule="auto"/>
        <w:rPr>
          <w:sz w:val="20"/>
          <w:szCs w:val="20"/>
          <w:color w:val="auto"/>
        </w:rPr>
      </w:pPr>
      <w:r>
        <w:rPr>
          <w:rFonts w:ascii="Arial" w:cs="Arial" w:eastAsia="Arial" w:hAnsi="Arial"/>
          <w:sz w:val="11"/>
          <w:szCs w:val="11"/>
          <w:color w:val="auto"/>
        </w:rPr>
        <w:t>The Maryland General Corporation Law, our charter and our bylaws contain provisions that may discourage, delay or make more difficult a change in control of PennantPark Investment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83" w:lineRule="exact"/>
        <w:rPr>
          <w:sz w:val="20"/>
          <w:szCs w:val="20"/>
          <w:color w:val="auto"/>
        </w:rPr>
      </w:pPr>
    </w:p>
    <w:p>
      <w:pPr>
        <w:ind w:right="20" w:firstLine="452"/>
        <w:spacing w:after="0" w:line="256" w:lineRule="auto"/>
        <w:rPr>
          <w:sz w:val="20"/>
          <w:szCs w:val="20"/>
          <w:color w:val="auto"/>
        </w:rPr>
      </w:pPr>
      <w:r>
        <w:rPr>
          <w:rFonts w:ascii="Arial" w:cs="Arial" w:eastAsia="Arial" w:hAnsi="Arial"/>
          <w:sz w:val="12"/>
          <w:szCs w:val="12"/>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AN INVESTMENT IN OUR COMMON STOCK</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There is a risk that our stockholders may not receive distributions or that our distributions may not grow over time.</w:t>
      </w:r>
    </w:p>
    <w:p>
      <w:pPr>
        <w:spacing w:after="0" w:line="62" w:lineRule="exact"/>
        <w:rPr>
          <w:sz w:val="20"/>
          <w:szCs w:val="20"/>
          <w:color w:val="auto"/>
        </w:rPr>
      </w:pPr>
    </w:p>
    <w:p>
      <w:pPr>
        <w:ind w:right="40" w:firstLine="452"/>
        <w:spacing w:after="0" w:line="385" w:lineRule="auto"/>
        <w:rPr>
          <w:sz w:val="20"/>
          <w:szCs w:val="20"/>
          <w:color w:val="auto"/>
        </w:rPr>
      </w:pPr>
      <w:r>
        <w:rPr>
          <w:rFonts w:ascii="Arial" w:cs="Arial" w:eastAsia="Arial" w:hAnsi="Arial"/>
          <w:sz w:val="9"/>
          <w:szCs w:val="9"/>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Finally, if more stockholders opt to receive cash dividends and other distributions rather than participate in our dividend reinvestment plan, we may be forced to liquidate some of our investments and raise cash in order to make distribution payments.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Investing in our shares may involve an above average degree of risk.</w:t>
      </w:r>
    </w:p>
    <w:p>
      <w:pPr>
        <w:spacing w:after="0" w:line="62" w:lineRule="exact"/>
        <w:rPr>
          <w:sz w:val="20"/>
          <w:szCs w:val="20"/>
          <w:color w:val="auto"/>
        </w:rPr>
      </w:pPr>
    </w:p>
    <w:p>
      <w:pPr>
        <w:ind w:right="220" w:firstLine="452"/>
        <w:spacing w:after="0" w:line="268" w:lineRule="auto"/>
        <w:rPr>
          <w:sz w:val="20"/>
          <w:szCs w:val="20"/>
          <w:color w:val="auto"/>
        </w:rPr>
      </w:pPr>
      <w:r>
        <w:rPr>
          <w:rFonts w:ascii="Arial" w:cs="Arial" w:eastAsia="Arial" w:hAnsi="Arial"/>
          <w:sz w:val="12"/>
          <w:szCs w:val="12"/>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300"/>
          </w:cols>
          <w:pgMar w:left="300" w:top="354" w:right="299"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shares may trade at discounts from net asset value or at premiums that are unsustainable over the long term.</w:t>
      </w:r>
    </w:p>
    <w:p>
      <w:pPr>
        <w:spacing w:after="0" w:line="62" w:lineRule="exact"/>
        <w:rPr>
          <w:sz w:val="20"/>
          <w:szCs w:val="20"/>
          <w:color w:val="auto"/>
        </w:rPr>
      </w:pPr>
    </w:p>
    <w:p>
      <w:pPr>
        <w:ind w:right="280" w:firstLine="452"/>
        <w:spacing w:after="0" w:line="259" w:lineRule="auto"/>
        <w:rPr>
          <w:sz w:val="20"/>
          <w:szCs w:val="20"/>
          <w:color w:val="auto"/>
        </w:rPr>
      </w:pPr>
      <w:r>
        <w:rPr>
          <w:rFonts w:ascii="Arial" w:cs="Arial" w:eastAsia="Arial" w:hAnsi="Arial"/>
          <w:sz w:val="12"/>
          <w:szCs w:val="12"/>
          <w:color w:val="auto"/>
        </w:rPr>
        <w:t>Shares of business development companies may trade at a market price that is less than the net asset value that is attributable to those shares. Our shares traded on NASDAQ at $13.40 as compared to a NAV of $12.83 as of September 30, 2007.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market price of our common stock may fluctuate significantly.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9"/>
          <w:szCs w:val="9"/>
          <w:color w:val="auto"/>
        </w:rPr>
        <w:t>The market price and liquidity of the market for shares of our common stock may be significantly affected by numerous factors, some of which are beyond our control and may not be directly related to our operating performance.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These factors include:</w:t>
      </w:r>
    </w:p>
    <w:p>
      <w:pPr>
        <w:spacing w:after="0" w:line="56" w:lineRule="exact"/>
        <w:rPr>
          <w:sz w:val="20"/>
          <w:szCs w:val="20"/>
          <w:color w:val="auto"/>
        </w:rPr>
      </w:pPr>
    </w:p>
    <w:p>
      <w:pPr>
        <w:ind w:left="880" w:right="360" w:hanging="438"/>
        <w:spacing w:after="0" w:line="268" w:lineRule="auto"/>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33" w:lineRule="exact"/>
        <w:rPr>
          <w:rFonts w:ascii="Arial" w:cs="Arial" w:eastAsia="Arial" w:hAnsi="Arial"/>
          <w:sz w:val="12"/>
          <w:szCs w:val="12"/>
          <w:color w:val="auto"/>
        </w:rPr>
      </w:pPr>
    </w:p>
    <w:p>
      <w:pPr>
        <w:ind w:left="880" w:hanging="438"/>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regulatory policies or tax guidelines, particularly with respect to RICs or business development companies;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any loss of RIC status;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earnings or variations in operating results;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the value of our portfolio of investments;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any shortfall in revenue or net income or any increase in losses from levels expected by investors or securities analysts;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inability of our investment adviser to employ additional experienced investment professionals or the departure of any of the investment adviser’s key personnel, including Mr. Penn;</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operating performance of companies comparable to us;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general economic trends and other external factors; and</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loss of a major funding source.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be unable to invest the net proceeds raised from offerings on acceptable terms, which would harm our financial condition and operating results.</w:t>
      </w:r>
    </w:p>
    <w:p>
      <w:pPr>
        <w:spacing w:after="0" w:line="62" w:lineRule="exact"/>
        <w:rPr>
          <w:sz w:val="20"/>
          <w:szCs w:val="20"/>
          <w:color w:val="auto"/>
        </w:rPr>
      </w:pPr>
    </w:p>
    <w:p>
      <w:pPr>
        <w:ind w:firstLine="452"/>
        <w:spacing w:after="0" w:line="259" w:lineRule="auto"/>
        <w:rPr>
          <w:sz w:val="20"/>
          <w:szCs w:val="20"/>
          <w:color w:val="auto"/>
        </w:rPr>
      </w:pPr>
      <w:r>
        <w:rPr>
          <w:rFonts w:ascii="Arial" w:cs="Arial" w:eastAsia="Arial" w:hAnsi="Arial"/>
          <w:sz w:val="12"/>
          <w:szCs w:val="12"/>
          <w:color w:val="auto"/>
        </w:rPr>
        <w:t>Until we identify new investment opportunities, we intend to either invest the net proceeds of future offerings in interest-bearing deposits or other short-term instruments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72"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9"/>
          <w:szCs w:val="9"/>
          <w:b w:val="1"/>
          <w:bCs w:val="1"/>
          <w:color w:val="auto"/>
        </w:rPr>
        <w:t>Unresolved Staff Comments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None</w:t>
      </w:r>
    </w:p>
    <w:p>
      <w:pPr>
        <w:spacing w:after="0" w:line="193"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9"/>
          <w:szCs w:val="9"/>
          <w:b w:val="1"/>
          <w:bCs w:val="1"/>
          <w:color w:val="auto"/>
        </w:rPr>
        <w:t>Properties</w:t>
      </w:r>
    </w:p>
    <w:p>
      <w:pPr>
        <w:spacing w:after="0" w:line="62" w:lineRule="exact"/>
        <w:rPr>
          <w:sz w:val="20"/>
          <w:szCs w:val="20"/>
          <w:color w:val="auto"/>
        </w:rPr>
      </w:pPr>
    </w:p>
    <w:p>
      <w:pPr>
        <w:ind w:right="140" w:firstLine="452"/>
        <w:spacing w:after="0" w:line="268" w:lineRule="auto"/>
        <w:rPr>
          <w:sz w:val="20"/>
          <w:szCs w:val="20"/>
          <w:color w:val="auto"/>
        </w:rPr>
      </w:pPr>
      <w:r>
        <w:rPr>
          <w:rFonts w:ascii="Arial" w:cs="Arial" w:eastAsia="Arial" w:hAnsi="Arial"/>
          <w:sz w:val="12"/>
          <w:szCs w:val="12"/>
          <w:color w:val="auto"/>
        </w:rPr>
        <w:t>As of September 30, 2007, we do not own any real estate or other physical properties materially important to our operation. We believe that our office facilities are suitable and adequate for our business as it is contemplated to be conducted.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260"/>
          </w:cols>
          <w:pgMar w:left="300" w:top="354" w:right="339"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64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9"/>
          <w:szCs w:val="9"/>
          <w:b w:val="1"/>
          <w:bCs w:val="1"/>
          <w:color w:val="auto"/>
        </w:rPr>
        <w:t>Legal Proceedings</w:t>
      </w:r>
    </w:p>
    <w:p>
      <w:pPr>
        <w:spacing w:after="0" w:line="62" w:lineRule="exact"/>
        <w:rPr>
          <w:sz w:val="20"/>
          <w:szCs w:val="20"/>
          <w:color w:val="auto"/>
        </w:rPr>
      </w:pPr>
    </w:p>
    <w:p>
      <w:pPr>
        <w:ind w:firstLine="452"/>
        <w:spacing w:after="0" w:line="385" w:lineRule="auto"/>
        <w:rPr>
          <w:sz w:val="20"/>
          <w:szCs w:val="20"/>
          <w:color w:val="auto"/>
        </w:rPr>
      </w:pPr>
      <w:r>
        <w:rPr>
          <w:rFonts w:ascii="Arial" w:cs="Arial" w:eastAsia="Arial" w:hAnsi="Arial"/>
          <w:sz w:val="9"/>
          <w:szCs w:val="9"/>
          <w:color w:val="auto"/>
        </w:rPr>
        <w:t>Neither our Investment Adviser, our Administrator or us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121"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9"/>
          <w:szCs w:val="9"/>
          <w:b w:val="1"/>
          <w:bCs w:val="1"/>
          <w:color w:val="auto"/>
        </w:rPr>
        <w:t>Submission of Matters to a Vote of Security Holders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 matters were submitted to a vote of security holders during our fiscal year ended September 30, 2007.</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120"/>
          </w:cols>
          <w:pgMar w:left="300" w:top="354" w:right="479" w:bottom="1440" w:gutter="0" w:footer="0" w:header="0"/>
        </w:sectPr>
      </w:pPr>
    </w:p>
    <w:bookmarkStart w:id="35" w:name="page36"/>
    <w:bookmarkEnd w:id="35"/>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64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II</w:t>
      </w:r>
    </w:p>
    <w:p>
      <w:pPr>
        <w:spacing w:after="0" w:line="141" w:lineRule="exact"/>
        <w:rPr>
          <w:sz w:val="20"/>
          <w:szCs w:val="20"/>
          <w:color w:val="auto"/>
        </w:rPr>
      </w:pPr>
    </w:p>
    <w:p>
      <w:pPr>
        <w:ind w:left="8"/>
        <w:spacing w:after="0"/>
        <w:tabs>
          <w:tab w:leader="none" w:pos="988"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9"/>
          <w:szCs w:val="9"/>
          <w:b w:val="1"/>
          <w:bCs w:val="1"/>
          <w:color w:val="auto"/>
        </w:rPr>
        <w:t>Market for Registrant’s Common Equity, Related Stockholder Matters and Issuer Purchases of Equity Securities</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PRICE RANGE OF COMMON STOCK</w:t>
      </w:r>
    </w:p>
    <w:p>
      <w:pPr>
        <w:spacing w:after="0" w:line="62" w:lineRule="exact"/>
        <w:rPr>
          <w:sz w:val="20"/>
          <w:szCs w:val="20"/>
          <w:color w:val="auto"/>
        </w:rPr>
      </w:pPr>
    </w:p>
    <w:p>
      <w:pPr>
        <w:ind w:left="8" w:right="140" w:firstLine="452"/>
        <w:spacing w:after="0" w:line="268" w:lineRule="auto"/>
        <w:rPr>
          <w:sz w:val="20"/>
          <w:szCs w:val="20"/>
          <w:color w:val="auto"/>
        </w:rPr>
      </w:pPr>
      <w:r>
        <w:rPr>
          <w:rFonts w:ascii="Arial" w:cs="Arial" w:eastAsia="Arial" w:hAnsi="Arial"/>
          <w:sz w:val="12"/>
          <w:szCs w:val="12"/>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NASDAQ.</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6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Premium or</w:t>
            </w:r>
          </w:p>
        </w:tc>
      </w:tr>
      <w:tr>
        <w:trPr>
          <w:trHeight w:val="99"/>
        </w:trPr>
        <w:tc>
          <w:tcPr>
            <w:tcW w:w="6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gridSpan w:val="2"/>
          </w:tcPr>
          <w:p>
            <w:pPr>
              <w:jc w:val="center"/>
              <w:ind w:right="540"/>
              <w:spacing w:after="0" w:line="99" w:lineRule="exact"/>
              <w:rPr>
                <w:sz w:val="20"/>
                <w:szCs w:val="20"/>
                <w:color w:val="auto"/>
              </w:rPr>
            </w:pPr>
            <w:r>
              <w:rPr>
                <w:rFonts w:ascii="Arial" w:cs="Arial" w:eastAsia="Arial" w:hAnsi="Arial"/>
                <w:sz w:val="9"/>
                <w:szCs w:val="9"/>
                <w:b w:val="1"/>
                <w:bCs w:val="1"/>
                <w:color w:val="auto"/>
                <w:w w:val="92"/>
              </w:rPr>
              <w:t>Premium of</w:t>
            </w:r>
          </w:p>
        </w:tc>
        <w:tc>
          <w:tcPr>
            <w:tcW w:w="62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88"/>
              </w:rPr>
              <w:t>Discount of</w:t>
            </w:r>
          </w:p>
        </w:tc>
      </w:tr>
      <w:tr>
        <w:trPr>
          <w:trHeight w:val="99"/>
        </w:trPr>
        <w:tc>
          <w:tcPr>
            <w:tcW w:w="6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gridSpan w:val="2"/>
          </w:tcPr>
          <w:p>
            <w:pPr>
              <w:jc w:val="center"/>
              <w:ind w:right="560"/>
              <w:spacing w:after="0" w:line="99" w:lineRule="exact"/>
              <w:rPr>
                <w:sz w:val="20"/>
                <w:szCs w:val="20"/>
                <w:color w:val="auto"/>
              </w:rPr>
            </w:pPr>
            <w:r>
              <w:rPr>
                <w:rFonts w:ascii="Arial" w:cs="Arial" w:eastAsia="Arial" w:hAnsi="Arial"/>
                <w:sz w:val="9"/>
                <w:szCs w:val="9"/>
                <w:b w:val="1"/>
                <w:bCs w:val="1"/>
                <w:color w:val="auto"/>
                <w:w w:val="86"/>
              </w:rPr>
              <w:t>High Sales</w:t>
            </w:r>
          </w:p>
        </w:tc>
        <w:tc>
          <w:tcPr>
            <w:tcW w:w="62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w w:val="86"/>
              </w:rPr>
              <w:t>Low Sales</w:t>
            </w:r>
          </w:p>
        </w:tc>
      </w:tr>
      <w:tr>
        <w:trPr>
          <w:trHeight w:val="106"/>
        </w:trPr>
        <w:tc>
          <w:tcPr>
            <w:tcW w:w="6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20" w:type="dxa"/>
            <w:vAlign w:val="bottom"/>
            <w:gridSpan w:val="4"/>
          </w:tcPr>
          <w:p>
            <w:pPr>
              <w:ind w:left="220"/>
              <w:spacing w:after="0" w:line="100" w:lineRule="exact"/>
              <w:rPr>
                <w:sz w:val="20"/>
                <w:szCs w:val="20"/>
                <w:color w:val="auto"/>
              </w:rPr>
            </w:pPr>
            <w:r>
              <w:rPr>
                <w:rFonts w:ascii="Arial" w:cs="Arial" w:eastAsia="Arial" w:hAnsi="Arial"/>
                <w:sz w:val="9"/>
                <w:szCs w:val="9"/>
                <w:b w:val="1"/>
                <w:bCs w:val="1"/>
                <w:color w:val="auto"/>
              </w:rPr>
              <w:t>Closing Sales Price</w:t>
            </w:r>
          </w:p>
        </w:tc>
        <w:tc>
          <w:tcPr>
            <w:tcW w:w="1040" w:type="dxa"/>
            <w:vAlign w:val="bottom"/>
            <w:gridSpan w:val="2"/>
          </w:tcPr>
          <w:p>
            <w:pPr>
              <w:jc w:val="center"/>
              <w:ind w:right="540"/>
              <w:spacing w:after="0" w:line="100" w:lineRule="exact"/>
              <w:rPr>
                <w:sz w:val="20"/>
                <w:szCs w:val="20"/>
                <w:color w:val="auto"/>
              </w:rPr>
            </w:pPr>
            <w:r>
              <w:rPr>
                <w:rFonts w:ascii="Arial" w:cs="Arial" w:eastAsia="Arial" w:hAnsi="Arial"/>
                <w:sz w:val="9"/>
                <w:szCs w:val="9"/>
                <w:b w:val="1"/>
                <w:bCs w:val="1"/>
                <w:color w:val="auto"/>
                <w:w w:val="90"/>
              </w:rPr>
              <w:t>Price to</w:t>
            </w:r>
          </w:p>
        </w:tc>
        <w:tc>
          <w:tcPr>
            <w:tcW w:w="620" w:type="dxa"/>
            <w:vAlign w:val="bottom"/>
            <w:gridSpan w:val="2"/>
          </w:tcPr>
          <w:p>
            <w:pPr>
              <w:jc w:val="center"/>
              <w:ind w:right="120"/>
              <w:spacing w:after="0" w:line="100" w:lineRule="exact"/>
              <w:rPr>
                <w:sz w:val="20"/>
                <w:szCs w:val="20"/>
                <w:color w:val="auto"/>
              </w:rPr>
            </w:pPr>
            <w:r>
              <w:rPr>
                <w:rFonts w:ascii="Arial" w:cs="Arial" w:eastAsia="Arial" w:hAnsi="Arial"/>
                <w:sz w:val="9"/>
                <w:szCs w:val="9"/>
                <w:b w:val="1"/>
                <w:bCs w:val="1"/>
                <w:color w:val="auto"/>
                <w:w w:val="90"/>
              </w:rPr>
              <w:t>Price to</w:t>
            </w:r>
          </w:p>
        </w:tc>
      </w:tr>
      <w:tr>
        <w:trPr>
          <w:trHeight w:val="99"/>
        </w:trPr>
        <w:tc>
          <w:tcPr>
            <w:tcW w:w="6760" w:type="dxa"/>
            <w:vAlign w:val="bottom"/>
            <w:tcBorders>
              <w:bottom w:val="single" w:sz="8" w:color="auto"/>
            </w:tcBorders>
          </w:tcPr>
          <w:p>
            <w:pPr>
              <w:spacing w:after="0" w:line="99" w:lineRule="exact"/>
              <w:rPr>
                <w:sz w:val="20"/>
                <w:szCs w:val="20"/>
                <w:color w:val="auto"/>
              </w:rPr>
            </w:pPr>
            <w:r>
              <w:rPr>
                <w:rFonts w:ascii="Arial" w:cs="Arial" w:eastAsia="Arial" w:hAnsi="Arial"/>
                <w:sz w:val="9"/>
                <w:szCs w:val="9"/>
                <w:b w:val="1"/>
                <w:bCs w:val="1"/>
                <w:color w:val="auto"/>
              </w:rPr>
              <w:t>Period</w:t>
            </w:r>
          </w:p>
        </w:tc>
        <w:tc>
          <w:tcPr>
            <w:tcW w:w="460" w:type="dxa"/>
            <w:vAlign w:val="bottom"/>
          </w:tcPr>
          <w:p>
            <w:pPr>
              <w:spacing w:after="0"/>
              <w:rPr>
                <w:sz w:val="8"/>
                <w:szCs w:val="8"/>
                <w:color w:val="auto"/>
              </w:rPr>
            </w:pPr>
          </w:p>
        </w:tc>
        <w:tc>
          <w:tcPr>
            <w:tcW w:w="340" w:type="dxa"/>
            <w:vAlign w:val="bottom"/>
            <w:tcBorders>
              <w:bottom w:val="single" w:sz="8" w:color="auto"/>
            </w:tcBorders>
          </w:tcPr>
          <w:p>
            <w:pPr>
              <w:jc w:val="center"/>
              <w:spacing w:after="0" w:line="99" w:lineRule="exact"/>
              <w:rPr>
                <w:sz w:val="20"/>
                <w:szCs w:val="20"/>
                <w:color w:val="auto"/>
              </w:rPr>
            </w:pPr>
            <w:r>
              <w:rPr>
                <w:rFonts w:ascii="Arial" w:cs="Arial" w:eastAsia="Arial" w:hAnsi="Arial"/>
                <w:sz w:val="7"/>
                <w:szCs w:val="7"/>
                <w:b w:val="1"/>
                <w:bCs w:val="1"/>
                <w:color w:val="auto"/>
              </w:rPr>
              <w:t>NAV</w:t>
            </w:r>
            <w:r>
              <w:rPr>
                <w:rFonts w:ascii="Arial" w:cs="Arial" w:eastAsia="Arial" w:hAnsi="Arial"/>
                <w:sz w:val="11"/>
                <w:szCs w:val="11"/>
                <w:b w:val="1"/>
                <w:bCs w:val="1"/>
                <w:color w:val="auto"/>
                <w:vertAlign w:val="superscript"/>
              </w:rPr>
              <w:t>(1)</w:t>
            </w:r>
          </w:p>
        </w:tc>
        <w:tc>
          <w:tcPr>
            <w:tcW w:w="46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center"/>
              <w:spacing w:after="0" w:line="99" w:lineRule="exact"/>
              <w:rPr>
                <w:sz w:val="20"/>
                <w:szCs w:val="20"/>
                <w:color w:val="auto"/>
              </w:rPr>
            </w:pPr>
            <w:r>
              <w:rPr>
                <w:rFonts w:ascii="Arial" w:cs="Arial" w:eastAsia="Arial" w:hAnsi="Arial"/>
                <w:sz w:val="9"/>
                <w:szCs w:val="9"/>
                <w:b w:val="1"/>
                <w:bCs w:val="1"/>
                <w:color w:val="auto"/>
                <w:w w:val="89"/>
              </w:rPr>
              <w:t>High</w:t>
            </w:r>
          </w:p>
        </w:tc>
        <w:tc>
          <w:tcPr>
            <w:tcW w:w="440" w:type="dxa"/>
            <w:vAlign w:val="bottom"/>
            <w:tcBorders>
              <w:top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center"/>
              <w:spacing w:after="0" w:line="99" w:lineRule="exact"/>
              <w:rPr>
                <w:sz w:val="20"/>
                <w:szCs w:val="20"/>
                <w:color w:val="auto"/>
              </w:rPr>
            </w:pPr>
            <w:r>
              <w:rPr>
                <w:rFonts w:ascii="Arial" w:cs="Arial" w:eastAsia="Arial" w:hAnsi="Arial"/>
                <w:sz w:val="9"/>
                <w:szCs w:val="9"/>
                <w:b w:val="1"/>
                <w:bCs w:val="1"/>
                <w:color w:val="auto"/>
                <w:w w:val="99"/>
              </w:rPr>
              <w:t>Low</w:t>
            </w:r>
          </w:p>
        </w:tc>
        <w:tc>
          <w:tcPr>
            <w:tcW w:w="460" w:type="dxa"/>
            <w:vAlign w:val="bottom"/>
          </w:tcPr>
          <w:p>
            <w:pPr>
              <w:spacing w:after="0"/>
              <w:rPr>
                <w:sz w:val="8"/>
                <w:szCs w:val="8"/>
                <w:color w:val="auto"/>
              </w:rPr>
            </w:pPr>
          </w:p>
        </w:tc>
        <w:tc>
          <w:tcPr>
            <w:tcW w:w="480" w:type="dxa"/>
            <w:vAlign w:val="bottom"/>
            <w:tcBorders>
              <w:bottom w:val="single" w:sz="8" w:color="auto"/>
            </w:tcBorders>
          </w:tcPr>
          <w:p>
            <w:pPr>
              <w:jc w:val="center"/>
              <w:spacing w:after="0" w:line="99" w:lineRule="exact"/>
              <w:rPr>
                <w:sz w:val="20"/>
                <w:szCs w:val="20"/>
                <w:color w:val="auto"/>
              </w:rPr>
            </w:pPr>
            <w:r>
              <w:rPr>
                <w:rFonts w:ascii="Arial" w:cs="Arial" w:eastAsia="Arial" w:hAnsi="Arial"/>
                <w:sz w:val="7"/>
                <w:szCs w:val="7"/>
                <w:b w:val="1"/>
                <w:bCs w:val="1"/>
                <w:color w:val="auto"/>
              </w:rPr>
              <w:t>NAV</w:t>
            </w:r>
            <w:r>
              <w:rPr>
                <w:rFonts w:ascii="Arial" w:cs="Arial" w:eastAsia="Arial" w:hAnsi="Arial"/>
                <w:sz w:val="11"/>
                <w:szCs w:val="11"/>
                <w:b w:val="1"/>
                <w:bCs w:val="1"/>
                <w:color w:val="auto"/>
                <w:vertAlign w:val="superscript"/>
              </w:rPr>
              <w:t>(2)</w:t>
            </w:r>
          </w:p>
        </w:tc>
        <w:tc>
          <w:tcPr>
            <w:tcW w:w="560" w:type="dxa"/>
            <w:vAlign w:val="bottom"/>
          </w:tcPr>
          <w:p>
            <w:pPr>
              <w:spacing w:after="0"/>
              <w:rPr>
                <w:sz w:val="8"/>
                <w:szCs w:val="8"/>
                <w:color w:val="auto"/>
              </w:rPr>
            </w:pPr>
          </w:p>
        </w:tc>
        <w:tc>
          <w:tcPr>
            <w:tcW w:w="500" w:type="dxa"/>
            <w:vAlign w:val="bottom"/>
            <w:tcBorders>
              <w:bottom w:val="single" w:sz="8" w:color="auto"/>
            </w:tcBorders>
          </w:tcPr>
          <w:p>
            <w:pPr>
              <w:jc w:val="center"/>
              <w:spacing w:after="0" w:line="99" w:lineRule="exact"/>
              <w:rPr>
                <w:sz w:val="20"/>
                <w:szCs w:val="20"/>
                <w:color w:val="auto"/>
              </w:rPr>
            </w:pPr>
            <w:r>
              <w:rPr>
                <w:rFonts w:ascii="Arial" w:cs="Arial" w:eastAsia="Arial" w:hAnsi="Arial"/>
                <w:sz w:val="7"/>
                <w:szCs w:val="7"/>
                <w:b w:val="1"/>
                <w:bCs w:val="1"/>
                <w:color w:val="auto"/>
              </w:rPr>
              <w:t>NAV</w:t>
            </w:r>
            <w:r>
              <w:rPr>
                <w:rFonts w:ascii="Arial" w:cs="Arial" w:eastAsia="Arial" w:hAnsi="Arial"/>
                <w:sz w:val="11"/>
                <w:szCs w:val="11"/>
                <w:b w:val="1"/>
                <w:bCs w:val="1"/>
                <w:color w:val="auto"/>
                <w:vertAlign w:val="superscript"/>
              </w:rPr>
              <w:t>(2)</w:t>
            </w:r>
          </w:p>
        </w:tc>
        <w:tc>
          <w:tcPr>
            <w:tcW w:w="120" w:type="dxa"/>
            <w:vAlign w:val="bottom"/>
          </w:tcPr>
          <w:p>
            <w:pPr>
              <w:spacing w:after="0"/>
              <w:rPr>
                <w:sz w:val="8"/>
                <w:szCs w:val="8"/>
                <w:color w:val="auto"/>
              </w:rPr>
            </w:pPr>
          </w:p>
        </w:tc>
      </w:tr>
      <w:tr>
        <w:trPr>
          <w:trHeight w:val="142"/>
        </w:trPr>
        <w:tc>
          <w:tcPr>
            <w:tcW w:w="7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Fiscal Quarter ended September 30, 2007</w:t>
            </w:r>
          </w:p>
        </w:tc>
        <w:tc>
          <w:tcPr>
            <w:tcW w:w="800" w:type="dxa"/>
            <w:vAlign w:val="bottom"/>
            <w:gridSpan w:val="2"/>
            <w:shd w:val="clear" w:color="auto" w:fill="CCEEFF"/>
          </w:tcPr>
          <w:p>
            <w:pPr>
              <w:jc w:val="center"/>
              <w:ind w:right="460"/>
              <w:spacing w:after="0"/>
              <w:rPr>
                <w:sz w:val="20"/>
                <w:szCs w:val="20"/>
                <w:color w:val="auto"/>
              </w:rPr>
            </w:pPr>
            <w:r>
              <w:rPr>
                <w:rFonts w:ascii="Arial" w:cs="Arial" w:eastAsia="Arial" w:hAnsi="Arial"/>
                <w:sz w:val="12"/>
                <w:szCs w:val="12"/>
                <w:color w:val="auto"/>
                <w:w w:val="84"/>
              </w:rPr>
              <w:t>$ 12.83</w:t>
            </w:r>
          </w:p>
        </w:tc>
        <w:tc>
          <w:tcPr>
            <w:tcW w:w="800" w:type="dxa"/>
            <w:vAlign w:val="bottom"/>
            <w:gridSpan w:val="2"/>
            <w:shd w:val="clear" w:color="auto" w:fill="CCEEFF"/>
          </w:tcPr>
          <w:p>
            <w:pPr>
              <w:jc w:val="center"/>
              <w:ind w:right="440"/>
              <w:spacing w:after="0"/>
              <w:rPr>
                <w:sz w:val="20"/>
                <w:szCs w:val="20"/>
                <w:color w:val="auto"/>
              </w:rPr>
            </w:pPr>
            <w:r>
              <w:rPr>
                <w:rFonts w:ascii="Arial" w:cs="Arial" w:eastAsia="Arial" w:hAnsi="Arial"/>
                <w:sz w:val="12"/>
                <w:szCs w:val="12"/>
                <w:color w:val="auto"/>
                <w:w w:val="89"/>
              </w:rPr>
              <w:t>$ 14.76</w:t>
            </w:r>
          </w:p>
        </w:tc>
        <w:tc>
          <w:tcPr>
            <w:tcW w:w="820" w:type="dxa"/>
            <w:vAlign w:val="bottom"/>
            <w:gridSpan w:val="2"/>
            <w:shd w:val="clear" w:color="auto" w:fill="CCEEFF"/>
          </w:tcPr>
          <w:p>
            <w:pPr>
              <w:jc w:val="center"/>
              <w:ind w:right="440"/>
              <w:spacing w:after="0"/>
              <w:rPr>
                <w:sz w:val="20"/>
                <w:szCs w:val="20"/>
                <w:color w:val="auto"/>
              </w:rPr>
            </w:pPr>
            <w:r>
              <w:rPr>
                <w:rFonts w:ascii="Arial" w:cs="Arial" w:eastAsia="Arial" w:hAnsi="Arial"/>
                <w:sz w:val="12"/>
                <w:szCs w:val="12"/>
                <w:color w:val="auto"/>
                <w:w w:val="94"/>
              </w:rPr>
              <w:t>$ 12.61</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115.04%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98.29%</w:t>
            </w:r>
          </w:p>
        </w:tc>
      </w:tr>
      <w:tr>
        <w:trPr>
          <w:trHeight w:val="148"/>
        </w:trPr>
        <w:tc>
          <w:tcPr>
            <w:tcW w:w="7220" w:type="dxa"/>
            <w:vAlign w:val="bottom"/>
            <w:gridSpan w:val="2"/>
          </w:tcPr>
          <w:p>
            <w:pPr>
              <w:spacing w:after="0"/>
              <w:rPr>
                <w:sz w:val="20"/>
                <w:szCs w:val="20"/>
                <w:color w:val="auto"/>
              </w:rPr>
            </w:pPr>
            <w:r>
              <w:rPr>
                <w:rFonts w:ascii="Arial" w:cs="Arial" w:eastAsia="Arial" w:hAnsi="Arial"/>
                <w:sz w:val="12"/>
                <w:szCs w:val="12"/>
                <w:color w:val="auto"/>
              </w:rPr>
              <w:t>Fiscal Period ended June 30, 2007*</w:t>
            </w:r>
          </w:p>
        </w:tc>
        <w:tc>
          <w:tcPr>
            <w:tcW w:w="800" w:type="dxa"/>
            <w:vAlign w:val="bottom"/>
            <w:gridSpan w:val="2"/>
          </w:tcPr>
          <w:p>
            <w:pPr>
              <w:jc w:val="center"/>
              <w:ind w:right="460"/>
              <w:spacing w:after="0"/>
              <w:rPr>
                <w:sz w:val="20"/>
                <w:szCs w:val="20"/>
                <w:color w:val="auto"/>
              </w:rPr>
            </w:pPr>
            <w:r>
              <w:rPr>
                <w:rFonts w:ascii="Arial" w:cs="Arial" w:eastAsia="Arial" w:hAnsi="Arial"/>
                <w:sz w:val="12"/>
                <w:szCs w:val="12"/>
                <w:color w:val="auto"/>
                <w:w w:val="84"/>
              </w:rPr>
              <w:t>$ 13.74</w:t>
            </w:r>
          </w:p>
        </w:tc>
        <w:tc>
          <w:tcPr>
            <w:tcW w:w="800" w:type="dxa"/>
            <w:vAlign w:val="bottom"/>
            <w:gridSpan w:val="2"/>
          </w:tcPr>
          <w:p>
            <w:pPr>
              <w:jc w:val="center"/>
              <w:ind w:right="440"/>
              <w:spacing w:after="0"/>
              <w:rPr>
                <w:sz w:val="20"/>
                <w:szCs w:val="20"/>
                <w:color w:val="auto"/>
              </w:rPr>
            </w:pPr>
            <w:r>
              <w:rPr>
                <w:rFonts w:ascii="Arial" w:cs="Arial" w:eastAsia="Arial" w:hAnsi="Arial"/>
                <w:sz w:val="12"/>
                <w:szCs w:val="12"/>
                <w:color w:val="auto"/>
                <w:w w:val="89"/>
              </w:rPr>
              <w:t>$ 15.03</w:t>
            </w:r>
          </w:p>
        </w:tc>
        <w:tc>
          <w:tcPr>
            <w:tcW w:w="820" w:type="dxa"/>
            <w:vAlign w:val="bottom"/>
            <w:gridSpan w:val="2"/>
          </w:tcPr>
          <w:p>
            <w:pPr>
              <w:jc w:val="center"/>
              <w:ind w:right="440"/>
              <w:spacing w:after="0"/>
              <w:rPr>
                <w:sz w:val="20"/>
                <w:szCs w:val="20"/>
                <w:color w:val="auto"/>
              </w:rPr>
            </w:pPr>
            <w:r>
              <w:rPr>
                <w:rFonts w:ascii="Arial" w:cs="Arial" w:eastAsia="Arial" w:hAnsi="Arial"/>
                <w:sz w:val="12"/>
                <w:szCs w:val="12"/>
                <w:color w:val="auto"/>
                <w:w w:val="94"/>
              </w:rPr>
              <w:t>$ 14.04</w:t>
            </w:r>
          </w:p>
        </w:tc>
        <w:tc>
          <w:tcPr>
            <w:tcW w:w="1040" w:type="dxa"/>
            <w:vAlign w:val="bottom"/>
            <w:gridSpan w:val="2"/>
          </w:tcPr>
          <w:p>
            <w:pPr>
              <w:jc w:val="right"/>
              <w:ind w:right="460"/>
              <w:spacing w:after="0"/>
              <w:rPr>
                <w:sz w:val="20"/>
                <w:szCs w:val="20"/>
                <w:color w:val="auto"/>
              </w:rPr>
            </w:pPr>
            <w:r>
              <w:rPr>
                <w:rFonts w:ascii="Arial" w:cs="Arial" w:eastAsia="Arial" w:hAnsi="Arial"/>
                <w:sz w:val="12"/>
                <w:szCs w:val="12"/>
                <w:color w:val="auto"/>
              </w:rPr>
              <w:t>109.39%</w:t>
            </w: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102.18%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3152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520" cy="5715"/>
                    </a:xfrm>
                    <a:prstGeom prst="rect">
                      <a:avLst/>
                    </a:prstGeom>
                    <a:noFill/>
                  </pic:spPr>
                </pic:pic>
              </a:graphicData>
            </a:graphic>
          </wp:anchor>
        </w:drawing>
      </w:r>
    </w:p>
    <w:p>
      <w:pPr>
        <w:spacing w:after="0" w:line="123" w:lineRule="exact"/>
        <w:rPr>
          <w:sz w:val="20"/>
          <w:szCs w:val="20"/>
          <w:color w:val="auto"/>
        </w:rPr>
      </w:pPr>
    </w:p>
    <w:p>
      <w:pPr>
        <w:ind w:left="448" w:right="40" w:hanging="448"/>
        <w:spacing w:after="0" w:line="254" w:lineRule="auto"/>
        <w:tabs>
          <w:tab w:leader="none" w:pos="448" w:val="left"/>
        </w:tabs>
        <w:numPr>
          <w:ilvl w:val="0"/>
          <w:numId w:val="20"/>
        </w:numPr>
        <w:rPr>
          <w:rFonts w:ascii="Arial" w:cs="Arial" w:eastAsia="Arial" w:hAnsi="Arial"/>
          <w:sz w:val="12"/>
          <w:szCs w:val="12"/>
          <w:color w:val="auto"/>
        </w:rPr>
      </w:pPr>
      <w:r>
        <w:rPr>
          <w:rFonts w:ascii="Arial" w:cs="Arial" w:eastAsia="Arial" w:hAnsi="Arial"/>
          <w:sz w:val="12"/>
          <w:szCs w:val="12"/>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48" w:hanging="448"/>
        <w:spacing w:after="0"/>
        <w:tabs>
          <w:tab w:leader="none" w:pos="448" w:val="left"/>
        </w:tabs>
        <w:numPr>
          <w:ilvl w:val="0"/>
          <w:numId w:val="20"/>
        </w:numPr>
        <w:rPr>
          <w:rFonts w:ascii="Arial" w:cs="Arial" w:eastAsia="Arial" w:hAnsi="Arial"/>
          <w:sz w:val="12"/>
          <w:szCs w:val="12"/>
          <w:color w:val="auto"/>
        </w:rPr>
      </w:pPr>
      <w:r>
        <w:rPr>
          <w:rFonts w:ascii="Arial" w:cs="Arial" w:eastAsia="Arial" w:hAnsi="Arial"/>
          <w:sz w:val="12"/>
          <w:szCs w:val="12"/>
          <w:color w:val="auto"/>
        </w:rPr>
        <w:t>Calculated as of the respective high or low closing sales price divided by the quarter end NAV.</w:t>
      </w:r>
    </w:p>
    <w:p>
      <w:pPr>
        <w:spacing w:after="0" w:line="6" w:lineRule="exact"/>
        <w:rPr>
          <w:sz w:val="20"/>
          <w:szCs w:val="20"/>
          <w:color w:val="auto"/>
        </w:rPr>
      </w:pPr>
    </w:p>
    <w:p>
      <w:pPr>
        <w:ind w:left="448" w:hanging="419"/>
        <w:spacing w:after="0"/>
        <w:tabs>
          <w:tab w:leader="none" w:pos="448" w:val="left"/>
        </w:tabs>
        <w:numPr>
          <w:ilvl w:val="0"/>
          <w:numId w:val="21"/>
        </w:numPr>
        <w:rPr>
          <w:rFonts w:ascii="Arial" w:cs="Arial" w:eastAsia="Arial" w:hAnsi="Arial"/>
          <w:sz w:val="12"/>
          <w:szCs w:val="12"/>
          <w:color w:val="auto"/>
        </w:rPr>
      </w:pPr>
      <w:r>
        <w:rPr>
          <w:rFonts w:ascii="Arial" w:cs="Arial" w:eastAsia="Arial" w:hAnsi="Arial"/>
          <w:sz w:val="12"/>
          <w:szCs w:val="12"/>
          <w:color w:val="auto"/>
        </w:rPr>
        <w:t>From April 24, 2007 (initial public offering) to June 30, 2007.</w:t>
      </w:r>
    </w:p>
    <w:p>
      <w:pPr>
        <w:spacing w:after="0" w:line="110" w:lineRule="exact"/>
        <w:rPr>
          <w:sz w:val="20"/>
          <w:szCs w:val="20"/>
          <w:color w:val="auto"/>
        </w:rPr>
      </w:pPr>
    </w:p>
    <w:p>
      <w:pPr>
        <w:ind w:left="8" w:right="100" w:firstLine="452"/>
        <w:spacing w:after="0" w:line="268" w:lineRule="auto"/>
        <w:rPr>
          <w:sz w:val="20"/>
          <w:szCs w:val="20"/>
          <w:color w:val="auto"/>
        </w:rPr>
      </w:pPr>
      <w:r>
        <w:rPr>
          <w:rFonts w:ascii="Arial" w:cs="Arial" w:eastAsia="Arial" w:hAnsi="Arial"/>
          <w:sz w:val="12"/>
          <w:szCs w:val="12"/>
          <w:color w:val="auto"/>
        </w:rPr>
        <w:t>While our common stock traded in excess of our net asset value on September 30, 2007, there can be no assurance that our shares will continue to trade at such a premium (to net asset value). The last reported closing market value of our common stock on November 30, 2007 was $11.49 per share, and we had 15 stockholders of record.</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DISTRIBUTIONS</w:t>
      </w:r>
    </w:p>
    <w:p>
      <w:pPr>
        <w:spacing w:after="0" w:line="62" w:lineRule="exact"/>
        <w:rPr>
          <w:sz w:val="20"/>
          <w:szCs w:val="20"/>
          <w:color w:val="auto"/>
        </w:rPr>
      </w:pPr>
    </w:p>
    <w:p>
      <w:pPr>
        <w:ind w:left="8" w:right="20" w:firstLine="452"/>
        <w:spacing w:after="0" w:line="256" w:lineRule="auto"/>
        <w:rPr>
          <w:sz w:val="20"/>
          <w:szCs w:val="20"/>
          <w:color w:val="auto"/>
        </w:rPr>
      </w:pPr>
      <w:r>
        <w:rPr>
          <w:rFonts w:ascii="Arial" w:cs="Arial" w:eastAsia="Arial" w:hAnsi="Arial"/>
          <w:sz w:val="12"/>
          <w:szCs w:val="12"/>
          <w:color w:val="auto"/>
        </w:rPr>
        <w:t>We intend to make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 (See Note 8):</w:t>
      </w:r>
    </w:p>
    <w:p>
      <w:pPr>
        <w:spacing w:after="0" w:line="119"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7520" w:type="dxa"/>
            <w:vAlign w:val="bottom"/>
            <w:gridSpan w:val="3"/>
          </w:tcPr>
          <w:p>
            <w:pPr>
              <w:ind w:left="440"/>
              <w:spacing w:after="0"/>
              <w:rPr>
                <w:sz w:val="20"/>
                <w:szCs w:val="20"/>
                <w:color w:val="auto"/>
              </w:rPr>
            </w:pPr>
            <w:r>
              <w:rPr>
                <w:rFonts w:ascii="Arial" w:cs="Arial" w:eastAsia="Arial" w:hAnsi="Arial"/>
                <w:sz w:val="9"/>
                <w:szCs w:val="9"/>
                <w:b w:val="1"/>
                <w:bCs w:val="1"/>
                <w:color w:val="auto"/>
              </w:rPr>
              <w:t>Record Date</w:t>
            </w:r>
          </w:p>
        </w:tc>
        <w:tc>
          <w:tcPr>
            <w:tcW w:w="500" w:type="dxa"/>
            <w:vAlign w:val="bottom"/>
          </w:tcPr>
          <w:p>
            <w:pPr>
              <w:spacing w:after="0"/>
              <w:rPr>
                <w:sz w:val="9"/>
                <w:szCs w:val="9"/>
                <w:color w:val="auto"/>
              </w:rPr>
            </w:pPr>
          </w:p>
        </w:tc>
        <w:tc>
          <w:tcPr>
            <w:tcW w:w="1640" w:type="dxa"/>
            <w:vAlign w:val="bottom"/>
          </w:tcPr>
          <w:p>
            <w:pPr>
              <w:ind w:left="540"/>
              <w:spacing w:after="0"/>
              <w:rPr>
                <w:sz w:val="20"/>
                <w:szCs w:val="20"/>
                <w:color w:val="auto"/>
              </w:rPr>
            </w:pPr>
            <w:r>
              <w:rPr>
                <w:rFonts w:ascii="Arial" w:cs="Arial" w:eastAsia="Arial" w:hAnsi="Arial"/>
                <w:sz w:val="9"/>
                <w:szCs w:val="9"/>
                <w:b w:val="1"/>
                <w:bCs w:val="1"/>
                <w:color w:val="auto"/>
              </w:rPr>
              <w:t>Payment Date</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 w:type="dxa"/>
            <w:vAlign w:val="bottom"/>
            <w:vMerge w:val="continue"/>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September 25, 2007</w:t>
            </w:r>
          </w:p>
        </w:tc>
        <w:tc>
          <w:tcPr>
            <w:tcW w:w="5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2"/>
                <w:szCs w:val="12"/>
                <w:color w:val="auto"/>
              </w:rPr>
              <w:t>September 28, 2007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w w:val="76"/>
              </w:rPr>
              <w:t>0.22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June 22, 2007</w:t>
            </w:r>
          </w:p>
        </w:tc>
        <w:tc>
          <w:tcPr>
            <w:tcW w:w="2140" w:type="dxa"/>
            <w:vAlign w:val="bottom"/>
            <w:gridSpan w:val="2"/>
          </w:tcPr>
          <w:p>
            <w:pPr>
              <w:ind w:left="500"/>
              <w:spacing w:after="0"/>
              <w:rPr>
                <w:sz w:val="20"/>
                <w:szCs w:val="20"/>
                <w:color w:val="auto"/>
              </w:rPr>
            </w:pPr>
            <w:r>
              <w:rPr>
                <w:rFonts w:ascii="Arial" w:cs="Arial" w:eastAsia="Arial" w:hAnsi="Arial"/>
                <w:sz w:val="12"/>
                <w:szCs w:val="12"/>
                <w:color w:val="auto"/>
              </w:rPr>
              <w:t>June 29, 2007</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tcPr>
          <w:p>
            <w:pPr>
              <w:ind w:left="260"/>
              <w:spacing w:after="0"/>
              <w:rPr>
                <w:sz w:val="20"/>
                <w:szCs w:val="20"/>
                <w:color w:val="auto"/>
              </w:rPr>
            </w:pPr>
            <w:r>
              <w:rPr>
                <w:rFonts w:ascii="Arial" w:cs="Arial" w:eastAsia="Arial" w:hAnsi="Arial"/>
                <w:sz w:val="12"/>
                <w:szCs w:val="12"/>
                <w:color w:val="auto"/>
                <w:w w:val="76"/>
              </w:rPr>
              <w:t>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inception to September 30, 2007</w:t>
            </w:r>
          </w:p>
        </w:tc>
        <w:tc>
          <w:tcPr>
            <w:tcW w:w="5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0.36*</w:t>
            </w:r>
          </w:p>
        </w:tc>
        <w:tc>
          <w:tcPr>
            <w:tcW w:w="0" w:type="dxa"/>
            <w:vAlign w:val="bottom"/>
          </w:tcPr>
          <w:p>
            <w:pPr>
              <w:spacing w:after="0"/>
              <w:rPr>
                <w:sz w:val="1"/>
                <w:szCs w:val="1"/>
                <w:color w:val="auto"/>
              </w:rPr>
            </w:pPr>
          </w:p>
        </w:tc>
      </w:tr>
      <w:tr>
        <w:trPr>
          <w:trHeight w:val="72"/>
        </w:trPr>
        <w:tc>
          <w:tcPr>
            <w:tcW w:w="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28" w:hanging="228"/>
        <w:spacing w:after="0"/>
        <w:tabs>
          <w:tab w:leader="none" w:pos="2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$0.001354 per share is a tax return of capital.</w:t>
      </w:r>
    </w:p>
    <w:p>
      <w:pPr>
        <w:spacing w:after="0" w:line="114" w:lineRule="exact"/>
        <w:rPr>
          <w:sz w:val="20"/>
          <w:szCs w:val="20"/>
          <w:color w:val="auto"/>
        </w:rPr>
      </w:pPr>
    </w:p>
    <w:p>
      <w:pPr>
        <w:ind w:left="448"/>
        <w:spacing w:after="0"/>
        <w:rPr>
          <w:sz w:val="20"/>
          <w:szCs w:val="20"/>
          <w:color w:val="auto"/>
        </w:rPr>
      </w:pPr>
      <w:r>
        <w:rPr>
          <w:rFonts w:ascii="Arial" w:cs="Arial" w:eastAsia="Arial" w:hAnsi="Arial"/>
          <w:sz w:val="12"/>
          <w:szCs w:val="12"/>
          <w:color w:val="auto"/>
        </w:rPr>
        <w:t>In January 2008, a Form 1099-Div will be sent to stockholders which, will state the amount and composition of distributions and provide information with respect to appropriate tax treatment.</w:t>
      </w:r>
    </w:p>
    <w:p>
      <w:pPr>
        <w:spacing w:after="0" w:line="114" w:lineRule="exact"/>
        <w:rPr>
          <w:sz w:val="20"/>
          <w:szCs w:val="20"/>
          <w:color w:val="auto"/>
        </w:rPr>
      </w:pPr>
    </w:p>
    <w:p>
      <w:pPr>
        <w:ind w:left="8" w:firstLine="452"/>
        <w:spacing w:after="0" w:line="268" w:lineRule="auto"/>
        <w:rPr>
          <w:sz w:val="20"/>
          <w:szCs w:val="20"/>
          <w:color w:val="auto"/>
        </w:rPr>
      </w:pPr>
      <w:r>
        <w:rPr>
          <w:rFonts w:ascii="Arial" w:cs="Arial" w:eastAsia="Arial" w:hAnsi="Arial"/>
          <w:sz w:val="12"/>
          <w:szCs w:val="12"/>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08"/>
          </w:cols>
          <w:pgMar w:left="292" w:top="354" w:right="299"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64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firstLine="452"/>
        <w:spacing w:after="0" w:line="256" w:lineRule="auto"/>
        <w:rPr>
          <w:sz w:val="20"/>
          <w:szCs w:val="20"/>
          <w:color w:val="auto"/>
        </w:rPr>
      </w:pPr>
      <w:r>
        <w:rPr>
          <w:rFonts w:ascii="Arial" w:cs="Arial" w:eastAsia="Arial" w:hAnsi="Arial"/>
          <w:sz w:val="12"/>
          <w:szCs w:val="12"/>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 of Unregistered Securities</w:t>
      </w:r>
    </w:p>
    <w:p>
      <w:pPr>
        <w:spacing w:after="0" w:line="62" w:lineRule="exact"/>
        <w:rPr>
          <w:sz w:val="20"/>
          <w:szCs w:val="20"/>
          <w:color w:val="auto"/>
        </w:rPr>
      </w:pPr>
    </w:p>
    <w:p>
      <w:pPr>
        <w:ind w:right="60" w:firstLine="452"/>
        <w:spacing w:after="0" w:line="268" w:lineRule="auto"/>
        <w:rPr>
          <w:sz w:val="20"/>
          <w:szCs w:val="20"/>
          <w:color w:val="auto"/>
        </w:rPr>
      </w:pPr>
      <w:r>
        <w:rPr>
          <w:rFonts w:ascii="Arial" w:cs="Arial" w:eastAsia="Arial" w:hAnsi="Arial"/>
          <w:sz w:val="12"/>
          <w:szCs w:val="12"/>
          <w:color w:val="auto"/>
        </w:rPr>
        <w:t>In conjunction with our initial public offering, we completed a private placement of 320,000 shares of our common stock to our officers, directors, investment adviser and managers of our Investment Adviser, for $15 per share. The private placement was subscribed for on April 16, 2007 and closed on April 24, 2007. No sales load accompanied this offering.</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Performance Graph</w:t>
      </w:r>
    </w:p>
    <w:p>
      <w:pPr>
        <w:spacing w:after="0" w:line="62" w:lineRule="exact"/>
        <w:rPr>
          <w:sz w:val="20"/>
          <w:szCs w:val="20"/>
          <w:color w:val="auto"/>
        </w:rPr>
      </w:pPr>
    </w:p>
    <w:p>
      <w:pPr>
        <w:ind w:right="40" w:firstLine="452"/>
        <w:spacing w:after="0" w:line="259" w:lineRule="auto"/>
        <w:rPr>
          <w:sz w:val="20"/>
          <w:szCs w:val="20"/>
          <w:color w:val="auto"/>
        </w:rPr>
      </w:pPr>
      <w:r>
        <w:rPr>
          <w:rFonts w:ascii="Arial" w:cs="Arial" w:eastAsia="Arial" w:hAnsi="Arial"/>
          <w:sz w:val="12"/>
          <w:szCs w:val="12"/>
          <w:color w:val="auto"/>
        </w:rPr>
        <w:t>This graph compares the return on our common stock with that of the Standard &amp; Poor’s 500 Stock Index and the Russell 2000 Financial Services Index, for the period April 24, 2007 (public offering) through September 30, 2007. The graph assumes that, on April 24, 2007, a person invested $100 in each of our common stock, the S&amp;P 500 Index, and the Russell 2000 Financial Services Index. The graph measures total stockholder return, which takes into account both changes in stock price and dividends. It assumes that dividends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62865</wp:posOffset>
            </wp:positionV>
            <wp:extent cx="2823210" cy="1583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3210" cy="158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300"/>
          </w:cols>
          <w:pgMar w:left="300" w:top="354" w:right="299" w:bottom="1440" w:gutter="0" w:footer="0" w:header="0"/>
        </w:sectPr>
      </w:pPr>
    </w:p>
    <w:bookmarkStart w:id="37" w:name="page38"/>
    <w:bookmarkEnd w:id="37"/>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6455" cy="20320"/>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8"/>
        <w:spacing w:after="0"/>
        <w:tabs>
          <w:tab w:leader="none" w:pos="988"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9"/>
          <w:szCs w:val="9"/>
          <w:b w:val="1"/>
          <w:bCs w:val="1"/>
          <w:color w:val="auto"/>
        </w:rPr>
        <w:t>Selected Financial Data</w:t>
      </w:r>
    </w:p>
    <w:p>
      <w:pPr>
        <w:spacing w:after="0" w:line="62" w:lineRule="exact"/>
        <w:rPr>
          <w:sz w:val="20"/>
          <w:szCs w:val="20"/>
          <w:color w:val="auto"/>
        </w:rPr>
      </w:pPr>
    </w:p>
    <w:p>
      <w:pPr>
        <w:ind w:left="8" w:right="60" w:firstLine="452"/>
        <w:spacing w:after="0" w:line="259" w:lineRule="auto"/>
        <w:rPr>
          <w:sz w:val="20"/>
          <w:szCs w:val="20"/>
          <w:color w:val="auto"/>
        </w:rPr>
      </w:pPr>
      <w:r>
        <w:rPr>
          <w:rFonts w:ascii="Arial" w:cs="Arial" w:eastAsia="Arial" w:hAnsi="Arial"/>
          <w:sz w:val="12"/>
          <w:szCs w:val="12"/>
          <w:color w:val="auto"/>
        </w:rPr>
        <w:t>The Statement of Operations, Per Share and Balance Sheet data for the fiscal period ended September 30, 2007 are derived from our financial statements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included elsewhere in this report.</w:t>
      </w:r>
    </w:p>
    <w:p>
      <w:pPr>
        <w:spacing w:after="0" w:line="113" w:lineRule="exact"/>
        <w:rPr>
          <w:sz w:val="20"/>
          <w:szCs w:val="20"/>
          <w:color w:val="auto"/>
        </w:rPr>
      </w:pPr>
    </w:p>
    <w:tbl>
      <w:tblPr>
        <w:tblLayout w:type="fixed"/>
        <w:tblInd w:w="908"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0"/>
              </w:rPr>
              <w:t>Period from</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300" w:type="dxa"/>
            <w:vAlign w:val="bottom"/>
            <w:gridSpan w:val="3"/>
          </w:tcPr>
          <w:p>
            <w:pPr>
              <w:jc w:val="center"/>
              <w:ind w:right="160"/>
              <w:spacing w:after="0" w:line="99" w:lineRule="exact"/>
              <w:rPr>
                <w:sz w:val="20"/>
                <w:szCs w:val="20"/>
                <w:color w:val="auto"/>
              </w:rPr>
            </w:pPr>
            <w:r>
              <w:rPr>
                <w:rFonts w:ascii="Arial" w:cs="Arial" w:eastAsia="Arial" w:hAnsi="Arial"/>
                <w:sz w:val="9"/>
                <w:szCs w:val="9"/>
                <w:b w:val="1"/>
                <w:bCs w:val="1"/>
                <w:color w:val="auto"/>
                <w:w w:val="91"/>
              </w:rPr>
              <w:t>January 11, 2007 (inception)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w w:val="88"/>
              </w:rPr>
              <w:t>through</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w w:val="87"/>
              </w:rPr>
              <w:t>September 30, 2007</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120" w:type="dxa"/>
            <w:vAlign w:val="bottom"/>
            <w:gridSpan w:val="4"/>
          </w:tcPr>
          <w:p>
            <w:pPr>
              <w:jc w:val="center"/>
              <w:ind w:left="2608"/>
              <w:spacing w:after="0" w:line="99" w:lineRule="exact"/>
              <w:rPr>
                <w:sz w:val="20"/>
                <w:szCs w:val="20"/>
                <w:color w:val="auto"/>
              </w:rPr>
            </w:pPr>
            <w:r>
              <w:rPr>
                <w:rFonts w:ascii="Arial" w:cs="Arial" w:eastAsia="Arial" w:hAnsi="Arial"/>
                <w:sz w:val="9"/>
                <w:szCs w:val="9"/>
                <w:b w:val="1"/>
                <w:bCs w:val="1"/>
                <w:color w:val="auto"/>
                <w:w w:val="88"/>
              </w:rPr>
              <w:t>(dollar amounts in thousands,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9"/>
              </w:rPr>
              <w:t>except per share data)</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6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Statement of Operations Data:</w:t>
            </w:r>
          </w:p>
        </w:tc>
        <w:tc>
          <w:tcPr>
            <w:tcW w:w="28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tcPr>
          <w:p>
            <w:pPr>
              <w:spacing w:after="0"/>
              <w:rPr>
                <w:sz w:val="20"/>
                <w:szCs w:val="20"/>
                <w:color w:val="auto"/>
              </w:rPr>
            </w:pPr>
            <w:r>
              <w:rPr>
                <w:rFonts w:ascii="Arial" w:cs="Arial" w:eastAsia="Arial" w:hAnsi="Arial"/>
                <w:sz w:val="12"/>
                <w:szCs w:val="12"/>
                <w:color w:val="auto"/>
              </w:rPr>
              <w:t>Total investment income</w:t>
            </w:r>
          </w:p>
        </w:tc>
        <w:tc>
          <w:tcPr>
            <w:tcW w:w="29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13,107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2"/>
                <w:szCs w:val="12"/>
                <w:color w:val="auto"/>
              </w:rPr>
              <w:t>Net expenses</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tcPr>
          <w:p>
            <w:pPr>
              <w:spacing w:after="0"/>
              <w:rPr>
                <w:sz w:val="20"/>
                <w:szCs w:val="20"/>
                <w:color w:val="auto"/>
              </w:rPr>
            </w:pPr>
            <w:r>
              <w:rPr>
                <w:rFonts w:ascii="Arial" w:cs="Arial" w:eastAsia="Arial" w:hAnsi="Arial"/>
                <w:sz w:val="12"/>
                <w:szCs w:val="12"/>
                <w:color w:val="auto"/>
              </w:rPr>
              <w:t>Net investment income</w:t>
            </w: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7,305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2"/>
                <w:szCs w:val="12"/>
                <w:color w:val="auto"/>
              </w:rPr>
              <w:t>Net realized and unrealized losses</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(24,004)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20"/>
                <w:szCs w:val="20"/>
                <w:color w:val="auto"/>
              </w:rPr>
            </w:pPr>
            <w:r>
              <w:rPr>
                <w:rFonts w:ascii="Arial" w:cs="Arial" w:eastAsia="Arial" w:hAnsi="Arial"/>
                <w:sz w:val="12"/>
                <w:szCs w:val="12"/>
                <w:color w:val="auto"/>
              </w:rPr>
              <w:t>Net decrease in net assets resulting from operations</w:t>
            </w: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(16,699)</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3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Per share data:</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tcPr>
          <w:p>
            <w:pPr>
              <w:spacing w:after="0"/>
              <w:rPr>
                <w:sz w:val="20"/>
                <w:szCs w:val="20"/>
                <w:color w:val="auto"/>
              </w:rPr>
            </w:pPr>
            <w:r>
              <w:rPr>
                <w:rFonts w:ascii="Arial" w:cs="Arial" w:eastAsia="Arial" w:hAnsi="Arial"/>
                <w:sz w:val="12"/>
                <w:szCs w:val="12"/>
                <w:color w:val="auto"/>
              </w:rPr>
              <w:t>Net asset value</w:t>
            </w: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12.83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2"/>
                <w:szCs w:val="12"/>
                <w:color w:val="auto"/>
              </w:rPr>
              <w:t>Net decrease in net assets resulting from operations</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2"/>
                <w:szCs w:val="12"/>
                <w:color w:val="auto"/>
              </w:rPr>
              <w:t>Distributions to stockholders</w:t>
            </w:r>
            <w:r>
              <w:rPr>
                <w:rFonts w:ascii="Arial" w:cs="Arial" w:eastAsia="Arial" w:hAnsi="Arial"/>
                <w:sz w:val="14"/>
                <w:szCs w:val="14"/>
                <w:color w:val="auto"/>
                <w:vertAlign w:val="superscript"/>
              </w:rPr>
              <w:t>(1)</w:t>
            </w: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0.36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sheet data:</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tcPr>
          <w:p>
            <w:pPr>
              <w:spacing w:after="0"/>
              <w:rPr>
                <w:sz w:val="20"/>
                <w:szCs w:val="20"/>
                <w:color w:val="auto"/>
              </w:rPr>
            </w:pPr>
            <w:r>
              <w:rPr>
                <w:rFonts w:ascii="Arial" w:cs="Arial" w:eastAsia="Arial" w:hAnsi="Arial"/>
                <w:sz w:val="12"/>
                <w:szCs w:val="12"/>
                <w:color w:val="auto"/>
              </w:rPr>
              <w:t>Total assets</w:t>
            </w: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555,008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2"/>
                <w:szCs w:val="12"/>
                <w:color w:val="auto"/>
              </w:rPr>
              <w:t>Borrowings outstanding</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20"/>
                <w:szCs w:val="20"/>
                <w:color w:val="auto"/>
              </w:rPr>
            </w:pPr>
            <w:r>
              <w:rPr>
                <w:rFonts w:ascii="Arial" w:cs="Arial" w:eastAsia="Arial" w:hAnsi="Arial"/>
                <w:sz w:val="12"/>
                <w:szCs w:val="12"/>
                <w:color w:val="auto"/>
              </w:rPr>
              <w:t>Total net assets</w:t>
            </w: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270,393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3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data:</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tcPr>
          <w:p>
            <w:pPr>
              <w:spacing w:after="0" w:line="144" w:lineRule="exact"/>
              <w:rPr>
                <w:sz w:val="20"/>
                <w:szCs w:val="20"/>
                <w:color w:val="auto"/>
              </w:rPr>
            </w:pPr>
            <w:r>
              <w:rPr>
                <w:rFonts w:ascii="Arial" w:cs="Arial" w:eastAsia="Arial" w:hAnsi="Arial"/>
                <w:sz w:val="12"/>
                <w:szCs w:val="12"/>
                <w:color w:val="auto"/>
              </w:rPr>
              <w:t>Total return</w:t>
            </w:r>
            <w:r>
              <w:rPr>
                <w:rFonts w:ascii="Arial" w:cs="Arial" w:eastAsia="Arial" w:hAnsi="Arial"/>
                <w:sz w:val="14"/>
                <w:szCs w:val="14"/>
                <w:color w:val="auto"/>
                <w:vertAlign w:val="superscript"/>
              </w:rPr>
              <w:t>(2)</w:t>
            </w: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(8.29)%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2"/>
                <w:szCs w:val="12"/>
                <w:color w:val="auto"/>
              </w:rPr>
              <w:t>Number of portfolio companies at period end</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tcPr>
          <w:p>
            <w:pPr>
              <w:spacing w:after="0"/>
              <w:rPr>
                <w:sz w:val="20"/>
                <w:szCs w:val="20"/>
                <w:color w:val="auto"/>
              </w:rPr>
            </w:pPr>
            <w:r>
              <w:rPr>
                <w:rFonts w:ascii="Arial" w:cs="Arial" w:eastAsia="Arial" w:hAnsi="Arial"/>
                <w:sz w:val="12"/>
                <w:szCs w:val="12"/>
                <w:color w:val="auto"/>
              </w:rPr>
              <w:t>Investments purchased during the period</w:t>
            </w: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414,640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2"/>
                <w:szCs w:val="12"/>
                <w:color w:val="auto"/>
              </w:rPr>
              <w:t>Investment sales and prepayments during the period</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99,636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20"/>
                <w:szCs w:val="20"/>
                <w:color w:val="auto"/>
              </w:rPr>
            </w:pPr>
            <w:r>
              <w:rPr>
                <w:rFonts w:ascii="Arial" w:cs="Arial" w:eastAsia="Arial" w:hAnsi="Arial"/>
                <w:sz w:val="12"/>
                <w:szCs w:val="12"/>
                <w:color w:val="auto"/>
              </w:rPr>
              <w:t>Weighted average yield on debt portfolio at period end</w:t>
            </w: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3152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520" cy="5715"/>
                    </a:xfrm>
                    <a:prstGeom prst="rect">
                      <a:avLst/>
                    </a:prstGeom>
                    <a:noFill/>
                  </pic:spPr>
                </pic:pic>
              </a:graphicData>
            </a:graphic>
          </wp:anchor>
        </w:drawing>
      </w:r>
    </w:p>
    <w:p>
      <w:pPr>
        <w:spacing w:after="0" w:line="123" w:lineRule="exact"/>
        <w:rPr>
          <w:sz w:val="20"/>
          <w:szCs w:val="20"/>
          <w:color w:val="auto"/>
        </w:rPr>
      </w:pPr>
    </w:p>
    <w:p>
      <w:pPr>
        <w:ind w:left="448" w:right="120" w:hanging="448"/>
        <w:spacing w:after="0" w:line="254" w:lineRule="auto"/>
        <w:tabs>
          <w:tab w:leader="none" w:pos="448" w:val="left"/>
        </w:tabs>
        <w:numPr>
          <w:ilvl w:val="0"/>
          <w:numId w:val="23"/>
        </w:numPr>
        <w:rPr>
          <w:rFonts w:ascii="Arial" w:cs="Arial" w:eastAsia="Arial" w:hAnsi="Arial"/>
          <w:sz w:val="12"/>
          <w:szCs w:val="12"/>
          <w:color w:val="auto"/>
        </w:rPr>
      </w:pPr>
      <w:r>
        <w:rPr>
          <w:rFonts w:ascii="Arial" w:cs="Arial" w:eastAsia="Arial" w:hAnsi="Arial"/>
          <w:sz w:val="12"/>
          <w:szCs w:val="12"/>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48" w:hanging="448"/>
        <w:spacing w:after="0" w:line="260" w:lineRule="auto"/>
        <w:tabs>
          <w:tab w:leader="none" w:pos="44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Total return is based on the change in market price per share during the respective reporting periods based on stock issuance price of $15.00. It also takes into account distributions, if any, reinvested in accordance with our dividend reinvestment plan. Total return is not annualized.</w:t>
      </w:r>
    </w:p>
    <w:p>
      <w:pPr>
        <w:spacing w:after="0" w:line="84"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228"/>
          </w:cols>
          <w:pgMar w:left="292" w:top="354" w:right="379"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9"/>
          <w:szCs w:val="9"/>
          <w:b w:val="1"/>
          <w:bCs w:val="1"/>
          <w:color w:val="auto"/>
        </w:rPr>
        <w:t>Management’s Discussion and Analysis of Financial Condition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62" w:lineRule="exact"/>
        <w:rPr>
          <w:sz w:val="20"/>
          <w:szCs w:val="20"/>
          <w:color w:val="auto"/>
        </w:rPr>
      </w:pPr>
    </w:p>
    <w:p>
      <w:pPr>
        <w:ind w:right="40" w:firstLine="452"/>
        <w:spacing w:after="0" w:line="259" w:lineRule="auto"/>
        <w:rPr>
          <w:sz w:val="20"/>
          <w:szCs w:val="20"/>
          <w:color w:val="auto"/>
        </w:rPr>
      </w:pPr>
      <w:r>
        <w:rPr>
          <w:rFonts w:ascii="Arial" w:cs="Arial" w:eastAsia="Arial" w:hAnsi="Arial"/>
          <w:sz w:val="12"/>
          <w:szCs w:val="12"/>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9" w:lineRule="exact"/>
        <w:rPr>
          <w:sz w:val="20"/>
          <w:szCs w:val="20"/>
          <w:color w:val="auto"/>
        </w:rPr>
      </w:pPr>
    </w:p>
    <w:p>
      <w:pPr>
        <w:ind w:left="880" w:hanging="438"/>
        <w:spacing w:after="0"/>
        <w:tabs>
          <w:tab w:leader="none" w:pos="8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future operating results;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business prospects and the prospects of our prospective portfolio companies;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impact of investments that we expect to make;</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contractual arrangements and relationships with third parties;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dependence of our future success on the general economy and its impact on the industries in which we invest;</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ability of our prospective portfolio companies to achieve their objectives;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expected financings and investments;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adequacy of our cash resources and working capital; and</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timing of cash flows, if any, from the operations of our prospective portfolio companies.</w:t>
      </w:r>
    </w:p>
    <w:p>
      <w:pPr>
        <w:spacing w:after="0" w:line="114" w:lineRule="exact"/>
        <w:rPr>
          <w:sz w:val="20"/>
          <w:szCs w:val="20"/>
          <w:color w:val="auto"/>
        </w:rPr>
      </w:pPr>
    </w:p>
    <w:p>
      <w:pPr>
        <w:ind w:right="60" w:firstLine="452"/>
        <w:spacing w:after="0" w:line="314" w:lineRule="auto"/>
        <w:rPr>
          <w:sz w:val="20"/>
          <w:szCs w:val="20"/>
          <w:color w:val="auto"/>
        </w:rPr>
      </w:pPr>
      <w:r>
        <w:rPr>
          <w:rFonts w:ascii="Arial" w:cs="Arial" w:eastAsia="Arial" w:hAnsi="Arial"/>
          <w:sz w:val="11"/>
          <w:szCs w:val="11"/>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65" w:lineRule="exact"/>
        <w:rPr>
          <w:sz w:val="20"/>
          <w:szCs w:val="20"/>
          <w:color w:val="auto"/>
        </w:rPr>
      </w:pPr>
    </w:p>
    <w:p>
      <w:pPr>
        <w:ind w:firstLine="452"/>
        <w:spacing w:after="0" w:line="293" w:lineRule="auto"/>
        <w:rPr>
          <w:sz w:val="20"/>
          <w:szCs w:val="20"/>
          <w:color w:val="auto"/>
        </w:rPr>
      </w:pPr>
      <w:r>
        <w:rPr>
          <w:rFonts w:ascii="Arial" w:cs="Arial" w:eastAsia="Arial" w:hAnsi="Arial"/>
          <w:sz w:val="11"/>
          <w:szCs w:val="11"/>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annual reports on Form 10-K, Reports on Form 10-Q and current reports on Form 8-K.</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The following analysis of our financial condition and results of operations should be read in conjunction with our consolidated financial statements and the related notes thereto contained elsewhere in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62" w:lineRule="exact"/>
        <w:rPr>
          <w:sz w:val="20"/>
          <w:szCs w:val="20"/>
          <w:color w:val="auto"/>
        </w:rPr>
      </w:pPr>
    </w:p>
    <w:p>
      <w:pPr>
        <w:jc w:val="both"/>
        <w:ind w:right="140" w:firstLine="452"/>
        <w:spacing w:after="0" w:line="293" w:lineRule="auto"/>
        <w:rPr>
          <w:sz w:val="20"/>
          <w:szCs w:val="20"/>
          <w:color w:val="auto"/>
        </w:rPr>
      </w:pPr>
      <w:r>
        <w:rPr>
          <w:rFonts w:ascii="Arial" w:cs="Arial" w:eastAsia="Arial" w:hAnsi="Arial"/>
          <w:sz w:val="11"/>
          <w:szCs w:val="11"/>
          <w:color w:val="auto"/>
        </w:rPr>
        <w:t>PennantPark Investment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w:t>
      </w:r>
    </w:p>
    <w:p>
      <w:pPr>
        <w:spacing w:after="0" w:line="77" w:lineRule="exact"/>
        <w:rPr>
          <w:sz w:val="20"/>
          <w:szCs w:val="20"/>
          <w:color w:val="auto"/>
        </w:rPr>
      </w:pPr>
    </w:p>
    <w:p>
      <w:pPr>
        <w:ind w:right="340" w:firstLine="452"/>
        <w:spacing w:after="0" w:line="437" w:lineRule="auto"/>
        <w:rPr>
          <w:sz w:val="20"/>
          <w:szCs w:val="20"/>
          <w:color w:val="auto"/>
        </w:rPr>
      </w:pPr>
      <w:r>
        <w:rPr>
          <w:rFonts w:ascii="Arial" w:cs="Arial" w:eastAsia="Arial" w:hAnsi="Arial"/>
          <w:sz w:val="9"/>
          <w:szCs w:val="9"/>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adjusted gross assets as well as an incentive fee based on our investment performance. We have also</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180"/>
          </w:cols>
          <w:pgMar w:left="300" w:top="354" w:right="419"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entered into an Administration Agreement with PennantPark Investment Administration. Under the Administration Agreement,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93" w:lineRule="exact"/>
        <w:rPr>
          <w:sz w:val="20"/>
          <w:szCs w:val="20"/>
          <w:color w:val="auto"/>
        </w:rPr>
      </w:pPr>
    </w:p>
    <w:p>
      <w:pPr>
        <w:ind w:firstLine="452"/>
        <w:spacing w:after="0" w:line="385" w:lineRule="auto"/>
        <w:rPr>
          <w:sz w:val="20"/>
          <w:szCs w:val="20"/>
          <w:color w:val="auto"/>
        </w:rPr>
      </w:pPr>
      <w:r>
        <w:rPr>
          <w:rFonts w:ascii="Arial" w:cs="Arial" w:eastAsia="Arial" w:hAnsi="Arial"/>
          <w:sz w:val="9"/>
          <w:szCs w:val="9"/>
          <w:color w:val="auto"/>
        </w:rPr>
        <w:t>Our investment objectives are to generate both current income and capital appreciation through debt and equity investments primarily in U.S. middle-market private companies. We invest primarily in U.S. middle-market private companies in the form of mezzanine debt, senior secured loans and equity investments, such as preferred stock, common stock, warrants or options received in connection with our debt investments or through direct investments. From time to time, we may also invest in public companies whose securities are thinly traded. We consider our core assets, by value and investment focus, to consist of subordinated debt, second lien secured debt and, to a lesser extent, equity investments.</w:t>
      </w:r>
    </w:p>
    <w:p>
      <w:pPr>
        <w:spacing w:after="0" w:line="42" w:lineRule="exact"/>
        <w:rPr>
          <w:sz w:val="20"/>
          <w:szCs w:val="20"/>
          <w:color w:val="auto"/>
        </w:rPr>
      </w:pPr>
    </w:p>
    <w:p>
      <w:pPr>
        <w:ind w:right="200" w:firstLine="452"/>
        <w:spacing w:after="0" w:line="314" w:lineRule="auto"/>
        <w:rPr>
          <w:sz w:val="20"/>
          <w:szCs w:val="20"/>
          <w:color w:val="auto"/>
        </w:rPr>
      </w:pPr>
      <w:r>
        <w:rPr>
          <w:rFonts w:ascii="Arial" w:cs="Arial" w:eastAsia="Arial" w:hAnsi="Arial"/>
          <w:sz w:val="11"/>
          <w:szCs w:val="11"/>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65" w:lineRule="exact"/>
        <w:rPr>
          <w:sz w:val="20"/>
          <w:szCs w:val="20"/>
          <w:color w:val="auto"/>
        </w:rPr>
      </w:pPr>
    </w:p>
    <w:p>
      <w:pPr>
        <w:ind w:left="440"/>
        <w:spacing w:after="0"/>
        <w:rPr>
          <w:sz w:val="20"/>
          <w:szCs w:val="20"/>
          <w:color w:val="auto"/>
        </w:rPr>
      </w:pPr>
      <w:r>
        <w:rPr>
          <w:rFonts w:ascii="Arial" w:cs="Arial" w:eastAsia="Arial" w:hAnsi="Arial"/>
          <w:sz w:val="9"/>
          <w:szCs w:val="9"/>
          <w:color w:val="auto"/>
        </w:rPr>
        <w:t>We expect that our investments in mezzanine debt, senior secured loans and other investments will range between $10 million and $50 million each. We expect this investment size to vary proportionately with the size of our capital</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base.</w:t>
      </w:r>
    </w:p>
    <w:p>
      <w:pPr>
        <w:spacing w:after="0" w:line="110" w:lineRule="exact"/>
        <w:rPr>
          <w:sz w:val="20"/>
          <w:szCs w:val="20"/>
          <w:color w:val="auto"/>
        </w:rPr>
      </w:pPr>
    </w:p>
    <w:p>
      <w:pPr>
        <w:ind w:right="80" w:firstLine="452"/>
        <w:spacing w:after="0" w:line="287" w:lineRule="auto"/>
        <w:rPr>
          <w:sz w:val="20"/>
          <w:szCs w:val="20"/>
          <w:color w:val="auto"/>
        </w:rPr>
      </w:pPr>
      <w:r>
        <w:rPr>
          <w:rFonts w:ascii="Arial" w:cs="Arial" w:eastAsia="Arial" w:hAnsi="Arial"/>
          <w:sz w:val="11"/>
          <w:szCs w:val="11"/>
          <w:color w:val="auto"/>
        </w:rPr>
        <w:t>Currently, the majority of our portfolio is composed of senior secured loans, which we will consider selling for liquidity purposes. The level of our investment activity in our core assets depends on many factors, including the amount of debt and equity capital available to middle-market companies, the level of merger and acquisition activity for such companies, the general economic environment and the competitive environment for the types of investments we make. Although we have used, and will continue to use, the proceeds of our initial public offering and of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79" w:lineRule="exact"/>
        <w:rPr>
          <w:sz w:val="20"/>
          <w:szCs w:val="20"/>
          <w:color w:val="auto"/>
        </w:rPr>
      </w:pPr>
    </w:p>
    <w:p>
      <w:pPr>
        <w:ind w:firstLine="452"/>
        <w:spacing w:after="0" w:line="293" w:lineRule="auto"/>
        <w:rPr>
          <w:sz w:val="20"/>
          <w:szCs w:val="20"/>
          <w:color w:val="auto"/>
        </w:rPr>
      </w:pPr>
      <w:r>
        <w:rPr>
          <w:rFonts w:ascii="Arial" w:cs="Arial" w:eastAsia="Arial" w:hAnsi="Arial"/>
          <w:sz w:val="11"/>
          <w:szCs w:val="11"/>
          <w:color w:val="auto"/>
        </w:rPr>
        <w:t>While our primary focus is to generate current income and capital appreciation through debt and equity investments in private or thinly traded public middle-market U.S. companies, we may invest up to 30% of the portfolio in opportunistic investments in order to seek to enhance returns to stockholders. Such investments may include investments in high-yield bonds, distressed debt, and other, securities of public companies whose securities are not thinly traded and securities of middle-market companies located outside of the U.S. and private equity. We expect that these public companies generally will issue debt securities that are non-investment grade.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w:t>
      </w:r>
    </w:p>
    <w:p>
      <w:pPr>
        <w:spacing w:after="0" w:line="62" w:lineRule="exact"/>
        <w:rPr>
          <w:sz w:val="20"/>
          <w:szCs w:val="20"/>
          <w:color w:val="auto"/>
        </w:rPr>
      </w:pPr>
    </w:p>
    <w:p>
      <w:pPr>
        <w:ind w:right="20" w:firstLine="452"/>
        <w:spacing w:after="0" w:line="359" w:lineRule="auto"/>
        <w:rPr>
          <w:sz w:val="20"/>
          <w:szCs w:val="20"/>
          <w:color w:val="auto"/>
        </w:rPr>
      </w:pPr>
      <w:r>
        <w:rPr>
          <w:rFonts w:ascii="Arial" w:cs="Arial" w:eastAsia="Arial" w:hAnsi="Arial"/>
          <w:sz w:val="9"/>
          <w:szCs w:val="9"/>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payment-in-kind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recorded on the ex-dividend date.</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280"/>
          </w:cols>
          <w:pgMar w:left="300" w:top="354" w:right="319"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Expenses</w:t>
      </w:r>
    </w:p>
    <w:p>
      <w:pPr>
        <w:spacing w:after="0" w:line="62" w:lineRule="exact"/>
        <w:rPr>
          <w:sz w:val="20"/>
          <w:szCs w:val="20"/>
          <w:color w:val="auto"/>
        </w:rPr>
      </w:pPr>
    </w:p>
    <w:p>
      <w:pPr>
        <w:ind w:right="180" w:firstLine="452"/>
        <w:spacing w:after="0" w:line="259" w:lineRule="auto"/>
        <w:rPr>
          <w:sz w:val="20"/>
          <w:szCs w:val="20"/>
          <w:color w:val="auto"/>
        </w:rPr>
      </w:pPr>
      <w:r>
        <w:rPr>
          <w:rFonts w:ascii="Arial" w:cs="Arial" w:eastAsia="Arial" w:hAnsi="Arial"/>
          <w:sz w:val="12"/>
          <w:szCs w:val="12"/>
          <w:color w:val="auto"/>
        </w:rPr>
        <w:t>Our primary operating expenses include the payment of management fees to our Investment Adviser, our allocable portion of overhead under the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39" w:lineRule="exact"/>
        <w:rPr>
          <w:sz w:val="20"/>
          <w:szCs w:val="20"/>
          <w:color w:val="auto"/>
        </w:rPr>
      </w:pPr>
    </w:p>
    <w:p>
      <w:pPr>
        <w:ind w:left="880" w:hanging="438"/>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cost of calculating our net asset value, including the cost of any third-party valuation services;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cost of effecting sales and repurchases of shares of our common stock and other securities;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fees payable to third parties relating to, or associated with, making investments, including fees and expenses associated with performing due diligence and reviews of prospective investments;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transfer agent and custodial fees;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fees and expenses associated with marketing efforts;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federal and state registration fees and any stock exchange listing fees;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federal, state and local taxes;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independent directors’ fees and expenses;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brokerage commissions;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fidelity bond, directors and officers/errors and omissions liability insurance and other insurance premiums;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direct costs such as printing, mailing, long distance telephone and staff;</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fees and expenses associated with independent audits and outside legal costs;</w:t>
      </w:r>
    </w:p>
    <w:p>
      <w:pPr>
        <w:spacing w:after="0" w:line="60" w:lineRule="exact"/>
        <w:rPr>
          <w:rFonts w:ascii="Arial" w:cs="Arial" w:eastAsia="Arial" w:hAnsi="Arial"/>
          <w:sz w:val="12"/>
          <w:szCs w:val="12"/>
          <w:color w:val="auto"/>
        </w:rPr>
      </w:pPr>
    </w:p>
    <w:p>
      <w:pPr>
        <w:ind w:left="880" w:hanging="438"/>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costs associated with our reporting and compliance obligations under the 1940 Act and applicable federal and state securities laws; and</w:t>
      </w:r>
    </w:p>
    <w:p>
      <w:pPr>
        <w:spacing w:after="0" w:line="60" w:lineRule="exact"/>
        <w:rPr>
          <w:rFonts w:ascii="Arial" w:cs="Arial" w:eastAsia="Arial" w:hAnsi="Arial"/>
          <w:sz w:val="12"/>
          <w:szCs w:val="12"/>
          <w:color w:val="auto"/>
        </w:rPr>
      </w:pPr>
    </w:p>
    <w:p>
      <w:pPr>
        <w:ind w:left="880" w:right="20" w:hanging="438"/>
        <w:spacing w:after="0" w:line="259" w:lineRule="auto"/>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all other expenses incurred by either the Administrator or us in connection with administering our business, including payments under the Administration Agreement that will be based upon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Credit Facility</w:t>
      </w:r>
    </w:p>
    <w:p>
      <w:pPr>
        <w:spacing w:after="0" w:line="62" w:lineRule="exact"/>
        <w:rPr>
          <w:sz w:val="20"/>
          <w:szCs w:val="20"/>
          <w:color w:val="auto"/>
        </w:rPr>
      </w:pPr>
    </w:p>
    <w:p>
      <w:pPr>
        <w:ind w:firstLine="452"/>
        <w:spacing w:after="0" w:line="259" w:lineRule="auto"/>
        <w:rPr>
          <w:sz w:val="20"/>
          <w:szCs w:val="20"/>
          <w:color w:val="auto"/>
        </w:rPr>
      </w:pPr>
      <w:r>
        <w:rPr>
          <w:rFonts w:ascii="Arial" w:cs="Arial" w:eastAsia="Arial" w:hAnsi="Arial"/>
          <w:sz w:val="12"/>
          <w:szCs w:val="12"/>
          <w:color w:val="auto"/>
        </w:rPr>
        <w:t>On June 25, 2007, we entered into a Senior Secured Revolving Credit Agreement (the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September 30, 2007, we had outstanding borrowings of $10.0 million under the Credit Agreement.</w:t>
      </w:r>
    </w:p>
    <w:p>
      <w:pPr>
        <w:spacing w:after="0" w:line="93" w:lineRule="exact"/>
        <w:rPr>
          <w:sz w:val="20"/>
          <w:szCs w:val="20"/>
          <w:color w:val="auto"/>
        </w:rPr>
      </w:pPr>
    </w:p>
    <w:p>
      <w:pPr>
        <w:ind w:right="120" w:firstLine="452"/>
        <w:spacing w:after="0" w:line="268" w:lineRule="auto"/>
        <w:rPr>
          <w:sz w:val="20"/>
          <w:szCs w:val="20"/>
          <w:color w:val="auto"/>
        </w:rPr>
      </w:pPr>
      <w:r>
        <w:rPr>
          <w:rFonts w:ascii="Arial" w:cs="Arial" w:eastAsia="Arial" w:hAnsi="Arial"/>
          <w:sz w:val="12"/>
          <w:szCs w:val="12"/>
          <w:color w:val="auto"/>
        </w:rPr>
        <w:t>Under the Credit Agreement, the lenders agreed to extend us credit in an initial aggregate principal or face amount not exceeding $300.0 million at any one time outstanding. The Credit Agreement is a five-year revolving facility (with a stated maturity date of June 25, 2012) and is secured by substantially all of our investment portfolio assets. Pricing is set at 100 basis points over LIBOR.</w:t>
      </w:r>
    </w:p>
    <w:p>
      <w:pPr>
        <w:spacing w:after="0" w:line="88" w:lineRule="exact"/>
        <w:rPr>
          <w:sz w:val="20"/>
          <w:szCs w:val="20"/>
          <w:color w:val="auto"/>
        </w:rPr>
      </w:pPr>
    </w:p>
    <w:p>
      <w:pPr>
        <w:ind w:right="80" w:firstLine="452"/>
        <w:spacing w:after="0" w:line="268" w:lineRule="auto"/>
        <w:rPr>
          <w:sz w:val="20"/>
          <w:szCs w:val="20"/>
          <w:color w:val="auto"/>
        </w:rPr>
      </w:pPr>
      <w:r>
        <w:rPr>
          <w:rFonts w:ascii="Arial" w:cs="Arial" w:eastAsia="Arial" w:hAnsi="Arial"/>
          <w:sz w:val="12"/>
          <w:szCs w:val="12"/>
          <w:color w:val="auto"/>
        </w:rPr>
        <w:t>The Credit Agreement contains affirmative and restrictive covenants, including: (a) periodic financial reporting requirements, (b) maintenance of a minimum stockholders’ equity, (c) maintenance of a ratio of our total assets (less total liabilities other than indebtedness) to our total indebtedness, (d) maintenance of minimum</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220"/>
          </w:cols>
          <w:pgMar w:left="300" w:top="354" w:right="379" w:bottom="1440" w:gutter="0" w:footer="0" w:header="0"/>
        </w:sectPr>
      </w:pPr>
    </w:p>
    <w:bookmarkStart w:id="41" w:name="page42"/>
    <w:bookmarkEnd w:id="41"/>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left="8" w:right="100"/>
        <w:spacing w:after="0" w:line="338" w:lineRule="auto"/>
        <w:rPr>
          <w:sz w:val="20"/>
          <w:szCs w:val="20"/>
          <w:color w:val="auto"/>
        </w:rPr>
      </w:pPr>
      <w:r>
        <w:rPr>
          <w:rFonts w:ascii="Arial" w:cs="Arial" w:eastAsia="Arial" w:hAnsi="Arial"/>
          <w:sz w:val="9"/>
          <w:szCs w:val="9"/>
          <w:color w:val="auto"/>
        </w:rPr>
        <w:t>liquidity standards, (e) limitations on the incurrence of additional indebtedness, (f) limitations on liens, (g) limitations on fundamental corporate changes, (h) limitations on investments (other than our portfolio investments and certain other ordinary course investments), (i) limitations on payments and distributions (other than distributions to our stockholders as contemplated to maintain Regulated Investment Company status), (j) limitations on transactions with affiliates,</w:t>
      </w:r>
    </w:p>
    <w:p>
      <w:pPr>
        <w:spacing w:after="0" w:line="1" w:lineRule="exact"/>
        <w:rPr>
          <w:sz w:val="20"/>
          <w:szCs w:val="20"/>
          <w:color w:val="auto"/>
        </w:rPr>
      </w:pPr>
    </w:p>
    <w:p>
      <w:pPr>
        <w:ind w:left="8" w:right="120" w:hanging="8"/>
        <w:spacing w:after="0" w:line="289" w:lineRule="auto"/>
        <w:tabs>
          <w:tab w:leader="none" w:pos="174" w:val="left"/>
        </w:tabs>
        <w:numPr>
          <w:ilvl w:val="0"/>
          <w:numId w:val="26"/>
        </w:numPr>
        <w:rPr>
          <w:rFonts w:ascii="Arial" w:cs="Arial" w:eastAsia="Arial" w:hAnsi="Arial"/>
          <w:sz w:val="11"/>
          <w:szCs w:val="11"/>
          <w:color w:val="auto"/>
        </w:rPr>
      </w:pPr>
      <w:r>
        <w:rPr>
          <w:rFonts w:ascii="Arial" w:cs="Arial" w:eastAsia="Arial" w:hAnsi="Arial"/>
          <w:sz w:val="11"/>
          <w:szCs w:val="11"/>
          <w:color w:val="auto"/>
        </w:rPr>
        <w:t>limitations on engaging in business not contemplated by our investment objectives, and (l) limitations on the creation or existence of agreements that prohibit liens on our properties and our subsidiaries. In addition to the asset coverage ratio described in clause (c) of the preceding sentence, borrowings under the Credit Agreement (and the incurrence of certain other permitted debt) are subject to compliance with a borrowing base that will apply different advance rates to different types of assets in our portfolio. The Credit Agreement will be used to supplement our equity capital to make additional portfolio investments and for other corporate purposes.</w:t>
      </w:r>
    </w:p>
    <w:p>
      <w:pPr>
        <w:spacing w:after="0" w:line="79" w:lineRule="exact"/>
        <w:rPr>
          <w:sz w:val="20"/>
          <w:szCs w:val="20"/>
          <w:color w:val="auto"/>
        </w:rPr>
      </w:pPr>
    </w:p>
    <w:p>
      <w:pPr>
        <w:ind w:left="8" w:firstLine="452"/>
        <w:spacing w:after="0" w:line="256" w:lineRule="auto"/>
        <w:rPr>
          <w:sz w:val="20"/>
          <w:szCs w:val="20"/>
          <w:color w:val="auto"/>
        </w:rPr>
      </w:pPr>
      <w:r>
        <w:rPr>
          <w:rFonts w:ascii="Arial" w:cs="Arial" w:eastAsia="Arial" w:hAnsi="Arial"/>
          <w:sz w:val="12"/>
          <w:szCs w:val="12"/>
          <w:color w:val="auto"/>
        </w:rPr>
        <w:t>Separately, Pennant SPV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PORTFOLIO COMPOSITION AND INVESTMENT ACTIVITY</w:t>
      </w:r>
    </w:p>
    <w:p>
      <w:pPr>
        <w:spacing w:after="0" w:line="62" w:lineRule="exact"/>
        <w:rPr>
          <w:sz w:val="20"/>
          <w:szCs w:val="20"/>
          <w:color w:val="auto"/>
        </w:rPr>
      </w:pPr>
    </w:p>
    <w:p>
      <w:pPr>
        <w:ind w:left="8" w:right="100" w:firstLine="452"/>
        <w:spacing w:after="0" w:line="281" w:lineRule="auto"/>
        <w:rPr>
          <w:sz w:val="20"/>
          <w:szCs w:val="20"/>
          <w:color w:val="auto"/>
        </w:rPr>
      </w:pPr>
      <w:r>
        <w:rPr>
          <w:rFonts w:ascii="Arial" w:cs="Arial" w:eastAsia="Arial" w:hAnsi="Arial"/>
          <w:sz w:val="11"/>
          <w:szCs w:val="11"/>
          <w:color w:val="auto"/>
        </w:rPr>
        <w:t>We completed our first fiscal year on September 30, 2007 with our portfolio invested $57.3 million in subordinated debt, $67.8 million in second lien secured debt, $7.0 million in equity investments and $158.9 million in senior secured loans. On September 30, 2007, our core assets totaled $132.1 million and consisted of investments in eight different companies with an average investment size of $16.5 million per company and a weighted average yield of 13.0%. Our senior secured loan portfolio at September 30, 2007 totaled $158.9 million and consisted of 30 different companies with an average investment size of $5.3 million, and a weighted average yield of 7.5%. The overall portfolio had unrealized depreciation of $23.9 million due to recent erosion in the market prices of leveraged finance instruments. Excluding short-term investments, our purchases of investments for the period January 11, 2007 (inception) to September 30, 2007 totaled $414.6 million. Sales and repayments of long term investments for the period January 11, 2007 (inception) to September 30, 2007 totaled $99.6 million. At September 30, 2007 our portfolio consisted of 38 companies and was invested 20% in subordinated debt, 23% in second lien secured debt, 2% in equity investments and 55% in senior secured loans.</w:t>
      </w:r>
    </w:p>
    <w:p>
      <w:pPr>
        <w:spacing w:after="0" w:line="83" w:lineRule="exact"/>
        <w:rPr>
          <w:sz w:val="20"/>
          <w:szCs w:val="20"/>
          <w:color w:val="auto"/>
        </w:rPr>
      </w:pPr>
    </w:p>
    <w:p>
      <w:pPr>
        <w:ind w:left="8" w:right="20" w:firstLine="452"/>
        <w:spacing w:after="0" w:line="256" w:lineRule="auto"/>
        <w:rPr>
          <w:sz w:val="20"/>
          <w:szCs w:val="20"/>
          <w:color w:val="auto"/>
        </w:rPr>
      </w:pPr>
      <w:r>
        <w:rPr>
          <w:rFonts w:ascii="Arial" w:cs="Arial" w:eastAsia="Arial" w:hAnsi="Arial"/>
          <w:sz w:val="12"/>
          <w:szCs w:val="12"/>
          <w:color w:val="auto"/>
        </w:rPr>
        <w:t>We anticipate that our level of investment activity will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our types of investments. Depending on these factors and owing to the substantial due diligence and structuring involved in negotiated investments in illiquid securities, we anticipate that it may take up to two years from the date of our initial public offering to invest all of our assets in accordance with our investment objectives. We will consider selling senior secured loans and/or drawing on our credit facility for liquidity purposes.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w:t>
      </w:r>
    </w:p>
    <w:p>
      <w:pPr>
        <w:spacing w:after="0" w:line="62" w:lineRule="exact"/>
        <w:rPr>
          <w:sz w:val="20"/>
          <w:szCs w:val="20"/>
          <w:color w:val="auto"/>
        </w:rPr>
      </w:pPr>
    </w:p>
    <w:p>
      <w:pPr>
        <w:ind w:left="8" w:right="160" w:firstLine="452"/>
        <w:spacing w:after="0" w:line="385" w:lineRule="auto"/>
        <w:rPr>
          <w:sz w:val="20"/>
          <w:szCs w:val="20"/>
          <w:color w:val="auto"/>
        </w:rPr>
      </w:pPr>
      <w:r>
        <w:rPr>
          <w:rFonts w:ascii="Arial" w:cs="Arial" w:eastAsia="Arial" w:hAnsi="Arial"/>
          <w:sz w:val="9"/>
          <w:szCs w:val="9"/>
          <w:color w:val="auto"/>
        </w:rPr>
        <w:t>Our discussion of our financial condition and results of operation is based upon our consolidated financial statements, which have been prepared in accordance with U.S. generally accepted accounting principles, GAAP.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33"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268"/>
          </w:cols>
          <w:pgMar w:left="292" w:top="354" w:right="339"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Valuation of Portfolio Investments</w:t>
      </w:r>
    </w:p>
    <w:p>
      <w:pPr>
        <w:spacing w:after="0" w:line="62" w:lineRule="exact"/>
        <w:rPr>
          <w:sz w:val="20"/>
          <w:szCs w:val="20"/>
          <w:color w:val="auto"/>
        </w:rPr>
      </w:pPr>
    </w:p>
    <w:p>
      <w:pPr>
        <w:ind w:right="40" w:firstLine="452"/>
        <w:spacing w:after="0" w:line="253" w:lineRule="auto"/>
        <w:rPr>
          <w:sz w:val="20"/>
          <w:szCs w:val="20"/>
          <w:color w:val="auto"/>
        </w:rPr>
      </w:pPr>
      <w:r>
        <w:rPr>
          <w:rFonts w:ascii="Arial" w:cs="Arial" w:eastAsia="Arial" w:hAnsi="Arial"/>
          <w:sz w:val="12"/>
          <w:szCs w:val="12"/>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96" w:lineRule="exact"/>
        <w:rPr>
          <w:sz w:val="20"/>
          <w:szCs w:val="20"/>
          <w:color w:val="auto"/>
        </w:rPr>
      </w:pPr>
    </w:p>
    <w:p>
      <w:pPr>
        <w:ind w:firstLine="452"/>
        <w:spacing w:after="0" w:line="256" w:lineRule="auto"/>
        <w:rPr>
          <w:sz w:val="20"/>
          <w:szCs w:val="20"/>
          <w:color w:val="auto"/>
        </w:rPr>
      </w:pPr>
      <w:r>
        <w:rPr>
          <w:rFonts w:ascii="Arial" w:cs="Arial" w:eastAsia="Arial" w:hAnsi="Arial"/>
          <w:sz w:val="12"/>
          <w:szCs w:val="12"/>
          <w:color w:val="auto"/>
        </w:rPr>
        <w:t>When an external event such as a purchase transaction, public offering or subsequent equity sale occurs, our board uses the pricing indicated by the external event to corroborate and/or assist us in our valuation.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95" w:lineRule="exact"/>
        <w:rPr>
          <w:sz w:val="20"/>
          <w:szCs w:val="20"/>
          <w:color w:val="auto"/>
        </w:rPr>
      </w:pPr>
    </w:p>
    <w:p>
      <w:pPr>
        <w:ind w:right="220" w:firstLine="452"/>
        <w:spacing w:after="0" w:line="268" w:lineRule="auto"/>
        <w:rPr>
          <w:sz w:val="20"/>
          <w:szCs w:val="20"/>
          <w:color w:val="auto"/>
        </w:rPr>
      </w:pPr>
      <w:r>
        <w:rPr>
          <w:rFonts w:ascii="Arial" w:cs="Arial" w:eastAsia="Arial" w:hAnsi="Arial"/>
          <w:sz w:val="12"/>
          <w:szCs w:val="12"/>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34" w:lineRule="exact"/>
        <w:rPr>
          <w:sz w:val="20"/>
          <w:szCs w:val="20"/>
          <w:color w:val="auto"/>
        </w:rPr>
      </w:pPr>
    </w:p>
    <w:p>
      <w:pPr>
        <w:ind w:left="880" w:hanging="438"/>
        <w:spacing w:after="0"/>
        <w:tabs>
          <w:tab w:leader="none" w:pos="880" w:val="left"/>
        </w:tabs>
        <w:numPr>
          <w:ilvl w:val="0"/>
          <w:numId w:val="27"/>
        </w:numPr>
        <w:rPr>
          <w:rFonts w:ascii="Arial" w:cs="Arial" w:eastAsia="Arial" w:hAnsi="Arial"/>
          <w:sz w:val="11"/>
          <w:szCs w:val="11"/>
          <w:color w:val="auto"/>
        </w:rPr>
      </w:pPr>
      <w:r>
        <w:rPr>
          <w:rFonts w:ascii="Arial" w:cs="Arial" w:eastAsia="Arial" w:hAnsi="Arial"/>
          <w:sz w:val="11"/>
          <w:szCs w:val="11"/>
          <w:color w:val="auto"/>
        </w:rPr>
        <w:t>Our quarterly valuation process begins with each portfolio company or investment being initially valued by the investment professionals of our Investment Adviser responsible for the portfolio investment;</w:t>
      </w:r>
    </w:p>
    <w:p>
      <w:pPr>
        <w:spacing w:after="0" w:line="71" w:lineRule="exact"/>
        <w:rPr>
          <w:rFonts w:ascii="Arial" w:cs="Arial" w:eastAsia="Arial" w:hAnsi="Arial"/>
          <w:sz w:val="11"/>
          <w:szCs w:val="11"/>
          <w:color w:val="auto"/>
        </w:rPr>
      </w:pPr>
    </w:p>
    <w:p>
      <w:pPr>
        <w:ind w:left="880" w:hanging="438"/>
        <w:spacing w:after="0"/>
        <w:tabs>
          <w:tab w:leader="none" w:pos="8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Preliminary valuation conclusions are then documented and discussed with the management of our Investment Adviser;</w:t>
      </w:r>
    </w:p>
    <w:p>
      <w:pPr>
        <w:spacing w:after="0" w:line="60" w:lineRule="exact"/>
        <w:rPr>
          <w:rFonts w:ascii="Arial" w:cs="Arial" w:eastAsia="Arial" w:hAnsi="Arial"/>
          <w:sz w:val="12"/>
          <w:szCs w:val="12"/>
          <w:color w:val="auto"/>
        </w:rPr>
      </w:pPr>
    </w:p>
    <w:p>
      <w:pPr>
        <w:ind w:left="880" w:right="80" w:hanging="438"/>
        <w:spacing w:after="0" w:line="268" w:lineRule="auto"/>
        <w:tabs>
          <w:tab w:leader="none" w:pos="8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33" w:lineRule="exact"/>
        <w:rPr>
          <w:rFonts w:ascii="Arial" w:cs="Arial" w:eastAsia="Arial" w:hAnsi="Arial"/>
          <w:sz w:val="12"/>
          <w:szCs w:val="12"/>
          <w:color w:val="auto"/>
        </w:rPr>
      </w:pPr>
    </w:p>
    <w:p>
      <w:pPr>
        <w:ind w:left="880" w:right="60" w:hanging="438"/>
        <w:spacing w:after="0" w:line="268" w:lineRule="auto"/>
        <w:tabs>
          <w:tab w:leader="none" w:pos="8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33" w:lineRule="exact"/>
        <w:rPr>
          <w:rFonts w:ascii="Arial" w:cs="Arial" w:eastAsia="Arial" w:hAnsi="Arial"/>
          <w:sz w:val="12"/>
          <w:szCs w:val="12"/>
          <w:color w:val="auto"/>
        </w:rPr>
      </w:pPr>
    </w:p>
    <w:p>
      <w:pPr>
        <w:ind w:left="880" w:right="200" w:hanging="438"/>
        <w:spacing w:after="0" w:line="268" w:lineRule="auto"/>
        <w:tabs>
          <w:tab w:leader="none" w:pos="8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62" w:lineRule="exact"/>
        <w:rPr>
          <w:sz w:val="20"/>
          <w:szCs w:val="20"/>
          <w:color w:val="auto"/>
        </w:rPr>
      </w:pPr>
    </w:p>
    <w:p>
      <w:pPr>
        <w:ind w:right="40" w:firstLine="452"/>
        <w:spacing w:after="0" w:line="268"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 will generally not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300"/>
          </w:cols>
          <w:pgMar w:left="300" w:top="354" w:right="299"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Realized Gains or Losses and Net Change in Unrealized Appreciation or Depreciation</w:t>
      </w:r>
    </w:p>
    <w:p>
      <w:pPr>
        <w:spacing w:after="0" w:line="62" w:lineRule="exact"/>
        <w:rPr>
          <w:sz w:val="20"/>
          <w:szCs w:val="20"/>
          <w:color w:val="auto"/>
        </w:rPr>
      </w:pPr>
    </w:p>
    <w:p>
      <w:pPr>
        <w:ind w:right="300" w:firstLine="452"/>
        <w:spacing w:after="0" w:line="259"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ACCOUNTING POLICIES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 in Kind Interest</w:t>
      </w:r>
    </w:p>
    <w:p>
      <w:pPr>
        <w:spacing w:after="0" w:line="62" w:lineRule="exact"/>
        <w:rPr>
          <w:sz w:val="20"/>
          <w:szCs w:val="20"/>
          <w:color w:val="auto"/>
        </w:rPr>
      </w:pPr>
    </w:p>
    <w:p>
      <w:pPr>
        <w:ind w:right="80" w:firstLine="452"/>
        <w:spacing w:after="0" w:line="314" w:lineRule="auto"/>
        <w:rPr>
          <w:sz w:val="20"/>
          <w:szCs w:val="20"/>
          <w:color w:val="auto"/>
        </w:rPr>
      </w:pPr>
      <w:r>
        <w:rPr>
          <w:rFonts w:ascii="Arial" w:cs="Arial" w:eastAsia="Arial" w:hAnsi="Arial"/>
          <w:sz w:val="11"/>
          <w:szCs w:val="11"/>
          <w:color w:val="auto"/>
        </w:rPr>
        <w:t>We have investments in our portfolio which contain a Payment in Kind, “PIK”, provision. The PIK interest is added to the principal balance of the investment and is recorded as income. To maintain our status as a RIC, this income must be paid out to stockholders in the form of dividends, even though we have not collected any cash. For the fiscal year ended September 30, 2007, we had approximately $668,000 in PIK interest.</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Federal Income Taxes</w:t>
      </w:r>
    </w:p>
    <w:p>
      <w:pPr>
        <w:spacing w:after="0" w:line="62" w:lineRule="exact"/>
        <w:rPr>
          <w:sz w:val="20"/>
          <w:szCs w:val="20"/>
          <w:color w:val="auto"/>
        </w:rPr>
      </w:pPr>
    </w:p>
    <w:p>
      <w:pPr>
        <w:ind w:right="160" w:firstLine="452"/>
        <w:spacing w:after="0" w:line="268" w:lineRule="auto"/>
        <w:rPr>
          <w:sz w:val="20"/>
          <w:szCs w:val="20"/>
          <w:color w:val="auto"/>
        </w:rPr>
      </w:pPr>
      <w:r>
        <w:rPr>
          <w:rFonts w:ascii="Arial" w:cs="Arial" w:eastAsia="Arial" w:hAnsi="Arial"/>
          <w:sz w:val="12"/>
          <w:szCs w:val="12"/>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88" w:lineRule="exact"/>
        <w:rPr>
          <w:sz w:val="20"/>
          <w:szCs w:val="20"/>
          <w:color w:val="auto"/>
        </w:rPr>
      </w:pPr>
    </w:p>
    <w:p>
      <w:pPr>
        <w:ind w:firstLine="452"/>
        <w:spacing w:after="0" w:line="259"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62" w:lineRule="exact"/>
        <w:rPr>
          <w:sz w:val="20"/>
          <w:szCs w:val="20"/>
          <w:color w:val="auto"/>
        </w:rPr>
      </w:pPr>
    </w:p>
    <w:p>
      <w:pPr>
        <w:ind w:right="40" w:firstLine="452"/>
        <w:spacing w:after="0" w:line="259" w:lineRule="auto"/>
        <w:rPr>
          <w:sz w:val="20"/>
          <w:szCs w:val="20"/>
          <w:color w:val="auto"/>
        </w:rPr>
      </w:pPr>
      <w:r>
        <w:rPr>
          <w:rFonts w:ascii="Arial" w:cs="Arial" w:eastAsia="Arial" w:hAnsi="Arial"/>
          <w:sz w:val="12"/>
          <w:szCs w:val="12"/>
          <w:color w:val="auto"/>
        </w:rPr>
        <w:t>The overall leveraged finance credit market experienced a substantial downturn during the summer of 2007, which resulted in unrealized depreciation on some of our existing assets, slowing of new investment activity and an improved risk/reward environment for new investments. We did not experience any compromised liquidity during the recent turmoil in the global credit markets because of our ability to sell our senior secured loans and availability under our credit facility.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Set forth below are the results of operations for the period from January 11, 2007 (inception) through September 30, 2007.</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Income</w:t>
      </w:r>
    </w:p>
    <w:p>
      <w:pPr>
        <w:spacing w:after="0" w:line="62" w:lineRule="exact"/>
        <w:rPr>
          <w:sz w:val="20"/>
          <w:szCs w:val="20"/>
          <w:color w:val="auto"/>
        </w:rPr>
      </w:pPr>
    </w:p>
    <w:p>
      <w:pPr>
        <w:ind w:right="320" w:firstLine="452"/>
        <w:spacing w:after="0" w:line="268" w:lineRule="auto"/>
        <w:rPr>
          <w:sz w:val="20"/>
          <w:szCs w:val="20"/>
          <w:color w:val="auto"/>
        </w:rPr>
      </w:pPr>
      <w:r>
        <w:rPr>
          <w:rFonts w:ascii="Arial" w:cs="Arial" w:eastAsia="Arial" w:hAnsi="Arial"/>
          <w:sz w:val="12"/>
          <w:szCs w:val="12"/>
          <w:color w:val="auto"/>
        </w:rPr>
        <w:t>Investment income totaled $6.9 million and $13.1 million for the three months ended September 30, 2007 and for the period January 11, 2007 (inception) through September 30, 2007, respectively. The investment income was generated primarily from senior secured loan investments which had stated interest rates between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300"/>
          </w:cols>
          <w:pgMar w:left="300" w:top="354" w:right="299"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6.9% and 8.7%, and a weighted average yield of 7.5%. Our second lien secured debt investments had stated interest rates between 11.1% and 13.3% and weighted average yield of 12.9%. Our subordinated debt investments had stated interest rates between 11.7% and 14.3% and weighted average yield of 13.1%. Our total portfolio had a weighted average yield on debt investments of 10.1%.</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Expenses</w:t>
      </w:r>
    </w:p>
    <w:p>
      <w:pPr>
        <w:spacing w:after="0" w:line="62" w:lineRule="exact"/>
        <w:rPr>
          <w:sz w:val="20"/>
          <w:szCs w:val="20"/>
          <w:color w:val="auto"/>
        </w:rPr>
      </w:pPr>
    </w:p>
    <w:p>
      <w:pPr>
        <w:ind w:right="40" w:firstLine="452"/>
        <w:spacing w:after="0" w:line="254" w:lineRule="auto"/>
        <w:rPr>
          <w:sz w:val="20"/>
          <w:szCs w:val="20"/>
          <w:color w:val="auto"/>
        </w:rPr>
      </w:pPr>
      <w:r>
        <w:rPr>
          <w:rFonts w:ascii="Arial" w:cs="Arial" w:eastAsia="Arial" w:hAnsi="Arial"/>
          <w:sz w:val="12"/>
          <w:szCs w:val="12"/>
          <w:color w:val="auto"/>
        </w:rPr>
        <w:t>Net expenses totaled $2.6 million and $5.8 million for the three months ended September 30, 2007 and for the period January 11, 2007 (inception) through September 30, 2007, respectively. Of these totals, approximately $232,000 and $1.8 million were for interest and other credit facility related expenses for the three months ended September 30, 2007 and for the period January 11, 2007 (inception) through September 30, 2007, respectively. In addition, of these totals, approximately $313,000 was for non-recurring, primarily legal and corporate tax expenses for the period January 11, 2007 (inception) through September 30, 2007. General and Administrative expenses totaled $1.2 million and $1.7 million for the three months ended September 30, 2007 and for the period January 11, 2007 (inception) through September 30, 2007, respectively. Net investment management fee totaled $1.1 million and $1.9 million for the three months ended September 30, 2007 and for the period January 11, 2007 (inception) through September 30, 2007, respectively. PennantPark Investment Advisers did not receive a management or incentive fee for its services performed on our behalf prior to the completion of our initial public offering on April 24, 2007.</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Investment Income</w:t>
      </w:r>
    </w:p>
    <w:p>
      <w:pPr>
        <w:spacing w:after="0" w:line="62" w:lineRule="exact"/>
        <w:rPr>
          <w:sz w:val="20"/>
          <w:szCs w:val="20"/>
          <w:color w:val="auto"/>
        </w:rPr>
      </w:pPr>
    </w:p>
    <w:p>
      <w:pPr>
        <w:ind w:right="300" w:firstLine="452"/>
        <w:spacing w:after="0" w:line="268" w:lineRule="auto"/>
        <w:rPr>
          <w:sz w:val="20"/>
          <w:szCs w:val="20"/>
          <w:color w:val="auto"/>
        </w:rPr>
      </w:pPr>
      <w:r>
        <w:rPr>
          <w:rFonts w:ascii="Arial" w:cs="Arial" w:eastAsia="Arial" w:hAnsi="Arial"/>
          <w:sz w:val="12"/>
          <w:szCs w:val="12"/>
          <w:color w:val="auto"/>
        </w:rPr>
        <w:t>Our net investment income totaled $4.3 million and $7.3 million or $0.21 and $0.35 cents per share, for the three months ended September 30, 2007 and for the period January 11, 2007 (inception) through September 30, 2007,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Realized Gains/Losses on Investments</w:t>
      </w:r>
    </w:p>
    <w:p>
      <w:pPr>
        <w:spacing w:after="0" w:line="62" w:lineRule="exact"/>
        <w:rPr>
          <w:sz w:val="20"/>
          <w:szCs w:val="20"/>
          <w:color w:val="auto"/>
        </w:rPr>
      </w:pPr>
    </w:p>
    <w:p>
      <w:pPr>
        <w:ind w:right="60" w:firstLine="452"/>
        <w:spacing w:after="0" w:line="314" w:lineRule="auto"/>
        <w:rPr>
          <w:sz w:val="20"/>
          <w:szCs w:val="20"/>
          <w:color w:val="auto"/>
        </w:rPr>
      </w:pPr>
      <w:r>
        <w:rPr>
          <w:rFonts w:ascii="Arial" w:cs="Arial" w:eastAsia="Arial" w:hAnsi="Arial"/>
          <w:sz w:val="11"/>
          <w:szCs w:val="11"/>
          <w:color w:val="auto"/>
        </w:rPr>
        <w:t>We had investment sales of senior secured loans totaling $7.0 million and $99.6 million for the three months ended September 30, 2007 and for the period January 11, 2007 (inception) through September 30, 2007, respectively. Net realized losses totaled approximately $66,000 and $82,000 for the three months ended September 30, 2007 and for the period January 11, 2007 (inception) through September 30, 2007,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Unrealized Depreciation on Investments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On September 30, 2007, unrealized depreciation totaled $23.9 million, primarily due to a downturn in the leveraged finance credit market during the summer of 2007.</w:t>
      </w: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Decrease in Net Assets From Operations</w:t>
      </w:r>
    </w:p>
    <w:p>
      <w:pPr>
        <w:spacing w:after="0" w:line="62" w:lineRule="exact"/>
        <w:rPr>
          <w:sz w:val="20"/>
          <w:szCs w:val="20"/>
          <w:color w:val="auto"/>
        </w:rPr>
      </w:pPr>
    </w:p>
    <w:p>
      <w:pPr>
        <w:ind w:right="520" w:firstLine="452"/>
        <w:spacing w:after="0" w:line="268" w:lineRule="auto"/>
        <w:rPr>
          <w:sz w:val="20"/>
          <w:szCs w:val="20"/>
          <w:color w:val="auto"/>
        </w:rPr>
      </w:pPr>
      <w:r>
        <w:rPr>
          <w:rFonts w:ascii="Arial" w:cs="Arial" w:eastAsia="Arial" w:hAnsi="Arial"/>
          <w:sz w:val="12"/>
          <w:szCs w:val="12"/>
          <w:color w:val="auto"/>
        </w:rPr>
        <w:t>Our net decrease in net assets resulting from operations totaled $14.5 million and $16.7 million for the three months ended September 30, 2007 and for the period January 11, 2007 (inception) through September 30, 2007, respectively, or $0.70 and $0.80 cents per share,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62" w:lineRule="exact"/>
        <w:rPr>
          <w:sz w:val="20"/>
          <w:szCs w:val="20"/>
          <w:color w:val="auto"/>
        </w:rPr>
      </w:pPr>
    </w:p>
    <w:p>
      <w:pPr>
        <w:ind w:right="240" w:firstLine="452"/>
        <w:spacing w:after="0" w:line="268" w:lineRule="auto"/>
        <w:rPr>
          <w:sz w:val="20"/>
          <w:szCs w:val="20"/>
          <w:color w:val="auto"/>
        </w:rPr>
      </w:pPr>
      <w:r>
        <w:rPr>
          <w:rFonts w:ascii="Arial" w:cs="Arial" w:eastAsia="Arial" w:hAnsi="Arial"/>
          <w:sz w:val="12"/>
          <w:szCs w:val="12"/>
          <w:color w:val="auto"/>
        </w:rPr>
        <w:t>Our liquidity and capital resources are generated primarily through our senior secured loans, multi-currency $300 million , five-year, revolving credit facility maturing in June 2012 as well as from cash flow from operations. On September 30, 2007, we had $10.0 million in borrowings outstanding.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4"/>
          </w:tcPr>
          <w:p>
            <w:pPr>
              <w:ind w:left="160"/>
              <w:spacing w:after="0"/>
              <w:rPr>
                <w:sz w:val="20"/>
                <w:szCs w:val="20"/>
                <w:color w:val="auto"/>
              </w:rPr>
            </w:pPr>
            <w:r>
              <w:rPr>
                <w:rFonts w:ascii="Arial" w:cs="Arial" w:eastAsia="Arial" w:hAnsi="Arial"/>
                <w:sz w:val="9"/>
                <w:szCs w:val="9"/>
                <w:b w:val="1"/>
                <w:bCs w:val="1"/>
                <w:color w:val="auto"/>
                <w:w w:val="95"/>
              </w:rPr>
              <w:t>Payments due by period (millions)</w:t>
            </w: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r>
      <w:tr>
        <w:trPr>
          <w:trHeight w:val="79"/>
        </w:trPr>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3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jc w:val="center"/>
              <w:spacing w:after="0" w:line="79" w:lineRule="exact"/>
              <w:rPr>
                <w:sz w:val="20"/>
                <w:szCs w:val="20"/>
                <w:color w:val="auto"/>
              </w:rPr>
            </w:pPr>
            <w:r>
              <w:rPr>
                <w:rFonts w:ascii="Arial" w:cs="Arial" w:eastAsia="Arial" w:hAnsi="Arial"/>
                <w:sz w:val="9"/>
                <w:szCs w:val="9"/>
                <w:b w:val="1"/>
                <w:bCs w:val="1"/>
                <w:color w:val="auto"/>
                <w:w w:val="90"/>
              </w:rPr>
              <w:t>Less than</w:t>
            </w: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jc w:val="center"/>
              <w:spacing w:after="0" w:line="79" w:lineRule="exact"/>
              <w:rPr>
                <w:sz w:val="20"/>
                <w:szCs w:val="20"/>
                <w:color w:val="auto"/>
              </w:rPr>
            </w:pPr>
            <w:r>
              <w:rPr>
                <w:rFonts w:ascii="Arial" w:cs="Arial" w:eastAsia="Arial" w:hAnsi="Arial"/>
                <w:sz w:val="9"/>
                <w:szCs w:val="9"/>
                <w:b w:val="1"/>
                <w:bCs w:val="1"/>
                <w:color w:val="auto"/>
                <w:w w:val="97"/>
              </w:rPr>
              <w:t>More than</w:t>
            </w:r>
          </w:p>
        </w:tc>
      </w:tr>
      <w:tr>
        <w:trPr>
          <w:trHeight w:val="108"/>
        </w:trPr>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83"/>
              </w:rPr>
              <w:t>Total</w:t>
            </w:r>
          </w:p>
        </w:tc>
        <w:tc>
          <w:tcPr>
            <w:tcW w:w="540" w:type="dxa"/>
            <w:vAlign w:val="bottom"/>
          </w:tcPr>
          <w:p>
            <w:pPr>
              <w:spacing w:after="0"/>
              <w:rPr>
                <w:sz w:val="9"/>
                <w:szCs w:val="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1 year</w:t>
            </w:r>
          </w:p>
        </w:tc>
        <w:tc>
          <w:tcPr>
            <w:tcW w:w="540" w:type="dxa"/>
            <w:vAlign w:val="bottom"/>
          </w:tcPr>
          <w:p>
            <w:pPr>
              <w:spacing w:after="0"/>
              <w:rPr>
                <w:sz w:val="9"/>
                <w:szCs w:val="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86"/>
              </w:rPr>
              <w:t>1-3 years</w:t>
            </w:r>
          </w:p>
        </w:tc>
        <w:tc>
          <w:tcPr>
            <w:tcW w:w="540" w:type="dxa"/>
            <w:vAlign w:val="bottom"/>
          </w:tcPr>
          <w:p>
            <w:pPr>
              <w:spacing w:after="0"/>
              <w:rPr>
                <w:sz w:val="9"/>
                <w:szCs w:val="9"/>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w w:val="86"/>
              </w:rPr>
              <w:t>3-5 years</w:t>
            </w:r>
          </w:p>
        </w:tc>
        <w:tc>
          <w:tcPr>
            <w:tcW w:w="540" w:type="dxa"/>
            <w:vAlign w:val="bottom"/>
          </w:tcPr>
          <w:p>
            <w:pPr>
              <w:spacing w:after="0"/>
              <w:rPr>
                <w:sz w:val="9"/>
                <w:szCs w:val="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3"/>
              </w:rPr>
              <w:t>5 years</w:t>
            </w:r>
          </w:p>
        </w:tc>
      </w:tr>
      <w:tr>
        <w:trPr>
          <w:trHeight w:val="133"/>
        </w:trPr>
        <w:tc>
          <w:tcPr>
            <w:tcW w:w="548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Senior secured revolving credit facility</w:t>
            </w:r>
            <w:r>
              <w:rPr>
                <w:rFonts w:ascii="Arial" w:cs="Arial" w:eastAsia="Arial" w:hAnsi="Arial"/>
                <w:sz w:val="14"/>
                <w:szCs w:val="14"/>
                <w:color w:val="auto"/>
                <w:vertAlign w:val="superscript"/>
              </w:rPr>
              <w:t>(1)</w:t>
            </w:r>
          </w:p>
        </w:tc>
        <w:tc>
          <w:tcPr>
            <w:tcW w:w="2680" w:type="dxa"/>
            <w:vAlign w:val="bottom"/>
            <w:gridSpan w:val="3"/>
            <w:shd w:val="clear" w:color="auto" w:fill="CCEEFF"/>
          </w:tcPr>
          <w:p>
            <w:pPr>
              <w:ind w:left="1940"/>
              <w:spacing w:after="0" w:line="133" w:lineRule="exact"/>
              <w:rPr>
                <w:sz w:val="20"/>
                <w:szCs w:val="20"/>
                <w:color w:val="auto"/>
              </w:rPr>
            </w:pPr>
            <w:r>
              <w:rPr>
                <w:rFonts w:ascii="Arial" w:cs="Arial" w:eastAsia="Arial" w:hAnsi="Arial"/>
                <w:sz w:val="12"/>
                <w:szCs w:val="12"/>
                <w:color w:val="auto"/>
              </w:rPr>
              <w:t>$ 10</w:t>
            </w:r>
          </w:p>
        </w:tc>
        <w:tc>
          <w:tcPr>
            <w:tcW w:w="38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ind w:left="18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54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540"/>
              <w:spacing w:after="0" w:line="133" w:lineRule="exact"/>
              <w:rPr>
                <w:sz w:val="20"/>
                <w:szCs w:val="20"/>
                <w:color w:val="auto"/>
              </w:rPr>
            </w:pPr>
            <w:r>
              <w:rPr>
                <w:rFonts w:ascii="Arial" w:cs="Arial" w:eastAsia="Arial" w:hAnsi="Arial"/>
                <w:sz w:val="12"/>
                <w:szCs w:val="12"/>
                <w:color w:val="auto"/>
              </w:rPr>
              <w:t>10</w:t>
            </w:r>
          </w:p>
        </w:tc>
        <w:tc>
          <w:tcPr>
            <w:tcW w:w="420" w:type="dxa"/>
            <w:vAlign w:val="bottom"/>
            <w:shd w:val="clear" w:color="auto" w:fill="CCEEFF"/>
          </w:tcPr>
          <w:p>
            <w:pPr>
              <w:ind w:left="240"/>
              <w:spacing w:after="0" w:line="133" w:lineRule="exact"/>
              <w:rPr>
                <w:sz w:val="20"/>
                <w:szCs w:val="20"/>
                <w:color w:val="auto"/>
              </w:rPr>
            </w:pPr>
            <w:r>
              <w:rPr>
                <w:rFonts w:ascii="Arial" w:cs="Arial" w:eastAsia="Arial" w:hAnsi="Arial"/>
                <w:sz w:val="12"/>
                <w:szCs w:val="12"/>
                <w:color w:val="auto"/>
              </w:rPr>
              <w:t>—</w:t>
            </w:r>
          </w:p>
        </w:tc>
      </w:tr>
      <w:tr>
        <w:trPr>
          <w:trHeight w:val="72"/>
        </w:trPr>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3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203"/>
        </w:trPr>
        <w:tc>
          <w:tcPr>
            <w:tcW w:w="280" w:type="dxa"/>
            <w:vAlign w:val="bottom"/>
          </w:tcPr>
          <w:p>
            <w:pPr>
              <w:spacing w:after="0"/>
              <w:rPr>
                <w:sz w:val="20"/>
                <w:szCs w:val="20"/>
                <w:color w:val="auto"/>
              </w:rPr>
            </w:pPr>
            <w:r>
              <w:rPr>
                <w:rFonts w:ascii="Arial" w:cs="Arial" w:eastAsia="Arial" w:hAnsi="Arial"/>
                <w:sz w:val="12"/>
                <w:szCs w:val="12"/>
                <w:color w:val="auto"/>
              </w:rPr>
              <w:t>(1)</w:t>
            </w:r>
          </w:p>
        </w:tc>
        <w:tc>
          <w:tcPr>
            <w:tcW w:w="5200" w:type="dxa"/>
            <w:vAlign w:val="bottom"/>
            <w:gridSpan w:val="2"/>
          </w:tcPr>
          <w:p>
            <w:pPr>
              <w:ind w:left="160"/>
              <w:spacing w:after="0"/>
              <w:rPr>
                <w:sz w:val="20"/>
                <w:szCs w:val="20"/>
                <w:color w:val="auto"/>
              </w:rPr>
            </w:pPr>
            <w:r>
              <w:rPr>
                <w:rFonts w:ascii="Arial" w:cs="Arial" w:eastAsia="Arial" w:hAnsi="Arial"/>
                <w:sz w:val="12"/>
                <w:szCs w:val="12"/>
                <w:color w:val="auto"/>
                <w:w w:val="90"/>
              </w:rPr>
              <w:t>On September 30, 2007, $290 million remained unused under our senior secured revolving credit facility.</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43"/>
        </w:trPr>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940" w:type="dxa"/>
            <w:vAlign w:val="bottom"/>
          </w:tcPr>
          <w:p>
            <w:pPr>
              <w:jc w:val="right"/>
              <w:ind w:right="1662"/>
              <w:spacing w:after="0"/>
              <w:rPr>
                <w:sz w:val="20"/>
                <w:szCs w:val="20"/>
                <w:color w:val="auto"/>
              </w:rPr>
            </w:pPr>
            <w:r>
              <w:rPr>
                <w:rFonts w:ascii="Arial" w:cs="Arial" w:eastAsia="Arial" w:hAnsi="Arial"/>
                <w:sz w:val="12"/>
                <w:szCs w:val="12"/>
                <w:color w:val="auto"/>
              </w:rPr>
              <w:t>43</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r>
    </w:tbl>
    <w:p>
      <w:pPr>
        <w:sectPr>
          <w:pgSz w:w="11900" w:h="16838" w:orient="portrait"/>
          <w:cols w:equalWidth="0" w:num="1">
            <w:col w:w="11300"/>
          </w:cols>
          <w:pgMar w:left="300" w:top="354" w:right="299"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80" w:firstLine="452"/>
        <w:spacing w:after="0" w:line="437" w:lineRule="auto"/>
        <w:rPr>
          <w:sz w:val="20"/>
          <w:szCs w:val="20"/>
          <w:color w:val="auto"/>
        </w:rPr>
      </w:pPr>
      <w:r>
        <w:rPr>
          <w:rFonts w:ascii="Arial" w:cs="Arial" w:eastAsia="Arial" w:hAnsi="Arial"/>
          <w:sz w:val="9"/>
          <w:szCs w:val="9"/>
          <w:color w:val="auto"/>
        </w:rPr>
        <w:t>During the period from January 11, 2007 (inception) through September 30, 2007, cash equivalents increased from $0 to $258.0 million. Cash equivalents were provided through the issuance of 21,068,772 shares of common stock, investment sales, prepayments, drawings under the credit facility and interest on investments and cash equivalents. Cash equivalents were used for investment purchases, distribution to stockholders and other expenses.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engage in no off-balance sheet arrangements, including any risk management of commodity pricing or other hedging practices.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Distributions</w:t>
      </w:r>
    </w:p>
    <w:p>
      <w:pPr>
        <w:spacing w:after="0" w:line="60" w:lineRule="exact"/>
        <w:rPr>
          <w:sz w:val="20"/>
          <w:szCs w:val="20"/>
          <w:color w:val="auto"/>
        </w:rPr>
      </w:pPr>
    </w:p>
    <w:p>
      <w:pPr>
        <w:ind w:right="80" w:firstLine="452"/>
        <w:spacing w:after="0" w:line="437" w:lineRule="auto"/>
        <w:rPr>
          <w:sz w:val="20"/>
          <w:szCs w:val="20"/>
          <w:color w:val="auto"/>
        </w:rPr>
      </w:pPr>
      <w:r>
        <w:rPr>
          <w:rFonts w:ascii="Arial" w:cs="Arial" w:eastAsia="Arial" w:hAnsi="Arial"/>
          <w:sz w:val="9"/>
          <w:szCs w:val="9"/>
          <w:color w:val="auto"/>
        </w:rPr>
        <w:t>In order to qualify as a regulated investment company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19" w:lineRule="exact"/>
        <w:rPr>
          <w:sz w:val="20"/>
          <w:szCs w:val="20"/>
          <w:color w:val="auto"/>
        </w:rPr>
      </w:pPr>
    </w:p>
    <w:p>
      <w:pPr>
        <w:ind w:right="20" w:firstLine="452"/>
        <w:spacing w:after="0" w:line="268" w:lineRule="auto"/>
        <w:rPr>
          <w:sz w:val="20"/>
          <w:szCs w:val="20"/>
          <w:color w:val="auto"/>
        </w:rPr>
      </w:pPr>
      <w:r>
        <w:rPr>
          <w:rFonts w:ascii="Arial" w:cs="Arial" w:eastAsia="Arial" w:hAnsi="Arial"/>
          <w:sz w:val="12"/>
          <w:szCs w:val="12"/>
          <w:color w:val="auto"/>
        </w:rPr>
        <w:t>During the year ended September 30, 2007 we paid to stockholders distributions of $0.36 per share, for a total dividend of $7.6 million. Tax characteristics of all distributions will be reported to stockholders on Form 1099-DIV after the end of the calendar year.</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Of the amounts distributed on June 29, 2007 and September 28, 2007, approximately $307,000 and $293,000 were reinvested under our dividend reinvestment plan, respectively.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intend to continue to distribute quarterly dividends to our stockholders. Our quarterly dividends, if any, will be determined by our board of directors.</w:t>
      </w:r>
    </w:p>
    <w:p>
      <w:pPr>
        <w:spacing w:after="0" w:line="114" w:lineRule="exact"/>
        <w:rPr>
          <w:sz w:val="20"/>
          <w:szCs w:val="20"/>
          <w:color w:val="auto"/>
        </w:rPr>
      </w:pPr>
    </w:p>
    <w:p>
      <w:pPr>
        <w:ind w:right="80" w:firstLine="452"/>
        <w:spacing w:after="0" w:line="268" w:lineRule="auto"/>
        <w:rPr>
          <w:sz w:val="20"/>
          <w:szCs w:val="20"/>
          <w:color w:val="auto"/>
        </w:rPr>
      </w:pPr>
      <w:r>
        <w:rPr>
          <w:rFonts w:ascii="Arial" w:cs="Arial" w:eastAsia="Arial" w:hAnsi="Arial"/>
          <w:sz w:val="12"/>
          <w:szCs w:val="12"/>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88" w:lineRule="exact"/>
        <w:rPr>
          <w:sz w:val="20"/>
          <w:szCs w:val="20"/>
          <w:color w:val="auto"/>
        </w:rPr>
      </w:pPr>
    </w:p>
    <w:p>
      <w:pPr>
        <w:ind w:right="60" w:firstLine="452"/>
        <w:spacing w:after="0" w:line="268" w:lineRule="auto"/>
        <w:rPr>
          <w:sz w:val="20"/>
          <w:szCs w:val="20"/>
          <w:color w:val="auto"/>
        </w:rPr>
      </w:pPr>
      <w:r>
        <w:rPr>
          <w:rFonts w:ascii="Arial" w:cs="Arial" w:eastAsia="Arial" w:hAnsi="Arial"/>
          <w:sz w:val="12"/>
          <w:szCs w:val="12"/>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88" w:lineRule="exact"/>
        <w:rPr>
          <w:sz w:val="20"/>
          <w:szCs w:val="20"/>
          <w:color w:val="auto"/>
        </w:rPr>
      </w:pPr>
    </w:p>
    <w:p>
      <w:pPr>
        <w:ind w:firstLine="452"/>
        <w:spacing w:after="0" w:line="385" w:lineRule="auto"/>
        <w:rPr>
          <w:sz w:val="20"/>
          <w:szCs w:val="20"/>
          <w:color w:val="auto"/>
        </w:rPr>
      </w:pPr>
      <w:r>
        <w:rPr>
          <w:rFonts w:ascii="Arial" w:cs="Arial" w:eastAsia="Arial" w:hAnsi="Arial"/>
          <w:sz w:val="9"/>
          <w:szCs w:val="9"/>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42" w:lineRule="exact"/>
        <w:rPr>
          <w:sz w:val="20"/>
          <w:szCs w:val="20"/>
          <w:color w:val="auto"/>
        </w:rPr>
      </w:pPr>
    </w:p>
    <w:p>
      <w:pPr>
        <w:ind w:right="220" w:firstLine="452"/>
        <w:spacing w:after="0" w:line="314" w:lineRule="auto"/>
        <w:rPr>
          <w:sz w:val="20"/>
          <w:szCs w:val="20"/>
          <w:color w:val="auto"/>
        </w:rPr>
      </w:pPr>
      <w:r>
        <w:rPr>
          <w:rFonts w:ascii="Arial" w:cs="Arial" w:eastAsia="Arial" w:hAnsi="Arial"/>
          <w:sz w:val="11"/>
          <w:szCs w:val="11"/>
          <w:color w:val="auto"/>
        </w:rPr>
        <w:t>We did not experience any compromised liquidity during the recent turmoil in the global credit markets because of our ability to liquidate a portfolio of our senior secured loans, which totaled $158.9 million, and our availability under our credit facility. See “Risk Factors-Risks Relating to the Illiquid Nature of Our Portfolio Assets-A general disruption in the credit markets could materially damage our business.”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300"/>
          </w:cols>
          <w:pgMar w:left="300" w:top="354" w:right="299"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9"/>
          <w:szCs w:val="9"/>
          <w:b w:val="1"/>
          <w:bCs w:val="1"/>
          <w:color w:val="auto"/>
        </w:rPr>
        <w:t>Quantitative And Qualitative Disclosures About Market Risk</w:t>
      </w:r>
    </w:p>
    <w:p>
      <w:pPr>
        <w:spacing w:after="0" w:line="62" w:lineRule="exact"/>
        <w:rPr>
          <w:sz w:val="20"/>
          <w:szCs w:val="20"/>
          <w:color w:val="auto"/>
        </w:rPr>
      </w:pPr>
    </w:p>
    <w:p>
      <w:pPr>
        <w:ind w:right="240" w:firstLine="452"/>
        <w:spacing w:after="0" w:line="268" w:lineRule="auto"/>
        <w:rPr>
          <w:sz w:val="20"/>
          <w:szCs w:val="20"/>
          <w:color w:val="auto"/>
        </w:rPr>
      </w:pPr>
      <w:r>
        <w:rPr>
          <w:rFonts w:ascii="Arial" w:cs="Arial" w:eastAsia="Arial" w:hAnsi="Arial"/>
          <w:sz w:val="12"/>
          <w:szCs w:val="12"/>
          <w:color w:val="auto"/>
        </w:rPr>
        <w:t>We are subject to financial market risks, including changes in interest rates. During the period ended September 30, 2007, many of the loans in our portfolio had floating interest rates. These loans are usually based on a floating LIBOR rate and typically have durations of one to six months after which they reset to current market interest rates.</w:t>
      </w:r>
    </w:p>
    <w:p>
      <w:pPr>
        <w:spacing w:after="0" w:line="88" w:lineRule="exact"/>
        <w:rPr>
          <w:sz w:val="20"/>
          <w:szCs w:val="20"/>
          <w:color w:val="auto"/>
        </w:rPr>
      </w:pPr>
    </w:p>
    <w:p>
      <w:pPr>
        <w:ind w:firstLine="452"/>
        <w:spacing w:after="0" w:line="256" w:lineRule="auto"/>
        <w:rPr>
          <w:sz w:val="20"/>
          <w:szCs w:val="20"/>
          <w:color w:val="auto"/>
        </w:rPr>
      </w:pPr>
      <w:r>
        <w:rPr>
          <w:rFonts w:ascii="Arial" w:cs="Arial" w:eastAsia="Arial" w:hAnsi="Arial"/>
          <w:sz w:val="12"/>
          <w:szCs w:val="12"/>
          <w:color w:val="auto"/>
        </w:rPr>
        <w:t>Assuming that the balance sheet as of September 30, 2007 was to remain constant and no actions were taken to alter the existing interest rate sensitivity, a hypothetical immediate 1% change in interest rates may affect net income by more than 1% over a one 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95" w:lineRule="exact"/>
        <w:rPr>
          <w:sz w:val="20"/>
          <w:szCs w:val="20"/>
          <w:color w:val="auto"/>
        </w:rPr>
      </w:pPr>
    </w:p>
    <w:p>
      <w:pPr>
        <w:ind w:right="20" w:firstLine="452"/>
        <w:spacing w:after="0" w:line="259" w:lineRule="auto"/>
        <w:rPr>
          <w:sz w:val="20"/>
          <w:szCs w:val="20"/>
          <w:color w:val="auto"/>
        </w:rPr>
      </w:pPr>
      <w:r>
        <w:rPr>
          <w:rFonts w:ascii="Arial" w:cs="Arial" w:eastAsia="Arial" w:hAnsi="Arial"/>
          <w:sz w:val="12"/>
          <w:szCs w:val="12"/>
          <w:color w:val="auto"/>
        </w:rPr>
        <w:t>Because we borrow money to make investments, our net investment income is dependent upon the difference between the rate at which we borrow funds and the rate at which we invest these funds. In periods of rising interest rates, our cost of funds would increase, which may reduce our net investment income. As a result, there can be no assurance that a significant change in market interest rates will not have a material adverse effect on our net investment income. In general our investments are financed with the proceeds from our initial public offering and the use of our Credit Facility.</w:t>
      </w:r>
    </w:p>
    <w:p>
      <w:pPr>
        <w:spacing w:after="0" w:line="93" w:lineRule="exact"/>
        <w:rPr>
          <w:sz w:val="20"/>
          <w:szCs w:val="20"/>
          <w:color w:val="auto"/>
        </w:rPr>
      </w:pPr>
    </w:p>
    <w:p>
      <w:pPr>
        <w:jc w:val="both"/>
        <w:ind w:right="200" w:firstLine="452"/>
        <w:spacing w:after="0" w:line="259" w:lineRule="auto"/>
        <w:rPr>
          <w:sz w:val="20"/>
          <w:szCs w:val="20"/>
          <w:color w:val="auto"/>
        </w:rPr>
      </w:pPr>
      <w:r>
        <w:rPr>
          <w:rFonts w:ascii="Arial" w:cs="Arial" w:eastAsia="Arial" w:hAnsi="Arial"/>
          <w:sz w:val="12"/>
          <w:szCs w:val="12"/>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 ended September 30, 2007, we did not engage in interest rate hedging activities.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280"/>
          </w:cols>
          <w:pgMar w:left="300" w:top="354" w:right="319"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0" w:type="dxa"/>
            <w:vAlign w:val="bottom"/>
          </w:tcPr>
          <w:p>
            <w:pPr>
              <w:spacing w:after="0"/>
              <w:rPr>
                <w:sz w:val="20"/>
                <w:szCs w:val="20"/>
                <w:color w:val="auto"/>
              </w:rPr>
            </w:pPr>
            <w:r>
              <w:rPr>
                <w:rFonts w:ascii="Arial" w:cs="Arial" w:eastAsia="Arial" w:hAnsi="Arial"/>
                <w:sz w:val="12"/>
                <w:szCs w:val="12"/>
                <w:b w:val="1"/>
                <w:bCs w:val="1"/>
                <w:color w:val="auto"/>
              </w:rPr>
              <w:t>Item 8.</w:t>
            </w:r>
          </w:p>
        </w:tc>
        <w:tc>
          <w:tcPr>
            <w:tcW w:w="7760" w:type="dxa"/>
            <w:vAlign w:val="bottom"/>
          </w:tcPr>
          <w:p>
            <w:pPr>
              <w:jc w:val="right"/>
              <w:ind w:right="5042"/>
              <w:spacing w:after="0"/>
              <w:rPr>
                <w:sz w:val="20"/>
                <w:szCs w:val="20"/>
                <w:color w:val="auto"/>
              </w:rPr>
            </w:pPr>
            <w:r>
              <w:rPr>
                <w:rFonts w:ascii="Arial" w:cs="Arial" w:eastAsia="Arial" w:hAnsi="Arial"/>
                <w:sz w:val="12"/>
                <w:szCs w:val="12"/>
                <w:b w:val="1"/>
                <w:bCs w:val="1"/>
                <w:color w:val="auto"/>
                <w:w w:val="99"/>
              </w:rPr>
              <w:t>Financial Statements and Supplementary Data</w:t>
            </w:r>
          </w:p>
        </w:tc>
        <w:tc>
          <w:tcPr>
            <w:tcW w:w="2860" w:type="dxa"/>
            <w:vAlign w:val="bottom"/>
          </w:tcPr>
          <w:p>
            <w:pPr>
              <w:spacing w:after="0"/>
              <w:rPr>
                <w:sz w:val="13"/>
                <w:szCs w:val="13"/>
                <w:color w:val="auto"/>
              </w:rPr>
            </w:pPr>
          </w:p>
        </w:tc>
      </w:tr>
      <w:tr>
        <w:trPr>
          <w:trHeight w:val="279"/>
        </w:trPr>
        <w:tc>
          <w:tcPr>
            <w:tcW w:w="8440" w:type="dxa"/>
            <w:vAlign w:val="bottom"/>
            <w:gridSpan w:val="2"/>
          </w:tcPr>
          <w:p>
            <w:pPr>
              <w:spacing w:after="0"/>
              <w:rPr>
                <w:rFonts w:ascii="Arial" w:cs="Arial" w:eastAsia="Arial" w:hAnsi="Arial"/>
                <w:sz w:val="12"/>
                <w:szCs w:val="12"/>
                <w:u w:val="single" w:color="auto"/>
                <w:color w:val="0000EE"/>
              </w:rPr>
            </w:pPr>
            <w:hyperlink w:anchor="page49">
              <w:r>
                <w:rPr>
                  <w:rFonts w:ascii="Arial" w:cs="Arial" w:eastAsia="Arial" w:hAnsi="Arial"/>
                  <w:sz w:val="12"/>
                  <w:szCs w:val="12"/>
                  <w:u w:val="single" w:color="auto"/>
                  <w:color w:val="0000EE"/>
                </w:rPr>
                <w:t>Report of Independent Registered Public Accounting Firm</w:t>
              </w:r>
            </w:hyperlink>
          </w:p>
        </w:tc>
        <w:tc>
          <w:tcPr>
            <w:tcW w:w="286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216"/>
        </w:trPr>
        <w:tc>
          <w:tcPr>
            <w:tcW w:w="8440" w:type="dxa"/>
            <w:vAlign w:val="bottom"/>
            <w:gridSpan w:val="2"/>
          </w:tcPr>
          <w:p>
            <w:pPr>
              <w:spacing w:after="0"/>
              <w:rPr>
                <w:rFonts w:ascii="Arial" w:cs="Arial" w:eastAsia="Arial" w:hAnsi="Arial"/>
                <w:sz w:val="12"/>
                <w:szCs w:val="12"/>
                <w:u w:val="single" w:color="auto"/>
                <w:color w:val="0000EE"/>
              </w:rPr>
            </w:pPr>
            <w:hyperlink w:anchor="page50">
              <w:r>
                <w:rPr>
                  <w:rFonts w:ascii="Arial" w:cs="Arial" w:eastAsia="Arial" w:hAnsi="Arial"/>
                  <w:sz w:val="12"/>
                  <w:szCs w:val="12"/>
                  <w:u w:val="single" w:color="auto"/>
                  <w:color w:val="0000EE"/>
                </w:rPr>
                <w:t>Consolidated Statement of Assets and Liabilities as of September 30, 2007</w:t>
              </w:r>
            </w:hyperlink>
          </w:p>
        </w:tc>
        <w:tc>
          <w:tcPr>
            <w:tcW w:w="286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216"/>
        </w:trPr>
        <w:tc>
          <w:tcPr>
            <w:tcW w:w="8440" w:type="dxa"/>
            <w:vAlign w:val="bottom"/>
            <w:gridSpan w:val="2"/>
          </w:tcPr>
          <w:p>
            <w:pPr>
              <w:spacing w:after="0"/>
              <w:rPr>
                <w:rFonts w:ascii="Arial" w:cs="Arial" w:eastAsia="Arial" w:hAnsi="Arial"/>
                <w:sz w:val="12"/>
                <w:szCs w:val="12"/>
                <w:u w:val="single" w:color="auto"/>
                <w:color w:val="0000EE"/>
              </w:rPr>
            </w:pPr>
            <w:hyperlink w:anchor="page51">
              <w:r>
                <w:rPr>
                  <w:rFonts w:ascii="Arial" w:cs="Arial" w:eastAsia="Arial" w:hAnsi="Arial"/>
                  <w:sz w:val="12"/>
                  <w:szCs w:val="12"/>
                  <w:u w:val="single" w:color="auto"/>
                  <w:color w:val="0000EE"/>
                </w:rPr>
                <w:t>Consolidated Statement of Operations for the period January 11, 2007 (inception) through September 30, 2007</w:t>
              </w:r>
            </w:hyperlink>
          </w:p>
        </w:tc>
        <w:tc>
          <w:tcPr>
            <w:tcW w:w="286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216"/>
        </w:trPr>
        <w:tc>
          <w:tcPr>
            <w:tcW w:w="8440" w:type="dxa"/>
            <w:vAlign w:val="bottom"/>
            <w:gridSpan w:val="2"/>
          </w:tcPr>
          <w:p>
            <w:pPr>
              <w:spacing w:after="0"/>
              <w:rPr>
                <w:rFonts w:ascii="Arial" w:cs="Arial" w:eastAsia="Arial" w:hAnsi="Arial"/>
                <w:sz w:val="12"/>
                <w:szCs w:val="12"/>
                <w:u w:val="single" w:color="auto"/>
                <w:color w:val="0000EE"/>
              </w:rPr>
            </w:pPr>
            <w:hyperlink w:anchor="page52">
              <w:r>
                <w:rPr>
                  <w:rFonts w:ascii="Arial" w:cs="Arial" w:eastAsia="Arial" w:hAnsi="Arial"/>
                  <w:sz w:val="12"/>
                  <w:szCs w:val="12"/>
                  <w:u w:val="single" w:color="auto"/>
                  <w:color w:val="0000EE"/>
                </w:rPr>
                <w:t>Consolidated Statement of Changes in Net Assets for the period January 11, 2007 (inception) through September 30, 2007</w:t>
              </w:r>
            </w:hyperlink>
          </w:p>
        </w:tc>
        <w:tc>
          <w:tcPr>
            <w:tcW w:w="286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216"/>
        </w:trPr>
        <w:tc>
          <w:tcPr>
            <w:tcW w:w="8440" w:type="dxa"/>
            <w:vAlign w:val="bottom"/>
            <w:gridSpan w:val="2"/>
          </w:tcPr>
          <w:p>
            <w:pPr>
              <w:spacing w:after="0"/>
              <w:rPr>
                <w:rFonts w:ascii="Arial" w:cs="Arial" w:eastAsia="Arial" w:hAnsi="Arial"/>
                <w:sz w:val="12"/>
                <w:szCs w:val="12"/>
                <w:u w:val="single" w:color="auto"/>
                <w:color w:val="0000EE"/>
              </w:rPr>
            </w:pPr>
            <w:hyperlink w:anchor="page53">
              <w:r>
                <w:rPr>
                  <w:rFonts w:ascii="Arial" w:cs="Arial" w:eastAsia="Arial" w:hAnsi="Arial"/>
                  <w:sz w:val="12"/>
                  <w:szCs w:val="12"/>
                  <w:u w:val="single" w:color="auto"/>
                  <w:color w:val="0000EE"/>
                </w:rPr>
                <w:t>Consolidated Statement of Cash Flows for the period January 11, 2007 (inception) through September 30, 2007</w:t>
              </w:r>
            </w:hyperlink>
          </w:p>
        </w:tc>
        <w:tc>
          <w:tcPr>
            <w:tcW w:w="286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216"/>
        </w:trPr>
        <w:tc>
          <w:tcPr>
            <w:tcW w:w="8440" w:type="dxa"/>
            <w:vAlign w:val="bottom"/>
            <w:gridSpan w:val="2"/>
          </w:tcPr>
          <w:p>
            <w:pPr>
              <w:spacing w:after="0"/>
              <w:rPr>
                <w:rFonts w:ascii="Arial" w:cs="Arial" w:eastAsia="Arial" w:hAnsi="Arial"/>
                <w:sz w:val="12"/>
                <w:szCs w:val="12"/>
                <w:u w:val="single" w:color="auto"/>
                <w:color w:val="0000EE"/>
              </w:rPr>
            </w:pPr>
            <w:hyperlink w:anchor="page54">
              <w:r>
                <w:rPr>
                  <w:rFonts w:ascii="Arial" w:cs="Arial" w:eastAsia="Arial" w:hAnsi="Arial"/>
                  <w:sz w:val="12"/>
                  <w:szCs w:val="12"/>
                  <w:u w:val="single" w:color="auto"/>
                  <w:color w:val="0000EE"/>
                </w:rPr>
                <w:t>Schedule of Investments as of September 30, 2007</w:t>
              </w:r>
            </w:hyperlink>
          </w:p>
        </w:tc>
        <w:tc>
          <w:tcPr>
            <w:tcW w:w="286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216"/>
        </w:trPr>
        <w:tc>
          <w:tcPr>
            <w:tcW w:w="8440" w:type="dxa"/>
            <w:vAlign w:val="bottom"/>
            <w:gridSpan w:val="2"/>
          </w:tcPr>
          <w:p>
            <w:pPr>
              <w:spacing w:after="0"/>
              <w:rPr>
                <w:rFonts w:ascii="Arial" w:cs="Arial" w:eastAsia="Arial" w:hAnsi="Arial"/>
                <w:sz w:val="12"/>
                <w:szCs w:val="12"/>
                <w:u w:val="single" w:color="auto"/>
                <w:color w:val="0000EE"/>
              </w:rPr>
            </w:pPr>
            <w:hyperlink w:anchor="page58">
              <w:r>
                <w:rPr>
                  <w:rFonts w:ascii="Arial" w:cs="Arial" w:eastAsia="Arial" w:hAnsi="Arial"/>
                  <w:sz w:val="12"/>
                  <w:szCs w:val="12"/>
                  <w:u w:val="single" w:color="auto"/>
                  <w:color w:val="0000EE"/>
                </w:rPr>
                <w:t>Notes to Consolidated Financial Statements</w:t>
              </w:r>
            </w:hyperlink>
          </w:p>
        </w:tc>
        <w:tc>
          <w:tcPr>
            <w:tcW w:w="286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243"/>
        </w:trPr>
        <w:tc>
          <w:tcPr>
            <w:tcW w:w="680" w:type="dxa"/>
            <w:vAlign w:val="bottom"/>
          </w:tcPr>
          <w:p>
            <w:pPr>
              <w:spacing w:after="0"/>
              <w:rPr>
                <w:sz w:val="21"/>
                <w:szCs w:val="21"/>
                <w:color w:val="auto"/>
              </w:rPr>
            </w:pPr>
          </w:p>
        </w:tc>
        <w:tc>
          <w:tcPr>
            <w:tcW w:w="7760" w:type="dxa"/>
            <w:vAlign w:val="bottom"/>
          </w:tcPr>
          <w:p>
            <w:pPr>
              <w:jc w:val="right"/>
              <w:ind w:right="2682"/>
              <w:spacing w:after="0"/>
              <w:rPr>
                <w:sz w:val="20"/>
                <w:szCs w:val="20"/>
                <w:color w:val="auto"/>
              </w:rPr>
            </w:pPr>
            <w:r>
              <w:rPr>
                <w:rFonts w:ascii="Arial" w:cs="Arial" w:eastAsia="Arial" w:hAnsi="Arial"/>
                <w:sz w:val="12"/>
                <w:szCs w:val="12"/>
                <w:color w:val="auto"/>
              </w:rPr>
              <w:t>46</w:t>
            </w:r>
          </w:p>
        </w:tc>
        <w:tc>
          <w:tcPr>
            <w:tcW w:w="2860" w:type="dxa"/>
            <w:vAlign w:val="bottom"/>
          </w:tcPr>
          <w:p>
            <w:pPr>
              <w:spacing w:after="0"/>
              <w:rPr>
                <w:sz w:val="21"/>
                <w:szCs w:val="21"/>
                <w:color w:val="auto"/>
              </w:rPr>
            </w:pPr>
          </w:p>
        </w:tc>
      </w:tr>
    </w:tbl>
    <w:p>
      <w:pPr>
        <w:sectPr>
          <w:pgSz w:w="11900" w:h="16838" w:orient="portrait"/>
          <w:cols w:equalWidth="0" w:num="1">
            <w:col w:w="11300"/>
          </w:cols>
          <w:pgMar w:left="300" w:top="354" w:right="299"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 of</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PennantPark Investment Corporation</w:t>
      </w:r>
    </w:p>
    <w:p>
      <w:pPr>
        <w:spacing w:after="0" w:line="56" w:lineRule="exact"/>
        <w:rPr>
          <w:sz w:val="20"/>
          <w:szCs w:val="20"/>
          <w:color w:val="auto"/>
        </w:rPr>
      </w:pPr>
    </w:p>
    <w:p>
      <w:pPr>
        <w:ind w:right="260" w:firstLine="452"/>
        <w:spacing w:after="0" w:line="259" w:lineRule="auto"/>
        <w:rPr>
          <w:sz w:val="20"/>
          <w:szCs w:val="20"/>
          <w:color w:val="auto"/>
        </w:rPr>
      </w:pPr>
      <w:r>
        <w:rPr>
          <w:rFonts w:ascii="Arial" w:cs="Arial" w:eastAsia="Arial" w:hAnsi="Arial"/>
          <w:sz w:val="12"/>
          <w:szCs w:val="12"/>
          <w:color w:val="auto"/>
        </w:rPr>
        <w:t>We have audited the accompanying consolidated statement of assets and liabilities of PennantPark Investment Corporation (the “Company”), including the schedule of investments, as of September 30, 2007 and the related consolidated statements of operations, changes in net assets, and cash flows for the period from January 11, 2007 (inception) through September 30, 2007. These consolidated financial statements are the responsibility of the Company’s management. Our responsibility is to express an opinion on these consolidated financial statements based on our audit.</w:t>
      </w:r>
    </w:p>
    <w:p>
      <w:pPr>
        <w:spacing w:after="0" w:line="93" w:lineRule="exact"/>
        <w:rPr>
          <w:sz w:val="20"/>
          <w:szCs w:val="20"/>
          <w:color w:val="auto"/>
        </w:rPr>
      </w:pPr>
    </w:p>
    <w:p>
      <w:pPr>
        <w:ind w:firstLine="452"/>
        <w:spacing w:after="0" w:line="283" w:lineRule="auto"/>
        <w:rPr>
          <w:sz w:val="20"/>
          <w:szCs w:val="20"/>
          <w:color w:val="auto"/>
        </w:rPr>
      </w:pPr>
      <w:r>
        <w:rPr>
          <w:rFonts w:ascii="Arial" w:cs="Arial" w:eastAsia="Arial" w:hAnsi="Arial"/>
          <w:sz w:val="11"/>
          <w:szCs w:val="11"/>
          <w:color w:val="auto"/>
        </w:rPr>
        <w:t>We conducted our audit in accordance with the auditing standards of the Public Company Accounting Oversight Board (United States). These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82" w:lineRule="exact"/>
        <w:rPr>
          <w:sz w:val="20"/>
          <w:szCs w:val="20"/>
          <w:color w:val="auto"/>
        </w:rPr>
      </w:pPr>
    </w:p>
    <w:p>
      <w:pPr>
        <w:ind w:right="60" w:firstLine="452"/>
        <w:spacing w:after="0" w:line="314" w:lineRule="auto"/>
        <w:rPr>
          <w:sz w:val="20"/>
          <w:szCs w:val="20"/>
          <w:color w:val="auto"/>
        </w:rPr>
      </w:pPr>
      <w:r>
        <w:rPr>
          <w:rFonts w:ascii="Arial" w:cs="Arial" w:eastAsia="Arial" w:hAnsi="Arial"/>
          <w:sz w:val="11"/>
          <w:szCs w:val="11"/>
          <w:color w:val="auto"/>
        </w:rPr>
        <w:t>In our opinion, the consolidated financial statements referred to above present fairly, in all material respects, the financial position of PennantPark Investment Corporation as of September 30, 2007, and the results of its operations, changes in its net assets and its cash flows for the period from January 11, 2007 (inception) through September 30, 2007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75438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54380" cy="15430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December 12, 2007</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240"/>
          </w:cols>
          <w:pgMar w:left="300" w:top="354" w:right="359" w:bottom="1440" w:gutter="0" w:footer="0" w:header="0"/>
        </w:sectPr>
      </w:pPr>
    </w:p>
    <w:bookmarkStart w:id="49" w:name="page50"/>
    <w:bookmarkEnd w:id="49"/>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140" w:type="dxa"/>
            <w:vAlign w:val="bottom"/>
          </w:tcPr>
          <w:p>
            <w:pPr>
              <w:spacing w:after="0"/>
              <w:rPr>
                <w:sz w:val="12"/>
                <w:szCs w:val="12"/>
                <w:color w:val="auto"/>
              </w:rPr>
            </w:pPr>
          </w:p>
        </w:tc>
        <w:tc>
          <w:tcPr>
            <w:tcW w:w="9020" w:type="dxa"/>
            <w:vAlign w:val="bottom"/>
          </w:tcPr>
          <w:p>
            <w:pPr>
              <w:jc w:val="center"/>
              <w:spacing w:after="0"/>
              <w:rPr>
                <w:sz w:val="20"/>
                <w:szCs w:val="20"/>
                <w:color w:val="auto"/>
              </w:rPr>
            </w:pPr>
            <w:r>
              <w:rPr>
                <w:rFonts w:ascii="Arial" w:cs="Arial" w:eastAsia="Arial" w:hAnsi="Arial"/>
                <w:sz w:val="12"/>
                <w:szCs w:val="12"/>
                <w:b w:val="1"/>
                <w:bCs w:val="1"/>
                <w:color w:val="auto"/>
                <w:w w:val="98"/>
              </w:rPr>
              <w:t>PENNANTPARK INVESTMENT CORPORATION</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0"/>
        </w:trPr>
        <w:tc>
          <w:tcPr>
            <w:tcW w:w="1140" w:type="dxa"/>
            <w:vAlign w:val="bottom"/>
          </w:tcPr>
          <w:p>
            <w:pPr>
              <w:spacing w:after="0"/>
              <w:rPr>
                <w:sz w:val="13"/>
                <w:szCs w:val="13"/>
                <w:color w:val="auto"/>
              </w:rPr>
            </w:pPr>
          </w:p>
        </w:tc>
        <w:tc>
          <w:tcPr>
            <w:tcW w:w="9020" w:type="dxa"/>
            <w:vAlign w:val="bottom"/>
          </w:tcPr>
          <w:p>
            <w:pPr>
              <w:jc w:val="center"/>
              <w:spacing w:after="0"/>
              <w:rPr>
                <w:sz w:val="20"/>
                <w:szCs w:val="20"/>
                <w:color w:val="auto"/>
              </w:rPr>
            </w:pPr>
            <w:r>
              <w:rPr>
                <w:rFonts w:ascii="Arial" w:cs="Arial" w:eastAsia="Arial" w:hAnsi="Arial"/>
                <w:sz w:val="12"/>
                <w:szCs w:val="12"/>
                <w:b w:val="1"/>
                <w:bCs w:val="1"/>
                <w:color w:val="auto"/>
                <w:w w:val="97"/>
              </w:rPr>
              <w:t>CONSOLIDATED STATEMENT OF ASSETS AND LIABILITIES</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114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rPr>
              <w:t>September 30,</w:t>
            </w:r>
          </w:p>
        </w:tc>
      </w:tr>
      <w:tr>
        <w:trPr>
          <w:trHeight w:val="108"/>
        </w:trPr>
        <w:tc>
          <w:tcPr>
            <w:tcW w:w="114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383"/>
              <w:spacing w:after="0"/>
              <w:rPr>
                <w:sz w:val="20"/>
                <w:szCs w:val="20"/>
                <w:color w:val="auto"/>
              </w:rPr>
            </w:pPr>
            <w:r>
              <w:rPr>
                <w:rFonts w:ascii="Arial" w:cs="Arial" w:eastAsia="Arial" w:hAnsi="Arial"/>
                <w:sz w:val="9"/>
                <w:szCs w:val="9"/>
                <w:b w:val="1"/>
                <w:bCs w:val="1"/>
                <w:color w:val="auto"/>
              </w:rPr>
              <w:t>2007</w:t>
            </w:r>
          </w:p>
        </w:tc>
        <w:tc>
          <w:tcPr>
            <w:tcW w:w="80" w:type="dxa"/>
            <w:vAlign w:val="bottom"/>
          </w:tcPr>
          <w:p>
            <w:pPr>
              <w:spacing w:after="0"/>
              <w:rPr>
                <w:sz w:val="9"/>
                <w:szCs w:val="9"/>
                <w:color w:val="auto"/>
              </w:rPr>
            </w:pPr>
          </w:p>
        </w:tc>
      </w:tr>
      <w:tr>
        <w:trPr>
          <w:trHeight w:val="133"/>
        </w:trPr>
        <w:tc>
          <w:tcPr>
            <w:tcW w:w="1016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10160" w:type="dxa"/>
            <w:vAlign w:val="bottom"/>
            <w:gridSpan w:val="2"/>
          </w:tcPr>
          <w:p>
            <w:pPr>
              <w:spacing w:after="0" w:line="144" w:lineRule="exact"/>
              <w:rPr>
                <w:sz w:val="20"/>
                <w:szCs w:val="20"/>
                <w:color w:val="auto"/>
              </w:rPr>
            </w:pPr>
            <w:r>
              <w:rPr>
                <w:rFonts w:ascii="Arial" w:cs="Arial" w:eastAsia="Arial" w:hAnsi="Arial"/>
                <w:sz w:val="12"/>
                <w:szCs w:val="12"/>
                <w:color w:val="auto"/>
              </w:rPr>
              <w:t>Investments, at fair value (cost—$314,881,870)</w:t>
            </w:r>
            <w:r>
              <w:rPr>
                <w:rFonts w:ascii="Arial" w:cs="Arial" w:eastAsia="Arial" w:hAnsi="Arial"/>
                <w:sz w:val="14"/>
                <w:szCs w:val="14"/>
                <w:color w:val="auto"/>
                <w:vertAlign w:val="superscript"/>
              </w:rPr>
              <w:t>1</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291,016,608</w:t>
            </w:r>
          </w:p>
        </w:tc>
      </w:tr>
      <w:tr>
        <w:trPr>
          <w:trHeight w:val="144"/>
        </w:trPr>
        <w:tc>
          <w:tcPr>
            <w:tcW w:w="10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equivalents (cost—$258,016,351)</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257,959,635</w:t>
            </w:r>
          </w:p>
        </w:tc>
      </w:tr>
      <w:tr>
        <w:trPr>
          <w:trHeight w:val="144"/>
        </w:trPr>
        <w:tc>
          <w:tcPr>
            <w:tcW w:w="10160" w:type="dxa"/>
            <w:vAlign w:val="bottom"/>
            <w:gridSpan w:val="2"/>
          </w:tcPr>
          <w:p>
            <w:pPr>
              <w:spacing w:after="0"/>
              <w:rPr>
                <w:sz w:val="20"/>
                <w:szCs w:val="20"/>
                <w:color w:val="auto"/>
              </w:rPr>
            </w:pPr>
            <w:r>
              <w:rPr>
                <w:rFonts w:ascii="Arial" w:cs="Arial" w:eastAsia="Arial" w:hAnsi="Arial"/>
                <w:sz w:val="12"/>
                <w:szCs w:val="12"/>
                <w:color w:val="auto"/>
              </w:rPr>
              <w:t>Interest receivable</w:t>
            </w:r>
          </w:p>
        </w:tc>
        <w:tc>
          <w:tcPr>
            <w:tcW w:w="1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4,517,850</w:t>
            </w:r>
          </w:p>
        </w:tc>
      </w:tr>
      <w:tr>
        <w:trPr>
          <w:trHeight w:val="144"/>
        </w:trPr>
        <w:tc>
          <w:tcPr>
            <w:tcW w:w="10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Prepaid expenses and other assets</w:t>
            </w: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1,513,583</w:t>
            </w:r>
          </w:p>
        </w:tc>
        <w:tc>
          <w:tcPr>
            <w:tcW w:w="80" w:type="dxa"/>
            <w:vAlign w:val="bottom"/>
            <w:shd w:val="clear" w:color="auto" w:fill="CCEEFF"/>
          </w:tcPr>
          <w:p>
            <w:pPr>
              <w:spacing w:after="0"/>
              <w:rPr>
                <w:sz w:val="12"/>
                <w:szCs w:val="12"/>
                <w:color w:val="auto"/>
              </w:rPr>
            </w:pPr>
          </w:p>
        </w:tc>
      </w:tr>
      <w:tr>
        <w:trPr>
          <w:trHeight w:val="141"/>
        </w:trPr>
        <w:tc>
          <w:tcPr>
            <w:tcW w:w="10160" w:type="dxa"/>
            <w:vAlign w:val="bottom"/>
            <w:gridSpan w:val="2"/>
          </w:tcPr>
          <w:p>
            <w:pPr>
              <w:ind w:left="280"/>
              <w:spacing w:after="0"/>
              <w:rPr>
                <w:sz w:val="20"/>
                <w:szCs w:val="20"/>
                <w:color w:val="auto"/>
              </w:rPr>
            </w:pPr>
            <w:r>
              <w:rPr>
                <w:rFonts w:ascii="Arial" w:cs="Arial" w:eastAsia="Arial" w:hAnsi="Arial"/>
                <w:sz w:val="12"/>
                <w:szCs w:val="12"/>
                <w:b w:val="1"/>
                <w:bCs w:val="1"/>
                <w:color w:val="auto"/>
              </w:rPr>
              <w:t>Total assets</w:t>
            </w:r>
          </w:p>
        </w:tc>
        <w:tc>
          <w:tcPr>
            <w:tcW w:w="1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555,007,676</w:t>
            </w:r>
          </w:p>
        </w:tc>
      </w:tr>
      <w:tr>
        <w:trPr>
          <w:trHeight w:val="143"/>
        </w:trPr>
        <w:tc>
          <w:tcPr>
            <w:tcW w:w="101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10160" w:type="dxa"/>
            <w:vAlign w:val="bottom"/>
            <w:gridSpan w:val="2"/>
          </w:tcPr>
          <w:p>
            <w:pPr>
              <w:spacing w:after="0"/>
              <w:rPr>
                <w:sz w:val="20"/>
                <w:szCs w:val="20"/>
                <w:color w:val="auto"/>
              </w:rPr>
            </w:pPr>
            <w:r>
              <w:rPr>
                <w:rFonts w:ascii="Arial" w:cs="Arial" w:eastAsia="Arial" w:hAnsi="Arial"/>
                <w:sz w:val="12"/>
                <w:szCs w:val="12"/>
                <w:color w:val="auto"/>
              </w:rPr>
              <w:t>Payable for cash equivalents purchased</w:t>
            </w:r>
          </w:p>
        </w:tc>
        <w:tc>
          <w:tcPr>
            <w:tcW w:w="1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252,759,931</w:t>
            </w:r>
          </w:p>
        </w:tc>
      </w:tr>
      <w:tr>
        <w:trPr>
          <w:trHeight w:val="144"/>
        </w:trPr>
        <w:tc>
          <w:tcPr>
            <w:tcW w:w="10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Payable for investments purchased</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16,583,921</w:t>
            </w:r>
          </w:p>
        </w:tc>
      </w:tr>
      <w:tr>
        <w:trPr>
          <w:trHeight w:val="144"/>
        </w:trPr>
        <w:tc>
          <w:tcPr>
            <w:tcW w:w="10160" w:type="dxa"/>
            <w:vAlign w:val="bottom"/>
            <w:gridSpan w:val="2"/>
          </w:tcPr>
          <w:p>
            <w:pPr>
              <w:spacing w:after="0"/>
              <w:rPr>
                <w:sz w:val="20"/>
                <w:szCs w:val="20"/>
                <w:color w:val="auto"/>
              </w:rPr>
            </w:pPr>
            <w:r>
              <w:rPr>
                <w:rFonts w:ascii="Arial" w:cs="Arial" w:eastAsia="Arial" w:hAnsi="Arial"/>
                <w:sz w:val="12"/>
                <w:szCs w:val="12"/>
                <w:color w:val="auto"/>
              </w:rPr>
              <w:t>Unfunded investments</w:t>
            </w:r>
          </w:p>
        </w:tc>
        <w:tc>
          <w:tcPr>
            <w:tcW w:w="1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3,989,948</w:t>
            </w:r>
          </w:p>
        </w:tc>
      </w:tr>
      <w:tr>
        <w:trPr>
          <w:trHeight w:val="144"/>
        </w:trPr>
        <w:tc>
          <w:tcPr>
            <w:tcW w:w="10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Credit facility payable</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10,000,000</w:t>
            </w:r>
          </w:p>
        </w:tc>
      </w:tr>
      <w:tr>
        <w:trPr>
          <w:trHeight w:val="144"/>
        </w:trPr>
        <w:tc>
          <w:tcPr>
            <w:tcW w:w="10160" w:type="dxa"/>
            <w:vAlign w:val="bottom"/>
            <w:gridSpan w:val="2"/>
          </w:tcPr>
          <w:p>
            <w:pPr>
              <w:spacing w:after="0"/>
              <w:rPr>
                <w:sz w:val="20"/>
                <w:szCs w:val="20"/>
                <w:color w:val="auto"/>
              </w:rPr>
            </w:pPr>
            <w:r>
              <w:rPr>
                <w:rFonts w:ascii="Arial" w:cs="Arial" w:eastAsia="Arial" w:hAnsi="Arial"/>
                <w:sz w:val="12"/>
                <w:szCs w:val="12"/>
                <w:color w:val="auto"/>
              </w:rPr>
              <w:t>Interest payable</w:t>
            </w:r>
          </w:p>
        </w:tc>
        <w:tc>
          <w:tcPr>
            <w:tcW w:w="1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170,989</w:t>
            </w:r>
          </w:p>
        </w:tc>
      </w:tr>
      <w:tr>
        <w:trPr>
          <w:trHeight w:val="144"/>
        </w:trPr>
        <w:tc>
          <w:tcPr>
            <w:tcW w:w="10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other expenses</w:t>
            </w: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1,109,793</w:t>
            </w:r>
          </w:p>
        </w:tc>
        <w:tc>
          <w:tcPr>
            <w:tcW w:w="80" w:type="dxa"/>
            <w:vAlign w:val="bottom"/>
            <w:shd w:val="clear" w:color="auto" w:fill="CCEEFF"/>
          </w:tcPr>
          <w:p>
            <w:pPr>
              <w:spacing w:after="0"/>
              <w:rPr>
                <w:sz w:val="12"/>
                <w:szCs w:val="12"/>
                <w:color w:val="auto"/>
              </w:rPr>
            </w:pPr>
          </w:p>
        </w:tc>
      </w:tr>
      <w:tr>
        <w:trPr>
          <w:trHeight w:val="141"/>
        </w:trPr>
        <w:tc>
          <w:tcPr>
            <w:tcW w:w="10160" w:type="dxa"/>
            <w:vAlign w:val="bottom"/>
            <w:gridSpan w:val="2"/>
          </w:tcPr>
          <w:p>
            <w:pPr>
              <w:ind w:left="280"/>
              <w:spacing w:after="0"/>
              <w:rPr>
                <w:sz w:val="20"/>
                <w:szCs w:val="20"/>
                <w:color w:val="auto"/>
              </w:rPr>
            </w:pPr>
            <w:r>
              <w:rPr>
                <w:rFonts w:ascii="Arial" w:cs="Arial" w:eastAsia="Arial" w:hAnsi="Arial"/>
                <w:sz w:val="12"/>
                <w:szCs w:val="12"/>
                <w:b w:val="1"/>
                <w:bCs w:val="1"/>
                <w:color w:val="auto"/>
              </w:rPr>
              <w:t>Total liabilities</w:t>
            </w:r>
          </w:p>
        </w:tc>
        <w:tc>
          <w:tcPr>
            <w:tcW w:w="1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284,614,582</w:t>
            </w:r>
          </w:p>
        </w:tc>
      </w:tr>
      <w:tr>
        <w:trPr>
          <w:trHeight w:val="143"/>
        </w:trPr>
        <w:tc>
          <w:tcPr>
            <w:tcW w:w="101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Assets</w:t>
            </w: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10160" w:type="dxa"/>
            <w:vAlign w:val="bottom"/>
            <w:gridSpan w:val="2"/>
          </w:tcPr>
          <w:p>
            <w:pPr>
              <w:spacing w:after="0"/>
              <w:rPr>
                <w:sz w:val="20"/>
                <w:szCs w:val="20"/>
                <w:color w:val="auto"/>
              </w:rPr>
            </w:pPr>
            <w:r>
              <w:rPr>
                <w:rFonts w:ascii="Arial" w:cs="Arial" w:eastAsia="Arial" w:hAnsi="Arial"/>
                <w:sz w:val="12"/>
                <w:szCs w:val="12"/>
                <w:color w:val="auto"/>
              </w:rPr>
              <w:t>Common stock, par value $.001 per share, 100,000,000 shares authorized and 21,068,772 shares issued and outstanding</w:t>
            </w:r>
          </w:p>
        </w:tc>
        <w:tc>
          <w:tcPr>
            <w:tcW w:w="1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21,069</w:t>
            </w:r>
          </w:p>
        </w:tc>
      </w:tr>
      <w:tr>
        <w:trPr>
          <w:trHeight w:val="144"/>
        </w:trPr>
        <w:tc>
          <w:tcPr>
            <w:tcW w:w="10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Paid-in capital in excess of par</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294,586,604</w:t>
            </w:r>
          </w:p>
        </w:tc>
      </w:tr>
      <w:tr>
        <w:trPr>
          <w:trHeight w:val="144"/>
        </w:trPr>
        <w:tc>
          <w:tcPr>
            <w:tcW w:w="10160" w:type="dxa"/>
            <w:vAlign w:val="bottom"/>
            <w:gridSpan w:val="2"/>
          </w:tcPr>
          <w:p>
            <w:pPr>
              <w:spacing w:after="0"/>
              <w:rPr>
                <w:sz w:val="20"/>
                <w:szCs w:val="20"/>
                <w:color w:val="auto"/>
              </w:rPr>
            </w:pPr>
            <w:r>
              <w:rPr>
                <w:rFonts w:ascii="Arial" w:cs="Arial" w:eastAsia="Arial" w:hAnsi="Arial"/>
                <w:sz w:val="12"/>
                <w:szCs w:val="12"/>
                <w:color w:val="auto"/>
              </w:rPr>
              <w:t>Distributions in excess of net investment income</w:t>
            </w:r>
          </w:p>
        </w:tc>
        <w:tc>
          <w:tcPr>
            <w:tcW w:w="16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(196,769)</w:t>
            </w:r>
          </w:p>
        </w:tc>
      </w:tr>
      <w:tr>
        <w:trPr>
          <w:trHeight w:val="144"/>
        </w:trPr>
        <w:tc>
          <w:tcPr>
            <w:tcW w:w="10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Accumulated net realized loss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(95,832)</w:t>
            </w:r>
          </w:p>
        </w:tc>
      </w:tr>
      <w:tr>
        <w:trPr>
          <w:trHeight w:val="144"/>
        </w:trPr>
        <w:tc>
          <w:tcPr>
            <w:tcW w:w="10160" w:type="dxa"/>
            <w:vAlign w:val="bottom"/>
            <w:gridSpan w:val="2"/>
          </w:tcPr>
          <w:p>
            <w:pPr>
              <w:spacing w:after="0"/>
              <w:rPr>
                <w:sz w:val="20"/>
                <w:szCs w:val="20"/>
                <w:color w:val="auto"/>
              </w:rPr>
            </w:pPr>
            <w:r>
              <w:rPr>
                <w:rFonts w:ascii="Arial" w:cs="Arial" w:eastAsia="Arial" w:hAnsi="Arial"/>
                <w:sz w:val="12"/>
                <w:szCs w:val="12"/>
                <w:color w:val="auto"/>
              </w:rPr>
              <w:t>Net unrealized depreciation on investments and cash equivalents</w:t>
            </w:r>
          </w:p>
        </w:tc>
        <w:tc>
          <w:tcPr>
            <w:tcW w:w="16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(23,921,978)</w:t>
            </w:r>
          </w:p>
        </w:tc>
      </w:tr>
      <w:tr>
        <w:trPr>
          <w:trHeight w:val="142"/>
        </w:trPr>
        <w:tc>
          <w:tcPr>
            <w:tcW w:w="10160" w:type="dxa"/>
            <w:vAlign w:val="bottom"/>
            <w:gridSpan w:val="2"/>
            <w:shd w:val="clear" w:color="auto" w:fill="CCEEFF"/>
          </w:tcPr>
          <w:p>
            <w:pPr>
              <w:ind w:left="280"/>
              <w:spacing w:after="0"/>
              <w:rPr>
                <w:sz w:val="20"/>
                <w:szCs w:val="20"/>
                <w:color w:val="auto"/>
              </w:rPr>
            </w:pPr>
            <w:r>
              <w:rPr>
                <w:rFonts w:ascii="Arial" w:cs="Arial" w:eastAsia="Arial" w:hAnsi="Arial"/>
                <w:sz w:val="12"/>
                <w:szCs w:val="12"/>
                <w:b w:val="1"/>
                <w:bCs w:val="1"/>
                <w:color w:val="auto"/>
              </w:rPr>
              <w:t>Total net assets</w:t>
            </w: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270,393,094</w:t>
            </w:r>
          </w:p>
        </w:tc>
        <w:tc>
          <w:tcPr>
            <w:tcW w:w="80" w:type="dxa"/>
            <w:vAlign w:val="bottom"/>
            <w:shd w:val="clear" w:color="auto" w:fill="CCEEFF"/>
          </w:tcPr>
          <w:p>
            <w:pPr>
              <w:spacing w:after="0"/>
              <w:rPr>
                <w:sz w:val="12"/>
                <w:szCs w:val="12"/>
                <w:color w:val="auto"/>
              </w:rPr>
            </w:pPr>
          </w:p>
        </w:tc>
      </w:tr>
      <w:tr>
        <w:trPr>
          <w:trHeight w:val="141"/>
        </w:trPr>
        <w:tc>
          <w:tcPr>
            <w:tcW w:w="10160" w:type="dxa"/>
            <w:vAlign w:val="bottom"/>
            <w:gridSpan w:val="2"/>
          </w:tcPr>
          <w:p>
            <w:pPr>
              <w:ind w:left="280"/>
              <w:spacing w:after="0"/>
              <w:rPr>
                <w:sz w:val="20"/>
                <w:szCs w:val="20"/>
                <w:color w:val="auto"/>
              </w:rPr>
            </w:pPr>
            <w:r>
              <w:rPr>
                <w:rFonts w:ascii="Arial" w:cs="Arial" w:eastAsia="Arial" w:hAnsi="Arial"/>
                <w:sz w:val="12"/>
                <w:szCs w:val="12"/>
                <w:b w:val="1"/>
                <w:bCs w:val="1"/>
                <w:color w:val="auto"/>
              </w:rPr>
              <w:t>Total liabilities and net assets</w:t>
            </w: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555,007,676</w:t>
            </w:r>
          </w:p>
        </w:tc>
        <w:tc>
          <w:tcPr>
            <w:tcW w:w="80" w:type="dxa"/>
            <w:vAlign w:val="bottom"/>
          </w:tcPr>
          <w:p>
            <w:pPr>
              <w:spacing w:after="0"/>
              <w:rPr>
                <w:sz w:val="12"/>
                <w:szCs w:val="12"/>
                <w:color w:val="auto"/>
              </w:rPr>
            </w:pPr>
          </w:p>
        </w:tc>
      </w:tr>
      <w:tr>
        <w:trPr>
          <w:trHeight w:val="150"/>
        </w:trPr>
        <w:tc>
          <w:tcPr>
            <w:tcW w:w="101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asset value per share</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12.83</w:t>
            </w:r>
          </w:p>
        </w:tc>
      </w:tr>
      <w:tr>
        <w:trPr>
          <w:trHeight w:val="81"/>
        </w:trPr>
        <w:tc>
          <w:tcPr>
            <w:tcW w:w="1140" w:type="dxa"/>
            <w:vAlign w:val="bottom"/>
            <w:tcBorders>
              <w:bottom w:val="single" w:sz="8" w:color="auto"/>
            </w:tcBorders>
          </w:tcPr>
          <w:p>
            <w:pPr>
              <w:spacing w:after="0"/>
              <w:rPr>
                <w:sz w:val="7"/>
                <w:szCs w:val="7"/>
                <w:color w:val="auto"/>
              </w:rPr>
            </w:pPr>
          </w:p>
        </w:tc>
        <w:tc>
          <w:tcPr>
            <w:tcW w:w="90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r>
    </w:tbl>
    <w:p>
      <w:pPr>
        <w:spacing w:after="0" w:line="48" w:lineRule="exact"/>
        <w:rPr>
          <w:sz w:val="20"/>
          <w:szCs w:val="20"/>
          <w:color w:val="auto"/>
        </w:rPr>
      </w:pPr>
    </w:p>
    <w:p>
      <w:pPr>
        <w:ind w:left="448" w:hanging="448"/>
        <w:spacing w:after="0"/>
        <w:tabs>
          <w:tab w:leader="none" w:pos="448" w:val="left"/>
        </w:tabs>
        <w:numPr>
          <w:ilvl w:val="0"/>
          <w:numId w:val="28"/>
        </w:numPr>
        <w:rPr>
          <w:rFonts w:ascii="Arial" w:cs="Arial" w:eastAsia="Arial" w:hAnsi="Arial"/>
          <w:sz w:val="7"/>
          <w:szCs w:val="7"/>
          <w:color w:val="auto"/>
        </w:rPr>
      </w:pPr>
      <w:r>
        <w:rPr>
          <w:rFonts w:ascii="Arial" w:cs="Arial" w:eastAsia="Arial" w:hAnsi="Arial"/>
          <w:sz w:val="12"/>
          <w:szCs w:val="12"/>
          <w:color w:val="auto"/>
        </w:rPr>
        <w:t>None of our portfolio companies is controlled by, or affiliated with, PennantPark Investment Corporation as defined by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SEE NOTES TO CONSOLIDATED FINANCIAL STATEMENTS</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308"/>
          </w:cols>
          <w:pgMar w:left="292" w:top="354" w:right="299"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PENNANTPARK INVESTMENT CORPORATION</w:t>
      </w:r>
    </w:p>
    <w:p>
      <w:pPr>
        <w:spacing w:after="0" w:line="12" w:lineRule="exact"/>
        <w:rPr>
          <w:sz w:val="20"/>
          <w:szCs w:val="20"/>
          <w:color w:val="auto"/>
        </w:rPr>
      </w:pPr>
    </w:p>
    <w:p>
      <w:pPr>
        <w:ind w:left="4300"/>
        <w:spacing w:after="0"/>
        <w:rPr>
          <w:sz w:val="20"/>
          <w:szCs w:val="20"/>
          <w:color w:val="auto"/>
        </w:rPr>
      </w:pPr>
      <w:r>
        <w:rPr>
          <w:rFonts w:ascii="Arial" w:cs="Arial" w:eastAsia="Arial" w:hAnsi="Arial"/>
          <w:sz w:val="12"/>
          <w:szCs w:val="12"/>
          <w:b w:val="1"/>
          <w:bCs w:val="1"/>
          <w:color w:val="auto"/>
        </w:rPr>
        <w:t>CONSOLIDATED STATEMENT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0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Period from</w:t>
            </w:r>
          </w:p>
        </w:tc>
        <w:tc>
          <w:tcPr>
            <w:tcW w:w="0" w:type="dxa"/>
            <w:vAlign w:val="bottom"/>
          </w:tcPr>
          <w:p>
            <w:pPr>
              <w:spacing w:after="0"/>
              <w:rPr>
                <w:sz w:val="1"/>
                <w:szCs w:val="1"/>
                <w:color w:val="auto"/>
              </w:rPr>
            </w:pPr>
          </w:p>
        </w:tc>
      </w:tr>
      <w:tr>
        <w:trPr>
          <w:trHeight w:val="99"/>
        </w:trPr>
        <w:tc>
          <w:tcPr>
            <w:tcW w:w="10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w w:val="88"/>
              </w:rPr>
              <w:t>January 11,</w:t>
            </w:r>
          </w:p>
        </w:tc>
        <w:tc>
          <w:tcPr>
            <w:tcW w:w="0" w:type="dxa"/>
            <w:vAlign w:val="bottom"/>
          </w:tcPr>
          <w:p>
            <w:pPr>
              <w:spacing w:after="0"/>
              <w:rPr>
                <w:sz w:val="1"/>
                <w:szCs w:val="1"/>
                <w:color w:val="auto"/>
              </w:rPr>
            </w:pPr>
          </w:p>
        </w:tc>
      </w:tr>
      <w:tr>
        <w:trPr>
          <w:trHeight w:val="99"/>
        </w:trPr>
        <w:tc>
          <w:tcPr>
            <w:tcW w:w="10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right="105"/>
              <w:spacing w:after="0" w:line="99" w:lineRule="exact"/>
              <w:rPr>
                <w:sz w:val="20"/>
                <w:szCs w:val="20"/>
                <w:color w:val="auto"/>
              </w:rPr>
            </w:pPr>
            <w:r>
              <w:rPr>
                <w:rFonts w:ascii="Arial" w:cs="Arial" w:eastAsia="Arial" w:hAnsi="Arial"/>
                <w:sz w:val="9"/>
                <w:szCs w:val="9"/>
                <w:b w:val="1"/>
                <w:bCs w:val="1"/>
                <w:color w:val="auto"/>
                <w:w w:val="89"/>
              </w:rPr>
              <w:t>2007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91"/>
              </w:rPr>
              <w:t>(inception)</w:t>
            </w:r>
          </w:p>
        </w:tc>
        <w:tc>
          <w:tcPr>
            <w:tcW w:w="0" w:type="dxa"/>
            <w:vAlign w:val="bottom"/>
          </w:tcPr>
          <w:p>
            <w:pPr>
              <w:spacing w:after="0"/>
              <w:rPr>
                <w:sz w:val="1"/>
                <w:szCs w:val="1"/>
                <w:color w:val="auto"/>
              </w:rPr>
            </w:pPr>
          </w:p>
        </w:tc>
      </w:tr>
      <w:tr>
        <w:trPr>
          <w:trHeight w:val="99"/>
        </w:trPr>
        <w:tc>
          <w:tcPr>
            <w:tcW w:w="10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w w:val="93"/>
              </w:rPr>
              <w:t>through</w:t>
            </w:r>
          </w:p>
        </w:tc>
        <w:tc>
          <w:tcPr>
            <w:tcW w:w="0" w:type="dxa"/>
            <w:vAlign w:val="bottom"/>
          </w:tcPr>
          <w:p>
            <w:pPr>
              <w:spacing w:after="0"/>
              <w:rPr>
                <w:sz w:val="1"/>
                <w:szCs w:val="1"/>
                <w:color w:val="auto"/>
              </w:rPr>
            </w:pPr>
          </w:p>
        </w:tc>
      </w:tr>
      <w:tr>
        <w:trPr>
          <w:trHeight w:val="99"/>
        </w:trPr>
        <w:tc>
          <w:tcPr>
            <w:tcW w:w="10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87"/>
              </w:rPr>
              <w:t>September 30,</w:t>
            </w:r>
          </w:p>
        </w:tc>
        <w:tc>
          <w:tcPr>
            <w:tcW w:w="0" w:type="dxa"/>
            <w:vAlign w:val="bottom"/>
          </w:tcPr>
          <w:p>
            <w:pPr>
              <w:spacing w:after="0"/>
              <w:rPr>
                <w:sz w:val="1"/>
                <w:szCs w:val="1"/>
                <w:color w:val="auto"/>
              </w:rPr>
            </w:pPr>
          </w:p>
        </w:tc>
      </w:tr>
      <w:tr>
        <w:trPr>
          <w:trHeight w:val="108"/>
        </w:trPr>
        <w:tc>
          <w:tcPr>
            <w:tcW w:w="10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105"/>
              <w:spacing w:after="0"/>
              <w:rPr>
                <w:sz w:val="20"/>
                <w:szCs w:val="20"/>
                <w:color w:val="auto"/>
              </w:rPr>
            </w:pPr>
            <w:r>
              <w:rPr>
                <w:rFonts w:ascii="Arial" w:cs="Arial" w:eastAsia="Arial" w:hAnsi="Arial"/>
                <w:sz w:val="9"/>
                <w:szCs w:val="9"/>
                <w:b w:val="1"/>
                <w:bCs w:val="1"/>
                <w:color w:val="auto"/>
                <w:w w:val="89"/>
              </w:rPr>
              <w:t>2007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016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Investment Income:</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160" w:type="dxa"/>
            <w:vAlign w:val="bottom"/>
          </w:tcPr>
          <w:p>
            <w:pPr>
              <w:ind w:left="280"/>
              <w:spacing w:after="0"/>
              <w:rPr>
                <w:sz w:val="20"/>
                <w:szCs w:val="20"/>
                <w:color w:val="auto"/>
              </w:rPr>
            </w:pPr>
            <w:r>
              <w:rPr>
                <w:rFonts w:ascii="Arial" w:cs="Arial" w:eastAsia="Arial" w:hAnsi="Arial"/>
                <w:sz w:val="12"/>
                <w:szCs w:val="12"/>
                <w:color w:val="auto"/>
              </w:rPr>
              <w:t>Interest</w:t>
            </w: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13,107,341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160" w:type="dxa"/>
            <w:vAlign w:val="bottom"/>
            <w:shd w:val="clear" w:color="auto" w:fill="CCEEFF"/>
          </w:tcPr>
          <w:p>
            <w:pPr>
              <w:ind w:left="560"/>
              <w:spacing w:after="0"/>
              <w:rPr>
                <w:sz w:val="20"/>
                <w:szCs w:val="20"/>
                <w:color w:val="auto"/>
              </w:rPr>
            </w:pPr>
            <w:r>
              <w:rPr>
                <w:rFonts w:ascii="Arial" w:cs="Arial" w:eastAsia="Arial" w:hAnsi="Arial"/>
                <w:sz w:val="12"/>
                <w:szCs w:val="12"/>
                <w:b w:val="1"/>
                <w:bCs w:val="1"/>
                <w:color w:val="auto"/>
              </w:rPr>
              <w:t>Total investment income</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13,107,341</w:t>
            </w:r>
          </w:p>
        </w:tc>
        <w:tc>
          <w:tcPr>
            <w:tcW w:w="0" w:type="dxa"/>
            <w:vAlign w:val="bottom"/>
          </w:tcPr>
          <w:p>
            <w:pPr>
              <w:spacing w:after="0"/>
              <w:rPr>
                <w:sz w:val="1"/>
                <w:szCs w:val="1"/>
                <w:color w:val="auto"/>
              </w:rPr>
            </w:pPr>
          </w:p>
        </w:tc>
      </w:tr>
      <w:tr>
        <w:trPr>
          <w:trHeight w:val="141"/>
        </w:trPr>
        <w:tc>
          <w:tcPr>
            <w:tcW w:w="10160" w:type="dxa"/>
            <w:vAlign w:val="bottom"/>
          </w:tcPr>
          <w:p>
            <w:pPr>
              <w:spacing w:after="0"/>
              <w:rPr>
                <w:sz w:val="20"/>
                <w:szCs w:val="20"/>
                <w:color w:val="auto"/>
              </w:rPr>
            </w:pPr>
            <w:r>
              <w:rPr>
                <w:rFonts w:ascii="Arial" w:cs="Arial" w:eastAsia="Arial" w:hAnsi="Arial"/>
                <w:sz w:val="12"/>
                <w:szCs w:val="12"/>
                <w:b w:val="1"/>
                <w:bCs w:val="1"/>
                <w:color w:val="auto"/>
              </w:rPr>
              <w:t>Expenses: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1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Management fees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2,565,085</w:t>
            </w:r>
          </w:p>
        </w:tc>
        <w:tc>
          <w:tcPr>
            <w:tcW w:w="0" w:type="dxa"/>
            <w:vAlign w:val="bottom"/>
          </w:tcPr>
          <w:p>
            <w:pPr>
              <w:spacing w:after="0"/>
              <w:rPr>
                <w:sz w:val="1"/>
                <w:szCs w:val="1"/>
                <w:color w:val="auto"/>
              </w:rPr>
            </w:pPr>
          </w:p>
        </w:tc>
      </w:tr>
      <w:tr>
        <w:trPr>
          <w:trHeight w:val="144"/>
        </w:trPr>
        <w:tc>
          <w:tcPr>
            <w:tcW w:w="10160" w:type="dxa"/>
            <w:vAlign w:val="bottom"/>
          </w:tcPr>
          <w:p>
            <w:pPr>
              <w:ind w:left="280"/>
              <w:spacing w:after="0"/>
              <w:rPr>
                <w:sz w:val="20"/>
                <w:szCs w:val="20"/>
                <w:color w:val="auto"/>
              </w:rPr>
            </w:pPr>
            <w:r>
              <w:rPr>
                <w:rFonts w:ascii="Arial" w:cs="Arial" w:eastAsia="Arial" w:hAnsi="Arial"/>
                <w:sz w:val="12"/>
                <w:szCs w:val="12"/>
                <w:color w:val="auto"/>
              </w:rPr>
              <w:t>Interest and other credit facility expenses</w:t>
            </w:r>
          </w:p>
        </w:tc>
        <w:tc>
          <w:tcPr>
            <w:tcW w:w="1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1,835,816</w:t>
            </w:r>
          </w:p>
        </w:tc>
        <w:tc>
          <w:tcPr>
            <w:tcW w:w="0" w:type="dxa"/>
            <w:vAlign w:val="bottom"/>
          </w:tcPr>
          <w:p>
            <w:pPr>
              <w:spacing w:after="0"/>
              <w:rPr>
                <w:sz w:val="1"/>
                <w:szCs w:val="1"/>
                <w:color w:val="auto"/>
              </w:rPr>
            </w:pPr>
          </w:p>
        </w:tc>
      </w:tr>
      <w:tr>
        <w:trPr>
          <w:trHeight w:val="144"/>
        </w:trPr>
        <w:tc>
          <w:tcPr>
            <w:tcW w:w="101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Administrative services expenses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778,587</w:t>
            </w:r>
          </w:p>
        </w:tc>
        <w:tc>
          <w:tcPr>
            <w:tcW w:w="0" w:type="dxa"/>
            <w:vAlign w:val="bottom"/>
          </w:tcPr>
          <w:p>
            <w:pPr>
              <w:spacing w:after="0"/>
              <w:rPr>
                <w:sz w:val="1"/>
                <w:szCs w:val="1"/>
                <w:color w:val="auto"/>
              </w:rPr>
            </w:pPr>
          </w:p>
        </w:tc>
      </w:tr>
      <w:tr>
        <w:trPr>
          <w:trHeight w:val="144"/>
        </w:trPr>
        <w:tc>
          <w:tcPr>
            <w:tcW w:w="10160" w:type="dxa"/>
            <w:vAlign w:val="bottom"/>
          </w:tcPr>
          <w:p>
            <w:pPr>
              <w:ind w:left="280"/>
              <w:spacing w:after="0"/>
              <w:rPr>
                <w:sz w:val="20"/>
                <w:szCs w:val="20"/>
                <w:color w:val="auto"/>
              </w:rPr>
            </w:pPr>
            <w:r>
              <w:rPr>
                <w:rFonts w:ascii="Arial" w:cs="Arial" w:eastAsia="Arial" w:hAnsi="Arial"/>
                <w:sz w:val="12"/>
                <w:szCs w:val="12"/>
                <w:color w:val="auto"/>
              </w:rPr>
              <w:t>Professional fees</w:t>
            </w:r>
          </w:p>
        </w:tc>
        <w:tc>
          <w:tcPr>
            <w:tcW w:w="1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420,186</w:t>
            </w:r>
          </w:p>
        </w:tc>
        <w:tc>
          <w:tcPr>
            <w:tcW w:w="0" w:type="dxa"/>
            <w:vAlign w:val="bottom"/>
          </w:tcPr>
          <w:p>
            <w:pPr>
              <w:spacing w:after="0"/>
              <w:rPr>
                <w:sz w:val="1"/>
                <w:szCs w:val="1"/>
                <w:color w:val="auto"/>
              </w:rPr>
            </w:pPr>
          </w:p>
        </w:tc>
      </w:tr>
      <w:tr>
        <w:trPr>
          <w:trHeight w:val="144"/>
        </w:trPr>
        <w:tc>
          <w:tcPr>
            <w:tcW w:w="101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Directors’ fees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211,128</w:t>
            </w:r>
          </w:p>
        </w:tc>
        <w:tc>
          <w:tcPr>
            <w:tcW w:w="0" w:type="dxa"/>
            <w:vAlign w:val="bottom"/>
          </w:tcPr>
          <w:p>
            <w:pPr>
              <w:spacing w:after="0"/>
              <w:rPr>
                <w:sz w:val="1"/>
                <w:szCs w:val="1"/>
                <w:color w:val="auto"/>
              </w:rPr>
            </w:pPr>
          </w:p>
        </w:tc>
      </w:tr>
      <w:tr>
        <w:trPr>
          <w:trHeight w:val="144"/>
        </w:trPr>
        <w:tc>
          <w:tcPr>
            <w:tcW w:w="10160" w:type="dxa"/>
            <w:vAlign w:val="bottom"/>
          </w:tcPr>
          <w:p>
            <w:pPr>
              <w:ind w:left="280"/>
              <w:spacing w:after="0"/>
              <w:rPr>
                <w:sz w:val="20"/>
                <w:szCs w:val="20"/>
                <w:color w:val="auto"/>
              </w:rPr>
            </w:pPr>
            <w:r>
              <w:rPr>
                <w:rFonts w:ascii="Arial" w:cs="Arial" w:eastAsia="Arial" w:hAnsi="Arial"/>
                <w:sz w:val="12"/>
                <w:szCs w:val="12"/>
                <w:color w:val="auto"/>
              </w:rPr>
              <w:t>Organizational expenses</w:t>
            </w:r>
          </w:p>
        </w:tc>
        <w:tc>
          <w:tcPr>
            <w:tcW w:w="1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207,126</w:t>
            </w:r>
          </w:p>
        </w:tc>
        <w:tc>
          <w:tcPr>
            <w:tcW w:w="0" w:type="dxa"/>
            <w:vAlign w:val="bottom"/>
          </w:tcPr>
          <w:p>
            <w:pPr>
              <w:spacing w:after="0"/>
              <w:rPr>
                <w:sz w:val="1"/>
                <w:szCs w:val="1"/>
                <w:color w:val="auto"/>
              </w:rPr>
            </w:pPr>
          </w:p>
        </w:tc>
      </w:tr>
      <w:tr>
        <w:trPr>
          <w:trHeight w:val="144"/>
        </w:trPr>
        <w:tc>
          <w:tcPr>
            <w:tcW w:w="101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Insurance</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162,387</w:t>
            </w:r>
          </w:p>
        </w:tc>
        <w:tc>
          <w:tcPr>
            <w:tcW w:w="0" w:type="dxa"/>
            <w:vAlign w:val="bottom"/>
          </w:tcPr>
          <w:p>
            <w:pPr>
              <w:spacing w:after="0"/>
              <w:rPr>
                <w:sz w:val="1"/>
                <w:szCs w:val="1"/>
                <w:color w:val="auto"/>
              </w:rPr>
            </w:pPr>
          </w:p>
        </w:tc>
      </w:tr>
      <w:tr>
        <w:trPr>
          <w:trHeight w:val="144"/>
        </w:trPr>
        <w:tc>
          <w:tcPr>
            <w:tcW w:w="10160" w:type="dxa"/>
            <w:vAlign w:val="bottom"/>
          </w:tcPr>
          <w:p>
            <w:pPr>
              <w:ind w:left="280"/>
              <w:spacing w:after="0"/>
              <w:rPr>
                <w:sz w:val="20"/>
                <w:szCs w:val="20"/>
                <w:color w:val="auto"/>
              </w:rPr>
            </w:pPr>
            <w:r>
              <w:rPr>
                <w:rFonts w:ascii="Arial" w:cs="Arial" w:eastAsia="Arial" w:hAnsi="Arial"/>
                <w:sz w:val="12"/>
                <w:szCs w:val="12"/>
                <w:color w:val="auto"/>
              </w:rPr>
              <w:t>Other general and administrative expenses</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157,923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160" w:type="dxa"/>
            <w:vAlign w:val="bottom"/>
            <w:shd w:val="clear" w:color="auto" w:fill="CCEEFF"/>
          </w:tcPr>
          <w:p>
            <w:pPr>
              <w:ind w:left="560"/>
              <w:spacing w:after="0"/>
              <w:rPr>
                <w:sz w:val="20"/>
                <w:szCs w:val="20"/>
                <w:color w:val="auto"/>
              </w:rPr>
            </w:pPr>
            <w:r>
              <w:rPr>
                <w:rFonts w:ascii="Arial" w:cs="Arial" w:eastAsia="Arial" w:hAnsi="Arial"/>
                <w:sz w:val="12"/>
                <w:szCs w:val="12"/>
                <w:b w:val="1"/>
                <w:bCs w:val="1"/>
                <w:color w:val="auto"/>
              </w:rPr>
              <w:t>Expenses before management fee waiver and income tax</w:t>
            </w: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6,338,238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160" w:type="dxa"/>
            <w:vAlign w:val="bottom"/>
          </w:tcPr>
          <w:p>
            <w:pPr>
              <w:ind w:left="280"/>
              <w:spacing w:after="0"/>
              <w:rPr>
                <w:sz w:val="20"/>
                <w:szCs w:val="20"/>
                <w:color w:val="auto"/>
              </w:rPr>
            </w:pPr>
            <w:r>
              <w:rPr>
                <w:rFonts w:ascii="Arial" w:cs="Arial" w:eastAsia="Arial" w:hAnsi="Arial"/>
                <w:sz w:val="12"/>
                <w:szCs w:val="12"/>
                <w:color w:val="auto"/>
              </w:rPr>
              <w:t>Management fee waiver</w:t>
            </w:r>
          </w:p>
        </w:tc>
        <w:tc>
          <w:tcPr>
            <w:tcW w:w="16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(641,273)</w:t>
            </w:r>
          </w:p>
        </w:tc>
        <w:tc>
          <w:tcPr>
            <w:tcW w:w="0" w:type="dxa"/>
            <w:vAlign w:val="bottom"/>
          </w:tcPr>
          <w:p>
            <w:pPr>
              <w:spacing w:after="0"/>
              <w:rPr>
                <w:sz w:val="1"/>
                <w:szCs w:val="1"/>
                <w:color w:val="auto"/>
              </w:rPr>
            </w:pPr>
          </w:p>
        </w:tc>
      </w:tr>
      <w:tr>
        <w:trPr>
          <w:trHeight w:val="145"/>
        </w:trPr>
        <w:tc>
          <w:tcPr>
            <w:tcW w:w="101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Income tax</w:t>
            </w: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105,880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160" w:type="dxa"/>
            <w:vAlign w:val="bottom"/>
          </w:tcPr>
          <w:p>
            <w:pPr>
              <w:ind w:left="560"/>
              <w:spacing w:after="0"/>
              <w:rPr>
                <w:sz w:val="20"/>
                <w:szCs w:val="20"/>
                <w:color w:val="auto"/>
              </w:rPr>
            </w:pPr>
            <w:r>
              <w:rPr>
                <w:rFonts w:ascii="Arial" w:cs="Arial" w:eastAsia="Arial" w:hAnsi="Arial"/>
                <w:sz w:val="12"/>
                <w:szCs w:val="12"/>
                <w:b w:val="1"/>
                <w:bCs w:val="1"/>
                <w:color w:val="auto"/>
              </w:rPr>
              <w:t>Net expenses</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5,802,845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160" w:type="dxa"/>
            <w:vAlign w:val="bottom"/>
            <w:shd w:val="clear" w:color="auto" w:fill="CCEEFF"/>
          </w:tcPr>
          <w:p>
            <w:pPr>
              <w:ind w:left="560"/>
              <w:spacing w:after="0"/>
              <w:rPr>
                <w:sz w:val="20"/>
                <w:szCs w:val="20"/>
                <w:color w:val="auto"/>
              </w:rPr>
            </w:pPr>
            <w:r>
              <w:rPr>
                <w:rFonts w:ascii="Arial" w:cs="Arial" w:eastAsia="Arial" w:hAnsi="Arial"/>
                <w:sz w:val="12"/>
                <w:szCs w:val="12"/>
                <w:b w:val="1"/>
                <w:bCs w:val="1"/>
                <w:color w:val="auto"/>
              </w:rPr>
              <w:t>Net investment income</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7,304,496</w:t>
            </w:r>
          </w:p>
        </w:tc>
        <w:tc>
          <w:tcPr>
            <w:tcW w:w="0" w:type="dxa"/>
            <w:vAlign w:val="bottom"/>
          </w:tcPr>
          <w:p>
            <w:pPr>
              <w:spacing w:after="0"/>
              <w:rPr>
                <w:sz w:val="1"/>
                <w:szCs w:val="1"/>
                <w:color w:val="auto"/>
              </w:rPr>
            </w:pPr>
          </w:p>
        </w:tc>
      </w:tr>
      <w:tr>
        <w:trPr>
          <w:trHeight w:val="141"/>
        </w:trPr>
        <w:tc>
          <w:tcPr>
            <w:tcW w:w="10160" w:type="dxa"/>
            <w:vAlign w:val="bottom"/>
          </w:tcPr>
          <w:p>
            <w:pPr>
              <w:spacing w:after="0"/>
              <w:rPr>
                <w:sz w:val="20"/>
                <w:szCs w:val="20"/>
                <w:color w:val="auto"/>
              </w:rPr>
            </w:pPr>
            <w:r>
              <w:rPr>
                <w:rFonts w:ascii="Arial" w:cs="Arial" w:eastAsia="Arial" w:hAnsi="Arial"/>
                <w:sz w:val="12"/>
                <w:szCs w:val="12"/>
                <w:b w:val="1"/>
                <w:bCs w:val="1"/>
                <w:color w:val="auto"/>
              </w:rPr>
              <w:t>Realized and unrealized loss on investments and cash equivalents: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1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Net realized loss on investments and cash equivalents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(81,769)</w:t>
            </w:r>
          </w:p>
        </w:tc>
        <w:tc>
          <w:tcPr>
            <w:tcW w:w="0" w:type="dxa"/>
            <w:vAlign w:val="bottom"/>
          </w:tcPr>
          <w:p>
            <w:pPr>
              <w:spacing w:after="0"/>
              <w:rPr>
                <w:sz w:val="1"/>
                <w:szCs w:val="1"/>
                <w:color w:val="auto"/>
              </w:rPr>
            </w:pPr>
          </w:p>
        </w:tc>
      </w:tr>
      <w:tr>
        <w:trPr>
          <w:trHeight w:val="144"/>
        </w:trPr>
        <w:tc>
          <w:tcPr>
            <w:tcW w:w="10160" w:type="dxa"/>
            <w:vAlign w:val="bottom"/>
          </w:tcPr>
          <w:p>
            <w:pPr>
              <w:ind w:left="280"/>
              <w:spacing w:after="0"/>
              <w:rPr>
                <w:sz w:val="20"/>
                <w:szCs w:val="20"/>
                <w:color w:val="auto"/>
              </w:rPr>
            </w:pPr>
            <w:r>
              <w:rPr>
                <w:rFonts w:ascii="Arial" w:cs="Arial" w:eastAsia="Arial" w:hAnsi="Arial"/>
                <w:sz w:val="12"/>
                <w:szCs w:val="12"/>
                <w:color w:val="auto"/>
              </w:rPr>
              <w:t>Change in net unrealized depreciation on investments and cash equivalents</w:t>
            </w:r>
          </w:p>
        </w:tc>
        <w:tc>
          <w:tcPr>
            <w:tcW w:w="16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(23,921,978)</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160" w:type="dxa"/>
            <w:vAlign w:val="bottom"/>
            <w:shd w:val="clear" w:color="auto" w:fill="CCEEFF"/>
          </w:tcPr>
          <w:p>
            <w:pPr>
              <w:ind w:left="560"/>
              <w:spacing w:after="0"/>
              <w:rPr>
                <w:sz w:val="20"/>
                <w:szCs w:val="20"/>
                <w:color w:val="auto"/>
              </w:rPr>
            </w:pPr>
            <w:r>
              <w:rPr>
                <w:rFonts w:ascii="Arial" w:cs="Arial" w:eastAsia="Arial" w:hAnsi="Arial"/>
                <w:sz w:val="12"/>
                <w:szCs w:val="12"/>
                <w:b w:val="1"/>
                <w:bCs w:val="1"/>
                <w:color w:val="auto"/>
              </w:rPr>
              <w:t>Net realized and unrealized loss from investments and cash equivalents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(24,003,747)</w:t>
            </w:r>
          </w:p>
        </w:tc>
        <w:tc>
          <w:tcPr>
            <w:tcW w:w="0" w:type="dxa"/>
            <w:vAlign w:val="bottom"/>
          </w:tcPr>
          <w:p>
            <w:pPr>
              <w:spacing w:after="0"/>
              <w:rPr>
                <w:sz w:val="1"/>
                <w:szCs w:val="1"/>
                <w:color w:val="auto"/>
              </w:rPr>
            </w:pPr>
          </w:p>
        </w:tc>
      </w:tr>
      <w:tr>
        <w:trPr>
          <w:trHeight w:val="20"/>
        </w:trPr>
        <w:tc>
          <w:tcPr>
            <w:tcW w:w="10160" w:type="dxa"/>
            <w:vAlign w:val="bottom"/>
            <w:vMerge w:val="restart"/>
          </w:tcPr>
          <w:p>
            <w:pPr>
              <w:spacing w:after="0"/>
              <w:rPr>
                <w:sz w:val="20"/>
                <w:szCs w:val="20"/>
                <w:color w:val="auto"/>
              </w:rPr>
            </w:pPr>
            <w:r>
              <w:rPr>
                <w:rFonts w:ascii="Arial" w:cs="Arial" w:eastAsia="Arial" w:hAnsi="Arial"/>
                <w:sz w:val="12"/>
                <w:szCs w:val="12"/>
                <w:b w:val="1"/>
                <w:bCs w:val="1"/>
                <w:color w:val="auto"/>
              </w:rPr>
              <w:t>Net decrease in net assets resulting from operations</w:t>
            </w: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0160" w:type="dxa"/>
            <w:vAlign w:val="bottom"/>
            <w:vMerge w:val="continue"/>
          </w:tcPr>
          <w:p>
            <w:pPr>
              <w:spacing w:after="0"/>
              <w:rPr>
                <w:sz w:val="12"/>
                <w:szCs w:val="12"/>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(16,699,251)</w:t>
            </w:r>
          </w:p>
        </w:tc>
        <w:tc>
          <w:tcPr>
            <w:tcW w:w="0" w:type="dxa"/>
            <w:vAlign w:val="bottom"/>
          </w:tcPr>
          <w:p>
            <w:pPr>
              <w:spacing w:after="0"/>
              <w:rPr>
                <w:sz w:val="1"/>
                <w:szCs w:val="1"/>
                <w:color w:val="auto"/>
              </w:rPr>
            </w:pPr>
          </w:p>
        </w:tc>
      </w:tr>
      <w:tr>
        <w:trPr>
          <w:trHeight w:val="33"/>
        </w:trPr>
        <w:tc>
          <w:tcPr>
            <w:tcW w:w="10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0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per common share (See note 6)</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(0.80)</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300"/>
          </w:cols>
          <w:pgMar w:left="300" w:top="354" w:right="299"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left="1860"/>
        <w:spacing w:after="0"/>
        <w:rPr>
          <w:sz w:val="20"/>
          <w:szCs w:val="20"/>
          <w:color w:val="auto"/>
        </w:rPr>
      </w:pPr>
      <w:r>
        <w:rPr>
          <w:rFonts w:ascii="Arial" w:cs="Arial" w:eastAsia="Arial" w:hAnsi="Arial"/>
          <w:sz w:val="12"/>
          <w:szCs w:val="12"/>
          <w:b w:val="1"/>
          <w:bCs w:val="1"/>
          <w:color w:val="auto"/>
        </w:rPr>
        <w:t>PENNANTPARK INVESTMENT CORPORATION</w:t>
      </w:r>
    </w:p>
    <w:p>
      <w:pPr>
        <w:spacing w:after="0" w:line="12" w:lineRule="exact"/>
        <w:rPr>
          <w:sz w:val="20"/>
          <w:szCs w:val="20"/>
          <w:color w:val="auto"/>
        </w:rPr>
      </w:pPr>
    </w:p>
    <w:p>
      <w:pPr>
        <w:jc w:val="center"/>
        <w:ind w:left="1860"/>
        <w:spacing w:after="0"/>
        <w:rPr>
          <w:sz w:val="20"/>
          <w:szCs w:val="20"/>
          <w:color w:val="auto"/>
        </w:rPr>
      </w:pPr>
      <w:r>
        <w:rPr>
          <w:rFonts w:ascii="Arial" w:cs="Arial" w:eastAsia="Arial" w:hAnsi="Arial"/>
          <w:sz w:val="11"/>
          <w:szCs w:val="11"/>
          <w:b w:val="1"/>
          <w:bCs w:val="1"/>
          <w:color w:val="auto"/>
        </w:rPr>
        <w:t>CONSOLIDATED STATEMENT OF CHANGES IN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Decrease in net assets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78040" cy="914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2"/>
          <w:szCs w:val="12"/>
          <w:color w:val="auto"/>
        </w:rPr>
        <w:t>Net investment income</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realized loss on investments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178040" cy="91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2"/>
          <w:szCs w:val="12"/>
          <w:color w:val="auto"/>
        </w:rPr>
        <w:t>Net change in unrealized depreciation on investments and cash equivalents</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78040" cy="914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 and distributions:</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Dividends from 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178040" cy="914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2"/>
          <w:szCs w:val="12"/>
          <w:color w:val="auto"/>
        </w:rPr>
        <w:t>Return of capital</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78040" cy="914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 share transactions:</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Issuance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178040" cy="914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2"/>
          <w:szCs w:val="12"/>
          <w:color w:val="auto"/>
        </w:rPr>
        <w:t>Offering costs related to public share offerings</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Reinvestment of dividends (43,772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178040" cy="914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2"/>
          <w:szCs w:val="12"/>
          <w:b w:val="1"/>
          <w:bCs w:val="1"/>
          <w:color w:val="auto"/>
        </w:rPr>
        <w:t>Net increase in net assets resulting from capital share transactions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increase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78040" cy="914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Net Assets:</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178040" cy="914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2"/>
          <w:szCs w:val="12"/>
          <w:color w:val="auto"/>
        </w:rPr>
        <w:t>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1860"/>
        <w:spacing w:after="0"/>
        <w:rPr>
          <w:sz w:val="20"/>
          <w:szCs w:val="20"/>
          <w:color w:val="auto"/>
        </w:rPr>
      </w:pPr>
      <w:r>
        <w:rPr>
          <w:rFonts w:ascii="Arial" w:cs="Arial" w:eastAsia="Arial" w:hAnsi="Arial"/>
          <w:sz w:val="12"/>
          <w:szCs w:val="12"/>
          <w:color w:val="auto"/>
        </w:rPr>
        <w:t>SEE NOTES TO CONSOLIDATED FINANCIAL STATEMENTS</w:t>
      </w:r>
    </w:p>
    <w:p>
      <w:pPr>
        <w:spacing w:after="0" w:line="105" w:lineRule="exact"/>
        <w:rPr>
          <w:sz w:val="20"/>
          <w:szCs w:val="20"/>
          <w:color w:val="auto"/>
        </w:rPr>
      </w:pPr>
    </w:p>
    <w:p>
      <w:pPr>
        <w:jc w:val="center"/>
        <w:ind w:left="1860"/>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9"/>
          <w:szCs w:val="9"/>
          <w:b w:val="1"/>
          <w:bCs w:val="1"/>
          <w:color w:val="auto"/>
        </w:rPr>
        <w:t>Period from</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9"/>
          <w:szCs w:val="9"/>
          <w:b w:val="1"/>
          <w:bCs w:val="1"/>
          <w:color w:val="auto"/>
        </w:rPr>
        <w:t>January 11,</w:t>
      </w:r>
    </w:p>
    <w:p>
      <w:pPr>
        <w:jc w:val="center"/>
        <w:ind w:right="40"/>
        <w:spacing w:after="0" w:line="229" w:lineRule="auto"/>
        <w:rPr>
          <w:sz w:val="20"/>
          <w:szCs w:val="20"/>
          <w:color w:val="auto"/>
        </w:rPr>
      </w:pPr>
      <w:r>
        <w:rPr>
          <w:rFonts w:ascii="Arial" w:cs="Arial" w:eastAsia="Arial" w:hAnsi="Arial"/>
          <w:sz w:val="9"/>
          <w:szCs w:val="9"/>
          <w:b w:val="1"/>
          <w:bCs w:val="1"/>
          <w:color w:val="auto"/>
        </w:rPr>
        <w:t>2007</w:t>
      </w:r>
    </w:p>
    <w:p>
      <w:pPr>
        <w:jc w:val="center"/>
        <w:ind w:right="40"/>
        <w:spacing w:after="0" w:line="230" w:lineRule="auto"/>
        <w:rPr>
          <w:sz w:val="20"/>
          <w:szCs w:val="20"/>
          <w:color w:val="auto"/>
        </w:rPr>
      </w:pPr>
      <w:r>
        <w:rPr>
          <w:rFonts w:ascii="Arial" w:cs="Arial" w:eastAsia="Arial" w:hAnsi="Arial"/>
          <w:sz w:val="9"/>
          <w:szCs w:val="9"/>
          <w:b w:val="1"/>
          <w:bCs w:val="1"/>
          <w:color w:val="auto"/>
        </w:rPr>
        <w:t>(inception)</w:t>
      </w:r>
    </w:p>
    <w:p>
      <w:pPr>
        <w:jc w:val="center"/>
        <w:ind w:right="40"/>
        <w:spacing w:after="0" w:line="229" w:lineRule="auto"/>
        <w:rPr>
          <w:sz w:val="20"/>
          <w:szCs w:val="20"/>
          <w:color w:val="auto"/>
        </w:rPr>
      </w:pPr>
      <w:r>
        <w:rPr>
          <w:rFonts w:ascii="Arial" w:cs="Arial" w:eastAsia="Arial" w:hAnsi="Arial"/>
          <w:sz w:val="9"/>
          <w:szCs w:val="9"/>
          <w:b w:val="1"/>
          <w:bCs w:val="1"/>
          <w:color w:val="auto"/>
        </w:rPr>
        <w:t>through</w:t>
      </w:r>
    </w:p>
    <w:p>
      <w:pPr>
        <w:jc w:val="center"/>
        <w:ind w:right="40"/>
        <w:spacing w:after="0" w:line="230" w:lineRule="auto"/>
        <w:rPr>
          <w:sz w:val="20"/>
          <w:szCs w:val="20"/>
          <w:color w:val="auto"/>
        </w:rPr>
      </w:pPr>
      <w:r>
        <w:rPr>
          <w:rFonts w:ascii="Arial" w:cs="Arial" w:eastAsia="Arial" w:hAnsi="Arial"/>
          <w:sz w:val="9"/>
          <w:szCs w:val="9"/>
          <w:b w:val="1"/>
          <w:bCs w:val="1"/>
          <w:color w:val="auto"/>
        </w:rPr>
        <w:t>September 30,</w:t>
      </w:r>
    </w:p>
    <w:p>
      <w:pPr>
        <w:jc w:val="center"/>
        <w:ind w:right="40"/>
        <w:spacing w:after="0"/>
        <w:rPr>
          <w:sz w:val="20"/>
          <w:szCs w:val="20"/>
          <w:color w:val="auto"/>
        </w:rPr>
      </w:pPr>
      <w:r>
        <w:rPr>
          <w:rFonts w:ascii="Arial" w:cs="Arial" w:eastAsia="Arial" w:hAnsi="Arial"/>
          <w:sz w:val="9"/>
          <w:szCs w:val="9"/>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66865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8655" cy="5715"/>
                    </a:xfrm>
                    <a:prstGeom prst="rect">
                      <a:avLst/>
                    </a:prstGeom>
                    <a:noFill/>
                  </pic:spPr>
                </pic:pic>
              </a:graphicData>
            </a:graphic>
          </wp:anchor>
        </w:drawing>
      </w:r>
    </w:p>
    <w:p>
      <w:pPr>
        <w:spacing w:after="0" w:line="130" w:lineRule="exact"/>
        <w:rPr>
          <w:sz w:val="20"/>
          <w:szCs w:val="20"/>
          <w:color w:val="auto"/>
        </w:rPr>
      </w:pPr>
    </w:p>
    <w:p>
      <w:pPr>
        <w:ind w:left="580" w:hanging="578"/>
        <w:spacing w:after="0"/>
        <w:tabs>
          <w:tab w:leader="none" w:pos="580" w:val="left"/>
        </w:tabs>
        <w:numPr>
          <w:ilvl w:val="0"/>
          <w:numId w:val="29"/>
        </w:numPr>
        <w:rPr>
          <w:rFonts w:ascii="Arial" w:cs="Arial" w:eastAsia="Arial" w:hAnsi="Arial"/>
          <w:sz w:val="11"/>
          <w:szCs w:val="11"/>
          <w:color w:val="auto"/>
        </w:rPr>
      </w:pPr>
      <w:r>
        <w:rPr>
          <w:rFonts w:ascii="Arial" w:cs="Arial" w:eastAsia="Arial" w:hAnsi="Arial"/>
          <w:sz w:val="11"/>
          <w:szCs w:val="11"/>
          <w:color w:val="auto"/>
        </w:rPr>
        <w:t>7,304,496</w:t>
      </w:r>
    </w:p>
    <w:p>
      <w:pPr>
        <w:spacing w:after="0" w:line="21" w:lineRule="exact"/>
        <w:rPr>
          <w:rFonts w:ascii="Arial" w:cs="Arial" w:eastAsia="Arial" w:hAnsi="Arial"/>
          <w:sz w:val="11"/>
          <w:szCs w:val="11"/>
          <w:color w:val="auto"/>
        </w:rPr>
      </w:pPr>
    </w:p>
    <w:p>
      <w:pPr>
        <w:ind w:left="700"/>
        <w:spacing w:after="0"/>
        <w:rPr>
          <w:rFonts w:ascii="Arial" w:cs="Arial" w:eastAsia="Arial" w:hAnsi="Arial"/>
          <w:sz w:val="11"/>
          <w:szCs w:val="11"/>
          <w:color w:val="auto"/>
        </w:rPr>
      </w:pPr>
      <w:r>
        <w:rPr>
          <w:rFonts w:ascii="Arial" w:cs="Arial" w:eastAsia="Arial" w:hAnsi="Arial"/>
          <w:sz w:val="9"/>
          <w:szCs w:val="9"/>
          <w:color w:val="auto"/>
        </w:rPr>
        <w:t>(81,769)</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(23,921,978)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66865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8655" cy="57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2"/>
          <w:szCs w:val="12"/>
          <w:color w:val="auto"/>
        </w:rPr>
        <w:t>(16,699,251)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6865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8655" cy="5715"/>
                    </a:xfrm>
                    <a:prstGeom prst="rect">
                      <a:avLst/>
                    </a:prstGeom>
                    <a:noFill/>
                  </pic:spPr>
                </pic:pic>
              </a:graphicData>
            </a:graphic>
          </wp:anchor>
        </w:drawing>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(7,545,458)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(28,356)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66865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8655" cy="57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2"/>
          <w:szCs w:val="12"/>
          <w:color w:val="auto"/>
        </w:rPr>
        <w:t>(7,573,814)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6865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8655" cy="5715"/>
                    </a:xfrm>
                    <a:prstGeom prst="rect">
                      <a:avLst/>
                    </a:prstGeom>
                    <a:noFill/>
                  </pic:spPr>
                </pic:pic>
              </a:graphicData>
            </a:graphic>
          </wp:anchor>
        </w:drawing>
      </w:r>
    </w:p>
    <w:p>
      <w:pPr>
        <w:spacing w:after="0" w:line="148"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315,375,000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(21,309,375)</w:t>
      </w:r>
    </w:p>
    <w:p>
      <w:pPr>
        <w:spacing w:after="0" w:line="6"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600,534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66865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8655" cy="57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1"/>
          <w:szCs w:val="11"/>
          <w:color w:val="auto"/>
        </w:rPr>
        <w:t>294,666,159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66865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8655" cy="571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1"/>
          <w:szCs w:val="11"/>
          <w:color w:val="auto"/>
        </w:rPr>
        <w:t>270,393,094</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6865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8655" cy="5715"/>
                    </a:xfrm>
                    <a:prstGeom prst="rect">
                      <a:avLst/>
                    </a:prstGeom>
                    <a:noFill/>
                  </pic:spPr>
                </pic:pic>
              </a:graphicData>
            </a:graphic>
          </wp:anchor>
        </w:drawing>
      </w:r>
    </w:p>
    <w:p>
      <w:pPr>
        <w:spacing w:after="0" w:line="4" w:lineRule="exact"/>
        <w:rPr>
          <w:sz w:val="20"/>
          <w:szCs w:val="20"/>
          <w:color w:val="auto"/>
        </w:rPr>
      </w:pPr>
    </w:p>
    <w:p>
      <w:pPr>
        <w:ind w:left="480" w:hanging="478"/>
        <w:spacing w:after="0"/>
        <w:tabs>
          <w:tab w:leader="none" w:pos="480" w:val="left"/>
        </w:tabs>
        <w:numPr>
          <w:ilvl w:val="0"/>
          <w:numId w:val="30"/>
        </w:numPr>
        <w:rPr>
          <w:rFonts w:ascii="Arial" w:cs="Arial" w:eastAsia="Arial" w:hAnsi="Arial"/>
          <w:sz w:val="11"/>
          <w:szCs w:val="11"/>
          <w:color w:val="auto"/>
        </w:rPr>
      </w:pPr>
      <w:r>
        <w:rPr>
          <w:rFonts w:ascii="Arial" w:cs="Arial" w:eastAsia="Arial" w:hAnsi="Arial"/>
          <w:sz w:val="11"/>
          <w:szCs w:val="11"/>
          <w:color w:val="auto"/>
        </w:rPr>
        <w:t>270,393,094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66865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8655"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26670</wp:posOffset>
            </wp:positionV>
            <wp:extent cx="66865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8655" cy="5715"/>
                    </a:xfrm>
                    <a:prstGeom prst="rect">
                      <a:avLst/>
                    </a:prstGeom>
                    <a:noFill/>
                  </pic:spPr>
                </pic:pic>
              </a:graphicData>
            </a:graphic>
          </wp:anchor>
        </w:drawing>
      </w:r>
    </w:p>
    <w:p>
      <w:pPr>
        <w:sectPr>
          <w:pgSz w:w="11900" w:h="16838" w:orient="portrait"/>
          <w:cols w:equalWidth="0" w:num="2">
            <w:col w:w="9440" w:space="720"/>
            <w:col w:w="1100"/>
          </w:cols>
          <w:pgMar w:left="300" w:top="354" w:right="339"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PENNANTPARK INVESTMENT CORPORATION</w:t>
      </w:r>
    </w:p>
    <w:p>
      <w:pPr>
        <w:spacing w:after="0" w:line="12" w:lineRule="exact"/>
        <w:rPr>
          <w:sz w:val="20"/>
          <w:szCs w:val="20"/>
          <w:color w:val="auto"/>
        </w:rPr>
      </w:pPr>
    </w:p>
    <w:p>
      <w:pPr>
        <w:ind w:left="4300"/>
        <w:spacing w:after="0"/>
        <w:rPr>
          <w:sz w:val="20"/>
          <w:szCs w:val="20"/>
          <w:color w:val="auto"/>
        </w:rPr>
      </w:pPr>
      <w:r>
        <w:rPr>
          <w:rFonts w:ascii="Arial" w:cs="Arial" w:eastAsia="Arial" w:hAnsi="Arial"/>
          <w:sz w:val="12"/>
          <w:szCs w:val="12"/>
          <w:b w:val="1"/>
          <w:bCs w:val="1"/>
          <w:color w:val="auto"/>
        </w:rPr>
        <w:t>CONSOLIDATED STATEMENT OF CASH FLOWS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0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Period from</w:t>
            </w:r>
          </w:p>
        </w:tc>
      </w:tr>
      <w:tr>
        <w:trPr>
          <w:trHeight w:val="99"/>
        </w:trPr>
        <w:tc>
          <w:tcPr>
            <w:tcW w:w="10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92"/>
              </w:rPr>
              <w:t>January 11,</w:t>
            </w:r>
          </w:p>
        </w:tc>
      </w:tr>
      <w:tr>
        <w:trPr>
          <w:trHeight w:val="99"/>
        </w:trPr>
        <w:tc>
          <w:tcPr>
            <w:tcW w:w="10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right="104"/>
              <w:spacing w:after="0" w:line="99" w:lineRule="exact"/>
              <w:rPr>
                <w:sz w:val="20"/>
                <w:szCs w:val="20"/>
                <w:color w:val="auto"/>
              </w:rPr>
            </w:pPr>
            <w:r>
              <w:rPr>
                <w:rFonts w:ascii="Arial" w:cs="Arial" w:eastAsia="Arial" w:hAnsi="Arial"/>
                <w:sz w:val="9"/>
                <w:szCs w:val="9"/>
                <w:b w:val="1"/>
                <w:bCs w:val="1"/>
                <w:color w:val="auto"/>
                <w:w w:val="89"/>
              </w:rPr>
              <w:t>2007</w:t>
            </w:r>
          </w:p>
        </w:tc>
        <w:tc>
          <w:tcPr>
            <w:tcW w:w="80" w:type="dxa"/>
            <w:vAlign w:val="bottom"/>
          </w:tcPr>
          <w:p>
            <w:pPr>
              <w:spacing w:after="0"/>
              <w:rPr>
                <w:sz w:val="8"/>
                <w:szCs w:val="8"/>
                <w:color w:val="auto"/>
              </w:rPr>
            </w:pPr>
          </w:p>
        </w:tc>
      </w:tr>
      <w:tr>
        <w:trPr>
          <w:trHeight w:val="99"/>
        </w:trPr>
        <w:tc>
          <w:tcPr>
            <w:tcW w:w="10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91"/>
              </w:rPr>
              <w:t>(inception)</w:t>
            </w:r>
          </w:p>
        </w:tc>
      </w:tr>
      <w:tr>
        <w:trPr>
          <w:trHeight w:val="99"/>
        </w:trPr>
        <w:tc>
          <w:tcPr>
            <w:tcW w:w="10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88"/>
              </w:rPr>
              <w:t>through</w:t>
            </w:r>
          </w:p>
        </w:tc>
      </w:tr>
      <w:tr>
        <w:trPr>
          <w:trHeight w:val="99"/>
        </w:trPr>
        <w:tc>
          <w:tcPr>
            <w:tcW w:w="10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87"/>
              </w:rPr>
              <w:t>September 30,</w:t>
            </w:r>
          </w:p>
        </w:tc>
      </w:tr>
      <w:tr>
        <w:trPr>
          <w:trHeight w:val="117"/>
        </w:trPr>
        <w:tc>
          <w:tcPr>
            <w:tcW w:w="10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104"/>
              <w:spacing w:after="0"/>
              <w:rPr>
                <w:sz w:val="20"/>
                <w:szCs w:val="20"/>
                <w:color w:val="auto"/>
              </w:rPr>
            </w:pPr>
            <w:r>
              <w:rPr>
                <w:rFonts w:ascii="Arial" w:cs="Arial" w:eastAsia="Arial" w:hAnsi="Arial"/>
                <w:sz w:val="9"/>
                <w:szCs w:val="9"/>
                <w:b w:val="1"/>
                <w:bCs w:val="1"/>
                <w:color w:val="auto"/>
                <w:w w:val="89"/>
              </w:rPr>
              <w:t>2007</w:t>
            </w:r>
          </w:p>
        </w:tc>
        <w:tc>
          <w:tcPr>
            <w:tcW w:w="80" w:type="dxa"/>
            <w:vAlign w:val="bottom"/>
          </w:tcPr>
          <w:p>
            <w:pPr>
              <w:spacing w:after="0"/>
              <w:rPr>
                <w:sz w:val="10"/>
                <w:szCs w:val="10"/>
                <w:color w:val="auto"/>
              </w:rPr>
            </w:pPr>
          </w:p>
        </w:tc>
      </w:tr>
      <w:tr>
        <w:trPr>
          <w:trHeight w:val="133"/>
        </w:trPr>
        <w:tc>
          <w:tcPr>
            <w:tcW w:w="1016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Cash flows from operating activities:</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10160" w:type="dxa"/>
            <w:vAlign w:val="bottom"/>
          </w:tcPr>
          <w:p>
            <w:pPr>
              <w:ind w:left="280"/>
              <w:spacing w:after="0"/>
              <w:rPr>
                <w:sz w:val="20"/>
                <w:szCs w:val="20"/>
                <w:color w:val="auto"/>
              </w:rPr>
            </w:pPr>
            <w:r>
              <w:rPr>
                <w:rFonts w:ascii="Arial" w:cs="Arial" w:eastAsia="Arial" w:hAnsi="Arial"/>
                <w:sz w:val="12"/>
                <w:szCs w:val="12"/>
                <w:color w:val="auto"/>
              </w:rPr>
              <w:t>Net decrease in net assets resulting from operations</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(16,699,251)</w:t>
            </w:r>
          </w:p>
        </w:tc>
      </w:tr>
      <w:tr>
        <w:trPr>
          <w:trHeight w:val="144"/>
        </w:trPr>
        <w:tc>
          <w:tcPr>
            <w:tcW w:w="101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Adjustments to reconcile net decrease in net assets resulting from operations to net cash used by operating activities: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10160" w:type="dxa"/>
            <w:vAlign w:val="bottom"/>
          </w:tcPr>
          <w:p>
            <w:pPr>
              <w:ind w:left="560"/>
              <w:spacing w:after="0"/>
              <w:rPr>
                <w:sz w:val="20"/>
                <w:szCs w:val="20"/>
                <w:color w:val="auto"/>
              </w:rPr>
            </w:pPr>
            <w:r>
              <w:rPr>
                <w:rFonts w:ascii="Arial" w:cs="Arial" w:eastAsia="Arial" w:hAnsi="Arial"/>
                <w:sz w:val="12"/>
                <w:szCs w:val="12"/>
                <w:color w:val="auto"/>
              </w:rPr>
              <w:t>Change in net unrealized depreciation on investments and cash equivalents</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23,921,978</w:t>
            </w:r>
          </w:p>
        </w:tc>
        <w:tc>
          <w:tcPr>
            <w:tcW w:w="80" w:type="dxa"/>
            <w:vAlign w:val="bottom"/>
          </w:tcPr>
          <w:p>
            <w:pPr>
              <w:spacing w:after="0"/>
              <w:rPr>
                <w:sz w:val="12"/>
                <w:szCs w:val="12"/>
                <w:color w:val="auto"/>
              </w:rPr>
            </w:pPr>
          </w:p>
        </w:tc>
      </w:tr>
      <w:tr>
        <w:trPr>
          <w:trHeight w:val="144"/>
        </w:trPr>
        <w:tc>
          <w:tcPr>
            <w:tcW w:w="101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Net realized loss on investments and cash equivalents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81,769</w:t>
            </w:r>
          </w:p>
        </w:tc>
        <w:tc>
          <w:tcPr>
            <w:tcW w:w="80" w:type="dxa"/>
            <w:vAlign w:val="bottom"/>
            <w:shd w:val="clear" w:color="auto" w:fill="CCEEFF"/>
          </w:tcPr>
          <w:p>
            <w:pPr>
              <w:spacing w:after="0"/>
              <w:rPr>
                <w:sz w:val="12"/>
                <w:szCs w:val="12"/>
                <w:color w:val="auto"/>
              </w:rPr>
            </w:pPr>
          </w:p>
        </w:tc>
      </w:tr>
      <w:tr>
        <w:trPr>
          <w:trHeight w:val="144"/>
        </w:trPr>
        <w:tc>
          <w:tcPr>
            <w:tcW w:w="10160" w:type="dxa"/>
            <w:vAlign w:val="bottom"/>
          </w:tcPr>
          <w:p>
            <w:pPr>
              <w:ind w:left="560"/>
              <w:spacing w:after="0"/>
              <w:rPr>
                <w:sz w:val="20"/>
                <w:szCs w:val="20"/>
                <w:color w:val="auto"/>
              </w:rPr>
            </w:pPr>
            <w:r>
              <w:rPr>
                <w:rFonts w:ascii="Arial" w:cs="Arial" w:eastAsia="Arial" w:hAnsi="Arial"/>
                <w:sz w:val="12"/>
                <w:szCs w:val="12"/>
                <w:color w:val="auto"/>
              </w:rPr>
              <w:t>Net accretion of discount and amortization of premium</w:t>
            </w:r>
          </w:p>
        </w:tc>
        <w:tc>
          <w:tcPr>
            <w:tcW w:w="16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(15,875)</w:t>
            </w:r>
          </w:p>
        </w:tc>
      </w:tr>
      <w:tr>
        <w:trPr>
          <w:trHeight w:val="144"/>
        </w:trPr>
        <w:tc>
          <w:tcPr>
            <w:tcW w:w="101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Purchase of investments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(414,640,441)</w:t>
            </w:r>
          </w:p>
        </w:tc>
      </w:tr>
      <w:tr>
        <w:trPr>
          <w:trHeight w:val="144"/>
        </w:trPr>
        <w:tc>
          <w:tcPr>
            <w:tcW w:w="10160" w:type="dxa"/>
            <w:vAlign w:val="bottom"/>
          </w:tcPr>
          <w:p>
            <w:pPr>
              <w:ind w:left="560"/>
              <w:spacing w:after="0"/>
              <w:rPr>
                <w:sz w:val="20"/>
                <w:szCs w:val="20"/>
                <w:color w:val="auto"/>
              </w:rPr>
            </w:pPr>
            <w:r>
              <w:rPr>
                <w:rFonts w:ascii="Arial" w:cs="Arial" w:eastAsia="Arial" w:hAnsi="Arial"/>
                <w:sz w:val="12"/>
                <w:szCs w:val="12"/>
                <w:color w:val="auto"/>
              </w:rPr>
              <w:t>Proceeds from disposition of investments</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99,635,961</w:t>
            </w:r>
          </w:p>
        </w:tc>
        <w:tc>
          <w:tcPr>
            <w:tcW w:w="80" w:type="dxa"/>
            <w:vAlign w:val="bottom"/>
          </w:tcPr>
          <w:p>
            <w:pPr>
              <w:spacing w:after="0"/>
              <w:rPr>
                <w:sz w:val="12"/>
                <w:szCs w:val="12"/>
                <w:color w:val="auto"/>
              </w:rPr>
            </w:pPr>
          </w:p>
        </w:tc>
      </w:tr>
      <w:tr>
        <w:trPr>
          <w:trHeight w:val="144"/>
        </w:trPr>
        <w:tc>
          <w:tcPr>
            <w:tcW w:w="101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Increase in interest receivable</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(4,517,850)</w:t>
            </w:r>
          </w:p>
        </w:tc>
      </w:tr>
      <w:tr>
        <w:trPr>
          <w:trHeight w:val="144"/>
        </w:trPr>
        <w:tc>
          <w:tcPr>
            <w:tcW w:w="10160" w:type="dxa"/>
            <w:vAlign w:val="bottom"/>
          </w:tcPr>
          <w:p>
            <w:pPr>
              <w:ind w:left="560"/>
              <w:spacing w:after="0"/>
              <w:rPr>
                <w:sz w:val="20"/>
                <w:szCs w:val="20"/>
                <w:color w:val="auto"/>
              </w:rPr>
            </w:pPr>
            <w:r>
              <w:rPr>
                <w:rFonts w:ascii="Arial" w:cs="Arial" w:eastAsia="Arial" w:hAnsi="Arial"/>
                <w:sz w:val="12"/>
                <w:szCs w:val="12"/>
                <w:color w:val="auto"/>
              </w:rPr>
              <w:t>Increase in prepaid expenses and other assets</w:t>
            </w:r>
          </w:p>
        </w:tc>
        <w:tc>
          <w:tcPr>
            <w:tcW w:w="16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(252,287)</w:t>
            </w:r>
          </w:p>
        </w:tc>
      </w:tr>
      <w:tr>
        <w:trPr>
          <w:trHeight w:val="144"/>
        </w:trPr>
        <w:tc>
          <w:tcPr>
            <w:tcW w:w="101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Increase in payables for cash equivalents purchased</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252,759,931</w:t>
            </w:r>
          </w:p>
        </w:tc>
        <w:tc>
          <w:tcPr>
            <w:tcW w:w="80" w:type="dxa"/>
            <w:vAlign w:val="bottom"/>
            <w:shd w:val="clear" w:color="auto" w:fill="CCEEFF"/>
          </w:tcPr>
          <w:p>
            <w:pPr>
              <w:spacing w:after="0"/>
              <w:rPr>
                <w:sz w:val="12"/>
                <w:szCs w:val="12"/>
                <w:color w:val="auto"/>
              </w:rPr>
            </w:pPr>
          </w:p>
        </w:tc>
      </w:tr>
      <w:tr>
        <w:trPr>
          <w:trHeight w:val="144"/>
        </w:trPr>
        <w:tc>
          <w:tcPr>
            <w:tcW w:w="10160" w:type="dxa"/>
            <w:vAlign w:val="bottom"/>
          </w:tcPr>
          <w:p>
            <w:pPr>
              <w:ind w:left="560"/>
              <w:spacing w:after="0"/>
              <w:rPr>
                <w:sz w:val="20"/>
                <w:szCs w:val="20"/>
                <w:color w:val="auto"/>
              </w:rPr>
            </w:pPr>
            <w:r>
              <w:rPr>
                <w:rFonts w:ascii="Arial" w:cs="Arial" w:eastAsia="Arial" w:hAnsi="Arial"/>
                <w:sz w:val="12"/>
                <w:szCs w:val="12"/>
                <w:color w:val="auto"/>
              </w:rPr>
              <w:t>Increase in payables for investments purchased</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16,583,921</w:t>
            </w:r>
          </w:p>
        </w:tc>
        <w:tc>
          <w:tcPr>
            <w:tcW w:w="80" w:type="dxa"/>
            <w:vAlign w:val="bottom"/>
          </w:tcPr>
          <w:p>
            <w:pPr>
              <w:spacing w:after="0"/>
              <w:rPr>
                <w:sz w:val="12"/>
                <w:szCs w:val="12"/>
                <w:color w:val="auto"/>
              </w:rPr>
            </w:pPr>
          </w:p>
        </w:tc>
      </w:tr>
      <w:tr>
        <w:trPr>
          <w:trHeight w:val="144"/>
        </w:trPr>
        <w:tc>
          <w:tcPr>
            <w:tcW w:w="101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Increase in unfunded investments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3,989,948</w:t>
            </w:r>
          </w:p>
        </w:tc>
        <w:tc>
          <w:tcPr>
            <w:tcW w:w="80" w:type="dxa"/>
            <w:vAlign w:val="bottom"/>
            <w:shd w:val="clear" w:color="auto" w:fill="CCEEFF"/>
          </w:tcPr>
          <w:p>
            <w:pPr>
              <w:spacing w:after="0"/>
              <w:rPr>
                <w:sz w:val="12"/>
                <w:szCs w:val="12"/>
                <w:color w:val="auto"/>
              </w:rPr>
            </w:pPr>
          </w:p>
        </w:tc>
      </w:tr>
      <w:tr>
        <w:trPr>
          <w:trHeight w:val="144"/>
        </w:trPr>
        <w:tc>
          <w:tcPr>
            <w:tcW w:w="10160" w:type="dxa"/>
            <w:vAlign w:val="bottom"/>
          </w:tcPr>
          <w:p>
            <w:pPr>
              <w:ind w:left="560"/>
              <w:spacing w:after="0"/>
              <w:rPr>
                <w:sz w:val="20"/>
                <w:szCs w:val="20"/>
                <w:color w:val="auto"/>
              </w:rPr>
            </w:pPr>
            <w:r>
              <w:rPr>
                <w:rFonts w:ascii="Arial" w:cs="Arial" w:eastAsia="Arial" w:hAnsi="Arial"/>
                <w:sz w:val="12"/>
                <w:szCs w:val="12"/>
                <w:color w:val="auto"/>
              </w:rPr>
              <w:t>Increase in accrued expenses</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1,280,782</w:t>
            </w:r>
          </w:p>
        </w:tc>
        <w:tc>
          <w:tcPr>
            <w:tcW w:w="80" w:type="dxa"/>
            <w:vAlign w:val="bottom"/>
          </w:tcPr>
          <w:p>
            <w:pPr>
              <w:spacing w:after="0"/>
              <w:rPr>
                <w:sz w:val="12"/>
                <w:szCs w:val="12"/>
                <w:color w:val="auto"/>
              </w:rPr>
            </w:pPr>
          </w:p>
        </w:tc>
      </w:tr>
      <w:tr>
        <w:trPr>
          <w:trHeight w:val="142"/>
        </w:trPr>
        <w:tc>
          <w:tcPr>
            <w:tcW w:w="10160" w:type="dxa"/>
            <w:vAlign w:val="bottom"/>
            <w:shd w:val="clear" w:color="auto" w:fill="CCEEFF"/>
          </w:tcPr>
          <w:p>
            <w:pPr>
              <w:ind w:left="860"/>
              <w:spacing w:after="0"/>
              <w:rPr>
                <w:sz w:val="20"/>
                <w:szCs w:val="20"/>
                <w:color w:val="auto"/>
              </w:rPr>
            </w:pPr>
            <w:r>
              <w:rPr>
                <w:rFonts w:ascii="Arial" w:cs="Arial" w:eastAsia="Arial" w:hAnsi="Arial"/>
                <w:sz w:val="12"/>
                <w:szCs w:val="12"/>
                <w:color w:val="auto"/>
              </w:rPr>
              <w:t>Net cash used by operating activities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(37,871,414)</w:t>
            </w:r>
          </w:p>
        </w:tc>
      </w:tr>
      <w:tr>
        <w:trPr>
          <w:trHeight w:val="141"/>
        </w:trPr>
        <w:tc>
          <w:tcPr>
            <w:tcW w:w="1016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01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Issuance of shares of common stock</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315,375,000</w:t>
            </w:r>
          </w:p>
        </w:tc>
        <w:tc>
          <w:tcPr>
            <w:tcW w:w="80" w:type="dxa"/>
            <w:vAlign w:val="bottom"/>
            <w:shd w:val="clear" w:color="auto" w:fill="CCEEFF"/>
          </w:tcPr>
          <w:p>
            <w:pPr>
              <w:spacing w:after="0"/>
              <w:rPr>
                <w:sz w:val="12"/>
                <w:szCs w:val="12"/>
                <w:color w:val="auto"/>
              </w:rPr>
            </w:pPr>
          </w:p>
        </w:tc>
      </w:tr>
      <w:tr>
        <w:trPr>
          <w:trHeight w:val="144"/>
        </w:trPr>
        <w:tc>
          <w:tcPr>
            <w:tcW w:w="10160" w:type="dxa"/>
            <w:vAlign w:val="bottom"/>
          </w:tcPr>
          <w:p>
            <w:pPr>
              <w:ind w:left="560"/>
              <w:spacing w:after="0"/>
              <w:rPr>
                <w:sz w:val="20"/>
                <w:szCs w:val="20"/>
                <w:color w:val="auto"/>
              </w:rPr>
            </w:pPr>
            <w:r>
              <w:rPr>
                <w:rFonts w:ascii="Arial" w:cs="Arial" w:eastAsia="Arial" w:hAnsi="Arial"/>
                <w:sz w:val="12"/>
                <w:szCs w:val="12"/>
                <w:color w:val="auto"/>
              </w:rPr>
              <w:t>Offering costs</w:t>
            </w:r>
          </w:p>
        </w:tc>
        <w:tc>
          <w:tcPr>
            <w:tcW w:w="16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(21,309,375)</w:t>
            </w:r>
          </w:p>
        </w:tc>
      </w:tr>
      <w:tr>
        <w:trPr>
          <w:trHeight w:val="144"/>
        </w:trPr>
        <w:tc>
          <w:tcPr>
            <w:tcW w:w="101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Capitalized borrowing costs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(1,261,296)</w:t>
            </w:r>
          </w:p>
        </w:tc>
      </w:tr>
      <w:tr>
        <w:trPr>
          <w:trHeight w:val="144"/>
        </w:trPr>
        <w:tc>
          <w:tcPr>
            <w:tcW w:w="10160" w:type="dxa"/>
            <w:vAlign w:val="bottom"/>
          </w:tcPr>
          <w:p>
            <w:pPr>
              <w:ind w:left="560"/>
              <w:spacing w:after="0"/>
              <w:rPr>
                <w:sz w:val="20"/>
                <w:szCs w:val="20"/>
                <w:color w:val="auto"/>
              </w:rPr>
            </w:pPr>
            <w:r>
              <w:rPr>
                <w:rFonts w:ascii="Arial" w:cs="Arial" w:eastAsia="Arial" w:hAnsi="Arial"/>
                <w:sz w:val="12"/>
                <w:szCs w:val="12"/>
                <w:color w:val="auto"/>
              </w:rPr>
              <w:t>Borrowings under credit facility (See note 12)</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271,913,786</w:t>
            </w:r>
          </w:p>
        </w:tc>
        <w:tc>
          <w:tcPr>
            <w:tcW w:w="80" w:type="dxa"/>
            <w:vAlign w:val="bottom"/>
          </w:tcPr>
          <w:p>
            <w:pPr>
              <w:spacing w:after="0"/>
              <w:rPr>
                <w:sz w:val="12"/>
                <w:szCs w:val="12"/>
                <w:color w:val="auto"/>
              </w:rPr>
            </w:pPr>
          </w:p>
        </w:tc>
      </w:tr>
      <w:tr>
        <w:trPr>
          <w:trHeight w:val="144"/>
        </w:trPr>
        <w:tc>
          <w:tcPr>
            <w:tcW w:w="101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Repayments under credit facility (See note 12)</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(261,913,786)</w:t>
            </w:r>
          </w:p>
        </w:tc>
      </w:tr>
      <w:tr>
        <w:trPr>
          <w:trHeight w:val="144"/>
        </w:trPr>
        <w:tc>
          <w:tcPr>
            <w:tcW w:w="10160" w:type="dxa"/>
            <w:vAlign w:val="bottom"/>
          </w:tcPr>
          <w:p>
            <w:pPr>
              <w:ind w:left="560"/>
              <w:spacing w:after="0"/>
              <w:rPr>
                <w:sz w:val="20"/>
                <w:szCs w:val="20"/>
                <w:color w:val="auto"/>
              </w:rPr>
            </w:pPr>
            <w:r>
              <w:rPr>
                <w:rFonts w:ascii="Arial" w:cs="Arial" w:eastAsia="Arial" w:hAnsi="Arial"/>
                <w:sz w:val="12"/>
                <w:szCs w:val="12"/>
                <w:color w:val="auto"/>
              </w:rPr>
              <w:t>Dividends and distributions to stockholders (net of dividends reinvested)</w:t>
            </w:r>
          </w:p>
        </w:tc>
        <w:tc>
          <w:tcPr>
            <w:tcW w:w="16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(6,973,280)</w:t>
            </w:r>
          </w:p>
        </w:tc>
      </w:tr>
      <w:tr>
        <w:trPr>
          <w:trHeight w:val="142"/>
        </w:trPr>
        <w:tc>
          <w:tcPr>
            <w:tcW w:w="10160" w:type="dxa"/>
            <w:vAlign w:val="bottom"/>
            <w:shd w:val="clear" w:color="auto" w:fill="CCEEFF"/>
          </w:tcPr>
          <w:p>
            <w:pPr>
              <w:ind w:left="860"/>
              <w:spacing w:after="0"/>
              <w:rPr>
                <w:sz w:val="20"/>
                <w:szCs w:val="20"/>
                <w:color w:val="auto"/>
              </w:rPr>
            </w:pPr>
            <w:r>
              <w:rPr>
                <w:rFonts w:ascii="Arial" w:cs="Arial" w:eastAsia="Arial" w:hAnsi="Arial"/>
                <w:sz w:val="12"/>
                <w:szCs w:val="12"/>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295,831,049</w:t>
            </w:r>
          </w:p>
        </w:tc>
        <w:tc>
          <w:tcPr>
            <w:tcW w:w="80" w:type="dxa"/>
            <w:vAlign w:val="bottom"/>
            <w:shd w:val="clear" w:color="auto" w:fill="CCEEFF"/>
          </w:tcPr>
          <w:p>
            <w:pPr>
              <w:spacing w:after="0"/>
              <w:rPr>
                <w:sz w:val="12"/>
                <w:szCs w:val="12"/>
                <w:color w:val="auto"/>
              </w:rPr>
            </w:pPr>
          </w:p>
        </w:tc>
      </w:tr>
      <w:tr>
        <w:trPr>
          <w:trHeight w:val="141"/>
        </w:trPr>
        <w:tc>
          <w:tcPr>
            <w:tcW w:w="10160" w:type="dxa"/>
            <w:vAlign w:val="bottom"/>
          </w:tcPr>
          <w:p>
            <w:pPr>
              <w:spacing w:after="0"/>
              <w:rPr>
                <w:sz w:val="20"/>
                <w:szCs w:val="20"/>
                <w:color w:val="auto"/>
              </w:rPr>
            </w:pPr>
            <w:r>
              <w:rPr>
                <w:rFonts w:ascii="Arial" w:cs="Arial" w:eastAsia="Arial" w:hAnsi="Arial"/>
                <w:sz w:val="12"/>
                <w:szCs w:val="12"/>
                <w:b w:val="1"/>
                <w:bCs w:val="1"/>
                <w:color w:val="auto"/>
              </w:rPr>
              <w:t>Net increase in cash and cash equivalents</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257,959,635</w:t>
            </w:r>
          </w:p>
        </w:tc>
        <w:tc>
          <w:tcPr>
            <w:tcW w:w="80" w:type="dxa"/>
            <w:vAlign w:val="bottom"/>
          </w:tcPr>
          <w:p>
            <w:pPr>
              <w:spacing w:after="0"/>
              <w:rPr>
                <w:sz w:val="12"/>
                <w:szCs w:val="12"/>
                <w:color w:val="auto"/>
              </w:rPr>
            </w:pPr>
          </w:p>
        </w:tc>
      </w:tr>
      <w:tr>
        <w:trPr>
          <w:trHeight w:val="145"/>
        </w:trPr>
        <w:tc>
          <w:tcPr>
            <w:tcW w:w="10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equivalents, beginning of period</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10160" w:type="dxa"/>
            <w:vAlign w:val="bottom"/>
          </w:tcPr>
          <w:p>
            <w:pPr>
              <w:spacing w:after="0"/>
              <w:rPr>
                <w:sz w:val="20"/>
                <w:szCs w:val="20"/>
                <w:color w:val="auto"/>
              </w:rPr>
            </w:pPr>
            <w:r>
              <w:rPr>
                <w:rFonts w:ascii="Arial" w:cs="Arial" w:eastAsia="Arial" w:hAnsi="Arial"/>
                <w:sz w:val="12"/>
                <w:szCs w:val="12"/>
                <w:b w:val="1"/>
                <w:bCs w:val="1"/>
                <w:color w:val="auto"/>
              </w:rPr>
              <w:t>Cash equivalents, end of period</w:t>
            </w: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257,959,635</w:t>
            </w:r>
          </w:p>
        </w:tc>
        <w:tc>
          <w:tcPr>
            <w:tcW w:w="80" w:type="dxa"/>
            <w:vAlign w:val="bottom"/>
          </w:tcPr>
          <w:p>
            <w:pPr>
              <w:spacing w:after="0"/>
              <w:rPr>
                <w:sz w:val="13"/>
                <w:szCs w:val="13"/>
                <w:color w:val="auto"/>
              </w:rPr>
            </w:pPr>
          </w:p>
        </w:tc>
      </w:tr>
      <w:tr>
        <w:trPr>
          <w:trHeight w:val="148"/>
        </w:trPr>
        <w:tc>
          <w:tcPr>
            <w:tcW w:w="10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Supplemental disclosure of cash flow information:</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10160" w:type="dxa"/>
            <w:vAlign w:val="bottom"/>
          </w:tcPr>
          <w:p>
            <w:pPr>
              <w:ind w:left="280"/>
              <w:spacing w:after="0"/>
              <w:rPr>
                <w:sz w:val="20"/>
                <w:szCs w:val="20"/>
                <w:color w:val="auto"/>
              </w:rPr>
            </w:pPr>
            <w:r>
              <w:rPr>
                <w:rFonts w:ascii="Arial" w:cs="Arial" w:eastAsia="Arial" w:hAnsi="Arial"/>
                <w:sz w:val="12"/>
                <w:szCs w:val="12"/>
                <w:color w:val="auto"/>
              </w:rPr>
              <w:t>Interest paid during the period January 11, 2007 (inception) through September 30, 2007</w:t>
            </w: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1,598,055</w:t>
            </w:r>
          </w:p>
        </w:tc>
        <w:tc>
          <w:tcPr>
            <w:tcW w:w="80" w:type="dxa"/>
            <w:vAlign w:val="bottom"/>
          </w:tcPr>
          <w:p>
            <w:pPr>
              <w:spacing w:after="0"/>
              <w:rPr>
                <w:sz w:val="12"/>
                <w:szCs w:val="12"/>
                <w:color w:val="auto"/>
              </w:rPr>
            </w:pPr>
          </w:p>
        </w:tc>
      </w:tr>
      <w:tr>
        <w:trPr>
          <w:trHeight w:val="142"/>
        </w:trPr>
        <w:tc>
          <w:tcPr>
            <w:tcW w:w="101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Non-cash financing activities consist of the reinvestment of dividends</w:t>
            </w:r>
          </w:p>
        </w:tc>
        <w:tc>
          <w:tcPr>
            <w:tcW w:w="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600,534</w:t>
            </w:r>
          </w:p>
        </w:tc>
        <w:tc>
          <w:tcPr>
            <w:tcW w:w="80" w:type="dxa"/>
            <w:vAlign w:val="bottom"/>
            <w:shd w:val="clear" w:color="auto" w:fill="CCEEFF"/>
          </w:tcPr>
          <w:p>
            <w:pPr>
              <w:spacing w:after="0"/>
              <w:rPr>
                <w:sz w:val="12"/>
                <w:szCs w:val="12"/>
                <w:color w:val="auto"/>
              </w:rPr>
            </w:pPr>
          </w:p>
        </w:tc>
      </w:tr>
      <w:tr>
        <w:trPr>
          <w:trHeight w:val="141"/>
        </w:trPr>
        <w:tc>
          <w:tcPr>
            <w:tcW w:w="10160" w:type="dxa"/>
            <w:vAlign w:val="bottom"/>
          </w:tcPr>
          <w:p>
            <w:pPr>
              <w:ind w:left="280"/>
              <w:spacing w:after="0"/>
              <w:rPr>
                <w:sz w:val="20"/>
                <w:szCs w:val="20"/>
                <w:color w:val="auto"/>
              </w:rPr>
            </w:pPr>
            <w:r>
              <w:rPr>
                <w:rFonts w:ascii="Arial" w:cs="Arial" w:eastAsia="Arial" w:hAnsi="Arial"/>
                <w:sz w:val="12"/>
                <w:szCs w:val="12"/>
                <w:color w:val="auto"/>
              </w:rPr>
              <w:t>Payment-in-kind interest</w:t>
            </w: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668,268</w:t>
            </w:r>
          </w:p>
        </w:tc>
        <w:tc>
          <w:tcPr>
            <w:tcW w:w="8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300"/>
          </w:cols>
          <w:pgMar w:left="300" w:top="354" w:right="299"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OF INVESTMENTS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2007</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3"/>
              </w:rPr>
              <w:t>Basis</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w w:val="97"/>
              </w:rPr>
              <w:t>Point</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w w:val="85"/>
              </w:rPr>
              <w:t>Spread</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60" w:type="dxa"/>
            <w:vAlign w:val="bottom"/>
            <w:vMerge w:val="restart"/>
          </w:tcPr>
          <w:p>
            <w:pPr>
              <w:spacing w:after="0"/>
              <w:rPr>
                <w:sz w:val="20"/>
                <w:szCs w:val="20"/>
                <w:color w:val="auto"/>
              </w:rPr>
            </w:pPr>
            <w:r>
              <w:rPr>
                <w:rFonts w:ascii="Arial" w:cs="Arial" w:eastAsia="Arial" w:hAnsi="Arial"/>
                <w:sz w:val="9"/>
                <w:szCs w:val="9"/>
                <w:b w:val="1"/>
                <w:bCs w:val="1"/>
                <w:color w:val="auto"/>
              </w:rPr>
              <w:t>Issuer name</w:t>
            </w:r>
            <w:r>
              <w:rPr>
                <w:rFonts w:ascii="Arial" w:cs="Arial" w:eastAsia="Arial" w:hAnsi="Arial"/>
                <w:sz w:val="14"/>
                <w:szCs w:val="14"/>
                <w:b w:val="1"/>
                <w:bCs w:val="1"/>
                <w:color w:val="auto"/>
                <w:vertAlign w:val="superscript"/>
              </w:rPr>
              <w:t>(1)</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Current</w:t>
            </w:r>
          </w:p>
        </w:tc>
        <w:tc>
          <w:tcPr>
            <w:tcW w:w="6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4"/>
              </w:rPr>
              <w:t>Above</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175"/>
              <w:spacing w:after="0"/>
              <w:rPr>
                <w:sz w:val="20"/>
                <w:szCs w:val="20"/>
                <w:color w:val="auto"/>
              </w:rPr>
            </w:pPr>
            <w:r>
              <w:rPr>
                <w:rFonts w:ascii="Arial" w:cs="Arial" w:eastAsia="Arial" w:hAnsi="Arial"/>
                <w:sz w:val="9"/>
                <w:szCs w:val="9"/>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08"/>
        </w:trPr>
        <w:tc>
          <w:tcPr>
            <w:tcW w:w="4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ind w:left="180"/>
              <w:spacing w:after="0"/>
              <w:rPr>
                <w:sz w:val="20"/>
                <w:szCs w:val="20"/>
                <w:color w:val="auto"/>
              </w:rPr>
            </w:pPr>
            <w:r>
              <w:rPr>
                <w:rFonts w:ascii="Arial" w:cs="Arial" w:eastAsia="Arial" w:hAnsi="Arial"/>
                <w:sz w:val="9"/>
                <w:szCs w:val="9"/>
                <w:b w:val="1"/>
                <w:bCs w:val="1"/>
                <w:color w:val="auto"/>
              </w:rPr>
              <w:t>Maturity</w:t>
            </w:r>
          </w:p>
        </w:tc>
        <w:tc>
          <w:tcPr>
            <w:tcW w:w="1460" w:type="dxa"/>
            <w:vAlign w:val="bottom"/>
          </w:tcPr>
          <w:p>
            <w:pPr>
              <w:jc w:val="center"/>
              <w:spacing w:after="0"/>
              <w:rPr>
                <w:sz w:val="20"/>
                <w:szCs w:val="20"/>
                <w:color w:val="auto"/>
              </w:rPr>
            </w:pPr>
            <w:r>
              <w:rPr>
                <w:rFonts w:ascii="Arial" w:cs="Arial" w:eastAsia="Arial" w:hAnsi="Arial"/>
                <w:sz w:val="9"/>
                <w:szCs w:val="9"/>
                <w:b w:val="1"/>
                <w:bCs w:val="1"/>
                <w:color w:val="auto"/>
                <w:w w:val="95"/>
              </w:rPr>
              <w:t>Industry</w:t>
            </w:r>
          </w:p>
        </w:tc>
        <w:tc>
          <w:tcPr>
            <w:tcW w:w="100" w:type="dxa"/>
            <w:vAlign w:val="bottom"/>
          </w:tcPr>
          <w:p>
            <w:pPr>
              <w:spacing w:after="0"/>
              <w:rPr>
                <w:sz w:val="9"/>
                <w:szCs w:val="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Coupon</w:t>
            </w:r>
          </w:p>
        </w:tc>
        <w:tc>
          <w:tcPr>
            <w:tcW w:w="620" w:type="dxa"/>
            <w:vAlign w:val="bottom"/>
            <w:gridSpan w:val="2"/>
          </w:tcPr>
          <w:p>
            <w:pPr>
              <w:jc w:val="center"/>
              <w:ind w:right="120"/>
              <w:spacing w:after="0" w:line="108" w:lineRule="exact"/>
              <w:rPr>
                <w:sz w:val="20"/>
                <w:szCs w:val="20"/>
                <w:color w:val="auto"/>
              </w:rPr>
            </w:pPr>
            <w:r>
              <w:rPr>
                <w:rFonts w:ascii="Arial" w:cs="Arial" w:eastAsia="Arial" w:hAnsi="Arial"/>
                <w:sz w:val="8"/>
                <w:szCs w:val="8"/>
                <w:b w:val="1"/>
                <w:bCs w:val="1"/>
                <w:color w:val="auto"/>
                <w:w w:val="97"/>
              </w:rPr>
              <w:t>Index</w:t>
            </w:r>
            <w:r>
              <w:rPr>
                <w:rFonts w:ascii="Arial" w:cs="Arial" w:eastAsia="Arial" w:hAnsi="Arial"/>
                <w:sz w:val="12"/>
                <w:szCs w:val="12"/>
                <w:b w:val="1"/>
                <w:bCs w:val="1"/>
                <w:color w:val="auto"/>
                <w:w w:val="97"/>
                <w:vertAlign w:val="superscript"/>
              </w:rPr>
              <w:t>(3)</w:t>
            </w:r>
          </w:p>
        </w:tc>
        <w:tc>
          <w:tcPr>
            <w:tcW w:w="140" w:type="dxa"/>
            <w:vAlign w:val="bottom"/>
          </w:tcPr>
          <w:p>
            <w:pPr>
              <w:spacing w:after="0"/>
              <w:rPr>
                <w:sz w:val="9"/>
                <w:szCs w:val="9"/>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6"/>
              </w:rPr>
              <w:t>Par</w:t>
            </w:r>
          </w:p>
        </w:tc>
        <w:tc>
          <w:tcPr>
            <w:tcW w:w="160" w:type="dxa"/>
            <w:vAlign w:val="bottom"/>
          </w:tcPr>
          <w:p>
            <w:pPr>
              <w:spacing w:after="0"/>
              <w:rPr>
                <w:sz w:val="9"/>
                <w:szCs w:val="9"/>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Cost</w:t>
            </w: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960" w:type="dxa"/>
            <w:vAlign w:val="bottom"/>
            <w:tcBorders>
              <w:top w:val="single" w:sz="8" w:color="auto"/>
            </w:tcBorders>
            <w:shd w:val="clear" w:color="auto" w:fill="CCEEFF"/>
          </w:tcPr>
          <w:p>
            <w:pPr>
              <w:spacing w:after="0" w:line="97" w:lineRule="exact"/>
              <w:rPr>
                <w:sz w:val="20"/>
                <w:szCs w:val="20"/>
                <w:color w:val="auto"/>
              </w:rPr>
            </w:pPr>
            <w:r>
              <w:rPr>
                <w:rFonts w:ascii="Arial" w:cs="Arial" w:eastAsia="Arial" w:hAnsi="Arial"/>
                <w:sz w:val="9"/>
                <w:szCs w:val="9"/>
                <w:b w:val="1"/>
                <w:bCs w:val="1"/>
                <w:color w:val="auto"/>
              </w:rPr>
              <w:t>Subordinated Debt / Corporate Notes—21.2%</w:t>
            </w:r>
          </w:p>
        </w:tc>
        <w:tc>
          <w:tcPr>
            <w:tcW w:w="100" w:type="dxa"/>
            <w:vAlign w:val="bottom"/>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6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960" w:type="dxa"/>
            <w:vAlign w:val="bottom"/>
          </w:tcPr>
          <w:p>
            <w:pPr>
              <w:spacing w:after="0" w:line="99" w:lineRule="exact"/>
              <w:rPr>
                <w:sz w:val="20"/>
                <w:szCs w:val="20"/>
                <w:color w:val="auto"/>
              </w:rPr>
            </w:pPr>
            <w:r>
              <w:rPr>
                <w:rFonts w:ascii="Arial" w:cs="Arial" w:eastAsia="Arial" w:hAnsi="Arial"/>
                <w:sz w:val="9"/>
                <w:szCs w:val="9"/>
                <w:color w:val="auto"/>
              </w:rPr>
              <w:t>A</w:t>
            </w:r>
            <w:r>
              <w:rPr>
                <w:rFonts w:ascii="Arial" w:cs="Arial" w:eastAsia="Arial" w:hAnsi="Arial"/>
                <w:sz w:val="7"/>
                <w:szCs w:val="7"/>
                <w:color w:val="auto"/>
              </w:rPr>
              <w:t>DVANSTAR</w:t>
            </w:r>
            <w:r>
              <w:rPr>
                <w:rFonts w:ascii="Arial" w:cs="Arial" w:eastAsia="Arial" w:hAnsi="Arial"/>
                <w:sz w:val="9"/>
                <w:szCs w:val="9"/>
                <w:color w:val="auto"/>
              </w:rPr>
              <w:t xml:space="preserve"> ,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tcPr>
          <w:p>
            <w:pPr>
              <w:jc w:val="right"/>
              <w:ind w:right="100"/>
              <w:spacing w:after="0" w:line="99" w:lineRule="exact"/>
              <w:rPr>
                <w:sz w:val="20"/>
                <w:szCs w:val="20"/>
                <w:color w:val="auto"/>
              </w:rPr>
            </w:pPr>
            <w:r>
              <w:rPr>
                <w:rFonts w:ascii="Arial" w:cs="Arial" w:eastAsia="Arial" w:hAnsi="Arial"/>
                <w:sz w:val="9"/>
                <w:szCs w:val="9"/>
                <w:color w:val="auto"/>
              </w:rPr>
              <w:t>11/30/2015</w:t>
            </w:r>
          </w:p>
        </w:tc>
        <w:tc>
          <w:tcPr>
            <w:tcW w:w="1460" w:type="dxa"/>
            <w:vAlign w:val="bottom"/>
          </w:tcPr>
          <w:p>
            <w:pPr>
              <w:jc w:val="center"/>
              <w:spacing w:after="0" w:line="99" w:lineRule="exact"/>
              <w:rPr>
                <w:sz w:val="20"/>
                <w:szCs w:val="20"/>
                <w:color w:val="auto"/>
              </w:rPr>
            </w:pPr>
            <w:r>
              <w:rPr>
                <w:rFonts w:ascii="Arial" w:cs="Arial" w:eastAsia="Arial" w:hAnsi="Arial"/>
                <w:sz w:val="9"/>
                <w:szCs w:val="9"/>
                <w:color w:val="auto"/>
              </w:rPr>
              <w:t>O</w:t>
            </w:r>
            <w:r>
              <w:rPr>
                <w:rFonts w:ascii="Arial" w:cs="Arial" w:eastAsia="Arial" w:hAnsi="Arial"/>
                <w:sz w:val="7"/>
                <w:szCs w:val="7"/>
                <w:color w:val="auto"/>
              </w:rPr>
              <w:t>THER</w:t>
            </w:r>
            <w:r>
              <w:rPr>
                <w:rFonts w:ascii="Arial" w:cs="Arial" w:eastAsia="Arial" w:hAnsi="Arial"/>
                <w:sz w:val="9"/>
                <w:szCs w:val="9"/>
                <w:color w:val="auto"/>
              </w:rPr>
              <w:t xml:space="preserve"> M</w:t>
            </w:r>
            <w:r>
              <w:rPr>
                <w:rFonts w:ascii="Arial" w:cs="Arial" w:eastAsia="Arial" w:hAnsi="Arial"/>
                <w:sz w:val="7"/>
                <w:szCs w:val="7"/>
                <w:color w:val="auto"/>
              </w:rPr>
              <w:t>EDIA</w:t>
            </w:r>
          </w:p>
        </w:tc>
        <w:tc>
          <w:tcPr>
            <w:tcW w:w="920" w:type="dxa"/>
            <w:vAlign w:val="bottom"/>
            <w:gridSpan w:val="3"/>
          </w:tcPr>
          <w:p>
            <w:pPr>
              <w:jc w:val="right"/>
              <w:ind w:right="200"/>
              <w:spacing w:after="0" w:line="99" w:lineRule="exact"/>
              <w:rPr>
                <w:sz w:val="20"/>
                <w:szCs w:val="20"/>
                <w:color w:val="auto"/>
              </w:rPr>
            </w:pPr>
            <w:r>
              <w:rPr>
                <w:rFonts w:ascii="Arial" w:cs="Arial" w:eastAsia="Arial" w:hAnsi="Arial"/>
                <w:sz w:val="9"/>
                <w:szCs w:val="9"/>
                <w:color w:val="auto"/>
              </w:rPr>
              <w:t>12.20%*</w:t>
            </w:r>
          </w:p>
        </w:tc>
        <w:tc>
          <w:tcPr>
            <w:tcW w:w="620" w:type="dxa"/>
            <w:vAlign w:val="bottom"/>
            <w:gridSpan w:val="2"/>
          </w:tcPr>
          <w:p>
            <w:pPr>
              <w:ind w:left="260"/>
              <w:spacing w:after="0" w:line="99" w:lineRule="exact"/>
              <w:rPr>
                <w:sz w:val="20"/>
                <w:szCs w:val="20"/>
                <w:color w:val="auto"/>
              </w:rPr>
            </w:pPr>
            <w:r>
              <w:rPr>
                <w:rFonts w:ascii="Arial" w:cs="Arial" w:eastAsia="Arial" w:hAnsi="Arial"/>
                <w:sz w:val="9"/>
                <w:szCs w:val="9"/>
                <w:color w:val="auto"/>
              </w:rPr>
              <w:t>L+700</w:t>
            </w:r>
          </w:p>
        </w:tc>
        <w:tc>
          <w:tcPr>
            <w:tcW w:w="140" w:type="dxa"/>
            <w:vAlign w:val="bottom"/>
          </w:tcPr>
          <w:p>
            <w:pPr>
              <w:jc w:val="right"/>
              <w:ind w:right="78"/>
              <w:spacing w:after="0"/>
              <w:rPr>
                <w:sz w:val="20"/>
                <w:szCs w:val="20"/>
                <w:color w:val="auto"/>
              </w:rPr>
            </w:pPr>
            <w:r>
              <w:rPr>
                <w:rFonts w:ascii="Arial" w:cs="Arial" w:eastAsia="Arial" w:hAnsi="Arial"/>
                <w:sz w:val="4"/>
                <w:szCs w:val="4"/>
                <w:color w:val="auto"/>
                <w:w w:val="87"/>
              </w:rPr>
              <w:t>$</w:t>
            </w:r>
          </w:p>
        </w:tc>
        <w:tc>
          <w:tcPr>
            <w:tcW w:w="580" w:type="dxa"/>
            <w:vAlign w:val="bottom"/>
          </w:tcPr>
          <w:p>
            <w:pPr>
              <w:jc w:val="right"/>
              <w:spacing w:after="0" w:line="99" w:lineRule="exact"/>
              <w:rPr>
                <w:sz w:val="20"/>
                <w:szCs w:val="20"/>
                <w:color w:val="auto"/>
              </w:rPr>
            </w:pPr>
            <w:r>
              <w:rPr>
                <w:rFonts w:ascii="Arial" w:cs="Arial" w:eastAsia="Arial" w:hAnsi="Arial"/>
                <w:sz w:val="9"/>
                <w:szCs w:val="9"/>
                <w:color w:val="auto"/>
              </w:rPr>
              <w:t>14,580,690</w:t>
            </w:r>
          </w:p>
        </w:tc>
        <w:tc>
          <w:tcPr>
            <w:tcW w:w="120" w:type="dxa"/>
            <w:vAlign w:val="bottom"/>
          </w:tcPr>
          <w:p>
            <w:pPr>
              <w:spacing w:after="0"/>
              <w:rPr>
                <w:sz w:val="8"/>
                <w:szCs w:val="8"/>
                <w:color w:val="auto"/>
              </w:rPr>
            </w:pPr>
          </w:p>
        </w:tc>
        <w:tc>
          <w:tcPr>
            <w:tcW w:w="160" w:type="dxa"/>
            <w:vAlign w:val="bottom"/>
          </w:tcPr>
          <w:p>
            <w:pPr>
              <w:jc w:val="right"/>
              <w:ind w:right="98"/>
              <w:spacing w:after="0"/>
              <w:rPr>
                <w:sz w:val="20"/>
                <w:szCs w:val="20"/>
                <w:color w:val="auto"/>
              </w:rPr>
            </w:pPr>
            <w:r>
              <w:rPr>
                <w:rFonts w:ascii="Arial" w:cs="Arial" w:eastAsia="Arial" w:hAnsi="Arial"/>
                <w:sz w:val="4"/>
                <w:szCs w:val="4"/>
                <w:color w:val="auto"/>
                <w:w w:val="87"/>
              </w:rPr>
              <w:t>$</w:t>
            </w:r>
          </w:p>
        </w:tc>
        <w:tc>
          <w:tcPr>
            <w:tcW w:w="66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14,580,690</w:t>
            </w:r>
          </w:p>
        </w:tc>
        <w:tc>
          <w:tcPr>
            <w:tcW w:w="140" w:type="dxa"/>
            <w:vAlign w:val="bottom"/>
          </w:tcPr>
          <w:p>
            <w:pPr>
              <w:jc w:val="right"/>
              <w:ind w:right="35"/>
              <w:spacing w:after="0" w:line="99" w:lineRule="exact"/>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99" w:lineRule="exact"/>
              <w:rPr>
                <w:sz w:val="20"/>
                <w:szCs w:val="20"/>
                <w:color w:val="auto"/>
              </w:rPr>
            </w:pPr>
            <w:r>
              <w:rPr>
                <w:rFonts w:ascii="Arial" w:cs="Arial" w:eastAsia="Arial" w:hAnsi="Arial"/>
                <w:sz w:val="9"/>
                <w:szCs w:val="9"/>
                <w:color w:val="auto"/>
              </w:rPr>
              <w:t>14,580,690</w:t>
            </w:r>
          </w:p>
        </w:tc>
        <w:tc>
          <w:tcPr>
            <w:tcW w:w="0" w:type="dxa"/>
            <w:vAlign w:val="bottom"/>
          </w:tcPr>
          <w:p>
            <w:pPr>
              <w:spacing w:after="0"/>
              <w:rPr>
                <w:sz w:val="1"/>
                <w:szCs w:val="1"/>
                <w:color w:val="auto"/>
              </w:rPr>
            </w:pPr>
          </w:p>
        </w:tc>
      </w:tr>
      <w:tr>
        <w:trPr>
          <w:trHeight w:val="99"/>
        </w:trPr>
        <w:tc>
          <w:tcPr>
            <w:tcW w:w="49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A</w:t>
            </w:r>
            <w:r>
              <w:rPr>
                <w:rFonts w:ascii="Arial" w:cs="Arial" w:eastAsia="Arial" w:hAnsi="Arial"/>
                <w:sz w:val="7"/>
                <w:szCs w:val="7"/>
                <w:color w:val="auto"/>
              </w:rPr>
              <w:t>FFINION</w:t>
            </w:r>
            <w:r>
              <w:rPr>
                <w:rFonts w:ascii="Arial" w:cs="Arial" w:eastAsia="Arial" w:hAnsi="Arial"/>
                <w:sz w:val="9"/>
                <w:szCs w:val="9"/>
                <w:color w:val="auto"/>
              </w:rPr>
              <w:t xml:space="preserve"> G</w:t>
            </w:r>
            <w:r>
              <w:rPr>
                <w:rFonts w:ascii="Arial" w:cs="Arial" w:eastAsia="Arial" w:hAnsi="Arial"/>
                <w:sz w:val="7"/>
                <w:szCs w:val="7"/>
                <w:color w:val="auto"/>
              </w:rPr>
              <w:t>ROUP</w:t>
            </w:r>
            <w:r>
              <w:rPr>
                <w:rFonts w:ascii="Arial" w:cs="Arial" w:eastAsia="Arial" w:hAnsi="Arial"/>
                <w:sz w:val="9"/>
                <w:szCs w:val="9"/>
                <w:color w:val="auto"/>
              </w:rPr>
              <w:t xml:space="preserve"> H</w:t>
            </w:r>
            <w:r>
              <w:rPr>
                <w:rFonts w:ascii="Arial" w:cs="Arial" w:eastAsia="Arial" w:hAnsi="Arial"/>
                <w:sz w:val="7"/>
                <w:szCs w:val="7"/>
                <w:color w:val="auto"/>
              </w:rPr>
              <w:t>OLDINGS</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03/01/2012</w:t>
            </w:r>
          </w:p>
        </w:tc>
        <w:tc>
          <w:tcPr>
            <w:tcW w:w="146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C</w:t>
            </w:r>
            <w:r>
              <w:rPr>
                <w:rFonts w:ascii="Arial" w:cs="Arial" w:eastAsia="Arial" w:hAnsi="Arial"/>
                <w:sz w:val="7"/>
                <w:szCs w:val="7"/>
                <w:color w:val="auto"/>
              </w:rPr>
              <w:t>ONSUMER</w:t>
            </w:r>
            <w:r>
              <w:rPr>
                <w:rFonts w:ascii="Arial" w:cs="Arial" w:eastAsia="Arial" w:hAnsi="Arial"/>
                <w:sz w:val="9"/>
                <w:szCs w:val="9"/>
                <w:color w:val="auto"/>
              </w:rPr>
              <w:t xml:space="preserve"> P</w:t>
            </w:r>
            <w:r>
              <w:rPr>
                <w:rFonts w:ascii="Arial" w:cs="Arial" w:eastAsia="Arial" w:hAnsi="Arial"/>
                <w:sz w:val="7"/>
                <w:szCs w:val="7"/>
                <w:color w:val="auto"/>
              </w:rPr>
              <w:t>RODUCTS</w:t>
            </w:r>
          </w:p>
        </w:tc>
        <w:tc>
          <w:tcPr>
            <w:tcW w:w="920" w:type="dxa"/>
            <w:vAlign w:val="bottom"/>
            <w:gridSpan w:val="3"/>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11.68%*</w:t>
            </w:r>
          </w:p>
        </w:tc>
        <w:tc>
          <w:tcPr>
            <w:tcW w:w="620" w:type="dxa"/>
            <w:vAlign w:val="bottom"/>
            <w:gridSpan w:val="2"/>
            <w:shd w:val="clear" w:color="auto" w:fill="CCEEFF"/>
          </w:tcPr>
          <w:p>
            <w:pPr>
              <w:ind w:left="260"/>
              <w:spacing w:after="0" w:line="99" w:lineRule="exact"/>
              <w:rPr>
                <w:sz w:val="20"/>
                <w:szCs w:val="20"/>
                <w:color w:val="auto"/>
              </w:rPr>
            </w:pPr>
            <w:r>
              <w:rPr>
                <w:rFonts w:ascii="Arial" w:cs="Arial" w:eastAsia="Arial" w:hAnsi="Arial"/>
                <w:sz w:val="9"/>
                <w:szCs w:val="9"/>
                <w:color w:val="auto"/>
              </w:rPr>
              <w:t>L+625</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18,500,000</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18,106,103</w:t>
            </w: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17,760,000</w:t>
            </w:r>
          </w:p>
        </w:tc>
        <w:tc>
          <w:tcPr>
            <w:tcW w:w="0" w:type="dxa"/>
            <w:vAlign w:val="bottom"/>
          </w:tcPr>
          <w:p>
            <w:pPr>
              <w:spacing w:after="0"/>
              <w:rPr>
                <w:sz w:val="1"/>
                <w:szCs w:val="1"/>
                <w:color w:val="auto"/>
              </w:rPr>
            </w:pPr>
          </w:p>
        </w:tc>
      </w:tr>
      <w:tr>
        <w:trPr>
          <w:trHeight w:val="92"/>
        </w:trPr>
        <w:tc>
          <w:tcPr>
            <w:tcW w:w="4960" w:type="dxa"/>
            <w:vAlign w:val="bottom"/>
          </w:tcPr>
          <w:p>
            <w:pPr>
              <w:spacing w:after="0" w:line="92" w:lineRule="exact"/>
              <w:rPr>
                <w:sz w:val="20"/>
                <w:szCs w:val="20"/>
                <w:color w:val="auto"/>
              </w:rPr>
            </w:pPr>
            <w:r>
              <w:rPr>
                <w:rFonts w:ascii="Arial" w:cs="Arial" w:eastAsia="Arial" w:hAnsi="Arial"/>
                <w:sz w:val="9"/>
                <w:szCs w:val="9"/>
                <w:color w:val="auto"/>
              </w:rPr>
              <w:t>P</w:t>
            </w:r>
            <w:r>
              <w:rPr>
                <w:rFonts w:ascii="Arial" w:cs="Arial" w:eastAsia="Arial" w:hAnsi="Arial"/>
                <w:sz w:val="7"/>
                <w:szCs w:val="7"/>
                <w:color w:val="auto"/>
              </w:rPr>
              <w:t>ERFORMANCE</w:t>
            </w:r>
            <w:r>
              <w:rPr>
                <w:rFonts w:ascii="Arial" w:cs="Arial" w:eastAsia="Arial" w:hAnsi="Arial"/>
                <w:sz w:val="9"/>
                <w:szCs w:val="9"/>
                <w:color w:val="auto"/>
              </w:rPr>
              <w:t xml:space="preserve"> H</w:t>
            </w:r>
            <w:r>
              <w:rPr>
                <w:rFonts w:ascii="Arial" w:cs="Arial" w:eastAsia="Arial" w:hAnsi="Arial"/>
                <w:sz w:val="7"/>
                <w:szCs w:val="7"/>
                <w:color w:val="auto"/>
              </w:rPr>
              <w:t>OLDINGS</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tcPr>
          <w:p>
            <w:pPr>
              <w:jc w:val="right"/>
              <w:ind w:right="100"/>
              <w:spacing w:after="0" w:line="92" w:lineRule="exact"/>
              <w:rPr>
                <w:sz w:val="20"/>
                <w:szCs w:val="20"/>
                <w:color w:val="auto"/>
              </w:rPr>
            </w:pPr>
            <w:r>
              <w:rPr>
                <w:rFonts w:ascii="Arial" w:cs="Arial" w:eastAsia="Arial" w:hAnsi="Arial"/>
                <w:sz w:val="9"/>
                <w:szCs w:val="9"/>
                <w:color w:val="auto"/>
              </w:rPr>
              <w:t>07/02/2014</w:t>
            </w:r>
          </w:p>
        </w:tc>
        <w:tc>
          <w:tcPr>
            <w:tcW w:w="1460" w:type="dxa"/>
            <w:vAlign w:val="bottom"/>
          </w:tcPr>
          <w:p>
            <w:pPr>
              <w:jc w:val="center"/>
              <w:spacing w:after="0" w:line="92" w:lineRule="exact"/>
              <w:rPr>
                <w:sz w:val="20"/>
                <w:szCs w:val="20"/>
                <w:color w:val="auto"/>
              </w:rPr>
            </w:pPr>
            <w:r>
              <w:rPr>
                <w:rFonts w:ascii="Arial" w:cs="Arial" w:eastAsia="Arial" w:hAnsi="Arial"/>
                <w:sz w:val="9"/>
                <w:szCs w:val="9"/>
                <w:color w:val="auto"/>
              </w:rPr>
              <w:t>L</w:t>
            </w:r>
            <w:r>
              <w:rPr>
                <w:rFonts w:ascii="Arial" w:cs="Arial" w:eastAsia="Arial" w:hAnsi="Arial"/>
                <w:sz w:val="7"/>
                <w:szCs w:val="7"/>
                <w:color w:val="auto"/>
              </w:rPr>
              <w:t>EISURE</w:t>
            </w:r>
            <w:r>
              <w:rPr>
                <w:rFonts w:ascii="Arial" w:cs="Arial" w:eastAsia="Arial" w:hAnsi="Arial"/>
                <w:sz w:val="9"/>
                <w:szCs w:val="9"/>
                <w:color w:val="auto"/>
              </w:rPr>
              <w:t>, A</w:t>
            </w:r>
            <w:r>
              <w:rPr>
                <w:rFonts w:ascii="Arial" w:cs="Arial" w:eastAsia="Arial" w:hAnsi="Arial"/>
                <w:sz w:val="7"/>
                <w:szCs w:val="7"/>
                <w:color w:val="auto"/>
              </w:rPr>
              <w:t>MUSEMENT</w:t>
            </w:r>
            <w:r>
              <w:rPr>
                <w:rFonts w:ascii="Arial" w:cs="Arial" w:eastAsia="Arial" w:hAnsi="Arial"/>
                <w:sz w:val="9"/>
                <w:szCs w:val="9"/>
                <w:color w:val="auto"/>
              </w:rPr>
              <w:t>,</w:t>
            </w:r>
          </w:p>
        </w:tc>
        <w:tc>
          <w:tcPr>
            <w:tcW w:w="920" w:type="dxa"/>
            <w:vAlign w:val="bottom"/>
            <w:gridSpan w:val="3"/>
          </w:tcPr>
          <w:p>
            <w:pPr>
              <w:jc w:val="right"/>
              <w:ind w:right="200"/>
              <w:spacing w:after="0" w:line="92" w:lineRule="exact"/>
              <w:rPr>
                <w:sz w:val="20"/>
                <w:szCs w:val="20"/>
                <w:color w:val="auto"/>
              </w:rPr>
            </w:pPr>
            <w:r>
              <w:rPr>
                <w:rFonts w:ascii="Arial" w:cs="Arial" w:eastAsia="Arial" w:hAnsi="Arial"/>
                <w:sz w:val="9"/>
                <w:szCs w:val="9"/>
                <w:color w:val="auto"/>
              </w:rPr>
              <w:t>14.25%*</w:t>
            </w:r>
          </w:p>
        </w:tc>
        <w:tc>
          <w:tcPr>
            <w:tcW w:w="620" w:type="dxa"/>
            <w:vAlign w:val="bottom"/>
            <w:gridSpan w:val="2"/>
          </w:tcPr>
          <w:p>
            <w:pPr>
              <w:ind w:left="380"/>
              <w:spacing w:after="0" w:line="9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580" w:type="dxa"/>
            <w:vAlign w:val="bottom"/>
          </w:tcPr>
          <w:p>
            <w:pPr>
              <w:jc w:val="right"/>
              <w:spacing w:after="0" w:line="92" w:lineRule="exact"/>
              <w:rPr>
                <w:sz w:val="20"/>
                <w:szCs w:val="20"/>
                <w:color w:val="auto"/>
              </w:rPr>
            </w:pPr>
            <w:r>
              <w:rPr>
                <w:rFonts w:ascii="Arial" w:cs="Arial" w:eastAsia="Arial" w:hAnsi="Arial"/>
                <w:sz w:val="9"/>
                <w:szCs w:val="9"/>
                <w:color w:val="auto"/>
              </w:rPr>
              <w:t>3,837,578</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tcPr>
          <w:p>
            <w:pPr>
              <w:jc w:val="right"/>
              <w:ind w:right="100"/>
              <w:spacing w:after="0" w:line="92" w:lineRule="exact"/>
              <w:rPr>
                <w:sz w:val="20"/>
                <w:szCs w:val="20"/>
                <w:color w:val="auto"/>
              </w:rPr>
            </w:pPr>
            <w:r>
              <w:rPr>
                <w:rFonts w:ascii="Arial" w:cs="Arial" w:eastAsia="Arial" w:hAnsi="Arial"/>
                <w:sz w:val="9"/>
                <w:szCs w:val="9"/>
                <w:color w:val="auto"/>
              </w:rPr>
              <w:t>3,592,573</w:t>
            </w:r>
          </w:p>
        </w:tc>
        <w:tc>
          <w:tcPr>
            <w:tcW w:w="140" w:type="dxa"/>
            <w:vAlign w:val="bottom"/>
          </w:tcPr>
          <w:p>
            <w:pPr>
              <w:spacing w:after="0"/>
              <w:rPr>
                <w:sz w:val="7"/>
                <w:szCs w:val="7"/>
                <w:color w:val="auto"/>
              </w:rPr>
            </w:pPr>
          </w:p>
        </w:tc>
        <w:tc>
          <w:tcPr>
            <w:tcW w:w="620" w:type="dxa"/>
            <w:vAlign w:val="bottom"/>
          </w:tcPr>
          <w:p>
            <w:pPr>
              <w:jc w:val="right"/>
              <w:spacing w:after="0" w:line="92" w:lineRule="exact"/>
              <w:rPr>
                <w:sz w:val="20"/>
                <w:szCs w:val="20"/>
                <w:color w:val="auto"/>
              </w:rPr>
            </w:pPr>
            <w:r>
              <w:rPr>
                <w:rFonts w:ascii="Arial" w:cs="Arial" w:eastAsia="Arial" w:hAnsi="Arial"/>
                <w:sz w:val="9"/>
                <w:szCs w:val="9"/>
                <w:color w:val="auto"/>
              </w:rPr>
              <w:t>3,837,578</w:t>
            </w:r>
          </w:p>
        </w:tc>
        <w:tc>
          <w:tcPr>
            <w:tcW w:w="0" w:type="dxa"/>
            <w:vAlign w:val="bottom"/>
          </w:tcPr>
          <w:p>
            <w:pPr>
              <w:spacing w:after="0"/>
              <w:rPr>
                <w:sz w:val="1"/>
                <w:szCs w:val="1"/>
                <w:color w:val="auto"/>
              </w:rPr>
            </w:pPr>
          </w:p>
        </w:tc>
      </w:tr>
      <w:tr>
        <w:trPr>
          <w:trHeight w:val="99"/>
        </w:trPr>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jc w:val="center"/>
              <w:spacing w:after="0" w:line="99" w:lineRule="exact"/>
              <w:rPr>
                <w:sz w:val="20"/>
                <w:szCs w:val="20"/>
                <w:color w:val="auto"/>
              </w:rPr>
            </w:pPr>
            <w:r>
              <w:rPr>
                <w:rFonts w:ascii="Arial" w:cs="Arial" w:eastAsia="Arial" w:hAnsi="Arial"/>
                <w:sz w:val="9"/>
                <w:szCs w:val="9"/>
                <w:color w:val="auto"/>
              </w:rPr>
              <w:t>M</w:t>
            </w:r>
            <w:r>
              <w:rPr>
                <w:rFonts w:ascii="Arial" w:cs="Arial" w:eastAsia="Arial" w:hAnsi="Arial"/>
                <w:sz w:val="7"/>
                <w:szCs w:val="7"/>
                <w:color w:val="auto"/>
              </w:rPr>
              <w:t>OTION</w:t>
            </w:r>
            <w:r>
              <w:rPr>
                <w:rFonts w:ascii="Arial" w:cs="Arial" w:eastAsia="Arial" w:hAnsi="Arial"/>
                <w:sz w:val="9"/>
                <w:szCs w:val="9"/>
                <w:color w:val="auto"/>
              </w:rPr>
              <w:t xml:space="preserve"> P</w:t>
            </w:r>
            <w:r>
              <w:rPr>
                <w:rFonts w:ascii="Arial" w:cs="Arial" w:eastAsia="Arial" w:hAnsi="Arial"/>
                <w:sz w:val="7"/>
                <w:szCs w:val="7"/>
                <w:color w:val="auto"/>
              </w:rPr>
              <w:t>ICTURES</w:t>
            </w:r>
            <w:r>
              <w:rPr>
                <w:rFonts w:ascii="Arial" w:cs="Arial" w:eastAsia="Arial" w:hAnsi="Arial"/>
                <w:sz w:val="9"/>
                <w:szCs w:val="9"/>
                <w:color w:val="auto"/>
              </w:rPr>
              <w:t xml:space="preserve"> &amp;</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jc w:val="center"/>
              <w:spacing w:after="0"/>
              <w:rPr>
                <w:sz w:val="20"/>
                <w:szCs w:val="20"/>
                <w:color w:val="auto"/>
              </w:rPr>
            </w:pPr>
            <w:r>
              <w:rPr>
                <w:rFonts w:ascii="Arial" w:cs="Arial" w:eastAsia="Arial" w:hAnsi="Arial"/>
                <w:sz w:val="9"/>
                <w:szCs w:val="9"/>
                <w:color w:val="auto"/>
              </w:rPr>
              <w:t>E</w:t>
            </w:r>
            <w:r>
              <w:rPr>
                <w:rFonts w:ascii="Arial" w:cs="Arial" w:eastAsia="Arial" w:hAnsi="Arial"/>
                <w:sz w:val="7"/>
                <w:szCs w:val="7"/>
                <w:color w:val="auto"/>
              </w:rPr>
              <w:t>NTERTAINMENT</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960" w:type="dxa"/>
            <w:vAlign w:val="bottom"/>
            <w:shd w:val="clear" w:color="auto" w:fill="CCEEFF"/>
          </w:tcPr>
          <w:p>
            <w:pPr>
              <w:spacing w:after="0" w:line="99" w:lineRule="exact"/>
              <w:rPr>
                <w:sz w:val="20"/>
                <w:szCs w:val="20"/>
                <w:color w:val="auto"/>
              </w:rPr>
            </w:pPr>
            <w:r>
              <w:rPr>
                <w:rFonts w:ascii="Arial" w:cs="Arial" w:eastAsia="Arial" w:hAnsi="Arial"/>
                <w:sz w:val="7"/>
                <w:szCs w:val="7"/>
                <w:color w:val="auto"/>
              </w:rPr>
              <w:t>R</w:t>
            </w:r>
            <w:r>
              <w:rPr>
                <w:rFonts w:ascii="Arial" w:cs="Arial" w:eastAsia="Arial" w:hAnsi="Arial"/>
                <w:sz w:val="6"/>
                <w:szCs w:val="6"/>
                <w:color w:val="auto"/>
              </w:rPr>
              <w:t>EALOGY</w:t>
            </w:r>
            <w:r>
              <w:rPr>
                <w:rFonts w:ascii="Arial" w:cs="Arial" w:eastAsia="Arial" w:hAnsi="Arial"/>
                <w:sz w:val="7"/>
                <w:szCs w:val="7"/>
                <w:color w:val="auto"/>
              </w:rPr>
              <w:t xml:space="preserve"> C</w:t>
            </w:r>
            <w:r>
              <w:rPr>
                <w:rFonts w:ascii="Arial" w:cs="Arial" w:eastAsia="Arial" w:hAnsi="Arial"/>
                <w:sz w:val="6"/>
                <w:szCs w:val="6"/>
                <w:color w:val="auto"/>
              </w:rPr>
              <w:t>ORP</w:t>
            </w:r>
            <w:r>
              <w:rPr>
                <w:rFonts w:ascii="Arial" w:cs="Arial" w:eastAsia="Arial" w:hAnsi="Arial"/>
                <w:sz w:val="7"/>
                <w:szCs w:val="7"/>
                <w:color w:val="auto"/>
              </w:rPr>
              <w:t>.</w:t>
            </w:r>
            <w:r>
              <w:rPr>
                <w:rFonts w:ascii="Arial" w:cs="Arial" w:eastAsia="Arial" w:hAnsi="Arial"/>
                <w:sz w:val="11"/>
                <w:szCs w:val="11"/>
                <w:color w:val="auto"/>
                <w:vertAlign w:val="superscript"/>
              </w:rPr>
              <w:t>(5)</w:t>
            </w:r>
          </w:p>
        </w:tc>
        <w:tc>
          <w:tcPr>
            <w:tcW w:w="920" w:type="dxa"/>
            <w:vAlign w:val="bottom"/>
            <w:gridSpan w:val="3"/>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04/15/2015</w:t>
            </w:r>
          </w:p>
        </w:tc>
        <w:tc>
          <w:tcPr>
            <w:tcW w:w="146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B</w:t>
            </w:r>
            <w:r>
              <w:rPr>
                <w:rFonts w:ascii="Arial" w:cs="Arial" w:eastAsia="Arial" w:hAnsi="Arial"/>
                <w:sz w:val="7"/>
                <w:szCs w:val="7"/>
                <w:color w:val="auto"/>
              </w:rPr>
              <w:t>UILDINGS</w:t>
            </w:r>
            <w:r>
              <w:rPr>
                <w:rFonts w:ascii="Arial" w:cs="Arial" w:eastAsia="Arial" w:hAnsi="Arial"/>
                <w:sz w:val="9"/>
                <w:szCs w:val="9"/>
                <w:color w:val="auto"/>
              </w:rPr>
              <w:t xml:space="preserve"> &amp; R</w:t>
            </w:r>
            <w:r>
              <w:rPr>
                <w:rFonts w:ascii="Arial" w:cs="Arial" w:eastAsia="Arial" w:hAnsi="Arial"/>
                <w:sz w:val="7"/>
                <w:szCs w:val="7"/>
                <w:color w:val="auto"/>
              </w:rPr>
              <w:t>EAL</w:t>
            </w:r>
          </w:p>
        </w:tc>
        <w:tc>
          <w:tcPr>
            <w:tcW w:w="920" w:type="dxa"/>
            <w:vAlign w:val="bottom"/>
            <w:gridSpan w:val="3"/>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12.38%</w:t>
            </w:r>
          </w:p>
        </w:tc>
        <w:tc>
          <w:tcPr>
            <w:tcW w:w="620" w:type="dxa"/>
            <w:vAlign w:val="bottom"/>
            <w:gridSpan w:val="2"/>
            <w:shd w:val="clear" w:color="auto" w:fill="CCEEFF"/>
          </w:tcPr>
          <w:p>
            <w:pPr>
              <w:ind w:left="380"/>
              <w:spacing w:after="0" w:line="99"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28,000,000</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26,117,780</w:t>
            </w: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21,140,000</w:t>
            </w:r>
          </w:p>
        </w:tc>
        <w:tc>
          <w:tcPr>
            <w:tcW w:w="0" w:type="dxa"/>
            <w:vAlign w:val="bottom"/>
          </w:tcPr>
          <w:p>
            <w:pPr>
              <w:spacing w:after="0"/>
              <w:rPr>
                <w:sz w:val="1"/>
                <w:szCs w:val="1"/>
                <w:color w:val="auto"/>
              </w:rPr>
            </w:pPr>
          </w:p>
        </w:tc>
      </w:tr>
      <w:tr>
        <w:trPr>
          <w:trHeight w:val="99"/>
        </w:trPr>
        <w:tc>
          <w:tcPr>
            <w:tcW w:w="4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6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w w:val="90"/>
              </w:rPr>
              <w:t>E</w:t>
            </w:r>
            <w:r>
              <w:rPr>
                <w:rFonts w:ascii="Arial" w:cs="Arial" w:eastAsia="Arial" w:hAnsi="Arial"/>
                <w:sz w:val="7"/>
                <w:szCs w:val="7"/>
                <w:color w:val="auto"/>
                <w:w w:val="90"/>
              </w:rPr>
              <w:t>STATE</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960" w:type="dxa"/>
            <w:vAlign w:val="bottom"/>
          </w:tcPr>
          <w:p>
            <w:pPr>
              <w:spacing w:after="0" w:line="97" w:lineRule="exact"/>
              <w:rPr>
                <w:sz w:val="20"/>
                <w:szCs w:val="20"/>
                <w:color w:val="auto"/>
              </w:rPr>
            </w:pPr>
            <w:r>
              <w:rPr>
                <w:rFonts w:ascii="Arial" w:cs="Arial" w:eastAsia="Arial" w:hAnsi="Arial"/>
                <w:sz w:val="9"/>
                <w:szCs w:val="9"/>
                <w:b w:val="1"/>
                <w:bCs w:val="1"/>
                <w:color w:val="auto"/>
              </w:rPr>
              <w:t>Total Subordinated Debt / Corporate Notes</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Arial" w:cs="Arial" w:eastAsia="Arial" w:hAnsi="Arial"/>
                <w:sz w:val="9"/>
                <w:szCs w:val="9"/>
                <w:color w:val="auto"/>
              </w:rPr>
              <w:t>64,918,268</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62,397,146</w:t>
            </w:r>
          </w:p>
        </w:tc>
        <w:tc>
          <w:tcPr>
            <w:tcW w:w="140" w:type="dxa"/>
            <w:vAlign w:val="bottom"/>
          </w:tcPr>
          <w:p>
            <w:pPr>
              <w:spacing w:after="0"/>
              <w:rPr>
                <w:sz w:val="8"/>
                <w:szCs w:val="8"/>
                <w:color w:val="auto"/>
              </w:rPr>
            </w:pPr>
          </w:p>
        </w:tc>
        <w:tc>
          <w:tcPr>
            <w:tcW w:w="620" w:type="dxa"/>
            <w:vAlign w:val="bottom"/>
          </w:tcPr>
          <w:p>
            <w:pPr>
              <w:jc w:val="right"/>
              <w:spacing w:after="0" w:line="97" w:lineRule="exact"/>
              <w:rPr>
                <w:sz w:val="20"/>
                <w:szCs w:val="20"/>
                <w:color w:val="auto"/>
              </w:rPr>
            </w:pPr>
            <w:r>
              <w:rPr>
                <w:rFonts w:ascii="Arial" w:cs="Arial" w:eastAsia="Arial" w:hAnsi="Arial"/>
                <w:sz w:val="9"/>
                <w:szCs w:val="9"/>
                <w:color w:val="auto"/>
              </w:rPr>
              <w:t>57,318,268</w:t>
            </w:r>
          </w:p>
        </w:tc>
        <w:tc>
          <w:tcPr>
            <w:tcW w:w="0" w:type="dxa"/>
            <w:vAlign w:val="bottom"/>
          </w:tcPr>
          <w:p>
            <w:pPr>
              <w:spacing w:after="0"/>
              <w:rPr>
                <w:sz w:val="1"/>
                <w:szCs w:val="1"/>
                <w:color w:val="auto"/>
              </w:rPr>
            </w:pPr>
          </w:p>
        </w:tc>
      </w:tr>
      <w:tr>
        <w:trPr>
          <w:trHeight w:val="295"/>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9"/>
                <w:szCs w:val="9"/>
                <w:b w:val="1"/>
                <w:bCs w:val="1"/>
                <w:color w:val="auto"/>
                <w:w w:val="79"/>
              </w:rPr>
              <w:t>Shares</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960" w:type="dxa"/>
            <w:vAlign w:val="bottom"/>
            <w:shd w:val="clear" w:color="auto" w:fill="CCEEFF"/>
          </w:tcPr>
          <w:p>
            <w:pPr>
              <w:spacing w:after="0" w:line="106" w:lineRule="exact"/>
              <w:rPr>
                <w:sz w:val="20"/>
                <w:szCs w:val="20"/>
                <w:color w:val="auto"/>
              </w:rPr>
            </w:pPr>
            <w:r>
              <w:rPr>
                <w:rFonts w:ascii="Arial" w:cs="Arial" w:eastAsia="Arial" w:hAnsi="Arial"/>
                <w:sz w:val="8"/>
                <w:szCs w:val="8"/>
                <w:b w:val="1"/>
                <w:bCs w:val="1"/>
                <w:color w:val="auto"/>
              </w:rPr>
              <w:t>C</w:t>
            </w:r>
            <w:r>
              <w:rPr>
                <w:rFonts w:ascii="Arial" w:cs="Arial" w:eastAsia="Arial" w:hAnsi="Arial"/>
                <w:sz w:val="6"/>
                <w:szCs w:val="6"/>
                <w:b w:val="1"/>
                <w:bCs w:val="1"/>
                <w:color w:val="auto"/>
              </w:rPr>
              <w:t>OMMON</w:t>
            </w:r>
            <w:r>
              <w:rPr>
                <w:rFonts w:ascii="Arial" w:cs="Arial" w:eastAsia="Arial" w:hAnsi="Arial"/>
                <w:sz w:val="8"/>
                <w:szCs w:val="8"/>
                <w:b w:val="1"/>
                <w:bCs w:val="1"/>
                <w:color w:val="auto"/>
              </w:rPr>
              <w:t xml:space="preserve"> E</w:t>
            </w:r>
            <w:r>
              <w:rPr>
                <w:rFonts w:ascii="Arial" w:cs="Arial" w:eastAsia="Arial" w:hAnsi="Arial"/>
                <w:sz w:val="6"/>
                <w:szCs w:val="6"/>
                <w:b w:val="1"/>
                <w:bCs w:val="1"/>
                <w:color w:val="auto"/>
              </w:rPr>
              <w:t>QUITY</w:t>
            </w:r>
            <w:r>
              <w:rPr>
                <w:rFonts w:ascii="Arial" w:cs="Arial" w:eastAsia="Arial" w:hAnsi="Arial"/>
                <w:sz w:val="12"/>
                <w:szCs w:val="12"/>
                <w:b w:val="1"/>
                <w:bCs w:val="1"/>
                <w:color w:val="auto"/>
                <w:vertAlign w:val="superscript"/>
              </w:rPr>
              <w:t>**</w:t>
            </w:r>
            <w:r>
              <w:rPr>
                <w:rFonts w:ascii="Arial" w:cs="Arial" w:eastAsia="Arial" w:hAnsi="Arial"/>
                <w:sz w:val="8"/>
                <w:szCs w:val="8"/>
                <w:b w:val="1"/>
                <w:bCs w:val="1"/>
                <w:color w:val="auto"/>
              </w:rPr>
              <w:t>—2.6%</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960" w:type="dxa"/>
            <w:vAlign w:val="bottom"/>
          </w:tcPr>
          <w:p>
            <w:pPr>
              <w:spacing w:after="0" w:line="99" w:lineRule="exact"/>
              <w:rPr>
                <w:sz w:val="20"/>
                <w:szCs w:val="20"/>
                <w:color w:val="auto"/>
              </w:rPr>
            </w:pPr>
            <w:r>
              <w:rPr>
                <w:rFonts w:ascii="Arial" w:cs="Arial" w:eastAsia="Arial" w:hAnsi="Arial"/>
                <w:sz w:val="9"/>
                <w:szCs w:val="9"/>
                <w:color w:val="auto"/>
              </w:rPr>
              <w:t>V</w:t>
            </w:r>
            <w:r>
              <w:rPr>
                <w:rFonts w:ascii="Arial" w:cs="Arial" w:eastAsia="Arial" w:hAnsi="Arial"/>
                <w:sz w:val="7"/>
                <w:szCs w:val="7"/>
                <w:color w:val="auto"/>
              </w:rPr>
              <w:t>SS</w:t>
            </w:r>
            <w:r>
              <w:rPr>
                <w:rFonts w:ascii="Arial" w:cs="Arial" w:eastAsia="Arial" w:hAnsi="Arial"/>
                <w:sz w:val="9"/>
                <w:szCs w:val="9"/>
                <w:color w:val="auto"/>
              </w:rPr>
              <w:t>-A</w:t>
            </w:r>
            <w:r>
              <w:rPr>
                <w:rFonts w:ascii="Arial" w:cs="Arial" w:eastAsia="Arial" w:hAnsi="Arial"/>
                <w:sz w:val="7"/>
                <w:szCs w:val="7"/>
                <w:color w:val="auto"/>
              </w:rPr>
              <w:t>HC</w:t>
            </w:r>
            <w:r>
              <w:rPr>
                <w:rFonts w:ascii="Arial" w:cs="Arial" w:eastAsia="Arial" w:hAnsi="Arial"/>
                <w:sz w:val="9"/>
                <w:szCs w:val="9"/>
                <w:color w:val="auto"/>
              </w:rPr>
              <w:t xml:space="preserve"> H</w:t>
            </w:r>
            <w:r>
              <w:rPr>
                <w:rFonts w:ascii="Arial" w:cs="Arial" w:eastAsia="Arial" w:hAnsi="Arial"/>
                <w:sz w:val="7"/>
                <w:szCs w:val="7"/>
                <w:color w:val="auto"/>
              </w:rPr>
              <w:t>OLDINGS</w:t>
            </w:r>
            <w:r>
              <w:rPr>
                <w:rFonts w:ascii="Arial" w:cs="Arial" w:eastAsia="Arial" w:hAnsi="Arial"/>
                <w:sz w:val="9"/>
                <w:szCs w:val="9"/>
                <w:color w:val="auto"/>
              </w:rPr>
              <w:t>, L.L.C.</w:t>
            </w:r>
          </w:p>
        </w:tc>
        <w:tc>
          <w:tcPr>
            <w:tcW w:w="100" w:type="dxa"/>
            <w:vAlign w:val="bottom"/>
          </w:tcPr>
          <w:p>
            <w:pPr>
              <w:spacing w:after="0"/>
              <w:rPr>
                <w:sz w:val="8"/>
                <w:szCs w:val="8"/>
                <w:color w:val="auto"/>
              </w:rPr>
            </w:pPr>
          </w:p>
        </w:tc>
        <w:tc>
          <w:tcPr>
            <w:tcW w:w="820" w:type="dxa"/>
            <w:vAlign w:val="bottom"/>
            <w:gridSpan w:val="2"/>
          </w:tcPr>
          <w:p>
            <w:pPr>
              <w:ind w:left="580"/>
              <w:spacing w:after="0" w:line="99" w:lineRule="exact"/>
              <w:rPr>
                <w:sz w:val="20"/>
                <w:szCs w:val="20"/>
                <w:color w:val="auto"/>
              </w:rPr>
            </w:pPr>
            <w:r>
              <w:rPr>
                <w:rFonts w:ascii="Arial" w:cs="Arial" w:eastAsia="Arial" w:hAnsi="Arial"/>
                <w:sz w:val="9"/>
                <w:szCs w:val="9"/>
                <w:color w:val="auto"/>
              </w:rPr>
              <w:t>—</w:t>
            </w:r>
          </w:p>
        </w:tc>
        <w:tc>
          <w:tcPr>
            <w:tcW w:w="1460" w:type="dxa"/>
            <w:vAlign w:val="bottom"/>
          </w:tcPr>
          <w:p>
            <w:pPr>
              <w:jc w:val="center"/>
              <w:spacing w:after="0" w:line="99" w:lineRule="exact"/>
              <w:rPr>
                <w:sz w:val="20"/>
                <w:szCs w:val="20"/>
                <w:color w:val="auto"/>
              </w:rPr>
            </w:pPr>
            <w:r>
              <w:rPr>
                <w:rFonts w:ascii="Arial" w:cs="Arial" w:eastAsia="Arial" w:hAnsi="Arial"/>
                <w:sz w:val="9"/>
                <w:szCs w:val="9"/>
                <w:color w:val="auto"/>
              </w:rPr>
              <w:t>O</w:t>
            </w:r>
            <w:r>
              <w:rPr>
                <w:rFonts w:ascii="Arial" w:cs="Arial" w:eastAsia="Arial" w:hAnsi="Arial"/>
                <w:sz w:val="7"/>
                <w:szCs w:val="7"/>
                <w:color w:val="auto"/>
              </w:rPr>
              <w:t>THER</w:t>
            </w:r>
            <w:r>
              <w:rPr>
                <w:rFonts w:ascii="Arial" w:cs="Arial" w:eastAsia="Arial" w:hAnsi="Arial"/>
                <w:sz w:val="9"/>
                <w:szCs w:val="9"/>
                <w:color w:val="auto"/>
              </w:rPr>
              <w:t xml:space="preserve"> M</w:t>
            </w:r>
            <w:r>
              <w:rPr>
                <w:rFonts w:ascii="Arial" w:cs="Arial" w:eastAsia="Arial" w:hAnsi="Arial"/>
                <w:sz w:val="7"/>
                <w:szCs w:val="7"/>
                <w:color w:val="auto"/>
              </w:rPr>
              <w:t>EDIA</w:t>
            </w:r>
          </w:p>
        </w:tc>
        <w:tc>
          <w:tcPr>
            <w:tcW w:w="100" w:type="dxa"/>
            <w:vAlign w:val="bottom"/>
          </w:tcPr>
          <w:p>
            <w:pPr>
              <w:spacing w:after="0"/>
              <w:rPr>
                <w:sz w:val="8"/>
                <w:szCs w:val="8"/>
                <w:color w:val="auto"/>
              </w:rPr>
            </w:pPr>
          </w:p>
        </w:tc>
        <w:tc>
          <w:tcPr>
            <w:tcW w:w="820" w:type="dxa"/>
            <w:vAlign w:val="bottom"/>
            <w:gridSpan w:val="2"/>
          </w:tcPr>
          <w:p>
            <w:pPr>
              <w:jc w:val="right"/>
              <w:ind w:right="360"/>
              <w:spacing w:after="0" w:line="99" w:lineRule="exact"/>
              <w:rPr>
                <w:sz w:val="20"/>
                <w:szCs w:val="20"/>
                <w:color w:val="auto"/>
              </w:rPr>
            </w:pPr>
            <w:r>
              <w:rPr>
                <w:rFonts w:ascii="Arial" w:cs="Arial" w:eastAsia="Arial" w:hAnsi="Arial"/>
                <w:sz w:val="9"/>
                <w:szCs w:val="9"/>
                <w:color w:val="auto"/>
              </w:rPr>
              <w:t>—</w:t>
            </w:r>
          </w:p>
        </w:tc>
        <w:tc>
          <w:tcPr>
            <w:tcW w:w="620" w:type="dxa"/>
            <w:vAlign w:val="bottom"/>
            <w:gridSpan w:val="2"/>
          </w:tcPr>
          <w:p>
            <w:pPr>
              <w:ind w:left="380"/>
              <w:spacing w:after="0" w:line="99"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Arial" w:cs="Arial" w:eastAsia="Arial" w:hAnsi="Arial"/>
                <w:sz w:val="9"/>
                <w:szCs w:val="9"/>
                <w:color w:val="auto"/>
              </w:rPr>
              <w:t>3,000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3,000,000</w:t>
            </w:r>
          </w:p>
        </w:tc>
        <w:tc>
          <w:tcPr>
            <w:tcW w:w="14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9"/>
                <w:szCs w:val="9"/>
                <w:color w:val="auto"/>
              </w:rPr>
              <w:t>3,269,685</w:t>
            </w:r>
          </w:p>
        </w:tc>
        <w:tc>
          <w:tcPr>
            <w:tcW w:w="0" w:type="dxa"/>
            <w:vAlign w:val="bottom"/>
          </w:tcPr>
          <w:p>
            <w:pPr>
              <w:spacing w:after="0"/>
              <w:rPr>
                <w:sz w:val="1"/>
                <w:szCs w:val="1"/>
                <w:color w:val="auto"/>
              </w:rPr>
            </w:pPr>
          </w:p>
        </w:tc>
      </w:tr>
      <w:tr>
        <w:trPr>
          <w:trHeight w:val="92"/>
        </w:trPr>
        <w:tc>
          <w:tcPr>
            <w:tcW w:w="4960" w:type="dxa"/>
            <w:vAlign w:val="bottom"/>
            <w:shd w:val="clear" w:color="auto" w:fill="CCEEFF"/>
          </w:tcPr>
          <w:p>
            <w:pPr>
              <w:spacing w:after="0" w:line="92" w:lineRule="exact"/>
              <w:rPr>
                <w:sz w:val="20"/>
                <w:szCs w:val="20"/>
                <w:color w:val="auto"/>
              </w:rPr>
            </w:pPr>
            <w:r>
              <w:rPr>
                <w:rFonts w:ascii="Arial" w:cs="Arial" w:eastAsia="Arial" w:hAnsi="Arial"/>
                <w:sz w:val="9"/>
                <w:szCs w:val="9"/>
                <w:color w:val="auto"/>
              </w:rPr>
              <w:t>P</w:t>
            </w:r>
            <w:r>
              <w:rPr>
                <w:rFonts w:ascii="Arial" w:cs="Arial" w:eastAsia="Arial" w:hAnsi="Arial"/>
                <w:sz w:val="7"/>
                <w:szCs w:val="7"/>
                <w:color w:val="auto"/>
              </w:rPr>
              <w:t>ERFORMANCE</w:t>
            </w:r>
            <w:r>
              <w:rPr>
                <w:rFonts w:ascii="Arial" w:cs="Arial" w:eastAsia="Arial" w:hAnsi="Arial"/>
                <w:sz w:val="9"/>
                <w:szCs w:val="9"/>
                <w:color w:val="auto"/>
              </w:rPr>
              <w:t xml:space="preserve"> H</w:t>
            </w:r>
            <w:r>
              <w:rPr>
                <w:rFonts w:ascii="Arial" w:cs="Arial" w:eastAsia="Arial" w:hAnsi="Arial"/>
                <w:sz w:val="7"/>
                <w:szCs w:val="7"/>
                <w:color w:val="auto"/>
              </w:rPr>
              <w:t>OLDINGS</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820" w:type="dxa"/>
            <w:vAlign w:val="bottom"/>
            <w:gridSpan w:val="2"/>
            <w:shd w:val="clear" w:color="auto" w:fill="CCEEFF"/>
          </w:tcPr>
          <w:p>
            <w:pPr>
              <w:ind w:left="580"/>
              <w:spacing w:after="0" w:line="92" w:lineRule="exact"/>
              <w:rPr>
                <w:sz w:val="20"/>
                <w:szCs w:val="20"/>
                <w:color w:val="auto"/>
              </w:rPr>
            </w:pPr>
            <w:r>
              <w:rPr>
                <w:rFonts w:ascii="Arial" w:cs="Arial" w:eastAsia="Arial" w:hAnsi="Arial"/>
                <w:sz w:val="9"/>
                <w:szCs w:val="9"/>
                <w:color w:val="auto"/>
              </w:rPr>
              <w:t>—</w:t>
            </w:r>
          </w:p>
        </w:tc>
        <w:tc>
          <w:tcPr>
            <w:tcW w:w="1460" w:type="dxa"/>
            <w:vAlign w:val="bottom"/>
            <w:shd w:val="clear" w:color="auto" w:fill="CCEEFF"/>
          </w:tcPr>
          <w:p>
            <w:pPr>
              <w:jc w:val="center"/>
              <w:spacing w:after="0" w:line="92" w:lineRule="exact"/>
              <w:rPr>
                <w:sz w:val="20"/>
                <w:szCs w:val="20"/>
                <w:color w:val="auto"/>
              </w:rPr>
            </w:pPr>
            <w:r>
              <w:rPr>
                <w:rFonts w:ascii="Arial" w:cs="Arial" w:eastAsia="Arial" w:hAnsi="Arial"/>
                <w:sz w:val="9"/>
                <w:szCs w:val="9"/>
                <w:color w:val="auto"/>
              </w:rPr>
              <w:t>L</w:t>
            </w:r>
            <w:r>
              <w:rPr>
                <w:rFonts w:ascii="Arial" w:cs="Arial" w:eastAsia="Arial" w:hAnsi="Arial"/>
                <w:sz w:val="7"/>
                <w:szCs w:val="7"/>
                <w:color w:val="auto"/>
              </w:rPr>
              <w:t>EISURE</w:t>
            </w:r>
            <w:r>
              <w:rPr>
                <w:rFonts w:ascii="Arial" w:cs="Arial" w:eastAsia="Arial" w:hAnsi="Arial"/>
                <w:sz w:val="9"/>
                <w:szCs w:val="9"/>
                <w:color w:val="auto"/>
              </w:rPr>
              <w:t>, A</w:t>
            </w:r>
            <w:r>
              <w:rPr>
                <w:rFonts w:ascii="Arial" w:cs="Arial" w:eastAsia="Arial" w:hAnsi="Arial"/>
                <w:sz w:val="7"/>
                <w:szCs w:val="7"/>
                <w:color w:val="auto"/>
              </w:rPr>
              <w:t>MUSEMENT</w:t>
            </w: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360"/>
              <w:spacing w:after="0" w:line="92"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80"/>
              <w:spacing w:after="0" w:line="9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2" w:lineRule="exact"/>
              <w:rPr>
                <w:sz w:val="20"/>
                <w:szCs w:val="20"/>
                <w:color w:val="auto"/>
              </w:rPr>
            </w:pPr>
            <w:r>
              <w:rPr>
                <w:rFonts w:ascii="Arial" w:cs="Arial" w:eastAsia="Arial" w:hAnsi="Arial"/>
                <w:sz w:val="9"/>
                <w:szCs w:val="9"/>
                <w:color w:val="auto"/>
              </w:rPr>
              <w:t>37,500</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00"/>
              <w:spacing w:after="0" w:line="92" w:lineRule="exact"/>
              <w:rPr>
                <w:sz w:val="20"/>
                <w:szCs w:val="20"/>
                <w:color w:val="auto"/>
              </w:rPr>
            </w:pPr>
            <w:r>
              <w:rPr>
                <w:rFonts w:ascii="Arial" w:cs="Arial" w:eastAsia="Arial" w:hAnsi="Arial"/>
                <w:sz w:val="9"/>
                <w:szCs w:val="9"/>
                <w:color w:val="auto"/>
              </w:rPr>
              <w:t>3,750,000</w:t>
            </w: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2" w:lineRule="exact"/>
              <w:rPr>
                <w:sz w:val="20"/>
                <w:szCs w:val="20"/>
                <w:color w:val="auto"/>
              </w:rPr>
            </w:pPr>
            <w:r>
              <w:rPr>
                <w:rFonts w:ascii="Arial" w:cs="Arial" w:eastAsia="Arial" w:hAnsi="Arial"/>
                <w:sz w:val="9"/>
                <w:szCs w:val="9"/>
                <w:color w:val="auto"/>
              </w:rPr>
              <w:t>3,750,000</w:t>
            </w:r>
          </w:p>
        </w:tc>
        <w:tc>
          <w:tcPr>
            <w:tcW w:w="0" w:type="dxa"/>
            <w:vAlign w:val="bottom"/>
          </w:tcPr>
          <w:p>
            <w:pPr>
              <w:spacing w:after="0"/>
              <w:rPr>
                <w:sz w:val="1"/>
                <w:szCs w:val="1"/>
                <w:color w:val="auto"/>
              </w:rPr>
            </w:pPr>
          </w:p>
        </w:tc>
      </w:tr>
      <w:tr>
        <w:trPr>
          <w:trHeight w:val="99"/>
        </w:trPr>
        <w:tc>
          <w:tcPr>
            <w:tcW w:w="4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6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M</w:t>
            </w:r>
            <w:r>
              <w:rPr>
                <w:rFonts w:ascii="Arial" w:cs="Arial" w:eastAsia="Arial" w:hAnsi="Arial"/>
                <w:sz w:val="7"/>
                <w:szCs w:val="7"/>
                <w:color w:val="auto"/>
              </w:rPr>
              <w:t>OTION</w:t>
            </w:r>
            <w:r>
              <w:rPr>
                <w:rFonts w:ascii="Arial" w:cs="Arial" w:eastAsia="Arial" w:hAnsi="Arial"/>
                <w:sz w:val="9"/>
                <w:szCs w:val="9"/>
                <w:color w:val="auto"/>
              </w:rPr>
              <w:t xml:space="preserve"> P</w:t>
            </w:r>
            <w:r>
              <w:rPr>
                <w:rFonts w:ascii="Arial" w:cs="Arial" w:eastAsia="Arial" w:hAnsi="Arial"/>
                <w:sz w:val="7"/>
                <w:szCs w:val="7"/>
                <w:color w:val="auto"/>
              </w:rPr>
              <w:t>ICTURES</w:t>
            </w:r>
            <w:r>
              <w:rPr>
                <w:rFonts w:ascii="Arial" w:cs="Arial" w:eastAsia="Arial" w:hAnsi="Arial"/>
                <w:sz w:val="9"/>
                <w:szCs w:val="9"/>
                <w:color w:val="auto"/>
              </w:rPr>
              <w:t xml:space="preserve"> &amp;</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9"/>
                <w:szCs w:val="9"/>
                <w:color w:val="auto"/>
              </w:rPr>
              <w:t>E</w:t>
            </w:r>
            <w:r>
              <w:rPr>
                <w:rFonts w:ascii="Arial" w:cs="Arial" w:eastAsia="Arial" w:hAnsi="Arial"/>
                <w:sz w:val="7"/>
                <w:szCs w:val="7"/>
                <w:color w:val="auto"/>
              </w:rPr>
              <w:t>NTERTAINMENT</w:t>
            </w: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960" w:type="dxa"/>
            <w:vAlign w:val="bottom"/>
          </w:tcPr>
          <w:p>
            <w:pPr>
              <w:spacing w:after="0" w:line="97" w:lineRule="exact"/>
              <w:rPr>
                <w:sz w:val="20"/>
                <w:szCs w:val="20"/>
                <w:color w:val="auto"/>
              </w:rPr>
            </w:pPr>
            <w:r>
              <w:rPr>
                <w:rFonts w:ascii="Arial" w:cs="Arial" w:eastAsia="Arial" w:hAnsi="Arial"/>
                <w:sz w:val="9"/>
                <w:szCs w:val="9"/>
                <w:b w:val="1"/>
                <w:bCs w:val="1"/>
                <w:color w:val="auto"/>
              </w:rPr>
              <w:t>Total Common Equity</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Arial" w:cs="Arial" w:eastAsia="Arial" w:hAnsi="Arial"/>
                <w:sz w:val="9"/>
                <w:szCs w:val="9"/>
                <w:color w:val="auto"/>
              </w:rPr>
              <w:t>40,500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6,750,000</w:t>
            </w:r>
          </w:p>
        </w:tc>
        <w:tc>
          <w:tcPr>
            <w:tcW w:w="140" w:type="dxa"/>
            <w:vAlign w:val="bottom"/>
          </w:tcPr>
          <w:p>
            <w:pPr>
              <w:spacing w:after="0"/>
              <w:rPr>
                <w:sz w:val="8"/>
                <w:szCs w:val="8"/>
                <w:color w:val="auto"/>
              </w:rPr>
            </w:pPr>
          </w:p>
        </w:tc>
        <w:tc>
          <w:tcPr>
            <w:tcW w:w="620" w:type="dxa"/>
            <w:vAlign w:val="bottom"/>
          </w:tcPr>
          <w:p>
            <w:pPr>
              <w:jc w:val="right"/>
              <w:spacing w:after="0" w:line="97" w:lineRule="exact"/>
              <w:rPr>
                <w:sz w:val="20"/>
                <w:szCs w:val="20"/>
                <w:color w:val="auto"/>
              </w:rPr>
            </w:pPr>
            <w:r>
              <w:rPr>
                <w:rFonts w:ascii="Arial" w:cs="Arial" w:eastAsia="Arial" w:hAnsi="Arial"/>
                <w:sz w:val="9"/>
                <w:szCs w:val="9"/>
                <w:color w:val="auto"/>
              </w:rPr>
              <w:t>7,019,685</w:t>
            </w:r>
          </w:p>
        </w:tc>
        <w:tc>
          <w:tcPr>
            <w:tcW w:w="0" w:type="dxa"/>
            <w:vAlign w:val="bottom"/>
          </w:tcPr>
          <w:p>
            <w:pPr>
              <w:spacing w:after="0"/>
              <w:rPr>
                <w:sz w:val="1"/>
                <w:szCs w:val="1"/>
                <w:color w:val="auto"/>
              </w:rPr>
            </w:pPr>
          </w:p>
        </w:tc>
      </w:tr>
      <w:tr>
        <w:trPr>
          <w:trHeight w:val="241"/>
        </w:trPr>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center"/>
              <w:ind w:right="115"/>
              <w:spacing w:after="0"/>
              <w:rPr>
                <w:sz w:val="20"/>
                <w:szCs w:val="20"/>
                <w:color w:val="auto"/>
              </w:rPr>
            </w:pPr>
            <w:r>
              <w:rPr>
                <w:rFonts w:ascii="Arial" w:cs="Arial" w:eastAsia="Arial" w:hAnsi="Arial"/>
                <w:sz w:val="9"/>
                <w:szCs w:val="9"/>
                <w:b w:val="1"/>
                <w:bCs w:val="1"/>
                <w:color w:val="auto"/>
                <w:w w:val="96"/>
              </w:rPr>
              <w:t>Par</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4960" w:type="dxa"/>
            <w:vAlign w:val="bottom"/>
            <w:shd w:val="clear" w:color="auto" w:fill="CCEEFF"/>
          </w:tcPr>
          <w:p>
            <w:pPr>
              <w:spacing w:after="0" w:line="88" w:lineRule="exact"/>
              <w:rPr>
                <w:sz w:val="20"/>
                <w:szCs w:val="20"/>
                <w:color w:val="auto"/>
              </w:rPr>
            </w:pPr>
            <w:r>
              <w:rPr>
                <w:rFonts w:ascii="Arial" w:cs="Arial" w:eastAsia="Arial" w:hAnsi="Arial"/>
                <w:sz w:val="9"/>
                <w:szCs w:val="9"/>
                <w:b w:val="1"/>
                <w:bCs w:val="1"/>
                <w:color w:val="auto"/>
              </w:rPr>
              <w:t>Second Lien Secured Debt—25.0%</w:t>
            </w: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960" w:type="dxa"/>
            <w:vAlign w:val="bottom"/>
          </w:tcPr>
          <w:p>
            <w:pPr>
              <w:spacing w:after="0" w:line="92" w:lineRule="exact"/>
              <w:rPr>
                <w:sz w:val="20"/>
                <w:szCs w:val="20"/>
                <w:color w:val="auto"/>
              </w:rPr>
            </w:pPr>
            <w:r>
              <w:rPr>
                <w:rFonts w:ascii="Arial" w:cs="Arial" w:eastAsia="Arial" w:hAnsi="Arial"/>
                <w:sz w:val="9"/>
                <w:szCs w:val="9"/>
                <w:color w:val="auto"/>
              </w:rPr>
              <w:t>P</w:t>
            </w:r>
            <w:r>
              <w:rPr>
                <w:rFonts w:ascii="Arial" w:cs="Arial" w:eastAsia="Arial" w:hAnsi="Arial"/>
                <w:sz w:val="7"/>
                <w:szCs w:val="7"/>
                <w:color w:val="auto"/>
              </w:rPr>
              <w:t>ERFORMANCE</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tcPr>
          <w:p>
            <w:pPr>
              <w:jc w:val="right"/>
              <w:ind w:right="100"/>
              <w:spacing w:after="0" w:line="92" w:lineRule="exact"/>
              <w:rPr>
                <w:sz w:val="20"/>
                <w:szCs w:val="20"/>
                <w:color w:val="auto"/>
              </w:rPr>
            </w:pPr>
            <w:r>
              <w:rPr>
                <w:rFonts w:ascii="Arial" w:cs="Arial" w:eastAsia="Arial" w:hAnsi="Arial"/>
                <w:sz w:val="9"/>
                <w:szCs w:val="9"/>
                <w:color w:val="auto"/>
              </w:rPr>
              <w:t>07/02/2014</w:t>
            </w:r>
          </w:p>
        </w:tc>
        <w:tc>
          <w:tcPr>
            <w:tcW w:w="1460" w:type="dxa"/>
            <w:vAlign w:val="bottom"/>
          </w:tcPr>
          <w:p>
            <w:pPr>
              <w:jc w:val="center"/>
              <w:spacing w:after="0" w:line="92" w:lineRule="exact"/>
              <w:rPr>
                <w:sz w:val="20"/>
                <w:szCs w:val="20"/>
                <w:color w:val="auto"/>
              </w:rPr>
            </w:pPr>
            <w:r>
              <w:rPr>
                <w:rFonts w:ascii="Arial" w:cs="Arial" w:eastAsia="Arial" w:hAnsi="Arial"/>
                <w:sz w:val="9"/>
                <w:szCs w:val="9"/>
                <w:color w:val="auto"/>
              </w:rPr>
              <w:t>L</w:t>
            </w:r>
            <w:r>
              <w:rPr>
                <w:rFonts w:ascii="Arial" w:cs="Arial" w:eastAsia="Arial" w:hAnsi="Arial"/>
                <w:sz w:val="7"/>
                <w:szCs w:val="7"/>
                <w:color w:val="auto"/>
              </w:rPr>
              <w:t>EISURE</w:t>
            </w:r>
            <w:r>
              <w:rPr>
                <w:rFonts w:ascii="Arial" w:cs="Arial" w:eastAsia="Arial" w:hAnsi="Arial"/>
                <w:sz w:val="9"/>
                <w:szCs w:val="9"/>
                <w:color w:val="auto"/>
              </w:rPr>
              <w:t>, A</w:t>
            </w:r>
            <w:r>
              <w:rPr>
                <w:rFonts w:ascii="Arial" w:cs="Arial" w:eastAsia="Arial" w:hAnsi="Arial"/>
                <w:sz w:val="7"/>
                <w:szCs w:val="7"/>
                <w:color w:val="auto"/>
              </w:rPr>
              <w:t>MUSEMENT</w:t>
            </w:r>
            <w:r>
              <w:rPr>
                <w:rFonts w:ascii="Arial" w:cs="Arial" w:eastAsia="Arial" w:hAnsi="Arial"/>
                <w:sz w:val="9"/>
                <w:szCs w:val="9"/>
                <w:color w:val="auto"/>
              </w:rPr>
              <w:t>,</w:t>
            </w:r>
          </w:p>
        </w:tc>
        <w:tc>
          <w:tcPr>
            <w:tcW w:w="920" w:type="dxa"/>
            <w:vAlign w:val="bottom"/>
            <w:gridSpan w:val="3"/>
          </w:tcPr>
          <w:p>
            <w:pPr>
              <w:jc w:val="right"/>
              <w:ind w:right="240"/>
              <w:spacing w:after="0" w:line="92" w:lineRule="exact"/>
              <w:rPr>
                <w:sz w:val="20"/>
                <w:szCs w:val="20"/>
                <w:color w:val="auto"/>
              </w:rPr>
            </w:pPr>
            <w:r>
              <w:rPr>
                <w:rFonts w:ascii="Arial" w:cs="Arial" w:eastAsia="Arial" w:hAnsi="Arial"/>
                <w:sz w:val="9"/>
                <w:szCs w:val="9"/>
                <w:color w:val="auto"/>
              </w:rPr>
              <w:t>11.11%</w:t>
            </w:r>
          </w:p>
        </w:tc>
        <w:tc>
          <w:tcPr>
            <w:tcW w:w="620" w:type="dxa"/>
            <w:vAlign w:val="bottom"/>
            <w:gridSpan w:val="2"/>
          </w:tcPr>
          <w:p>
            <w:pPr>
              <w:ind w:left="260"/>
              <w:spacing w:after="0" w:line="92" w:lineRule="exact"/>
              <w:rPr>
                <w:sz w:val="20"/>
                <w:szCs w:val="20"/>
                <w:color w:val="auto"/>
              </w:rPr>
            </w:pPr>
            <w:r>
              <w:rPr>
                <w:rFonts w:ascii="Arial" w:cs="Arial" w:eastAsia="Arial" w:hAnsi="Arial"/>
                <w:sz w:val="9"/>
                <w:szCs w:val="9"/>
                <w:color w:val="auto"/>
              </w:rPr>
              <w:t>L+575</w:t>
            </w:r>
          </w:p>
        </w:tc>
        <w:tc>
          <w:tcPr>
            <w:tcW w:w="140" w:type="dxa"/>
            <w:vAlign w:val="bottom"/>
          </w:tcPr>
          <w:p>
            <w:pPr>
              <w:spacing w:after="0"/>
              <w:rPr>
                <w:sz w:val="7"/>
                <w:szCs w:val="7"/>
                <w:color w:val="auto"/>
              </w:rPr>
            </w:pPr>
          </w:p>
        </w:tc>
        <w:tc>
          <w:tcPr>
            <w:tcW w:w="580" w:type="dxa"/>
            <w:vAlign w:val="bottom"/>
          </w:tcPr>
          <w:p>
            <w:pPr>
              <w:jc w:val="right"/>
              <w:spacing w:after="0" w:line="92" w:lineRule="exact"/>
              <w:rPr>
                <w:sz w:val="20"/>
                <w:szCs w:val="20"/>
                <w:color w:val="auto"/>
              </w:rPr>
            </w:pPr>
            <w:r>
              <w:rPr>
                <w:rFonts w:ascii="Arial" w:cs="Arial" w:eastAsia="Arial" w:hAnsi="Arial"/>
                <w:sz w:val="9"/>
                <w:szCs w:val="9"/>
                <w:color w:val="auto"/>
              </w:rPr>
              <w:t>8,750,000</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tcPr>
          <w:p>
            <w:pPr>
              <w:jc w:val="right"/>
              <w:ind w:right="100"/>
              <w:spacing w:after="0" w:line="92" w:lineRule="exact"/>
              <w:rPr>
                <w:sz w:val="20"/>
                <w:szCs w:val="20"/>
                <w:color w:val="auto"/>
              </w:rPr>
            </w:pPr>
            <w:r>
              <w:rPr>
                <w:rFonts w:ascii="Arial" w:cs="Arial" w:eastAsia="Arial" w:hAnsi="Arial"/>
                <w:sz w:val="9"/>
                <w:szCs w:val="9"/>
                <w:color w:val="auto"/>
              </w:rPr>
              <w:t>8,750,000</w:t>
            </w:r>
          </w:p>
        </w:tc>
        <w:tc>
          <w:tcPr>
            <w:tcW w:w="140" w:type="dxa"/>
            <w:vAlign w:val="bottom"/>
          </w:tcPr>
          <w:p>
            <w:pPr>
              <w:spacing w:after="0"/>
              <w:rPr>
                <w:sz w:val="7"/>
                <w:szCs w:val="7"/>
                <w:color w:val="auto"/>
              </w:rPr>
            </w:pPr>
          </w:p>
        </w:tc>
        <w:tc>
          <w:tcPr>
            <w:tcW w:w="620" w:type="dxa"/>
            <w:vAlign w:val="bottom"/>
          </w:tcPr>
          <w:p>
            <w:pPr>
              <w:jc w:val="right"/>
              <w:spacing w:after="0" w:line="92" w:lineRule="exact"/>
              <w:rPr>
                <w:sz w:val="20"/>
                <w:szCs w:val="20"/>
                <w:color w:val="auto"/>
              </w:rPr>
            </w:pPr>
            <w:r>
              <w:rPr>
                <w:rFonts w:ascii="Arial" w:cs="Arial" w:eastAsia="Arial" w:hAnsi="Arial"/>
                <w:sz w:val="9"/>
                <w:szCs w:val="9"/>
                <w:color w:val="auto"/>
              </w:rPr>
              <w:t>8,750,000</w:t>
            </w:r>
          </w:p>
        </w:tc>
        <w:tc>
          <w:tcPr>
            <w:tcW w:w="0" w:type="dxa"/>
            <w:vAlign w:val="bottom"/>
          </w:tcPr>
          <w:p>
            <w:pPr>
              <w:spacing w:after="0"/>
              <w:rPr>
                <w:sz w:val="1"/>
                <w:szCs w:val="1"/>
                <w:color w:val="auto"/>
              </w:rPr>
            </w:pPr>
          </w:p>
        </w:tc>
      </w:tr>
      <w:tr>
        <w:trPr>
          <w:trHeight w:val="99"/>
        </w:trPr>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jc w:val="center"/>
              <w:spacing w:after="0" w:line="99" w:lineRule="exact"/>
              <w:rPr>
                <w:sz w:val="20"/>
                <w:szCs w:val="20"/>
                <w:color w:val="auto"/>
              </w:rPr>
            </w:pPr>
            <w:r>
              <w:rPr>
                <w:rFonts w:ascii="Arial" w:cs="Arial" w:eastAsia="Arial" w:hAnsi="Arial"/>
                <w:sz w:val="9"/>
                <w:szCs w:val="9"/>
                <w:color w:val="auto"/>
              </w:rPr>
              <w:t>M</w:t>
            </w:r>
            <w:r>
              <w:rPr>
                <w:rFonts w:ascii="Arial" w:cs="Arial" w:eastAsia="Arial" w:hAnsi="Arial"/>
                <w:sz w:val="7"/>
                <w:szCs w:val="7"/>
                <w:color w:val="auto"/>
              </w:rPr>
              <w:t>OTION</w:t>
            </w:r>
            <w:r>
              <w:rPr>
                <w:rFonts w:ascii="Arial" w:cs="Arial" w:eastAsia="Arial" w:hAnsi="Arial"/>
                <w:sz w:val="9"/>
                <w:szCs w:val="9"/>
                <w:color w:val="auto"/>
              </w:rPr>
              <w:t xml:space="preserve"> P</w:t>
            </w:r>
            <w:r>
              <w:rPr>
                <w:rFonts w:ascii="Arial" w:cs="Arial" w:eastAsia="Arial" w:hAnsi="Arial"/>
                <w:sz w:val="7"/>
                <w:szCs w:val="7"/>
                <w:color w:val="auto"/>
              </w:rPr>
              <w:t>ICTURES</w:t>
            </w:r>
            <w:r>
              <w:rPr>
                <w:rFonts w:ascii="Arial" w:cs="Arial" w:eastAsia="Arial" w:hAnsi="Arial"/>
                <w:sz w:val="9"/>
                <w:szCs w:val="9"/>
                <w:color w:val="auto"/>
              </w:rPr>
              <w:t xml:space="preserve"> &amp;</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jc w:val="center"/>
              <w:spacing w:after="0"/>
              <w:rPr>
                <w:sz w:val="20"/>
                <w:szCs w:val="20"/>
                <w:color w:val="auto"/>
              </w:rPr>
            </w:pPr>
            <w:r>
              <w:rPr>
                <w:rFonts w:ascii="Arial" w:cs="Arial" w:eastAsia="Arial" w:hAnsi="Arial"/>
                <w:sz w:val="9"/>
                <w:szCs w:val="9"/>
                <w:color w:val="auto"/>
              </w:rPr>
              <w:t>E</w:t>
            </w:r>
            <w:r>
              <w:rPr>
                <w:rFonts w:ascii="Arial" w:cs="Arial" w:eastAsia="Arial" w:hAnsi="Arial"/>
                <w:sz w:val="7"/>
                <w:szCs w:val="7"/>
                <w:color w:val="auto"/>
              </w:rPr>
              <w:t>NTERTAINMENT</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9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Q</w:t>
            </w:r>
            <w:r>
              <w:rPr>
                <w:rFonts w:ascii="Arial" w:cs="Arial" w:eastAsia="Arial" w:hAnsi="Arial"/>
                <w:sz w:val="7"/>
                <w:szCs w:val="7"/>
                <w:color w:val="auto"/>
              </w:rPr>
              <w:t>UESTEX</w:t>
            </w:r>
            <w:r>
              <w:rPr>
                <w:rFonts w:ascii="Arial" w:cs="Arial" w:eastAsia="Arial" w:hAnsi="Arial"/>
                <w:sz w:val="9"/>
                <w:szCs w:val="9"/>
                <w:color w:val="auto"/>
              </w:rPr>
              <w:t xml:space="preserve"> M</w:t>
            </w:r>
            <w:r>
              <w:rPr>
                <w:rFonts w:ascii="Arial" w:cs="Arial" w:eastAsia="Arial" w:hAnsi="Arial"/>
                <w:sz w:val="7"/>
                <w:szCs w:val="7"/>
                <w:color w:val="auto"/>
              </w:rPr>
              <w:t>EDIA</w:t>
            </w:r>
            <w:r>
              <w:rPr>
                <w:rFonts w:ascii="Arial" w:cs="Arial" w:eastAsia="Arial" w:hAnsi="Arial"/>
                <w:sz w:val="9"/>
                <w:szCs w:val="9"/>
                <w:color w:val="auto"/>
              </w:rPr>
              <w:t xml:space="preserve"> G</w:t>
            </w:r>
            <w:r>
              <w:rPr>
                <w:rFonts w:ascii="Arial" w:cs="Arial" w:eastAsia="Arial" w:hAnsi="Arial"/>
                <w:sz w:val="7"/>
                <w:szCs w:val="7"/>
                <w:color w:val="auto"/>
              </w:rPr>
              <w:t>ROUP</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11/04/2014</w:t>
            </w:r>
          </w:p>
        </w:tc>
        <w:tc>
          <w:tcPr>
            <w:tcW w:w="146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O</w:t>
            </w:r>
            <w:r>
              <w:rPr>
                <w:rFonts w:ascii="Arial" w:cs="Arial" w:eastAsia="Arial" w:hAnsi="Arial"/>
                <w:sz w:val="7"/>
                <w:szCs w:val="7"/>
                <w:color w:val="auto"/>
              </w:rPr>
              <w:t>THER</w:t>
            </w:r>
            <w:r>
              <w:rPr>
                <w:rFonts w:ascii="Arial" w:cs="Arial" w:eastAsia="Arial" w:hAnsi="Arial"/>
                <w:sz w:val="9"/>
                <w:szCs w:val="9"/>
                <w:color w:val="auto"/>
              </w:rPr>
              <w:t xml:space="preserve"> M</w:t>
            </w:r>
            <w:r>
              <w:rPr>
                <w:rFonts w:ascii="Arial" w:cs="Arial" w:eastAsia="Arial" w:hAnsi="Arial"/>
                <w:sz w:val="7"/>
                <w:szCs w:val="7"/>
                <w:color w:val="auto"/>
              </w:rPr>
              <w:t>EDIA</w:t>
            </w:r>
          </w:p>
        </w:tc>
        <w:tc>
          <w:tcPr>
            <w:tcW w:w="920" w:type="dxa"/>
            <w:vAlign w:val="bottom"/>
            <w:gridSpan w:val="3"/>
            <w:shd w:val="clear" w:color="auto" w:fill="CCEEFF"/>
          </w:tcPr>
          <w:p>
            <w:pPr>
              <w:jc w:val="right"/>
              <w:ind w:right="240"/>
              <w:spacing w:after="0" w:line="99" w:lineRule="exact"/>
              <w:rPr>
                <w:sz w:val="20"/>
                <w:szCs w:val="20"/>
                <w:color w:val="auto"/>
              </w:rPr>
            </w:pPr>
            <w:r>
              <w:rPr>
                <w:rFonts w:ascii="Arial" w:cs="Arial" w:eastAsia="Arial" w:hAnsi="Arial"/>
                <w:sz w:val="9"/>
                <w:szCs w:val="9"/>
                <w:color w:val="auto"/>
              </w:rPr>
              <w:t>12.08%</w:t>
            </w:r>
          </w:p>
        </w:tc>
        <w:tc>
          <w:tcPr>
            <w:tcW w:w="620" w:type="dxa"/>
            <w:vAlign w:val="bottom"/>
            <w:gridSpan w:val="2"/>
            <w:shd w:val="clear" w:color="auto" w:fill="CCEEFF"/>
          </w:tcPr>
          <w:p>
            <w:pPr>
              <w:ind w:left="260"/>
              <w:spacing w:after="0" w:line="99" w:lineRule="exact"/>
              <w:rPr>
                <w:sz w:val="20"/>
                <w:szCs w:val="20"/>
                <w:color w:val="auto"/>
              </w:rPr>
            </w:pPr>
            <w:r>
              <w:rPr>
                <w:rFonts w:ascii="Arial" w:cs="Arial" w:eastAsia="Arial" w:hAnsi="Arial"/>
                <w:sz w:val="9"/>
                <w:szCs w:val="9"/>
                <w:color w:val="auto"/>
              </w:rPr>
              <w:t>L+650</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10,000,000</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10,000,000</w:t>
            </w: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9,800,000</w:t>
            </w:r>
          </w:p>
        </w:tc>
        <w:tc>
          <w:tcPr>
            <w:tcW w:w="0" w:type="dxa"/>
            <w:vAlign w:val="bottom"/>
          </w:tcPr>
          <w:p>
            <w:pPr>
              <w:spacing w:after="0"/>
              <w:rPr>
                <w:sz w:val="1"/>
                <w:szCs w:val="1"/>
                <w:color w:val="auto"/>
              </w:rPr>
            </w:pPr>
          </w:p>
        </w:tc>
      </w:tr>
      <w:tr>
        <w:trPr>
          <w:trHeight w:val="117"/>
        </w:trPr>
        <w:tc>
          <w:tcPr>
            <w:tcW w:w="4960" w:type="dxa"/>
            <w:vAlign w:val="bottom"/>
          </w:tcPr>
          <w:p>
            <w:pPr>
              <w:spacing w:after="0" w:line="117" w:lineRule="exact"/>
              <w:rPr>
                <w:sz w:val="20"/>
                <w:szCs w:val="20"/>
                <w:color w:val="auto"/>
              </w:rPr>
            </w:pPr>
            <w:r>
              <w:rPr>
                <w:rFonts w:ascii="Arial" w:cs="Arial" w:eastAsia="Arial" w:hAnsi="Arial"/>
                <w:sz w:val="8"/>
                <w:szCs w:val="8"/>
                <w:color w:val="auto"/>
              </w:rPr>
              <w:t>S</w:t>
            </w:r>
            <w:r>
              <w:rPr>
                <w:rFonts w:ascii="Arial" w:cs="Arial" w:eastAsia="Arial" w:hAnsi="Arial"/>
                <w:sz w:val="7"/>
                <w:szCs w:val="7"/>
                <w:color w:val="auto"/>
              </w:rPr>
              <w:t>AINT</w:t>
            </w:r>
            <w:r>
              <w:rPr>
                <w:rFonts w:ascii="Arial" w:cs="Arial" w:eastAsia="Arial" w:hAnsi="Arial"/>
                <w:sz w:val="8"/>
                <w:szCs w:val="8"/>
                <w:color w:val="auto"/>
              </w:rPr>
              <w:t xml:space="preserve"> A</w:t>
            </w:r>
            <w:r>
              <w:rPr>
                <w:rFonts w:ascii="Arial" w:cs="Arial" w:eastAsia="Arial" w:hAnsi="Arial"/>
                <w:sz w:val="7"/>
                <w:szCs w:val="7"/>
                <w:color w:val="auto"/>
              </w:rPr>
              <w:t>CQUISITION</w:t>
            </w:r>
            <w:r>
              <w:rPr>
                <w:rFonts w:ascii="Arial" w:cs="Arial" w:eastAsia="Arial" w:hAnsi="Arial"/>
                <w:sz w:val="8"/>
                <w:szCs w:val="8"/>
                <w:color w:val="auto"/>
              </w:rPr>
              <w:t xml:space="preserve"> C</w:t>
            </w:r>
            <w:r>
              <w:rPr>
                <w:rFonts w:ascii="Arial" w:cs="Arial" w:eastAsia="Arial" w:hAnsi="Arial"/>
                <w:sz w:val="7"/>
                <w:szCs w:val="7"/>
                <w:color w:val="auto"/>
              </w:rPr>
              <w:t>ORP</w:t>
            </w:r>
            <w:r>
              <w:rPr>
                <w:rFonts w:ascii="Arial" w:cs="Arial" w:eastAsia="Arial" w:hAnsi="Arial"/>
                <w:sz w:val="8"/>
                <w:szCs w:val="8"/>
                <w:color w:val="auto"/>
              </w:rPr>
              <w:t>.</w:t>
            </w:r>
            <w:r>
              <w:rPr>
                <w:rFonts w:ascii="Arial" w:cs="Arial" w:eastAsia="Arial" w:hAnsi="Arial"/>
                <w:sz w:val="13"/>
                <w:szCs w:val="13"/>
                <w:color w:val="auto"/>
                <w:vertAlign w:val="superscript"/>
              </w:rPr>
              <w:t>(5)</w:t>
            </w:r>
          </w:p>
        </w:tc>
        <w:tc>
          <w:tcPr>
            <w:tcW w:w="920" w:type="dxa"/>
            <w:vAlign w:val="bottom"/>
            <w:gridSpan w:val="3"/>
          </w:tcPr>
          <w:p>
            <w:pPr>
              <w:jc w:val="right"/>
              <w:ind w:right="100"/>
              <w:spacing w:after="0"/>
              <w:rPr>
                <w:sz w:val="20"/>
                <w:szCs w:val="20"/>
                <w:color w:val="auto"/>
              </w:rPr>
            </w:pPr>
            <w:r>
              <w:rPr>
                <w:rFonts w:ascii="Arial" w:cs="Arial" w:eastAsia="Arial" w:hAnsi="Arial"/>
                <w:sz w:val="9"/>
                <w:szCs w:val="9"/>
                <w:color w:val="auto"/>
              </w:rPr>
              <w:t>05/15/2015</w:t>
            </w:r>
          </w:p>
        </w:tc>
        <w:tc>
          <w:tcPr>
            <w:tcW w:w="1460" w:type="dxa"/>
            <w:vAlign w:val="bottom"/>
          </w:tcPr>
          <w:p>
            <w:pPr>
              <w:jc w:val="center"/>
              <w:spacing w:after="0"/>
              <w:rPr>
                <w:sz w:val="20"/>
                <w:szCs w:val="20"/>
                <w:color w:val="auto"/>
              </w:rPr>
            </w:pPr>
            <w:r>
              <w:rPr>
                <w:rFonts w:ascii="Arial" w:cs="Arial" w:eastAsia="Arial" w:hAnsi="Arial"/>
                <w:sz w:val="9"/>
                <w:szCs w:val="9"/>
                <w:color w:val="auto"/>
              </w:rPr>
              <w:t>T</w:t>
            </w:r>
            <w:r>
              <w:rPr>
                <w:rFonts w:ascii="Arial" w:cs="Arial" w:eastAsia="Arial" w:hAnsi="Arial"/>
                <w:sz w:val="7"/>
                <w:szCs w:val="7"/>
                <w:color w:val="auto"/>
              </w:rPr>
              <w:t>RANSPORTATION</w:t>
            </w:r>
          </w:p>
        </w:tc>
        <w:tc>
          <w:tcPr>
            <w:tcW w:w="920" w:type="dxa"/>
            <w:vAlign w:val="bottom"/>
            <w:gridSpan w:val="3"/>
          </w:tcPr>
          <w:p>
            <w:pPr>
              <w:jc w:val="right"/>
              <w:ind w:right="240"/>
              <w:spacing w:after="0"/>
              <w:rPr>
                <w:sz w:val="20"/>
                <w:szCs w:val="20"/>
                <w:color w:val="auto"/>
              </w:rPr>
            </w:pPr>
            <w:r>
              <w:rPr>
                <w:rFonts w:ascii="Arial" w:cs="Arial" w:eastAsia="Arial" w:hAnsi="Arial"/>
                <w:sz w:val="9"/>
                <w:szCs w:val="9"/>
                <w:color w:val="auto"/>
              </w:rPr>
              <w:t>13.31%</w:t>
            </w:r>
          </w:p>
        </w:tc>
        <w:tc>
          <w:tcPr>
            <w:tcW w:w="620" w:type="dxa"/>
            <w:vAlign w:val="bottom"/>
            <w:gridSpan w:val="2"/>
          </w:tcPr>
          <w:p>
            <w:pPr>
              <w:ind w:left="260"/>
              <w:spacing w:after="0"/>
              <w:rPr>
                <w:sz w:val="20"/>
                <w:szCs w:val="20"/>
                <w:color w:val="auto"/>
              </w:rPr>
            </w:pPr>
            <w:r>
              <w:rPr>
                <w:rFonts w:ascii="Arial" w:cs="Arial" w:eastAsia="Arial" w:hAnsi="Arial"/>
                <w:sz w:val="9"/>
                <w:szCs w:val="9"/>
                <w:color w:val="auto"/>
              </w:rPr>
              <w:t>L+775</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10,000,000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9,932,321</w:t>
            </w: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6,800,000</w:t>
            </w:r>
          </w:p>
        </w:tc>
        <w:tc>
          <w:tcPr>
            <w:tcW w:w="0" w:type="dxa"/>
            <w:vAlign w:val="bottom"/>
          </w:tcPr>
          <w:p>
            <w:pPr>
              <w:spacing w:after="0"/>
              <w:rPr>
                <w:sz w:val="1"/>
                <w:szCs w:val="1"/>
                <w:color w:val="auto"/>
              </w:rPr>
            </w:pPr>
          </w:p>
        </w:tc>
      </w:tr>
      <w:tr>
        <w:trPr>
          <w:trHeight w:val="117"/>
        </w:trPr>
        <w:tc>
          <w:tcPr>
            <w:tcW w:w="4960" w:type="dxa"/>
            <w:vAlign w:val="bottom"/>
            <w:shd w:val="clear" w:color="auto" w:fill="CCEEFF"/>
          </w:tcPr>
          <w:p>
            <w:pPr>
              <w:spacing w:after="0" w:line="117" w:lineRule="exact"/>
              <w:rPr>
                <w:sz w:val="20"/>
                <w:szCs w:val="20"/>
                <w:color w:val="auto"/>
              </w:rPr>
            </w:pPr>
            <w:r>
              <w:rPr>
                <w:rFonts w:ascii="Arial" w:cs="Arial" w:eastAsia="Arial" w:hAnsi="Arial"/>
                <w:sz w:val="8"/>
                <w:szCs w:val="8"/>
                <w:color w:val="auto"/>
              </w:rPr>
              <w:t>S</w:t>
            </w:r>
            <w:r>
              <w:rPr>
                <w:rFonts w:ascii="Arial" w:cs="Arial" w:eastAsia="Arial" w:hAnsi="Arial"/>
                <w:sz w:val="7"/>
                <w:szCs w:val="7"/>
                <w:color w:val="auto"/>
              </w:rPr>
              <w:t>AINT</w:t>
            </w:r>
            <w:r>
              <w:rPr>
                <w:rFonts w:ascii="Arial" w:cs="Arial" w:eastAsia="Arial" w:hAnsi="Arial"/>
                <w:sz w:val="8"/>
                <w:szCs w:val="8"/>
                <w:color w:val="auto"/>
              </w:rPr>
              <w:t xml:space="preserve"> A</w:t>
            </w:r>
            <w:r>
              <w:rPr>
                <w:rFonts w:ascii="Arial" w:cs="Arial" w:eastAsia="Arial" w:hAnsi="Arial"/>
                <w:sz w:val="7"/>
                <w:szCs w:val="7"/>
                <w:color w:val="auto"/>
              </w:rPr>
              <w:t>CQUISITION</w:t>
            </w:r>
            <w:r>
              <w:rPr>
                <w:rFonts w:ascii="Arial" w:cs="Arial" w:eastAsia="Arial" w:hAnsi="Arial"/>
                <w:sz w:val="8"/>
                <w:szCs w:val="8"/>
                <w:color w:val="auto"/>
              </w:rPr>
              <w:t xml:space="preserve"> C</w:t>
            </w:r>
            <w:r>
              <w:rPr>
                <w:rFonts w:ascii="Arial" w:cs="Arial" w:eastAsia="Arial" w:hAnsi="Arial"/>
                <w:sz w:val="7"/>
                <w:szCs w:val="7"/>
                <w:color w:val="auto"/>
              </w:rPr>
              <w:t>ORP</w:t>
            </w:r>
            <w:r>
              <w:rPr>
                <w:rFonts w:ascii="Arial" w:cs="Arial" w:eastAsia="Arial" w:hAnsi="Arial"/>
                <w:sz w:val="8"/>
                <w:szCs w:val="8"/>
                <w:color w:val="auto"/>
              </w:rPr>
              <w:t>.</w:t>
            </w:r>
            <w:r>
              <w:rPr>
                <w:rFonts w:ascii="Arial" w:cs="Arial" w:eastAsia="Arial" w:hAnsi="Arial"/>
                <w:sz w:val="13"/>
                <w:szCs w:val="13"/>
                <w:color w:val="auto"/>
                <w:vertAlign w:val="superscript"/>
              </w:rPr>
              <w:t>(5)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9"/>
                <w:szCs w:val="9"/>
                <w:color w:val="auto"/>
              </w:rPr>
              <w:t>05/15/2017</w:t>
            </w:r>
          </w:p>
        </w:tc>
        <w:tc>
          <w:tcPr>
            <w:tcW w:w="1460" w:type="dxa"/>
            <w:vAlign w:val="bottom"/>
            <w:shd w:val="clear" w:color="auto" w:fill="CCEEFF"/>
          </w:tcPr>
          <w:p>
            <w:pPr>
              <w:jc w:val="center"/>
              <w:spacing w:after="0"/>
              <w:rPr>
                <w:sz w:val="20"/>
                <w:szCs w:val="20"/>
                <w:color w:val="auto"/>
              </w:rPr>
            </w:pPr>
            <w:r>
              <w:rPr>
                <w:rFonts w:ascii="Arial" w:cs="Arial" w:eastAsia="Arial" w:hAnsi="Arial"/>
                <w:sz w:val="9"/>
                <w:szCs w:val="9"/>
                <w:color w:val="auto"/>
              </w:rPr>
              <w:t>T</w:t>
            </w:r>
            <w:r>
              <w:rPr>
                <w:rFonts w:ascii="Arial" w:cs="Arial" w:eastAsia="Arial" w:hAnsi="Arial"/>
                <w:sz w:val="7"/>
                <w:szCs w:val="7"/>
                <w:color w:val="auto"/>
              </w:rPr>
              <w:t>RANSPORTATION</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9"/>
                <w:szCs w:val="9"/>
                <w:color w:val="auto"/>
              </w:rPr>
              <w:t>12.50%</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19,000,000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16,198,167</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12,730,000</w:t>
            </w:r>
          </w:p>
        </w:tc>
        <w:tc>
          <w:tcPr>
            <w:tcW w:w="0" w:type="dxa"/>
            <w:vAlign w:val="bottom"/>
          </w:tcPr>
          <w:p>
            <w:pPr>
              <w:spacing w:after="0"/>
              <w:rPr>
                <w:sz w:val="1"/>
                <w:szCs w:val="1"/>
                <w:color w:val="auto"/>
              </w:rPr>
            </w:pPr>
          </w:p>
        </w:tc>
      </w:tr>
      <w:tr>
        <w:trPr>
          <w:trHeight w:val="92"/>
        </w:trPr>
        <w:tc>
          <w:tcPr>
            <w:tcW w:w="4960" w:type="dxa"/>
            <w:vAlign w:val="bottom"/>
          </w:tcPr>
          <w:p>
            <w:pPr>
              <w:spacing w:after="0" w:line="92" w:lineRule="exact"/>
              <w:rPr>
                <w:sz w:val="20"/>
                <w:szCs w:val="20"/>
                <w:color w:val="auto"/>
              </w:rPr>
            </w:pPr>
            <w:r>
              <w:rPr>
                <w:rFonts w:ascii="Arial" w:cs="Arial" w:eastAsia="Arial" w:hAnsi="Arial"/>
                <w:sz w:val="9"/>
                <w:szCs w:val="9"/>
                <w:color w:val="auto"/>
              </w:rPr>
              <w:t>S</w:t>
            </w:r>
            <w:r>
              <w:rPr>
                <w:rFonts w:ascii="Arial" w:cs="Arial" w:eastAsia="Arial" w:hAnsi="Arial"/>
                <w:sz w:val="7"/>
                <w:szCs w:val="7"/>
                <w:color w:val="auto"/>
              </w:rPr>
              <w:t>PECIALIZED</w:t>
            </w:r>
            <w:r>
              <w:rPr>
                <w:rFonts w:ascii="Arial" w:cs="Arial" w:eastAsia="Arial" w:hAnsi="Arial"/>
                <w:sz w:val="9"/>
                <w:szCs w:val="9"/>
                <w:color w:val="auto"/>
              </w:rPr>
              <w:t xml:space="preserve"> T</w:t>
            </w:r>
            <w:r>
              <w:rPr>
                <w:rFonts w:ascii="Arial" w:cs="Arial" w:eastAsia="Arial" w:hAnsi="Arial"/>
                <w:sz w:val="7"/>
                <w:szCs w:val="7"/>
                <w:color w:val="auto"/>
              </w:rPr>
              <w:t>ECHNOLOGY</w:t>
            </w:r>
            <w:r>
              <w:rPr>
                <w:rFonts w:ascii="Arial" w:cs="Arial" w:eastAsia="Arial" w:hAnsi="Arial"/>
                <w:sz w:val="9"/>
                <w:szCs w:val="9"/>
                <w:color w:val="auto"/>
              </w:rPr>
              <w:t xml:space="preserve"> R</w:t>
            </w:r>
            <w:r>
              <w:rPr>
                <w:rFonts w:ascii="Arial" w:cs="Arial" w:eastAsia="Arial" w:hAnsi="Arial"/>
                <w:sz w:val="7"/>
                <w:szCs w:val="7"/>
                <w:color w:val="auto"/>
              </w:rPr>
              <w:t>ESOURCES</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tcPr>
          <w:p>
            <w:pPr>
              <w:jc w:val="right"/>
              <w:ind w:right="100"/>
              <w:spacing w:after="0" w:line="92" w:lineRule="exact"/>
              <w:rPr>
                <w:sz w:val="20"/>
                <w:szCs w:val="20"/>
                <w:color w:val="auto"/>
              </w:rPr>
            </w:pPr>
            <w:r>
              <w:rPr>
                <w:rFonts w:ascii="Arial" w:cs="Arial" w:eastAsia="Arial" w:hAnsi="Arial"/>
                <w:sz w:val="9"/>
                <w:szCs w:val="9"/>
                <w:color w:val="auto"/>
              </w:rPr>
              <w:t>12/15//2014</w:t>
            </w:r>
          </w:p>
        </w:tc>
        <w:tc>
          <w:tcPr>
            <w:tcW w:w="1460" w:type="dxa"/>
            <w:vAlign w:val="bottom"/>
          </w:tcPr>
          <w:p>
            <w:pPr>
              <w:jc w:val="center"/>
              <w:spacing w:after="0" w:line="92" w:lineRule="exact"/>
              <w:rPr>
                <w:sz w:val="20"/>
                <w:szCs w:val="20"/>
                <w:color w:val="auto"/>
              </w:rPr>
            </w:pPr>
            <w:r>
              <w:rPr>
                <w:rFonts w:ascii="Arial" w:cs="Arial" w:eastAsia="Arial" w:hAnsi="Arial"/>
                <w:sz w:val="9"/>
                <w:szCs w:val="9"/>
                <w:color w:val="auto"/>
              </w:rPr>
              <w:t>C</w:t>
            </w:r>
            <w:r>
              <w:rPr>
                <w:rFonts w:ascii="Arial" w:cs="Arial" w:eastAsia="Arial" w:hAnsi="Arial"/>
                <w:sz w:val="7"/>
                <w:szCs w:val="7"/>
                <w:color w:val="auto"/>
              </w:rPr>
              <w:t>HEMICAL</w:t>
            </w:r>
            <w:r>
              <w:rPr>
                <w:rFonts w:ascii="Arial" w:cs="Arial" w:eastAsia="Arial" w:hAnsi="Arial"/>
                <w:sz w:val="9"/>
                <w:szCs w:val="9"/>
                <w:color w:val="auto"/>
              </w:rPr>
              <w:t>, P</w:t>
            </w:r>
            <w:r>
              <w:rPr>
                <w:rFonts w:ascii="Arial" w:cs="Arial" w:eastAsia="Arial" w:hAnsi="Arial"/>
                <w:sz w:val="7"/>
                <w:szCs w:val="7"/>
                <w:color w:val="auto"/>
              </w:rPr>
              <w:t>LASTICS</w:t>
            </w:r>
            <w:r>
              <w:rPr>
                <w:rFonts w:ascii="Arial" w:cs="Arial" w:eastAsia="Arial" w:hAnsi="Arial"/>
                <w:sz w:val="9"/>
                <w:szCs w:val="9"/>
                <w:color w:val="auto"/>
              </w:rPr>
              <w:t xml:space="preserve"> &amp;</w:t>
            </w:r>
          </w:p>
        </w:tc>
        <w:tc>
          <w:tcPr>
            <w:tcW w:w="920" w:type="dxa"/>
            <w:vAlign w:val="bottom"/>
            <w:gridSpan w:val="3"/>
          </w:tcPr>
          <w:p>
            <w:pPr>
              <w:jc w:val="right"/>
              <w:ind w:right="240"/>
              <w:spacing w:after="0" w:line="92" w:lineRule="exact"/>
              <w:rPr>
                <w:sz w:val="20"/>
                <w:szCs w:val="20"/>
                <w:color w:val="auto"/>
              </w:rPr>
            </w:pPr>
            <w:r>
              <w:rPr>
                <w:rFonts w:ascii="Arial" w:cs="Arial" w:eastAsia="Arial" w:hAnsi="Arial"/>
                <w:sz w:val="9"/>
                <w:szCs w:val="9"/>
                <w:color w:val="auto"/>
              </w:rPr>
              <w:t>12.13%</w:t>
            </w:r>
          </w:p>
        </w:tc>
        <w:tc>
          <w:tcPr>
            <w:tcW w:w="620" w:type="dxa"/>
            <w:vAlign w:val="bottom"/>
            <w:gridSpan w:val="2"/>
          </w:tcPr>
          <w:p>
            <w:pPr>
              <w:ind w:left="260"/>
              <w:spacing w:after="0" w:line="92" w:lineRule="exact"/>
              <w:rPr>
                <w:sz w:val="20"/>
                <w:szCs w:val="20"/>
                <w:color w:val="auto"/>
              </w:rPr>
            </w:pPr>
            <w:r>
              <w:rPr>
                <w:rFonts w:ascii="Arial" w:cs="Arial" w:eastAsia="Arial" w:hAnsi="Arial"/>
                <w:sz w:val="9"/>
                <w:szCs w:val="9"/>
                <w:color w:val="auto"/>
              </w:rPr>
              <w:t>L+700</w:t>
            </w:r>
          </w:p>
        </w:tc>
        <w:tc>
          <w:tcPr>
            <w:tcW w:w="140" w:type="dxa"/>
            <w:vAlign w:val="bottom"/>
          </w:tcPr>
          <w:p>
            <w:pPr>
              <w:spacing w:after="0"/>
              <w:rPr>
                <w:sz w:val="7"/>
                <w:szCs w:val="7"/>
                <w:color w:val="auto"/>
              </w:rPr>
            </w:pPr>
          </w:p>
        </w:tc>
        <w:tc>
          <w:tcPr>
            <w:tcW w:w="580" w:type="dxa"/>
            <w:vAlign w:val="bottom"/>
          </w:tcPr>
          <w:p>
            <w:pPr>
              <w:jc w:val="right"/>
              <w:spacing w:after="0" w:line="92" w:lineRule="exact"/>
              <w:rPr>
                <w:sz w:val="20"/>
                <w:szCs w:val="20"/>
                <w:color w:val="auto"/>
              </w:rPr>
            </w:pPr>
            <w:r>
              <w:rPr>
                <w:rFonts w:ascii="Arial" w:cs="Arial" w:eastAsia="Arial" w:hAnsi="Arial"/>
                <w:sz w:val="9"/>
                <w:szCs w:val="9"/>
                <w:color w:val="auto"/>
              </w:rPr>
              <w:t>17,500,000</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tcPr>
          <w:p>
            <w:pPr>
              <w:jc w:val="right"/>
              <w:ind w:right="100"/>
              <w:spacing w:after="0" w:line="92" w:lineRule="exact"/>
              <w:rPr>
                <w:sz w:val="20"/>
                <w:szCs w:val="20"/>
                <w:color w:val="auto"/>
              </w:rPr>
            </w:pPr>
            <w:r>
              <w:rPr>
                <w:rFonts w:ascii="Arial" w:cs="Arial" w:eastAsia="Arial" w:hAnsi="Arial"/>
                <w:sz w:val="9"/>
                <w:szCs w:val="9"/>
                <w:color w:val="auto"/>
              </w:rPr>
              <w:t>17,493,750</w:t>
            </w:r>
          </w:p>
        </w:tc>
        <w:tc>
          <w:tcPr>
            <w:tcW w:w="140" w:type="dxa"/>
            <w:vAlign w:val="bottom"/>
          </w:tcPr>
          <w:p>
            <w:pPr>
              <w:spacing w:after="0"/>
              <w:rPr>
                <w:sz w:val="7"/>
                <w:szCs w:val="7"/>
                <w:color w:val="auto"/>
              </w:rPr>
            </w:pPr>
          </w:p>
        </w:tc>
        <w:tc>
          <w:tcPr>
            <w:tcW w:w="620" w:type="dxa"/>
            <w:vAlign w:val="bottom"/>
          </w:tcPr>
          <w:p>
            <w:pPr>
              <w:jc w:val="right"/>
              <w:spacing w:after="0" w:line="92" w:lineRule="exact"/>
              <w:rPr>
                <w:sz w:val="20"/>
                <w:szCs w:val="20"/>
                <w:color w:val="auto"/>
              </w:rPr>
            </w:pPr>
            <w:r>
              <w:rPr>
                <w:rFonts w:ascii="Arial" w:cs="Arial" w:eastAsia="Arial" w:hAnsi="Arial"/>
                <w:sz w:val="9"/>
                <w:szCs w:val="9"/>
                <w:color w:val="auto"/>
              </w:rPr>
              <w:t>17,237,500</w:t>
            </w:r>
          </w:p>
        </w:tc>
        <w:tc>
          <w:tcPr>
            <w:tcW w:w="0" w:type="dxa"/>
            <w:vAlign w:val="bottom"/>
          </w:tcPr>
          <w:p>
            <w:pPr>
              <w:spacing w:after="0"/>
              <w:rPr>
                <w:sz w:val="1"/>
                <w:szCs w:val="1"/>
                <w:color w:val="auto"/>
              </w:rPr>
            </w:pPr>
          </w:p>
        </w:tc>
      </w:tr>
      <w:tr>
        <w:trPr>
          <w:trHeight w:val="106"/>
        </w:trPr>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jc w:val="center"/>
              <w:spacing w:after="0"/>
              <w:rPr>
                <w:sz w:val="20"/>
                <w:szCs w:val="20"/>
                <w:color w:val="auto"/>
              </w:rPr>
            </w:pPr>
            <w:r>
              <w:rPr>
                <w:rFonts w:ascii="Arial" w:cs="Arial" w:eastAsia="Arial" w:hAnsi="Arial"/>
                <w:sz w:val="9"/>
                <w:szCs w:val="9"/>
                <w:color w:val="auto"/>
                <w:w w:val="97"/>
              </w:rPr>
              <w:t>R</w:t>
            </w:r>
            <w:r>
              <w:rPr>
                <w:rFonts w:ascii="Arial" w:cs="Arial" w:eastAsia="Arial" w:hAnsi="Arial"/>
                <w:sz w:val="7"/>
                <w:szCs w:val="7"/>
                <w:color w:val="auto"/>
                <w:w w:val="97"/>
              </w:rPr>
              <w:t>UBBER</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96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T</w:t>
            </w:r>
            <w:r>
              <w:rPr>
                <w:rFonts w:ascii="Arial" w:cs="Arial" w:eastAsia="Arial" w:hAnsi="Arial"/>
                <w:sz w:val="7"/>
                <w:szCs w:val="7"/>
                <w:color w:val="auto"/>
              </w:rPr>
              <w:t>RANS</w:t>
            </w:r>
            <w:r>
              <w:rPr>
                <w:rFonts w:ascii="Arial" w:cs="Arial" w:eastAsia="Arial" w:hAnsi="Arial"/>
                <w:sz w:val="9"/>
                <w:szCs w:val="9"/>
                <w:color w:val="auto"/>
              </w:rPr>
              <w:t>F</w:t>
            </w:r>
            <w:r>
              <w:rPr>
                <w:rFonts w:ascii="Arial" w:cs="Arial" w:eastAsia="Arial" w:hAnsi="Arial"/>
                <w:sz w:val="7"/>
                <w:szCs w:val="7"/>
                <w:color w:val="auto"/>
              </w:rPr>
              <w:t>IRST</w:t>
            </w:r>
            <w:r>
              <w:rPr>
                <w:rFonts w:ascii="Arial" w:cs="Arial" w:eastAsia="Arial" w:hAnsi="Arial"/>
                <w:sz w:val="9"/>
                <w:szCs w:val="9"/>
                <w:color w:val="auto"/>
              </w:rPr>
              <w:t xml:space="preserve"> H</w:t>
            </w:r>
            <w:r>
              <w:rPr>
                <w:rFonts w:ascii="Arial" w:cs="Arial" w:eastAsia="Arial" w:hAnsi="Arial"/>
                <w:sz w:val="7"/>
                <w:szCs w:val="7"/>
                <w:color w:val="auto"/>
              </w:rPr>
              <w:t>OLDINGS</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06/15/2015</w:t>
            </w:r>
          </w:p>
        </w:tc>
        <w:tc>
          <w:tcPr>
            <w:tcW w:w="146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w w:val="97"/>
              </w:rPr>
              <w:t>B</w:t>
            </w:r>
            <w:r>
              <w:rPr>
                <w:rFonts w:ascii="Arial" w:cs="Arial" w:eastAsia="Arial" w:hAnsi="Arial"/>
                <w:sz w:val="7"/>
                <w:szCs w:val="7"/>
                <w:color w:val="auto"/>
                <w:w w:val="97"/>
              </w:rPr>
              <w:t>USINESS</w:t>
            </w:r>
            <w:r>
              <w:rPr>
                <w:rFonts w:ascii="Arial" w:cs="Arial" w:eastAsia="Arial" w:hAnsi="Arial"/>
                <w:sz w:val="9"/>
                <w:szCs w:val="9"/>
                <w:color w:val="auto"/>
                <w:w w:val="97"/>
              </w:rPr>
              <w:t xml:space="preserve"> S</w:t>
            </w:r>
            <w:r>
              <w:rPr>
                <w:rFonts w:ascii="Arial" w:cs="Arial" w:eastAsia="Arial" w:hAnsi="Arial"/>
                <w:sz w:val="7"/>
                <w:szCs w:val="7"/>
                <w:color w:val="auto"/>
                <w:w w:val="97"/>
              </w:rPr>
              <w:t>ERVICES</w:t>
            </w:r>
          </w:p>
        </w:tc>
        <w:tc>
          <w:tcPr>
            <w:tcW w:w="920" w:type="dxa"/>
            <w:vAlign w:val="bottom"/>
            <w:gridSpan w:val="3"/>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11.30%*</w:t>
            </w:r>
          </w:p>
        </w:tc>
        <w:tc>
          <w:tcPr>
            <w:tcW w:w="620" w:type="dxa"/>
            <w:vAlign w:val="bottom"/>
            <w:gridSpan w:val="2"/>
            <w:shd w:val="clear" w:color="auto" w:fill="CCEEFF"/>
          </w:tcPr>
          <w:p>
            <w:pPr>
              <w:ind w:left="260"/>
              <w:spacing w:after="0" w:line="99" w:lineRule="exact"/>
              <w:rPr>
                <w:sz w:val="20"/>
                <w:szCs w:val="20"/>
                <w:color w:val="auto"/>
              </w:rPr>
            </w:pPr>
            <w:r>
              <w:rPr>
                <w:rFonts w:ascii="Arial" w:cs="Arial" w:eastAsia="Arial" w:hAnsi="Arial"/>
                <w:sz w:val="9"/>
                <w:szCs w:val="9"/>
                <w:color w:val="auto"/>
              </w:rPr>
              <w:t>L+600</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13,000,000</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12,886,250</w:t>
            </w: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12,431,250</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9"/>
                <w:szCs w:val="9"/>
                <w:b w:val="1"/>
                <w:bCs w:val="1"/>
                <w:color w:val="auto"/>
              </w:rPr>
              <w:t>Total Second Lien Secured Debt</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Arial" w:cs="Arial" w:eastAsia="Arial" w:hAnsi="Arial"/>
                <w:sz w:val="9"/>
                <w:szCs w:val="9"/>
                <w:color w:val="auto"/>
              </w:rPr>
              <w:t>78,250,000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75,260,488</w:t>
            </w:r>
          </w:p>
        </w:tc>
        <w:tc>
          <w:tcPr>
            <w:tcW w:w="140" w:type="dxa"/>
            <w:vAlign w:val="bottom"/>
          </w:tcPr>
          <w:p>
            <w:pPr>
              <w:spacing w:after="0"/>
              <w:rPr>
                <w:sz w:val="8"/>
                <w:szCs w:val="8"/>
                <w:color w:val="auto"/>
              </w:rPr>
            </w:pPr>
          </w:p>
        </w:tc>
        <w:tc>
          <w:tcPr>
            <w:tcW w:w="620" w:type="dxa"/>
            <w:vAlign w:val="bottom"/>
          </w:tcPr>
          <w:p>
            <w:pPr>
              <w:jc w:val="right"/>
              <w:spacing w:after="0" w:line="97" w:lineRule="exact"/>
              <w:rPr>
                <w:sz w:val="20"/>
                <w:szCs w:val="20"/>
                <w:color w:val="auto"/>
              </w:rPr>
            </w:pPr>
            <w:r>
              <w:rPr>
                <w:rFonts w:ascii="Arial" w:cs="Arial" w:eastAsia="Arial" w:hAnsi="Arial"/>
                <w:sz w:val="9"/>
                <w:szCs w:val="9"/>
                <w:color w:val="auto"/>
              </w:rPr>
              <w:t>67,748,750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300"/>
          </w:cols>
          <w:pgMar w:left="300" w:top="354" w:right="299"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OF INVESTMENTS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2007</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3"/>
              </w:rPr>
              <w:t>Basis</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w w:val="88"/>
              </w:rPr>
              <w:t>Point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w w:val="91"/>
              </w:rPr>
              <w:t>Spread</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300" w:type="dxa"/>
            <w:vAlign w:val="bottom"/>
            <w:vMerge w:val="restart"/>
          </w:tcPr>
          <w:p>
            <w:pPr>
              <w:spacing w:after="0"/>
              <w:rPr>
                <w:sz w:val="20"/>
                <w:szCs w:val="20"/>
                <w:color w:val="auto"/>
              </w:rPr>
            </w:pPr>
            <w:r>
              <w:rPr>
                <w:rFonts w:ascii="Arial" w:cs="Arial" w:eastAsia="Arial" w:hAnsi="Arial"/>
                <w:sz w:val="9"/>
                <w:szCs w:val="9"/>
                <w:b w:val="1"/>
                <w:bCs w:val="1"/>
                <w:color w:val="auto"/>
              </w:rPr>
              <w:t>Issuer name</w:t>
            </w:r>
            <w:r>
              <w:rPr>
                <w:rFonts w:ascii="Arial" w:cs="Arial" w:eastAsia="Arial" w:hAnsi="Arial"/>
                <w:sz w:val="14"/>
                <w:szCs w:val="14"/>
                <w:b w:val="1"/>
                <w:bCs w:val="1"/>
                <w:color w:val="auto"/>
                <w:vertAlign w:val="superscript"/>
              </w:rPr>
              <w:t>(1)</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Current</w:t>
            </w:r>
          </w:p>
        </w:tc>
        <w:tc>
          <w:tcPr>
            <w:tcW w:w="6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7"/>
              </w:rPr>
              <w:t>Above</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ind w:right="175"/>
              <w:spacing w:after="0"/>
              <w:rPr>
                <w:sz w:val="20"/>
                <w:szCs w:val="20"/>
                <w:color w:val="auto"/>
              </w:rPr>
            </w:pPr>
            <w:r>
              <w:rPr>
                <w:rFonts w:ascii="Arial" w:cs="Arial" w:eastAsia="Arial" w:hAnsi="Arial"/>
                <w:sz w:val="9"/>
                <w:szCs w:val="9"/>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08"/>
        </w:trPr>
        <w:tc>
          <w:tcPr>
            <w:tcW w:w="5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Maturity</w:t>
            </w:r>
          </w:p>
        </w:tc>
        <w:tc>
          <w:tcPr>
            <w:tcW w:w="1380" w:type="dxa"/>
            <w:vAlign w:val="bottom"/>
          </w:tcPr>
          <w:p>
            <w:pPr>
              <w:jc w:val="center"/>
              <w:spacing w:after="0"/>
              <w:rPr>
                <w:sz w:val="20"/>
                <w:szCs w:val="20"/>
                <w:color w:val="auto"/>
              </w:rPr>
            </w:pPr>
            <w:r>
              <w:rPr>
                <w:rFonts w:ascii="Arial" w:cs="Arial" w:eastAsia="Arial" w:hAnsi="Arial"/>
                <w:sz w:val="9"/>
                <w:szCs w:val="9"/>
                <w:b w:val="1"/>
                <w:bCs w:val="1"/>
                <w:color w:val="auto"/>
                <w:w w:val="95"/>
              </w:rPr>
              <w:t>Industry</w:t>
            </w:r>
          </w:p>
        </w:tc>
        <w:tc>
          <w:tcPr>
            <w:tcW w:w="100" w:type="dxa"/>
            <w:vAlign w:val="bottom"/>
          </w:tcPr>
          <w:p>
            <w:pPr>
              <w:spacing w:after="0"/>
              <w:rPr>
                <w:sz w:val="9"/>
                <w:szCs w:val="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Coupon</w:t>
            </w:r>
          </w:p>
        </w:tc>
        <w:tc>
          <w:tcPr>
            <w:tcW w:w="600" w:type="dxa"/>
            <w:vAlign w:val="bottom"/>
            <w:gridSpan w:val="2"/>
          </w:tcPr>
          <w:p>
            <w:pPr>
              <w:jc w:val="center"/>
              <w:ind w:right="100"/>
              <w:spacing w:after="0" w:line="108" w:lineRule="exact"/>
              <w:rPr>
                <w:sz w:val="20"/>
                <w:szCs w:val="20"/>
                <w:color w:val="auto"/>
              </w:rPr>
            </w:pPr>
            <w:r>
              <w:rPr>
                <w:rFonts w:ascii="Arial" w:cs="Arial" w:eastAsia="Arial" w:hAnsi="Arial"/>
                <w:sz w:val="8"/>
                <w:szCs w:val="8"/>
                <w:b w:val="1"/>
                <w:bCs w:val="1"/>
                <w:color w:val="auto"/>
                <w:w w:val="97"/>
              </w:rPr>
              <w:t>Index</w:t>
            </w:r>
            <w:r>
              <w:rPr>
                <w:rFonts w:ascii="Arial" w:cs="Arial" w:eastAsia="Arial" w:hAnsi="Arial"/>
                <w:sz w:val="12"/>
                <w:szCs w:val="12"/>
                <w:b w:val="1"/>
                <w:bCs w:val="1"/>
                <w:color w:val="auto"/>
                <w:w w:val="97"/>
                <w:vertAlign w:val="superscript"/>
              </w:rPr>
              <w:t>(3)</w:t>
            </w:r>
          </w:p>
        </w:tc>
        <w:tc>
          <w:tcPr>
            <w:tcW w:w="16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Par</w:t>
            </w:r>
          </w:p>
        </w:tc>
        <w:tc>
          <w:tcPr>
            <w:tcW w:w="160" w:type="dxa"/>
            <w:vAlign w:val="bottom"/>
          </w:tcPr>
          <w:p>
            <w:pPr>
              <w:spacing w:after="0"/>
              <w:rPr>
                <w:sz w:val="9"/>
                <w:szCs w:val="9"/>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Cost</w:t>
            </w: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300" w:type="dxa"/>
            <w:vAlign w:val="bottom"/>
            <w:tcBorders>
              <w:top w:val="single" w:sz="8" w:color="auto"/>
            </w:tcBorders>
            <w:shd w:val="clear" w:color="auto" w:fill="CCEEFF"/>
          </w:tcPr>
          <w:p>
            <w:pPr>
              <w:spacing w:after="0" w:line="97" w:lineRule="exact"/>
              <w:rPr>
                <w:sz w:val="20"/>
                <w:szCs w:val="20"/>
                <w:color w:val="auto"/>
              </w:rPr>
            </w:pPr>
            <w:r>
              <w:rPr>
                <w:rFonts w:ascii="Arial" w:cs="Arial" w:eastAsia="Arial" w:hAnsi="Arial"/>
                <w:sz w:val="9"/>
                <w:szCs w:val="9"/>
                <w:b w:val="1"/>
                <w:bCs w:val="1"/>
                <w:color w:val="auto"/>
              </w:rPr>
              <w:t>First Lien Secured Debt—58.8%</w:t>
            </w:r>
          </w:p>
        </w:tc>
        <w:tc>
          <w:tcPr>
            <w:tcW w:w="100" w:type="dxa"/>
            <w:vAlign w:val="bottom"/>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300" w:type="dxa"/>
            <w:vAlign w:val="bottom"/>
          </w:tcPr>
          <w:p>
            <w:pPr>
              <w:spacing w:after="0" w:line="92" w:lineRule="exact"/>
              <w:rPr>
                <w:sz w:val="20"/>
                <w:szCs w:val="20"/>
                <w:color w:val="auto"/>
              </w:rPr>
            </w:pPr>
            <w:r>
              <w:rPr>
                <w:rFonts w:ascii="Arial" w:cs="Arial" w:eastAsia="Arial" w:hAnsi="Arial"/>
                <w:sz w:val="9"/>
                <w:szCs w:val="9"/>
                <w:color w:val="auto"/>
              </w:rPr>
              <w:t>B</w:t>
            </w:r>
            <w:r>
              <w:rPr>
                <w:rFonts w:ascii="Arial" w:cs="Arial" w:eastAsia="Arial" w:hAnsi="Arial"/>
                <w:sz w:val="7"/>
                <w:szCs w:val="7"/>
                <w:color w:val="auto"/>
              </w:rPr>
              <w:t>ERRY</w:t>
            </w:r>
            <w:r>
              <w:rPr>
                <w:rFonts w:ascii="Arial" w:cs="Arial" w:eastAsia="Arial" w:hAnsi="Arial"/>
                <w:sz w:val="9"/>
                <w:szCs w:val="9"/>
                <w:color w:val="auto"/>
              </w:rPr>
              <w:t xml:space="preserve"> P</w:t>
            </w:r>
            <w:r>
              <w:rPr>
                <w:rFonts w:ascii="Arial" w:cs="Arial" w:eastAsia="Arial" w:hAnsi="Arial"/>
                <w:sz w:val="7"/>
                <w:szCs w:val="7"/>
                <w:color w:val="auto"/>
              </w:rPr>
              <w:t>LASTICS</w:t>
            </w:r>
            <w:r>
              <w:rPr>
                <w:rFonts w:ascii="Arial" w:cs="Arial" w:eastAsia="Arial" w:hAnsi="Arial"/>
                <w:sz w:val="9"/>
                <w:szCs w:val="9"/>
                <w:color w:val="auto"/>
              </w:rPr>
              <w:t xml:space="preserve"> G</w:t>
            </w:r>
            <w:r>
              <w:rPr>
                <w:rFonts w:ascii="Arial" w:cs="Arial" w:eastAsia="Arial" w:hAnsi="Arial"/>
                <w:sz w:val="7"/>
                <w:szCs w:val="7"/>
                <w:color w:val="auto"/>
              </w:rPr>
              <w:t>ROUP</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860" w:type="dxa"/>
            <w:vAlign w:val="bottom"/>
            <w:gridSpan w:val="3"/>
          </w:tcPr>
          <w:p>
            <w:pPr>
              <w:jc w:val="right"/>
              <w:ind w:right="120"/>
              <w:spacing w:after="0" w:line="92" w:lineRule="exact"/>
              <w:rPr>
                <w:sz w:val="20"/>
                <w:szCs w:val="20"/>
                <w:color w:val="auto"/>
              </w:rPr>
            </w:pPr>
            <w:r>
              <w:rPr>
                <w:rFonts w:ascii="Arial" w:cs="Arial" w:eastAsia="Arial" w:hAnsi="Arial"/>
                <w:sz w:val="9"/>
                <w:szCs w:val="9"/>
                <w:color w:val="auto"/>
              </w:rPr>
              <w:t>04/03/2015</w:t>
            </w:r>
          </w:p>
        </w:tc>
        <w:tc>
          <w:tcPr>
            <w:tcW w:w="1380" w:type="dxa"/>
            <w:vAlign w:val="bottom"/>
          </w:tcPr>
          <w:p>
            <w:pPr>
              <w:jc w:val="center"/>
              <w:spacing w:after="0" w:line="92" w:lineRule="exact"/>
              <w:rPr>
                <w:sz w:val="20"/>
                <w:szCs w:val="20"/>
                <w:color w:val="auto"/>
              </w:rPr>
            </w:pPr>
            <w:r>
              <w:rPr>
                <w:rFonts w:ascii="Arial" w:cs="Arial" w:eastAsia="Arial" w:hAnsi="Arial"/>
                <w:sz w:val="9"/>
                <w:szCs w:val="9"/>
                <w:color w:val="auto"/>
              </w:rPr>
              <w:t>C</w:t>
            </w:r>
            <w:r>
              <w:rPr>
                <w:rFonts w:ascii="Arial" w:cs="Arial" w:eastAsia="Arial" w:hAnsi="Arial"/>
                <w:sz w:val="7"/>
                <w:szCs w:val="7"/>
                <w:color w:val="auto"/>
              </w:rPr>
              <w:t>ONTAINERS</w:t>
            </w: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jc w:val="center"/>
              <w:spacing w:after="0"/>
              <w:rPr>
                <w:sz w:val="20"/>
                <w:szCs w:val="20"/>
                <w:color w:val="auto"/>
              </w:rPr>
            </w:pPr>
            <w:r>
              <w:rPr>
                <w:rFonts w:ascii="Arial" w:cs="Arial" w:eastAsia="Arial" w:hAnsi="Arial"/>
                <w:sz w:val="9"/>
                <w:szCs w:val="9"/>
                <w:color w:val="auto"/>
              </w:rPr>
              <w:t>P</w:t>
            </w:r>
            <w:r>
              <w:rPr>
                <w:rFonts w:ascii="Arial" w:cs="Arial" w:eastAsia="Arial" w:hAnsi="Arial"/>
                <w:sz w:val="7"/>
                <w:szCs w:val="7"/>
                <w:color w:val="auto"/>
              </w:rPr>
              <w:t>ACKAGING</w:t>
            </w:r>
            <w:r>
              <w:rPr>
                <w:rFonts w:ascii="Arial" w:cs="Arial" w:eastAsia="Arial" w:hAnsi="Arial"/>
                <w:sz w:val="9"/>
                <w:szCs w:val="9"/>
                <w:color w:val="auto"/>
              </w:rPr>
              <w:t xml:space="preserve"> &amp; G</w:t>
            </w:r>
            <w:r>
              <w:rPr>
                <w:rFonts w:ascii="Arial" w:cs="Arial" w:eastAsia="Arial" w:hAnsi="Arial"/>
                <w:sz w:val="7"/>
                <w:szCs w:val="7"/>
                <w:color w:val="auto"/>
              </w:rPr>
              <w:t>LASS</w:t>
            </w:r>
          </w:p>
        </w:tc>
        <w:tc>
          <w:tcPr>
            <w:tcW w:w="820" w:type="dxa"/>
            <w:vAlign w:val="bottom"/>
            <w:gridSpan w:val="3"/>
          </w:tcPr>
          <w:p>
            <w:pPr>
              <w:jc w:val="right"/>
              <w:ind w:right="160"/>
              <w:spacing w:after="0"/>
              <w:rPr>
                <w:sz w:val="20"/>
                <w:szCs w:val="20"/>
                <w:color w:val="auto"/>
              </w:rPr>
            </w:pPr>
            <w:r>
              <w:rPr>
                <w:rFonts w:ascii="Arial" w:cs="Arial" w:eastAsia="Arial" w:hAnsi="Arial"/>
                <w:sz w:val="9"/>
                <w:szCs w:val="9"/>
                <w:color w:val="auto"/>
              </w:rPr>
              <w:t>7.34%</w:t>
            </w:r>
          </w:p>
        </w:tc>
        <w:tc>
          <w:tcPr>
            <w:tcW w:w="600" w:type="dxa"/>
            <w:vAlign w:val="bottom"/>
            <w:gridSpan w:val="2"/>
          </w:tcPr>
          <w:p>
            <w:pPr>
              <w:ind w:left="240"/>
              <w:spacing w:after="0"/>
              <w:rPr>
                <w:sz w:val="20"/>
                <w:szCs w:val="20"/>
                <w:color w:val="auto"/>
              </w:rPr>
            </w:pPr>
            <w:r>
              <w:rPr>
                <w:rFonts w:ascii="Arial" w:cs="Arial" w:eastAsia="Arial" w:hAnsi="Arial"/>
                <w:sz w:val="9"/>
                <w:szCs w:val="9"/>
                <w:color w:val="auto"/>
              </w:rPr>
              <w:t>L+200</w:t>
            </w:r>
          </w:p>
        </w:tc>
        <w:tc>
          <w:tcPr>
            <w:tcW w:w="160" w:type="dxa"/>
            <w:vAlign w:val="bottom"/>
          </w:tcPr>
          <w:p>
            <w:pPr>
              <w:jc w:val="right"/>
              <w:ind w:right="98"/>
              <w:spacing w:after="0"/>
              <w:rPr>
                <w:sz w:val="20"/>
                <w:szCs w:val="20"/>
                <w:color w:val="auto"/>
              </w:rPr>
            </w:pPr>
            <w:r>
              <w:rPr>
                <w:rFonts w:ascii="Arial" w:cs="Arial" w:eastAsia="Arial" w:hAnsi="Arial"/>
                <w:sz w:val="4"/>
                <w:szCs w:val="4"/>
                <w:color w:val="auto"/>
                <w:w w:val="87"/>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7,462,500</w:t>
            </w:r>
          </w:p>
        </w:tc>
        <w:tc>
          <w:tcPr>
            <w:tcW w:w="160" w:type="dxa"/>
            <w:vAlign w:val="bottom"/>
          </w:tcPr>
          <w:p>
            <w:pPr>
              <w:jc w:val="right"/>
              <w:ind w:right="55"/>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7,462,500</w:t>
            </w:r>
          </w:p>
        </w:tc>
        <w:tc>
          <w:tcPr>
            <w:tcW w:w="120" w:type="dxa"/>
            <w:vAlign w:val="bottom"/>
          </w:tcPr>
          <w:p>
            <w:pPr>
              <w:jc w:val="right"/>
              <w:ind w:right="58"/>
              <w:spacing w:after="0"/>
              <w:rPr>
                <w:sz w:val="20"/>
                <w:szCs w:val="20"/>
                <w:color w:val="auto"/>
              </w:rPr>
            </w:pPr>
            <w:r>
              <w:rPr>
                <w:rFonts w:ascii="Arial" w:cs="Arial" w:eastAsia="Arial" w:hAnsi="Arial"/>
                <w:sz w:val="4"/>
                <w:szCs w:val="4"/>
                <w:color w:val="auto"/>
                <w:w w:val="87"/>
              </w:rPr>
              <w:t>$</w:t>
            </w:r>
          </w:p>
        </w:tc>
        <w:tc>
          <w:tcPr>
            <w:tcW w:w="600" w:type="dxa"/>
            <w:vAlign w:val="bottom"/>
          </w:tcPr>
          <w:p>
            <w:pPr>
              <w:jc w:val="right"/>
              <w:spacing w:after="0"/>
              <w:rPr>
                <w:sz w:val="20"/>
                <w:szCs w:val="20"/>
                <w:color w:val="auto"/>
              </w:rPr>
            </w:pPr>
            <w:r>
              <w:rPr>
                <w:rFonts w:ascii="Arial" w:cs="Arial" w:eastAsia="Arial" w:hAnsi="Arial"/>
                <w:sz w:val="9"/>
                <w:szCs w:val="9"/>
                <w:color w:val="auto"/>
              </w:rPr>
              <w:t>7,274,602</w:t>
            </w:r>
          </w:p>
        </w:tc>
        <w:tc>
          <w:tcPr>
            <w:tcW w:w="0" w:type="dxa"/>
            <w:vAlign w:val="bottom"/>
          </w:tcPr>
          <w:p>
            <w:pPr>
              <w:spacing w:after="0"/>
              <w:rPr>
                <w:sz w:val="1"/>
                <w:szCs w:val="1"/>
                <w:color w:val="auto"/>
              </w:rPr>
            </w:pPr>
          </w:p>
        </w:tc>
      </w:tr>
      <w:tr>
        <w:trPr>
          <w:trHeight w:val="99"/>
        </w:trPr>
        <w:tc>
          <w:tcPr>
            <w:tcW w:w="53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B</w:t>
            </w:r>
            <w:r>
              <w:rPr>
                <w:rFonts w:ascii="Arial" w:cs="Arial" w:eastAsia="Arial" w:hAnsi="Arial"/>
                <w:sz w:val="7"/>
                <w:szCs w:val="7"/>
                <w:color w:val="auto"/>
              </w:rPr>
              <w:t>URLINGTON</w:t>
            </w:r>
            <w:r>
              <w:rPr>
                <w:rFonts w:ascii="Arial" w:cs="Arial" w:eastAsia="Arial" w:hAnsi="Arial"/>
                <w:sz w:val="9"/>
                <w:szCs w:val="9"/>
                <w:color w:val="auto"/>
              </w:rPr>
              <w:t xml:space="preserve"> C</w:t>
            </w:r>
            <w:r>
              <w:rPr>
                <w:rFonts w:ascii="Arial" w:cs="Arial" w:eastAsia="Arial" w:hAnsi="Arial"/>
                <w:sz w:val="7"/>
                <w:szCs w:val="7"/>
                <w:color w:val="auto"/>
              </w:rPr>
              <w:t>OAT</w:t>
            </w:r>
            <w:r>
              <w:rPr>
                <w:rFonts w:ascii="Arial" w:cs="Arial" w:eastAsia="Arial" w:hAnsi="Arial"/>
                <w:sz w:val="9"/>
                <w:szCs w:val="9"/>
                <w:color w:val="auto"/>
              </w:rPr>
              <w:t xml:space="preserve"> F</w:t>
            </w:r>
            <w:r>
              <w:rPr>
                <w:rFonts w:ascii="Arial" w:cs="Arial" w:eastAsia="Arial" w:hAnsi="Arial"/>
                <w:sz w:val="7"/>
                <w:szCs w:val="7"/>
                <w:color w:val="auto"/>
              </w:rPr>
              <w:t>ACTORY</w:t>
            </w:r>
            <w:r>
              <w:rPr>
                <w:rFonts w:ascii="Arial" w:cs="Arial" w:eastAsia="Arial" w:hAnsi="Arial"/>
                <w:sz w:val="9"/>
                <w:szCs w:val="9"/>
                <w:color w:val="auto"/>
              </w:rPr>
              <w:t xml:space="preserve"> W</w:t>
            </w:r>
            <w:r>
              <w:rPr>
                <w:rFonts w:ascii="Arial" w:cs="Arial" w:eastAsia="Arial" w:hAnsi="Arial"/>
                <w:sz w:val="7"/>
                <w:szCs w:val="7"/>
                <w:color w:val="auto"/>
              </w:rPr>
              <w:t>AREHOUSE</w:t>
            </w:r>
            <w:r>
              <w:rPr>
                <w:rFonts w:ascii="Arial" w:cs="Arial" w:eastAsia="Arial" w:hAnsi="Arial"/>
                <w:sz w:val="9"/>
                <w:szCs w:val="9"/>
                <w:color w:val="auto"/>
              </w:rPr>
              <w:t xml:space="preserve"> C</w:t>
            </w:r>
            <w:r>
              <w:rPr>
                <w:rFonts w:ascii="Arial" w:cs="Arial" w:eastAsia="Arial" w:hAnsi="Arial"/>
                <w:sz w:val="7"/>
                <w:szCs w:val="7"/>
                <w:color w:val="auto"/>
              </w:rPr>
              <w:t>ORP</w:t>
            </w:r>
            <w:r>
              <w:rPr>
                <w:rFonts w:ascii="Arial" w:cs="Arial" w:eastAsia="Arial" w:hAnsi="Arial"/>
                <w:sz w:val="9"/>
                <w:szCs w:val="9"/>
                <w:color w:val="auto"/>
              </w:rPr>
              <w:t>.</w:t>
            </w:r>
          </w:p>
        </w:tc>
        <w:tc>
          <w:tcPr>
            <w:tcW w:w="86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05/28/2013</w:t>
            </w:r>
          </w:p>
        </w:tc>
        <w:tc>
          <w:tcPr>
            <w:tcW w:w="138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R</w:t>
            </w:r>
            <w:r>
              <w:rPr>
                <w:rFonts w:ascii="Arial" w:cs="Arial" w:eastAsia="Arial" w:hAnsi="Arial"/>
                <w:sz w:val="7"/>
                <w:szCs w:val="7"/>
                <w:color w:val="auto"/>
              </w:rPr>
              <w:t>ETAIL</w:t>
            </w:r>
            <w:r>
              <w:rPr>
                <w:rFonts w:ascii="Arial" w:cs="Arial" w:eastAsia="Arial" w:hAnsi="Arial"/>
                <w:sz w:val="9"/>
                <w:szCs w:val="9"/>
                <w:color w:val="auto"/>
              </w:rPr>
              <w:t xml:space="preserve"> S</w:t>
            </w:r>
            <w:r>
              <w:rPr>
                <w:rFonts w:ascii="Arial" w:cs="Arial" w:eastAsia="Arial" w:hAnsi="Arial"/>
                <w:sz w:val="7"/>
                <w:szCs w:val="7"/>
                <w:color w:val="auto"/>
              </w:rPr>
              <w:t>TORE</w:t>
            </w:r>
          </w:p>
        </w:tc>
        <w:tc>
          <w:tcPr>
            <w:tcW w:w="82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7.76%</w:t>
            </w:r>
          </w:p>
        </w:tc>
        <w:tc>
          <w:tcPr>
            <w:tcW w:w="600" w:type="dxa"/>
            <w:vAlign w:val="bottom"/>
            <w:gridSpan w:val="2"/>
            <w:shd w:val="clear" w:color="auto" w:fill="CCEEFF"/>
          </w:tcPr>
          <w:p>
            <w:pPr>
              <w:ind w:left="240"/>
              <w:spacing w:after="0" w:line="99" w:lineRule="exact"/>
              <w:rPr>
                <w:sz w:val="20"/>
                <w:szCs w:val="20"/>
                <w:color w:val="auto"/>
              </w:rPr>
            </w:pPr>
            <w:r>
              <w:rPr>
                <w:rFonts w:ascii="Arial" w:cs="Arial" w:eastAsia="Arial" w:hAnsi="Arial"/>
                <w:sz w:val="9"/>
                <w:szCs w:val="9"/>
                <w:color w:val="auto"/>
              </w:rPr>
              <w:t>L+225</w:t>
            </w:r>
          </w:p>
        </w:tc>
        <w:tc>
          <w:tcPr>
            <w:tcW w:w="1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7,896,473</w:t>
            </w: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7,887,537</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7,571,975</w:t>
            </w:r>
          </w:p>
        </w:tc>
        <w:tc>
          <w:tcPr>
            <w:tcW w:w="0" w:type="dxa"/>
            <w:vAlign w:val="bottom"/>
          </w:tcPr>
          <w:p>
            <w:pPr>
              <w:spacing w:after="0"/>
              <w:rPr>
                <w:sz w:val="1"/>
                <w:szCs w:val="1"/>
                <w:color w:val="auto"/>
              </w:rPr>
            </w:pPr>
          </w:p>
        </w:tc>
      </w:tr>
      <w:tr>
        <w:trPr>
          <w:trHeight w:val="99"/>
        </w:trPr>
        <w:tc>
          <w:tcPr>
            <w:tcW w:w="5300" w:type="dxa"/>
            <w:vAlign w:val="bottom"/>
          </w:tcPr>
          <w:p>
            <w:pPr>
              <w:spacing w:after="0" w:line="99" w:lineRule="exact"/>
              <w:rPr>
                <w:sz w:val="20"/>
                <w:szCs w:val="20"/>
                <w:color w:val="auto"/>
              </w:rPr>
            </w:pPr>
            <w:r>
              <w:rPr>
                <w:rFonts w:ascii="Arial" w:cs="Arial" w:eastAsia="Arial" w:hAnsi="Arial"/>
                <w:sz w:val="9"/>
                <w:szCs w:val="9"/>
                <w:color w:val="auto"/>
              </w:rPr>
              <w:t>C</w:t>
            </w:r>
            <w:r>
              <w:rPr>
                <w:rFonts w:ascii="Arial" w:cs="Arial" w:eastAsia="Arial" w:hAnsi="Arial"/>
                <w:sz w:val="7"/>
                <w:szCs w:val="7"/>
                <w:color w:val="auto"/>
              </w:rPr>
              <w:t>HARTER</w:t>
            </w:r>
            <w:r>
              <w:rPr>
                <w:rFonts w:ascii="Arial" w:cs="Arial" w:eastAsia="Arial" w:hAnsi="Arial"/>
                <w:sz w:val="9"/>
                <w:szCs w:val="9"/>
                <w:color w:val="auto"/>
              </w:rPr>
              <w:t xml:space="preserve"> C</w:t>
            </w:r>
            <w:r>
              <w:rPr>
                <w:rFonts w:ascii="Arial" w:cs="Arial" w:eastAsia="Arial" w:hAnsi="Arial"/>
                <w:sz w:val="7"/>
                <w:szCs w:val="7"/>
                <w:color w:val="auto"/>
              </w:rPr>
              <w:t>OMMUNICATIONS</w:t>
            </w:r>
            <w:r>
              <w:rPr>
                <w:rFonts w:ascii="Arial" w:cs="Arial" w:eastAsia="Arial" w:hAnsi="Arial"/>
                <w:sz w:val="9"/>
                <w:szCs w:val="9"/>
                <w:color w:val="auto"/>
              </w:rPr>
              <w:t xml:space="preserve"> O</w:t>
            </w:r>
            <w:r>
              <w:rPr>
                <w:rFonts w:ascii="Arial" w:cs="Arial" w:eastAsia="Arial" w:hAnsi="Arial"/>
                <w:sz w:val="7"/>
                <w:szCs w:val="7"/>
                <w:color w:val="auto"/>
              </w:rPr>
              <w:t>PERATING</w:t>
            </w:r>
            <w:r>
              <w:rPr>
                <w:rFonts w:ascii="Arial" w:cs="Arial" w:eastAsia="Arial" w:hAnsi="Arial"/>
                <w:sz w:val="9"/>
                <w:szCs w:val="9"/>
                <w:color w:val="auto"/>
              </w:rPr>
              <w:t>, L.L.C.</w:t>
            </w:r>
          </w:p>
        </w:tc>
        <w:tc>
          <w:tcPr>
            <w:tcW w:w="86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03/06/2014</w:t>
            </w:r>
          </w:p>
        </w:tc>
        <w:tc>
          <w:tcPr>
            <w:tcW w:w="1380" w:type="dxa"/>
            <w:vAlign w:val="bottom"/>
          </w:tcPr>
          <w:p>
            <w:pPr>
              <w:jc w:val="center"/>
              <w:spacing w:after="0" w:line="99" w:lineRule="exact"/>
              <w:rPr>
                <w:sz w:val="20"/>
                <w:szCs w:val="20"/>
                <w:color w:val="auto"/>
              </w:rPr>
            </w:pPr>
            <w:r>
              <w:rPr>
                <w:rFonts w:ascii="Arial" w:cs="Arial" w:eastAsia="Arial" w:hAnsi="Arial"/>
                <w:sz w:val="9"/>
                <w:szCs w:val="9"/>
                <w:color w:val="auto"/>
              </w:rPr>
              <w:t>C</w:t>
            </w:r>
            <w:r>
              <w:rPr>
                <w:rFonts w:ascii="Arial" w:cs="Arial" w:eastAsia="Arial" w:hAnsi="Arial"/>
                <w:sz w:val="7"/>
                <w:szCs w:val="7"/>
                <w:color w:val="auto"/>
              </w:rPr>
              <w:t>ABLE</w:t>
            </w:r>
            <w:r>
              <w:rPr>
                <w:rFonts w:ascii="Arial" w:cs="Arial" w:eastAsia="Arial" w:hAnsi="Arial"/>
                <w:sz w:val="9"/>
                <w:szCs w:val="9"/>
                <w:color w:val="auto"/>
              </w:rPr>
              <w:t xml:space="preserve"> T</w:t>
            </w:r>
            <w:r>
              <w:rPr>
                <w:rFonts w:ascii="Arial" w:cs="Arial" w:eastAsia="Arial" w:hAnsi="Arial"/>
                <w:sz w:val="7"/>
                <w:szCs w:val="7"/>
                <w:color w:val="auto"/>
              </w:rPr>
              <w:t>ELEVISION</w:t>
            </w:r>
          </w:p>
        </w:tc>
        <w:tc>
          <w:tcPr>
            <w:tcW w:w="820" w:type="dxa"/>
            <w:vAlign w:val="bottom"/>
            <w:gridSpan w:val="3"/>
          </w:tcPr>
          <w:p>
            <w:pPr>
              <w:jc w:val="right"/>
              <w:ind w:right="160"/>
              <w:spacing w:after="0" w:line="99" w:lineRule="exact"/>
              <w:rPr>
                <w:sz w:val="20"/>
                <w:szCs w:val="20"/>
                <w:color w:val="auto"/>
              </w:rPr>
            </w:pPr>
            <w:r>
              <w:rPr>
                <w:rFonts w:ascii="Arial" w:cs="Arial" w:eastAsia="Arial" w:hAnsi="Arial"/>
                <w:sz w:val="9"/>
                <w:szCs w:val="9"/>
                <w:color w:val="auto"/>
              </w:rPr>
              <w:t>7.13%</w:t>
            </w:r>
          </w:p>
        </w:tc>
        <w:tc>
          <w:tcPr>
            <w:tcW w:w="600" w:type="dxa"/>
            <w:vAlign w:val="bottom"/>
            <w:gridSpan w:val="2"/>
          </w:tcPr>
          <w:p>
            <w:pPr>
              <w:ind w:left="240"/>
              <w:spacing w:after="0" w:line="99" w:lineRule="exact"/>
              <w:rPr>
                <w:sz w:val="20"/>
                <w:szCs w:val="20"/>
                <w:color w:val="auto"/>
              </w:rPr>
            </w:pPr>
            <w:r>
              <w:rPr>
                <w:rFonts w:ascii="Arial" w:cs="Arial" w:eastAsia="Arial" w:hAnsi="Arial"/>
                <w:sz w:val="9"/>
                <w:szCs w:val="9"/>
                <w:color w:val="auto"/>
              </w:rPr>
              <w:t>L+200</w:t>
            </w:r>
          </w:p>
        </w:tc>
        <w:tc>
          <w:tcPr>
            <w:tcW w:w="1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15,000,000</w:t>
            </w:r>
          </w:p>
        </w:tc>
        <w:tc>
          <w:tcPr>
            <w:tcW w:w="16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14,992,740</w:t>
            </w:r>
          </w:p>
        </w:tc>
        <w:tc>
          <w:tcPr>
            <w:tcW w:w="12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9"/>
                <w:szCs w:val="9"/>
                <w:color w:val="auto"/>
              </w:rPr>
              <w:t>14,468,310</w:t>
            </w:r>
          </w:p>
        </w:tc>
        <w:tc>
          <w:tcPr>
            <w:tcW w:w="0" w:type="dxa"/>
            <w:vAlign w:val="bottom"/>
          </w:tcPr>
          <w:p>
            <w:pPr>
              <w:spacing w:after="0"/>
              <w:rPr>
                <w:sz w:val="1"/>
                <w:szCs w:val="1"/>
                <w:color w:val="auto"/>
              </w:rPr>
            </w:pPr>
          </w:p>
        </w:tc>
      </w:tr>
      <w:tr>
        <w:trPr>
          <w:trHeight w:val="92"/>
        </w:trPr>
        <w:tc>
          <w:tcPr>
            <w:tcW w:w="5300" w:type="dxa"/>
            <w:vAlign w:val="bottom"/>
            <w:shd w:val="clear" w:color="auto" w:fill="CCEEFF"/>
          </w:tcPr>
          <w:p>
            <w:pPr>
              <w:spacing w:after="0" w:line="92" w:lineRule="exact"/>
              <w:rPr>
                <w:sz w:val="20"/>
                <w:szCs w:val="20"/>
                <w:color w:val="auto"/>
              </w:rPr>
            </w:pPr>
            <w:r>
              <w:rPr>
                <w:rFonts w:ascii="Arial" w:cs="Arial" w:eastAsia="Arial" w:hAnsi="Arial"/>
                <w:sz w:val="9"/>
                <w:szCs w:val="9"/>
                <w:color w:val="auto"/>
              </w:rPr>
              <w:t>C</w:t>
            </w:r>
            <w:r>
              <w:rPr>
                <w:rFonts w:ascii="Arial" w:cs="Arial" w:eastAsia="Arial" w:hAnsi="Arial"/>
                <w:sz w:val="7"/>
                <w:szCs w:val="7"/>
                <w:color w:val="auto"/>
              </w:rPr>
              <w:t>OHR</w:t>
            </w:r>
            <w:r>
              <w:rPr>
                <w:rFonts w:ascii="Arial" w:cs="Arial" w:eastAsia="Arial" w:hAnsi="Arial"/>
                <w:sz w:val="9"/>
                <w:szCs w:val="9"/>
                <w:color w:val="auto"/>
              </w:rPr>
              <w:t xml:space="preserve"> H</w:t>
            </w:r>
            <w:r>
              <w:rPr>
                <w:rFonts w:ascii="Arial" w:cs="Arial" w:eastAsia="Arial" w:hAnsi="Arial"/>
                <w:sz w:val="7"/>
                <w:szCs w:val="7"/>
                <w:color w:val="auto"/>
              </w:rPr>
              <w:t>OLDINGS</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860" w:type="dxa"/>
            <w:vAlign w:val="bottom"/>
            <w:gridSpan w:val="3"/>
            <w:shd w:val="clear" w:color="auto" w:fill="CCEEFF"/>
          </w:tcPr>
          <w:p>
            <w:pPr>
              <w:jc w:val="right"/>
              <w:ind w:right="120"/>
              <w:spacing w:after="0" w:line="92" w:lineRule="exact"/>
              <w:rPr>
                <w:sz w:val="20"/>
                <w:szCs w:val="20"/>
                <w:color w:val="auto"/>
              </w:rPr>
            </w:pPr>
            <w:r>
              <w:rPr>
                <w:rFonts w:ascii="Arial" w:cs="Arial" w:eastAsia="Arial" w:hAnsi="Arial"/>
                <w:sz w:val="9"/>
                <w:szCs w:val="9"/>
                <w:color w:val="auto"/>
              </w:rPr>
              <w:t>01/31/2013</w:t>
            </w:r>
          </w:p>
        </w:tc>
        <w:tc>
          <w:tcPr>
            <w:tcW w:w="1380" w:type="dxa"/>
            <w:vAlign w:val="bottom"/>
            <w:shd w:val="clear" w:color="auto" w:fill="CCEEFF"/>
          </w:tcPr>
          <w:p>
            <w:pPr>
              <w:jc w:val="center"/>
              <w:spacing w:after="0" w:line="92" w:lineRule="exact"/>
              <w:rPr>
                <w:sz w:val="20"/>
                <w:szCs w:val="20"/>
                <w:color w:val="auto"/>
              </w:rPr>
            </w:pPr>
            <w:r>
              <w:rPr>
                <w:rFonts w:ascii="Arial" w:cs="Arial" w:eastAsia="Arial" w:hAnsi="Arial"/>
                <w:sz w:val="9"/>
                <w:szCs w:val="9"/>
                <w:color w:val="auto"/>
              </w:rPr>
              <w:t>H</w:t>
            </w:r>
            <w:r>
              <w:rPr>
                <w:rFonts w:ascii="Arial" w:cs="Arial" w:eastAsia="Arial" w:hAnsi="Arial"/>
                <w:sz w:val="7"/>
                <w:szCs w:val="7"/>
                <w:color w:val="auto"/>
              </w:rPr>
              <w:t>EALTH</w:t>
            </w:r>
            <w:r>
              <w:rPr>
                <w:rFonts w:ascii="Arial" w:cs="Arial" w:eastAsia="Arial" w:hAnsi="Arial"/>
                <w:sz w:val="9"/>
                <w:szCs w:val="9"/>
                <w:color w:val="auto"/>
              </w:rPr>
              <w:t xml:space="preserve"> C</w:t>
            </w:r>
            <w:r>
              <w:rPr>
                <w:rFonts w:ascii="Arial" w:cs="Arial" w:eastAsia="Arial" w:hAnsi="Arial"/>
                <w:sz w:val="7"/>
                <w:szCs w:val="7"/>
                <w:color w:val="auto"/>
              </w:rPr>
              <w:t>ARE</w:t>
            </w:r>
            <w:r>
              <w:rPr>
                <w:rFonts w:ascii="Arial" w:cs="Arial" w:eastAsia="Arial" w:hAnsi="Arial"/>
                <w:sz w:val="9"/>
                <w:szCs w:val="9"/>
                <w:color w:val="auto"/>
              </w:rPr>
              <w:t>,</w:t>
            </w:r>
          </w:p>
        </w:tc>
        <w:tc>
          <w:tcPr>
            <w:tcW w:w="820" w:type="dxa"/>
            <w:vAlign w:val="bottom"/>
            <w:gridSpan w:val="3"/>
            <w:shd w:val="clear" w:color="auto" w:fill="CCEEFF"/>
          </w:tcPr>
          <w:p>
            <w:pPr>
              <w:jc w:val="right"/>
              <w:ind w:right="160"/>
              <w:spacing w:after="0" w:line="92" w:lineRule="exact"/>
              <w:rPr>
                <w:sz w:val="20"/>
                <w:szCs w:val="20"/>
                <w:color w:val="auto"/>
              </w:rPr>
            </w:pPr>
            <w:r>
              <w:rPr>
                <w:rFonts w:ascii="Arial" w:cs="Arial" w:eastAsia="Arial" w:hAnsi="Arial"/>
                <w:sz w:val="9"/>
                <w:szCs w:val="9"/>
                <w:color w:val="auto"/>
              </w:rPr>
              <w:t>8.04%</w:t>
            </w:r>
          </w:p>
        </w:tc>
        <w:tc>
          <w:tcPr>
            <w:tcW w:w="600" w:type="dxa"/>
            <w:vAlign w:val="bottom"/>
            <w:gridSpan w:val="2"/>
            <w:shd w:val="clear" w:color="auto" w:fill="CCEEFF"/>
          </w:tcPr>
          <w:p>
            <w:pPr>
              <w:ind w:left="240"/>
              <w:spacing w:after="0" w:line="92" w:lineRule="exact"/>
              <w:rPr>
                <w:sz w:val="20"/>
                <w:szCs w:val="20"/>
                <w:color w:val="auto"/>
              </w:rPr>
            </w:pPr>
            <w:r>
              <w:rPr>
                <w:rFonts w:ascii="Arial" w:cs="Arial" w:eastAsia="Arial" w:hAnsi="Arial"/>
                <w:sz w:val="9"/>
                <w:szCs w:val="9"/>
                <w:color w:val="auto"/>
              </w:rPr>
              <w:t>L+250</w:t>
            </w:r>
          </w:p>
        </w:tc>
        <w:tc>
          <w:tcPr>
            <w:tcW w:w="16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00"/>
              <w:spacing w:after="0" w:line="92" w:lineRule="exact"/>
              <w:rPr>
                <w:sz w:val="20"/>
                <w:szCs w:val="20"/>
                <w:color w:val="auto"/>
              </w:rPr>
            </w:pPr>
            <w:r>
              <w:rPr>
                <w:rFonts w:ascii="Arial" w:cs="Arial" w:eastAsia="Arial" w:hAnsi="Arial"/>
                <w:sz w:val="9"/>
                <w:szCs w:val="9"/>
                <w:color w:val="auto"/>
              </w:rPr>
              <w:t>2,985,000</w:t>
            </w:r>
          </w:p>
        </w:tc>
        <w:tc>
          <w:tcPr>
            <w:tcW w:w="16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20"/>
              <w:spacing w:after="0" w:line="92" w:lineRule="exact"/>
              <w:rPr>
                <w:sz w:val="20"/>
                <w:szCs w:val="20"/>
                <w:color w:val="auto"/>
              </w:rPr>
            </w:pPr>
            <w:r>
              <w:rPr>
                <w:rFonts w:ascii="Arial" w:cs="Arial" w:eastAsia="Arial" w:hAnsi="Arial"/>
                <w:sz w:val="9"/>
                <w:szCs w:val="9"/>
                <w:color w:val="auto"/>
              </w:rPr>
              <w:t>2,985,000</w:t>
            </w: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2" w:lineRule="exact"/>
              <w:rPr>
                <w:sz w:val="20"/>
                <w:szCs w:val="20"/>
                <w:color w:val="auto"/>
              </w:rPr>
            </w:pPr>
            <w:r>
              <w:rPr>
                <w:rFonts w:ascii="Arial" w:cs="Arial" w:eastAsia="Arial" w:hAnsi="Arial"/>
                <w:sz w:val="9"/>
                <w:szCs w:val="9"/>
                <w:color w:val="auto"/>
              </w:rPr>
              <w:t>2,388,000</w:t>
            </w:r>
          </w:p>
        </w:tc>
        <w:tc>
          <w:tcPr>
            <w:tcW w:w="0" w:type="dxa"/>
            <w:vAlign w:val="bottom"/>
          </w:tcPr>
          <w:p>
            <w:pPr>
              <w:spacing w:after="0"/>
              <w:rPr>
                <w:sz w:val="1"/>
                <w:szCs w:val="1"/>
                <w:color w:val="auto"/>
              </w:rPr>
            </w:pPr>
          </w:p>
        </w:tc>
      </w:tr>
      <w:tr>
        <w:trPr>
          <w:trHeight w:val="99"/>
        </w:trPr>
        <w:tc>
          <w:tcPr>
            <w:tcW w:w="5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E</w:t>
            </w:r>
            <w:r>
              <w:rPr>
                <w:rFonts w:ascii="Arial" w:cs="Arial" w:eastAsia="Arial" w:hAnsi="Arial"/>
                <w:sz w:val="7"/>
                <w:szCs w:val="7"/>
                <w:color w:val="auto"/>
              </w:rPr>
              <w:t>DUCATION</w:t>
            </w:r>
            <w:r>
              <w:rPr>
                <w:rFonts w:ascii="Arial" w:cs="Arial" w:eastAsia="Arial" w:hAnsi="Arial"/>
                <w:sz w:val="9"/>
                <w:szCs w:val="9"/>
                <w:color w:val="auto"/>
              </w:rPr>
              <w:t xml:space="preserve"> &amp;</w:t>
            </w: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9"/>
                <w:szCs w:val="9"/>
                <w:color w:val="auto"/>
              </w:rPr>
              <w:t>C</w:t>
            </w:r>
            <w:r>
              <w:rPr>
                <w:rFonts w:ascii="Arial" w:cs="Arial" w:eastAsia="Arial" w:hAnsi="Arial"/>
                <w:sz w:val="7"/>
                <w:szCs w:val="7"/>
                <w:color w:val="auto"/>
              </w:rPr>
              <w:t>HILDCARE</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300" w:type="dxa"/>
            <w:vAlign w:val="bottom"/>
          </w:tcPr>
          <w:p>
            <w:pPr>
              <w:spacing w:after="0" w:line="99" w:lineRule="exact"/>
              <w:rPr>
                <w:sz w:val="20"/>
                <w:szCs w:val="20"/>
                <w:color w:val="auto"/>
              </w:rPr>
            </w:pPr>
            <w:r>
              <w:rPr>
                <w:rFonts w:ascii="Arial" w:cs="Arial" w:eastAsia="Arial" w:hAnsi="Arial"/>
                <w:sz w:val="9"/>
                <w:szCs w:val="9"/>
                <w:color w:val="auto"/>
              </w:rPr>
              <w:t>FR B</w:t>
            </w:r>
            <w:r>
              <w:rPr>
                <w:rFonts w:ascii="Arial" w:cs="Arial" w:eastAsia="Arial" w:hAnsi="Arial"/>
                <w:sz w:val="7"/>
                <w:szCs w:val="7"/>
                <w:color w:val="auto"/>
              </w:rPr>
              <w:t>RAND</w:t>
            </w:r>
            <w:r>
              <w:rPr>
                <w:rFonts w:ascii="Arial" w:cs="Arial" w:eastAsia="Arial" w:hAnsi="Arial"/>
                <w:sz w:val="9"/>
                <w:szCs w:val="9"/>
                <w:color w:val="auto"/>
              </w:rPr>
              <w:t xml:space="preserve"> A</w:t>
            </w:r>
            <w:r>
              <w:rPr>
                <w:rFonts w:ascii="Arial" w:cs="Arial" w:eastAsia="Arial" w:hAnsi="Arial"/>
                <w:sz w:val="7"/>
                <w:szCs w:val="7"/>
                <w:color w:val="auto"/>
              </w:rPr>
              <w:t>CQUISITION</w:t>
            </w:r>
            <w:r>
              <w:rPr>
                <w:rFonts w:ascii="Arial" w:cs="Arial" w:eastAsia="Arial" w:hAnsi="Arial"/>
                <w:sz w:val="9"/>
                <w:szCs w:val="9"/>
                <w:color w:val="auto"/>
              </w:rPr>
              <w:t xml:space="preserve"> C</w:t>
            </w:r>
            <w:r>
              <w:rPr>
                <w:rFonts w:ascii="Arial" w:cs="Arial" w:eastAsia="Arial" w:hAnsi="Arial"/>
                <w:sz w:val="7"/>
                <w:szCs w:val="7"/>
                <w:color w:val="auto"/>
              </w:rPr>
              <w:t>ORP</w:t>
            </w:r>
            <w:r>
              <w:rPr>
                <w:rFonts w:ascii="Arial" w:cs="Arial" w:eastAsia="Arial" w:hAnsi="Arial"/>
                <w:sz w:val="9"/>
                <w:szCs w:val="9"/>
                <w:color w:val="auto"/>
              </w:rPr>
              <w:t>.</w:t>
            </w:r>
          </w:p>
        </w:tc>
        <w:tc>
          <w:tcPr>
            <w:tcW w:w="86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02/07/2014</w:t>
            </w:r>
          </w:p>
        </w:tc>
        <w:tc>
          <w:tcPr>
            <w:tcW w:w="1380" w:type="dxa"/>
            <w:vAlign w:val="bottom"/>
          </w:tcPr>
          <w:p>
            <w:pPr>
              <w:jc w:val="center"/>
              <w:spacing w:after="0" w:line="99" w:lineRule="exact"/>
              <w:rPr>
                <w:sz w:val="20"/>
                <w:szCs w:val="20"/>
                <w:color w:val="auto"/>
              </w:rPr>
            </w:pPr>
            <w:r>
              <w:rPr>
                <w:rFonts w:ascii="Arial" w:cs="Arial" w:eastAsia="Arial" w:hAnsi="Arial"/>
                <w:sz w:val="9"/>
                <w:szCs w:val="9"/>
                <w:color w:val="auto"/>
              </w:rPr>
              <w:t>E</w:t>
            </w:r>
            <w:r>
              <w:rPr>
                <w:rFonts w:ascii="Arial" w:cs="Arial" w:eastAsia="Arial" w:hAnsi="Arial"/>
                <w:sz w:val="7"/>
                <w:szCs w:val="7"/>
                <w:color w:val="auto"/>
              </w:rPr>
              <w:t>NERGY</w:t>
            </w:r>
            <w:r>
              <w:rPr>
                <w:rFonts w:ascii="Arial" w:cs="Arial" w:eastAsia="Arial" w:hAnsi="Arial"/>
                <w:sz w:val="9"/>
                <w:szCs w:val="9"/>
                <w:color w:val="auto"/>
              </w:rPr>
              <w:t xml:space="preserve"> / U</w:t>
            </w:r>
            <w:r>
              <w:rPr>
                <w:rFonts w:ascii="Arial" w:cs="Arial" w:eastAsia="Arial" w:hAnsi="Arial"/>
                <w:sz w:val="7"/>
                <w:szCs w:val="7"/>
                <w:color w:val="auto"/>
              </w:rPr>
              <w:t>TILITIES</w:t>
            </w:r>
          </w:p>
        </w:tc>
        <w:tc>
          <w:tcPr>
            <w:tcW w:w="820" w:type="dxa"/>
            <w:vAlign w:val="bottom"/>
            <w:gridSpan w:val="3"/>
          </w:tcPr>
          <w:p>
            <w:pPr>
              <w:jc w:val="right"/>
              <w:ind w:right="160"/>
              <w:spacing w:after="0" w:line="99" w:lineRule="exact"/>
              <w:rPr>
                <w:sz w:val="20"/>
                <w:szCs w:val="20"/>
                <w:color w:val="auto"/>
              </w:rPr>
            </w:pPr>
            <w:r>
              <w:rPr>
                <w:rFonts w:ascii="Arial" w:cs="Arial" w:eastAsia="Arial" w:hAnsi="Arial"/>
                <w:sz w:val="9"/>
                <w:szCs w:val="9"/>
                <w:color w:val="auto"/>
              </w:rPr>
              <w:t>7.53%</w:t>
            </w:r>
          </w:p>
        </w:tc>
        <w:tc>
          <w:tcPr>
            <w:tcW w:w="600" w:type="dxa"/>
            <w:vAlign w:val="bottom"/>
            <w:gridSpan w:val="2"/>
          </w:tcPr>
          <w:p>
            <w:pPr>
              <w:ind w:left="240"/>
              <w:spacing w:after="0" w:line="99" w:lineRule="exact"/>
              <w:rPr>
                <w:sz w:val="20"/>
                <w:szCs w:val="20"/>
                <w:color w:val="auto"/>
              </w:rPr>
            </w:pPr>
            <w:r>
              <w:rPr>
                <w:rFonts w:ascii="Arial" w:cs="Arial" w:eastAsia="Arial" w:hAnsi="Arial"/>
                <w:sz w:val="9"/>
                <w:szCs w:val="9"/>
                <w:color w:val="auto"/>
              </w:rPr>
              <w:t>L+225</w:t>
            </w:r>
          </w:p>
        </w:tc>
        <w:tc>
          <w:tcPr>
            <w:tcW w:w="1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1,990,000</w:t>
            </w:r>
          </w:p>
        </w:tc>
        <w:tc>
          <w:tcPr>
            <w:tcW w:w="16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1,990,000</w:t>
            </w:r>
          </w:p>
        </w:tc>
        <w:tc>
          <w:tcPr>
            <w:tcW w:w="12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9"/>
                <w:szCs w:val="9"/>
                <w:color w:val="auto"/>
              </w:rPr>
              <w:t>1,887,183</w:t>
            </w:r>
          </w:p>
        </w:tc>
        <w:tc>
          <w:tcPr>
            <w:tcW w:w="0" w:type="dxa"/>
            <w:vAlign w:val="bottom"/>
          </w:tcPr>
          <w:p>
            <w:pPr>
              <w:spacing w:after="0"/>
              <w:rPr>
                <w:sz w:val="1"/>
                <w:szCs w:val="1"/>
                <w:color w:val="auto"/>
              </w:rPr>
            </w:pPr>
          </w:p>
        </w:tc>
      </w:tr>
      <w:tr>
        <w:trPr>
          <w:trHeight w:val="99"/>
        </w:trPr>
        <w:tc>
          <w:tcPr>
            <w:tcW w:w="53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G</w:t>
            </w:r>
            <w:r>
              <w:rPr>
                <w:rFonts w:ascii="Arial" w:cs="Arial" w:eastAsia="Arial" w:hAnsi="Arial"/>
                <w:sz w:val="7"/>
                <w:szCs w:val="7"/>
                <w:color w:val="auto"/>
              </w:rPr>
              <w:t>ATEHOUSE</w:t>
            </w:r>
            <w:r>
              <w:rPr>
                <w:rFonts w:ascii="Arial" w:cs="Arial" w:eastAsia="Arial" w:hAnsi="Arial"/>
                <w:sz w:val="9"/>
                <w:szCs w:val="9"/>
                <w:color w:val="auto"/>
              </w:rPr>
              <w:t xml:space="preserve"> M</w:t>
            </w:r>
            <w:r>
              <w:rPr>
                <w:rFonts w:ascii="Arial" w:cs="Arial" w:eastAsia="Arial" w:hAnsi="Arial"/>
                <w:sz w:val="7"/>
                <w:szCs w:val="7"/>
                <w:color w:val="auto"/>
              </w:rPr>
              <w:t>EDIA</w:t>
            </w:r>
            <w:r>
              <w:rPr>
                <w:rFonts w:ascii="Arial" w:cs="Arial" w:eastAsia="Arial" w:hAnsi="Arial"/>
                <w:sz w:val="9"/>
                <w:szCs w:val="9"/>
                <w:color w:val="auto"/>
              </w:rPr>
              <w:t xml:space="preserve"> O</w:t>
            </w:r>
            <w:r>
              <w:rPr>
                <w:rFonts w:ascii="Arial" w:cs="Arial" w:eastAsia="Arial" w:hAnsi="Arial"/>
                <w:sz w:val="7"/>
                <w:szCs w:val="7"/>
                <w:color w:val="auto"/>
              </w:rPr>
              <w:t>PERATING</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86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08/28/2014</w:t>
            </w:r>
          </w:p>
        </w:tc>
        <w:tc>
          <w:tcPr>
            <w:tcW w:w="138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M</w:t>
            </w:r>
            <w:r>
              <w:rPr>
                <w:rFonts w:ascii="Arial" w:cs="Arial" w:eastAsia="Arial" w:hAnsi="Arial"/>
                <w:sz w:val="7"/>
                <w:szCs w:val="7"/>
                <w:color w:val="auto"/>
              </w:rPr>
              <w:t>EDIA</w:t>
            </w:r>
          </w:p>
        </w:tc>
        <w:tc>
          <w:tcPr>
            <w:tcW w:w="82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7.47%</w:t>
            </w:r>
          </w:p>
        </w:tc>
        <w:tc>
          <w:tcPr>
            <w:tcW w:w="600" w:type="dxa"/>
            <w:vAlign w:val="bottom"/>
            <w:gridSpan w:val="2"/>
            <w:shd w:val="clear" w:color="auto" w:fill="CCEEFF"/>
          </w:tcPr>
          <w:p>
            <w:pPr>
              <w:ind w:left="240"/>
              <w:spacing w:after="0" w:line="99" w:lineRule="exact"/>
              <w:rPr>
                <w:sz w:val="20"/>
                <w:szCs w:val="20"/>
                <w:color w:val="auto"/>
              </w:rPr>
            </w:pPr>
            <w:r>
              <w:rPr>
                <w:rFonts w:ascii="Arial" w:cs="Arial" w:eastAsia="Arial" w:hAnsi="Arial"/>
                <w:sz w:val="9"/>
                <w:szCs w:val="9"/>
                <w:color w:val="auto"/>
              </w:rPr>
              <w:t>L+200</w:t>
            </w:r>
          </w:p>
        </w:tc>
        <w:tc>
          <w:tcPr>
            <w:tcW w:w="1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7,000,000</w:t>
            </w: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7,000,000</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6,405,000</w:t>
            </w:r>
          </w:p>
        </w:tc>
        <w:tc>
          <w:tcPr>
            <w:tcW w:w="0" w:type="dxa"/>
            <w:vAlign w:val="bottom"/>
          </w:tcPr>
          <w:p>
            <w:pPr>
              <w:spacing w:after="0"/>
              <w:rPr>
                <w:sz w:val="1"/>
                <w:szCs w:val="1"/>
                <w:color w:val="auto"/>
              </w:rPr>
            </w:pPr>
          </w:p>
        </w:tc>
      </w:tr>
      <w:tr>
        <w:trPr>
          <w:trHeight w:val="99"/>
        </w:trPr>
        <w:tc>
          <w:tcPr>
            <w:tcW w:w="5300" w:type="dxa"/>
            <w:vAlign w:val="bottom"/>
          </w:tcPr>
          <w:p>
            <w:pPr>
              <w:spacing w:after="0" w:line="99" w:lineRule="exact"/>
              <w:rPr>
                <w:sz w:val="20"/>
                <w:szCs w:val="20"/>
                <w:color w:val="auto"/>
              </w:rPr>
            </w:pPr>
            <w:r>
              <w:rPr>
                <w:rFonts w:ascii="Arial" w:cs="Arial" w:eastAsia="Arial" w:hAnsi="Arial"/>
                <w:sz w:val="9"/>
                <w:szCs w:val="9"/>
                <w:color w:val="auto"/>
              </w:rPr>
              <w:t>G</w:t>
            </w:r>
            <w:r>
              <w:rPr>
                <w:rFonts w:ascii="Arial" w:cs="Arial" w:eastAsia="Arial" w:hAnsi="Arial"/>
                <w:sz w:val="7"/>
                <w:szCs w:val="7"/>
                <w:color w:val="auto"/>
              </w:rPr>
              <w:t>ENERAL</w:t>
            </w:r>
            <w:r>
              <w:rPr>
                <w:rFonts w:ascii="Arial" w:cs="Arial" w:eastAsia="Arial" w:hAnsi="Arial"/>
                <w:sz w:val="9"/>
                <w:szCs w:val="9"/>
                <w:color w:val="auto"/>
              </w:rPr>
              <w:t xml:space="preserve"> N</w:t>
            </w:r>
            <w:r>
              <w:rPr>
                <w:rFonts w:ascii="Arial" w:cs="Arial" w:eastAsia="Arial" w:hAnsi="Arial"/>
                <w:sz w:val="7"/>
                <w:szCs w:val="7"/>
                <w:color w:val="auto"/>
              </w:rPr>
              <w:t>UTRITION</w:t>
            </w:r>
            <w:r>
              <w:rPr>
                <w:rFonts w:ascii="Arial" w:cs="Arial" w:eastAsia="Arial" w:hAnsi="Arial"/>
                <w:sz w:val="9"/>
                <w:szCs w:val="9"/>
                <w:color w:val="auto"/>
              </w:rPr>
              <w:t xml:space="preserve"> C</w:t>
            </w:r>
            <w:r>
              <w:rPr>
                <w:rFonts w:ascii="Arial" w:cs="Arial" w:eastAsia="Arial" w:hAnsi="Arial"/>
                <w:sz w:val="7"/>
                <w:szCs w:val="7"/>
                <w:color w:val="auto"/>
              </w:rPr>
              <w:t>ENTERS</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86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09/16/2013</w:t>
            </w:r>
          </w:p>
        </w:tc>
        <w:tc>
          <w:tcPr>
            <w:tcW w:w="1380" w:type="dxa"/>
            <w:vAlign w:val="bottom"/>
          </w:tcPr>
          <w:p>
            <w:pPr>
              <w:jc w:val="center"/>
              <w:spacing w:after="0" w:line="99" w:lineRule="exact"/>
              <w:rPr>
                <w:sz w:val="20"/>
                <w:szCs w:val="20"/>
                <w:color w:val="auto"/>
              </w:rPr>
            </w:pPr>
            <w:r>
              <w:rPr>
                <w:rFonts w:ascii="Arial" w:cs="Arial" w:eastAsia="Arial" w:hAnsi="Arial"/>
                <w:sz w:val="9"/>
                <w:szCs w:val="9"/>
                <w:color w:val="auto"/>
              </w:rPr>
              <w:t>R</w:t>
            </w:r>
            <w:r>
              <w:rPr>
                <w:rFonts w:ascii="Arial" w:cs="Arial" w:eastAsia="Arial" w:hAnsi="Arial"/>
                <w:sz w:val="7"/>
                <w:szCs w:val="7"/>
                <w:color w:val="auto"/>
              </w:rPr>
              <w:t>ETAIL</w:t>
            </w:r>
            <w:r>
              <w:rPr>
                <w:rFonts w:ascii="Arial" w:cs="Arial" w:eastAsia="Arial" w:hAnsi="Arial"/>
                <w:sz w:val="9"/>
                <w:szCs w:val="9"/>
                <w:color w:val="auto"/>
              </w:rPr>
              <w:t xml:space="preserve"> S</w:t>
            </w:r>
            <w:r>
              <w:rPr>
                <w:rFonts w:ascii="Arial" w:cs="Arial" w:eastAsia="Arial" w:hAnsi="Arial"/>
                <w:sz w:val="7"/>
                <w:szCs w:val="7"/>
                <w:color w:val="auto"/>
              </w:rPr>
              <w:t>TORE</w:t>
            </w:r>
          </w:p>
        </w:tc>
        <w:tc>
          <w:tcPr>
            <w:tcW w:w="820" w:type="dxa"/>
            <w:vAlign w:val="bottom"/>
            <w:gridSpan w:val="3"/>
          </w:tcPr>
          <w:p>
            <w:pPr>
              <w:jc w:val="right"/>
              <w:ind w:right="160"/>
              <w:spacing w:after="0" w:line="99" w:lineRule="exact"/>
              <w:rPr>
                <w:sz w:val="20"/>
                <w:szCs w:val="20"/>
                <w:color w:val="auto"/>
              </w:rPr>
            </w:pPr>
            <w:r>
              <w:rPr>
                <w:rFonts w:ascii="Arial" w:cs="Arial" w:eastAsia="Arial" w:hAnsi="Arial"/>
                <w:sz w:val="9"/>
                <w:szCs w:val="9"/>
                <w:color w:val="auto"/>
              </w:rPr>
              <w:t>7.61%</w:t>
            </w:r>
          </w:p>
        </w:tc>
        <w:tc>
          <w:tcPr>
            <w:tcW w:w="600" w:type="dxa"/>
            <w:vAlign w:val="bottom"/>
            <w:gridSpan w:val="2"/>
          </w:tcPr>
          <w:p>
            <w:pPr>
              <w:ind w:left="240"/>
              <w:spacing w:after="0" w:line="99" w:lineRule="exact"/>
              <w:rPr>
                <w:sz w:val="20"/>
                <w:szCs w:val="20"/>
                <w:color w:val="auto"/>
              </w:rPr>
            </w:pPr>
            <w:r>
              <w:rPr>
                <w:rFonts w:ascii="Arial" w:cs="Arial" w:eastAsia="Arial" w:hAnsi="Arial"/>
                <w:sz w:val="9"/>
                <w:szCs w:val="9"/>
                <w:color w:val="auto"/>
              </w:rPr>
              <w:t>L+225</w:t>
            </w:r>
          </w:p>
        </w:tc>
        <w:tc>
          <w:tcPr>
            <w:tcW w:w="1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6,483,750</w:t>
            </w:r>
          </w:p>
        </w:tc>
        <w:tc>
          <w:tcPr>
            <w:tcW w:w="16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6,487,788</w:t>
            </w:r>
          </w:p>
        </w:tc>
        <w:tc>
          <w:tcPr>
            <w:tcW w:w="12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9"/>
                <w:szCs w:val="9"/>
                <w:color w:val="auto"/>
              </w:rPr>
              <w:t>6,147,405</w:t>
            </w:r>
          </w:p>
        </w:tc>
        <w:tc>
          <w:tcPr>
            <w:tcW w:w="0" w:type="dxa"/>
            <w:vAlign w:val="bottom"/>
          </w:tcPr>
          <w:p>
            <w:pPr>
              <w:spacing w:after="0"/>
              <w:rPr>
                <w:sz w:val="1"/>
                <w:szCs w:val="1"/>
                <w:color w:val="auto"/>
              </w:rPr>
            </w:pPr>
          </w:p>
        </w:tc>
      </w:tr>
      <w:tr>
        <w:trPr>
          <w:trHeight w:val="99"/>
        </w:trPr>
        <w:tc>
          <w:tcPr>
            <w:tcW w:w="53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G</w:t>
            </w:r>
            <w:r>
              <w:rPr>
                <w:rFonts w:ascii="Arial" w:cs="Arial" w:eastAsia="Arial" w:hAnsi="Arial"/>
                <w:sz w:val="7"/>
                <w:szCs w:val="7"/>
                <w:color w:val="auto"/>
              </w:rPr>
              <w:t>REATWIDE</w:t>
            </w:r>
            <w:r>
              <w:rPr>
                <w:rFonts w:ascii="Arial" w:cs="Arial" w:eastAsia="Arial" w:hAnsi="Arial"/>
                <w:sz w:val="9"/>
                <w:szCs w:val="9"/>
                <w:color w:val="auto"/>
              </w:rPr>
              <w:t xml:space="preserve"> L</w:t>
            </w:r>
            <w:r>
              <w:rPr>
                <w:rFonts w:ascii="Arial" w:cs="Arial" w:eastAsia="Arial" w:hAnsi="Arial"/>
                <w:sz w:val="7"/>
                <w:szCs w:val="7"/>
                <w:color w:val="auto"/>
              </w:rPr>
              <w:t>OGISTICS</w:t>
            </w:r>
            <w:r>
              <w:rPr>
                <w:rFonts w:ascii="Arial" w:cs="Arial" w:eastAsia="Arial" w:hAnsi="Arial"/>
                <w:sz w:val="9"/>
                <w:szCs w:val="9"/>
                <w:color w:val="auto"/>
              </w:rPr>
              <w:t xml:space="preserve"> S</w:t>
            </w:r>
            <w:r>
              <w:rPr>
                <w:rFonts w:ascii="Arial" w:cs="Arial" w:eastAsia="Arial" w:hAnsi="Arial"/>
                <w:sz w:val="7"/>
                <w:szCs w:val="7"/>
                <w:color w:val="auto"/>
              </w:rPr>
              <w:t>ERVICES</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86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12/19/2013</w:t>
            </w:r>
          </w:p>
        </w:tc>
        <w:tc>
          <w:tcPr>
            <w:tcW w:w="138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w w:val="99"/>
              </w:rPr>
              <w:t>C</w:t>
            </w:r>
            <w:r>
              <w:rPr>
                <w:rFonts w:ascii="Arial" w:cs="Arial" w:eastAsia="Arial" w:hAnsi="Arial"/>
                <w:sz w:val="7"/>
                <w:szCs w:val="7"/>
                <w:color w:val="auto"/>
                <w:w w:val="99"/>
              </w:rPr>
              <w:t>ARGO</w:t>
            </w:r>
            <w:r>
              <w:rPr>
                <w:rFonts w:ascii="Arial" w:cs="Arial" w:eastAsia="Arial" w:hAnsi="Arial"/>
                <w:sz w:val="9"/>
                <w:szCs w:val="9"/>
                <w:color w:val="auto"/>
                <w:w w:val="99"/>
              </w:rPr>
              <w:t xml:space="preserve"> T</w:t>
            </w:r>
            <w:r>
              <w:rPr>
                <w:rFonts w:ascii="Arial" w:cs="Arial" w:eastAsia="Arial" w:hAnsi="Arial"/>
                <w:sz w:val="7"/>
                <w:szCs w:val="7"/>
                <w:color w:val="auto"/>
                <w:w w:val="99"/>
              </w:rPr>
              <w:t>RANSPORT</w:t>
            </w:r>
          </w:p>
        </w:tc>
        <w:tc>
          <w:tcPr>
            <w:tcW w:w="82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8.70%</w:t>
            </w:r>
          </w:p>
        </w:tc>
        <w:tc>
          <w:tcPr>
            <w:tcW w:w="600" w:type="dxa"/>
            <w:vAlign w:val="bottom"/>
            <w:gridSpan w:val="2"/>
            <w:shd w:val="clear" w:color="auto" w:fill="CCEEFF"/>
          </w:tcPr>
          <w:p>
            <w:pPr>
              <w:ind w:left="240"/>
              <w:spacing w:after="0" w:line="99" w:lineRule="exact"/>
              <w:rPr>
                <w:sz w:val="20"/>
                <w:szCs w:val="20"/>
                <w:color w:val="auto"/>
              </w:rPr>
            </w:pPr>
            <w:r>
              <w:rPr>
                <w:rFonts w:ascii="Arial" w:cs="Arial" w:eastAsia="Arial" w:hAnsi="Arial"/>
                <w:sz w:val="9"/>
                <w:szCs w:val="9"/>
                <w:color w:val="auto"/>
              </w:rPr>
              <w:t>L+350</w:t>
            </w:r>
          </w:p>
        </w:tc>
        <w:tc>
          <w:tcPr>
            <w:tcW w:w="1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6,947,500</w:t>
            </w: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6,947,500</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6,079,062</w:t>
            </w:r>
          </w:p>
        </w:tc>
        <w:tc>
          <w:tcPr>
            <w:tcW w:w="0" w:type="dxa"/>
            <w:vAlign w:val="bottom"/>
          </w:tcPr>
          <w:p>
            <w:pPr>
              <w:spacing w:after="0"/>
              <w:rPr>
                <w:sz w:val="1"/>
                <w:szCs w:val="1"/>
                <w:color w:val="auto"/>
              </w:rPr>
            </w:pPr>
          </w:p>
        </w:tc>
      </w:tr>
      <w:tr>
        <w:trPr>
          <w:trHeight w:val="99"/>
        </w:trPr>
        <w:tc>
          <w:tcPr>
            <w:tcW w:w="5300" w:type="dxa"/>
            <w:vAlign w:val="bottom"/>
          </w:tcPr>
          <w:p>
            <w:pPr>
              <w:spacing w:after="0" w:line="99" w:lineRule="exact"/>
              <w:rPr>
                <w:sz w:val="20"/>
                <w:szCs w:val="20"/>
                <w:color w:val="auto"/>
              </w:rPr>
            </w:pPr>
            <w:r>
              <w:rPr>
                <w:rFonts w:ascii="Arial" w:cs="Arial" w:eastAsia="Arial" w:hAnsi="Arial"/>
                <w:sz w:val="9"/>
                <w:szCs w:val="9"/>
                <w:color w:val="auto"/>
              </w:rPr>
              <w:t>H</w:t>
            </w:r>
            <w:r>
              <w:rPr>
                <w:rFonts w:ascii="Arial" w:cs="Arial" w:eastAsia="Arial" w:hAnsi="Arial"/>
                <w:sz w:val="7"/>
                <w:szCs w:val="7"/>
                <w:color w:val="auto"/>
              </w:rPr>
              <w:t>ANLEY</w:t>
            </w:r>
            <w:r>
              <w:rPr>
                <w:rFonts w:ascii="Arial" w:cs="Arial" w:eastAsia="Arial" w:hAnsi="Arial"/>
                <w:sz w:val="9"/>
                <w:szCs w:val="9"/>
                <w:color w:val="auto"/>
              </w:rPr>
              <w:t>-W</w:t>
            </w:r>
            <w:r>
              <w:rPr>
                <w:rFonts w:ascii="Arial" w:cs="Arial" w:eastAsia="Arial" w:hAnsi="Arial"/>
                <w:sz w:val="7"/>
                <w:szCs w:val="7"/>
                <w:color w:val="auto"/>
              </w:rPr>
              <w:t>OOD</w:t>
            </w:r>
            <w:r>
              <w:rPr>
                <w:rFonts w:ascii="Arial" w:cs="Arial" w:eastAsia="Arial" w:hAnsi="Arial"/>
                <w:sz w:val="9"/>
                <w:szCs w:val="9"/>
                <w:color w:val="auto"/>
              </w:rPr>
              <w:t>, L.L.C.</w:t>
            </w:r>
          </w:p>
        </w:tc>
        <w:tc>
          <w:tcPr>
            <w:tcW w:w="86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03/08/2014</w:t>
            </w:r>
          </w:p>
        </w:tc>
        <w:tc>
          <w:tcPr>
            <w:tcW w:w="1380" w:type="dxa"/>
            <w:vAlign w:val="bottom"/>
          </w:tcPr>
          <w:p>
            <w:pPr>
              <w:jc w:val="center"/>
              <w:spacing w:after="0" w:line="99" w:lineRule="exact"/>
              <w:rPr>
                <w:sz w:val="20"/>
                <w:szCs w:val="20"/>
                <w:color w:val="auto"/>
              </w:rPr>
            </w:pPr>
            <w:r>
              <w:rPr>
                <w:rFonts w:ascii="Arial" w:cs="Arial" w:eastAsia="Arial" w:hAnsi="Arial"/>
                <w:sz w:val="9"/>
                <w:szCs w:val="9"/>
                <w:color w:val="auto"/>
              </w:rPr>
              <w:t>O</w:t>
            </w:r>
            <w:r>
              <w:rPr>
                <w:rFonts w:ascii="Arial" w:cs="Arial" w:eastAsia="Arial" w:hAnsi="Arial"/>
                <w:sz w:val="7"/>
                <w:szCs w:val="7"/>
                <w:color w:val="auto"/>
              </w:rPr>
              <w:t>THER</w:t>
            </w:r>
            <w:r>
              <w:rPr>
                <w:rFonts w:ascii="Arial" w:cs="Arial" w:eastAsia="Arial" w:hAnsi="Arial"/>
                <w:sz w:val="9"/>
                <w:szCs w:val="9"/>
                <w:color w:val="auto"/>
              </w:rPr>
              <w:t xml:space="preserve"> M</w:t>
            </w:r>
            <w:r>
              <w:rPr>
                <w:rFonts w:ascii="Arial" w:cs="Arial" w:eastAsia="Arial" w:hAnsi="Arial"/>
                <w:sz w:val="7"/>
                <w:szCs w:val="7"/>
                <w:color w:val="auto"/>
              </w:rPr>
              <w:t>EDIA</w:t>
            </w:r>
          </w:p>
        </w:tc>
        <w:tc>
          <w:tcPr>
            <w:tcW w:w="820" w:type="dxa"/>
            <w:vAlign w:val="bottom"/>
            <w:gridSpan w:val="3"/>
          </w:tcPr>
          <w:p>
            <w:pPr>
              <w:jc w:val="right"/>
              <w:ind w:right="160"/>
              <w:spacing w:after="0" w:line="99" w:lineRule="exact"/>
              <w:rPr>
                <w:sz w:val="20"/>
                <w:szCs w:val="20"/>
                <w:color w:val="auto"/>
              </w:rPr>
            </w:pPr>
            <w:r>
              <w:rPr>
                <w:rFonts w:ascii="Arial" w:cs="Arial" w:eastAsia="Arial" w:hAnsi="Arial"/>
                <w:sz w:val="9"/>
                <w:szCs w:val="9"/>
                <w:color w:val="auto"/>
              </w:rPr>
              <w:t>7.60%</w:t>
            </w:r>
          </w:p>
        </w:tc>
        <w:tc>
          <w:tcPr>
            <w:tcW w:w="600" w:type="dxa"/>
            <w:vAlign w:val="bottom"/>
            <w:gridSpan w:val="2"/>
          </w:tcPr>
          <w:p>
            <w:pPr>
              <w:ind w:left="240"/>
              <w:spacing w:after="0" w:line="99" w:lineRule="exact"/>
              <w:rPr>
                <w:sz w:val="20"/>
                <w:szCs w:val="20"/>
                <w:color w:val="auto"/>
              </w:rPr>
            </w:pPr>
            <w:r>
              <w:rPr>
                <w:rFonts w:ascii="Arial" w:cs="Arial" w:eastAsia="Arial" w:hAnsi="Arial"/>
                <w:sz w:val="9"/>
                <w:szCs w:val="9"/>
                <w:color w:val="auto"/>
              </w:rPr>
              <w:t>L+225</w:t>
            </w:r>
          </w:p>
        </w:tc>
        <w:tc>
          <w:tcPr>
            <w:tcW w:w="1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9,000,000</w:t>
            </w:r>
          </w:p>
        </w:tc>
        <w:tc>
          <w:tcPr>
            <w:tcW w:w="16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9,000,000</w:t>
            </w:r>
          </w:p>
        </w:tc>
        <w:tc>
          <w:tcPr>
            <w:tcW w:w="12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9"/>
                <w:szCs w:val="9"/>
                <w:color w:val="auto"/>
              </w:rPr>
              <w:t>7,845,003</w:t>
            </w:r>
          </w:p>
        </w:tc>
        <w:tc>
          <w:tcPr>
            <w:tcW w:w="0" w:type="dxa"/>
            <w:vAlign w:val="bottom"/>
          </w:tcPr>
          <w:p>
            <w:pPr>
              <w:spacing w:after="0"/>
              <w:rPr>
                <w:sz w:val="1"/>
                <w:szCs w:val="1"/>
                <w:color w:val="auto"/>
              </w:rPr>
            </w:pPr>
          </w:p>
        </w:tc>
      </w:tr>
      <w:tr>
        <w:trPr>
          <w:trHeight w:val="99"/>
        </w:trPr>
        <w:tc>
          <w:tcPr>
            <w:tcW w:w="53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H</w:t>
            </w:r>
            <w:r>
              <w:rPr>
                <w:rFonts w:ascii="Arial" w:cs="Arial" w:eastAsia="Arial" w:hAnsi="Arial"/>
                <w:sz w:val="7"/>
                <w:szCs w:val="7"/>
                <w:color w:val="auto"/>
              </w:rPr>
              <w:t>AWKER</w:t>
            </w:r>
            <w:r>
              <w:rPr>
                <w:rFonts w:ascii="Arial" w:cs="Arial" w:eastAsia="Arial" w:hAnsi="Arial"/>
                <w:sz w:val="9"/>
                <w:szCs w:val="9"/>
                <w:color w:val="auto"/>
              </w:rPr>
              <w:t xml:space="preserve"> B</w:t>
            </w:r>
            <w:r>
              <w:rPr>
                <w:rFonts w:ascii="Arial" w:cs="Arial" w:eastAsia="Arial" w:hAnsi="Arial"/>
                <w:sz w:val="7"/>
                <w:szCs w:val="7"/>
                <w:color w:val="auto"/>
              </w:rPr>
              <w:t>EECHCRAFT</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86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03/28/2014</w:t>
            </w:r>
          </w:p>
        </w:tc>
        <w:tc>
          <w:tcPr>
            <w:tcW w:w="138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w w:val="97"/>
              </w:rPr>
              <w:t>A</w:t>
            </w:r>
            <w:r>
              <w:rPr>
                <w:rFonts w:ascii="Arial" w:cs="Arial" w:eastAsia="Arial" w:hAnsi="Arial"/>
                <w:sz w:val="7"/>
                <w:szCs w:val="7"/>
                <w:color w:val="auto"/>
                <w:w w:val="97"/>
              </w:rPr>
              <w:t>EROSPACE</w:t>
            </w:r>
            <w:r>
              <w:rPr>
                <w:rFonts w:ascii="Arial" w:cs="Arial" w:eastAsia="Arial" w:hAnsi="Arial"/>
                <w:sz w:val="9"/>
                <w:szCs w:val="9"/>
                <w:color w:val="auto"/>
                <w:w w:val="97"/>
              </w:rPr>
              <w:t>/D</w:t>
            </w:r>
            <w:r>
              <w:rPr>
                <w:rFonts w:ascii="Arial" w:cs="Arial" w:eastAsia="Arial" w:hAnsi="Arial"/>
                <w:sz w:val="7"/>
                <w:szCs w:val="7"/>
                <w:color w:val="auto"/>
                <w:w w:val="97"/>
              </w:rPr>
              <w:t>EFENSE</w:t>
            </w:r>
          </w:p>
        </w:tc>
        <w:tc>
          <w:tcPr>
            <w:tcW w:w="82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7.21%</w:t>
            </w:r>
          </w:p>
        </w:tc>
        <w:tc>
          <w:tcPr>
            <w:tcW w:w="600" w:type="dxa"/>
            <w:vAlign w:val="bottom"/>
            <w:gridSpan w:val="2"/>
            <w:shd w:val="clear" w:color="auto" w:fill="CCEEFF"/>
          </w:tcPr>
          <w:p>
            <w:pPr>
              <w:ind w:left="240"/>
              <w:spacing w:after="0" w:line="99" w:lineRule="exact"/>
              <w:rPr>
                <w:sz w:val="20"/>
                <w:szCs w:val="20"/>
                <w:color w:val="auto"/>
              </w:rPr>
            </w:pPr>
            <w:r>
              <w:rPr>
                <w:rFonts w:ascii="Arial" w:cs="Arial" w:eastAsia="Arial" w:hAnsi="Arial"/>
                <w:sz w:val="9"/>
                <w:szCs w:val="9"/>
                <w:color w:val="auto"/>
              </w:rPr>
              <w:t>L+200</w:t>
            </w:r>
          </w:p>
        </w:tc>
        <w:tc>
          <w:tcPr>
            <w:tcW w:w="1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1,990,780</w:t>
            </w: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1,990,780</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1,930,226</w:t>
            </w:r>
          </w:p>
        </w:tc>
        <w:tc>
          <w:tcPr>
            <w:tcW w:w="0" w:type="dxa"/>
            <w:vAlign w:val="bottom"/>
          </w:tcPr>
          <w:p>
            <w:pPr>
              <w:spacing w:after="0"/>
              <w:rPr>
                <w:sz w:val="1"/>
                <w:szCs w:val="1"/>
                <w:color w:val="auto"/>
              </w:rPr>
            </w:pPr>
          </w:p>
        </w:tc>
      </w:tr>
      <w:tr>
        <w:trPr>
          <w:trHeight w:val="92"/>
        </w:trPr>
        <w:tc>
          <w:tcPr>
            <w:tcW w:w="5300" w:type="dxa"/>
            <w:vAlign w:val="bottom"/>
          </w:tcPr>
          <w:p>
            <w:pPr>
              <w:spacing w:after="0" w:line="92" w:lineRule="exact"/>
              <w:rPr>
                <w:sz w:val="20"/>
                <w:szCs w:val="20"/>
                <w:color w:val="auto"/>
              </w:rPr>
            </w:pPr>
            <w:r>
              <w:rPr>
                <w:rFonts w:ascii="Arial" w:cs="Arial" w:eastAsia="Arial" w:hAnsi="Arial"/>
                <w:sz w:val="9"/>
                <w:szCs w:val="9"/>
                <w:color w:val="auto"/>
              </w:rPr>
              <w:t>H</w:t>
            </w:r>
            <w:r>
              <w:rPr>
                <w:rFonts w:ascii="Arial" w:cs="Arial" w:eastAsia="Arial" w:hAnsi="Arial"/>
                <w:sz w:val="7"/>
                <w:szCs w:val="7"/>
                <w:color w:val="auto"/>
              </w:rPr>
              <w:t>EALTH</w:t>
            </w:r>
            <w:r>
              <w:rPr>
                <w:rFonts w:ascii="Arial" w:cs="Arial" w:eastAsia="Arial" w:hAnsi="Arial"/>
                <w:sz w:val="9"/>
                <w:szCs w:val="9"/>
                <w:color w:val="auto"/>
              </w:rPr>
              <w:t xml:space="preserve"> M</w:t>
            </w:r>
            <w:r>
              <w:rPr>
                <w:rFonts w:ascii="Arial" w:cs="Arial" w:eastAsia="Arial" w:hAnsi="Arial"/>
                <w:sz w:val="7"/>
                <w:szCs w:val="7"/>
                <w:color w:val="auto"/>
              </w:rPr>
              <w:t>ANAGEMENT</w:t>
            </w:r>
            <w:r>
              <w:rPr>
                <w:rFonts w:ascii="Arial" w:cs="Arial" w:eastAsia="Arial" w:hAnsi="Arial"/>
                <w:sz w:val="9"/>
                <w:szCs w:val="9"/>
                <w:color w:val="auto"/>
              </w:rPr>
              <w:t xml:space="preserve"> A</w:t>
            </w:r>
            <w:r>
              <w:rPr>
                <w:rFonts w:ascii="Arial" w:cs="Arial" w:eastAsia="Arial" w:hAnsi="Arial"/>
                <w:sz w:val="7"/>
                <w:szCs w:val="7"/>
                <w:color w:val="auto"/>
              </w:rPr>
              <w:t>SSOCIATES</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860" w:type="dxa"/>
            <w:vAlign w:val="bottom"/>
            <w:gridSpan w:val="3"/>
          </w:tcPr>
          <w:p>
            <w:pPr>
              <w:jc w:val="right"/>
              <w:ind w:right="120"/>
              <w:spacing w:after="0" w:line="92" w:lineRule="exact"/>
              <w:rPr>
                <w:sz w:val="20"/>
                <w:szCs w:val="20"/>
                <w:color w:val="auto"/>
              </w:rPr>
            </w:pPr>
            <w:r>
              <w:rPr>
                <w:rFonts w:ascii="Arial" w:cs="Arial" w:eastAsia="Arial" w:hAnsi="Arial"/>
                <w:sz w:val="9"/>
                <w:szCs w:val="9"/>
                <w:color w:val="auto"/>
              </w:rPr>
              <w:t>02/28/2014</w:t>
            </w:r>
          </w:p>
        </w:tc>
        <w:tc>
          <w:tcPr>
            <w:tcW w:w="1380" w:type="dxa"/>
            <w:vAlign w:val="bottom"/>
          </w:tcPr>
          <w:p>
            <w:pPr>
              <w:jc w:val="center"/>
              <w:spacing w:after="0" w:line="92" w:lineRule="exact"/>
              <w:rPr>
                <w:sz w:val="20"/>
                <w:szCs w:val="20"/>
                <w:color w:val="auto"/>
              </w:rPr>
            </w:pPr>
            <w:r>
              <w:rPr>
                <w:rFonts w:ascii="Arial" w:cs="Arial" w:eastAsia="Arial" w:hAnsi="Arial"/>
                <w:sz w:val="9"/>
                <w:szCs w:val="9"/>
                <w:color w:val="auto"/>
              </w:rPr>
              <w:t>H</w:t>
            </w:r>
            <w:r>
              <w:rPr>
                <w:rFonts w:ascii="Arial" w:cs="Arial" w:eastAsia="Arial" w:hAnsi="Arial"/>
                <w:sz w:val="7"/>
                <w:szCs w:val="7"/>
                <w:color w:val="auto"/>
              </w:rPr>
              <w:t>EALTH</w:t>
            </w:r>
            <w:r>
              <w:rPr>
                <w:rFonts w:ascii="Arial" w:cs="Arial" w:eastAsia="Arial" w:hAnsi="Arial"/>
                <w:sz w:val="9"/>
                <w:szCs w:val="9"/>
                <w:color w:val="auto"/>
              </w:rPr>
              <w:t xml:space="preserve"> C</w:t>
            </w:r>
            <w:r>
              <w:rPr>
                <w:rFonts w:ascii="Arial" w:cs="Arial" w:eastAsia="Arial" w:hAnsi="Arial"/>
                <w:sz w:val="7"/>
                <w:szCs w:val="7"/>
                <w:color w:val="auto"/>
              </w:rPr>
              <w:t>ARE</w:t>
            </w:r>
            <w:r>
              <w:rPr>
                <w:rFonts w:ascii="Arial" w:cs="Arial" w:eastAsia="Arial" w:hAnsi="Arial"/>
                <w:sz w:val="9"/>
                <w:szCs w:val="9"/>
                <w:color w:val="auto"/>
              </w:rPr>
              <w:t>,</w:t>
            </w:r>
          </w:p>
        </w:tc>
        <w:tc>
          <w:tcPr>
            <w:tcW w:w="820" w:type="dxa"/>
            <w:vAlign w:val="bottom"/>
            <w:gridSpan w:val="3"/>
          </w:tcPr>
          <w:p>
            <w:pPr>
              <w:jc w:val="right"/>
              <w:ind w:right="160"/>
              <w:spacing w:after="0" w:line="92" w:lineRule="exact"/>
              <w:rPr>
                <w:sz w:val="20"/>
                <w:szCs w:val="20"/>
                <w:color w:val="auto"/>
              </w:rPr>
            </w:pPr>
            <w:r>
              <w:rPr>
                <w:rFonts w:ascii="Arial" w:cs="Arial" w:eastAsia="Arial" w:hAnsi="Arial"/>
                <w:sz w:val="9"/>
                <w:szCs w:val="9"/>
                <w:color w:val="auto"/>
              </w:rPr>
              <w:t>6.95%</w:t>
            </w:r>
          </w:p>
        </w:tc>
        <w:tc>
          <w:tcPr>
            <w:tcW w:w="600" w:type="dxa"/>
            <w:vAlign w:val="bottom"/>
            <w:gridSpan w:val="2"/>
          </w:tcPr>
          <w:p>
            <w:pPr>
              <w:ind w:left="240"/>
              <w:spacing w:after="0" w:line="92" w:lineRule="exact"/>
              <w:rPr>
                <w:sz w:val="20"/>
                <w:szCs w:val="20"/>
                <w:color w:val="auto"/>
              </w:rPr>
            </w:pPr>
            <w:r>
              <w:rPr>
                <w:rFonts w:ascii="Arial" w:cs="Arial" w:eastAsia="Arial" w:hAnsi="Arial"/>
                <w:sz w:val="9"/>
                <w:szCs w:val="9"/>
                <w:color w:val="auto"/>
              </w:rPr>
              <w:t>L+175</w:t>
            </w:r>
          </w:p>
        </w:tc>
        <w:tc>
          <w:tcPr>
            <w:tcW w:w="160" w:type="dxa"/>
            <w:vAlign w:val="bottom"/>
          </w:tcPr>
          <w:p>
            <w:pPr>
              <w:spacing w:after="0"/>
              <w:rPr>
                <w:sz w:val="7"/>
                <w:szCs w:val="7"/>
                <w:color w:val="auto"/>
              </w:rPr>
            </w:pPr>
          </w:p>
        </w:tc>
        <w:tc>
          <w:tcPr>
            <w:tcW w:w="640" w:type="dxa"/>
            <w:vAlign w:val="bottom"/>
            <w:gridSpan w:val="2"/>
          </w:tcPr>
          <w:p>
            <w:pPr>
              <w:jc w:val="right"/>
              <w:ind w:right="100"/>
              <w:spacing w:after="0" w:line="92" w:lineRule="exact"/>
              <w:rPr>
                <w:sz w:val="20"/>
                <w:szCs w:val="20"/>
                <w:color w:val="auto"/>
              </w:rPr>
            </w:pPr>
            <w:r>
              <w:rPr>
                <w:rFonts w:ascii="Arial" w:cs="Arial" w:eastAsia="Arial" w:hAnsi="Arial"/>
                <w:sz w:val="9"/>
                <w:szCs w:val="9"/>
                <w:color w:val="auto"/>
              </w:rPr>
              <w:t>9,950,000</w:t>
            </w:r>
          </w:p>
        </w:tc>
        <w:tc>
          <w:tcPr>
            <w:tcW w:w="160" w:type="dxa"/>
            <w:vAlign w:val="bottom"/>
          </w:tcPr>
          <w:p>
            <w:pPr>
              <w:spacing w:after="0"/>
              <w:rPr>
                <w:sz w:val="7"/>
                <w:szCs w:val="7"/>
                <w:color w:val="auto"/>
              </w:rPr>
            </w:pPr>
          </w:p>
        </w:tc>
        <w:tc>
          <w:tcPr>
            <w:tcW w:w="660" w:type="dxa"/>
            <w:vAlign w:val="bottom"/>
            <w:gridSpan w:val="2"/>
          </w:tcPr>
          <w:p>
            <w:pPr>
              <w:jc w:val="right"/>
              <w:ind w:right="120"/>
              <w:spacing w:after="0" w:line="92" w:lineRule="exact"/>
              <w:rPr>
                <w:sz w:val="20"/>
                <w:szCs w:val="20"/>
                <w:color w:val="auto"/>
              </w:rPr>
            </w:pPr>
            <w:r>
              <w:rPr>
                <w:rFonts w:ascii="Arial" w:cs="Arial" w:eastAsia="Arial" w:hAnsi="Arial"/>
                <w:sz w:val="9"/>
                <w:szCs w:val="9"/>
                <w:color w:val="auto"/>
              </w:rPr>
              <w:t>9,950,000</w:t>
            </w:r>
          </w:p>
        </w:tc>
        <w:tc>
          <w:tcPr>
            <w:tcW w:w="120" w:type="dxa"/>
            <w:vAlign w:val="bottom"/>
          </w:tcPr>
          <w:p>
            <w:pPr>
              <w:spacing w:after="0"/>
              <w:rPr>
                <w:sz w:val="7"/>
                <w:szCs w:val="7"/>
                <w:color w:val="auto"/>
              </w:rPr>
            </w:pPr>
          </w:p>
        </w:tc>
        <w:tc>
          <w:tcPr>
            <w:tcW w:w="600" w:type="dxa"/>
            <w:vAlign w:val="bottom"/>
          </w:tcPr>
          <w:p>
            <w:pPr>
              <w:jc w:val="right"/>
              <w:spacing w:after="0" w:line="92" w:lineRule="exact"/>
              <w:rPr>
                <w:sz w:val="20"/>
                <w:szCs w:val="20"/>
                <w:color w:val="auto"/>
              </w:rPr>
            </w:pPr>
            <w:r>
              <w:rPr>
                <w:rFonts w:ascii="Arial" w:cs="Arial" w:eastAsia="Arial" w:hAnsi="Arial"/>
                <w:sz w:val="9"/>
                <w:szCs w:val="9"/>
                <w:color w:val="auto"/>
              </w:rPr>
              <w:t>9,441,615</w:t>
            </w:r>
          </w:p>
        </w:tc>
        <w:tc>
          <w:tcPr>
            <w:tcW w:w="0" w:type="dxa"/>
            <w:vAlign w:val="bottom"/>
          </w:tcPr>
          <w:p>
            <w:pPr>
              <w:spacing w:after="0"/>
              <w:rPr>
                <w:sz w:val="1"/>
                <w:szCs w:val="1"/>
                <w:color w:val="auto"/>
              </w:rPr>
            </w:pPr>
          </w:p>
        </w:tc>
      </w:tr>
      <w:tr>
        <w:trPr>
          <w:trHeight w:val="99"/>
        </w:trPr>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jc w:val="center"/>
              <w:spacing w:after="0" w:line="99" w:lineRule="exact"/>
              <w:rPr>
                <w:sz w:val="20"/>
                <w:szCs w:val="20"/>
                <w:color w:val="auto"/>
              </w:rPr>
            </w:pPr>
            <w:r>
              <w:rPr>
                <w:rFonts w:ascii="Arial" w:cs="Arial" w:eastAsia="Arial" w:hAnsi="Arial"/>
                <w:sz w:val="9"/>
                <w:szCs w:val="9"/>
                <w:color w:val="auto"/>
              </w:rPr>
              <w:t>E</w:t>
            </w:r>
            <w:r>
              <w:rPr>
                <w:rFonts w:ascii="Arial" w:cs="Arial" w:eastAsia="Arial" w:hAnsi="Arial"/>
                <w:sz w:val="7"/>
                <w:szCs w:val="7"/>
                <w:color w:val="auto"/>
              </w:rPr>
              <w:t>DUCATION</w:t>
            </w:r>
            <w:r>
              <w:rPr>
                <w:rFonts w:ascii="Arial" w:cs="Arial" w:eastAsia="Arial" w:hAnsi="Arial"/>
                <w:sz w:val="9"/>
                <w:szCs w:val="9"/>
                <w:color w:val="auto"/>
              </w:rPr>
              <w:t xml:space="preserve"> &amp;</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jc w:val="center"/>
              <w:spacing w:after="0"/>
              <w:rPr>
                <w:sz w:val="20"/>
                <w:szCs w:val="20"/>
                <w:color w:val="auto"/>
              </w:rPr>
            </w:pPr>
            <w:r>
              <w:rPr>
                <w:rFonts w:ascii="Arial" w:cs="Arial" w:eastAsia="Arial" w:hAnsi="Arial"/>
                <w:sz w:val="9"/>
                <w:szCs w:val="9"/>
                <w:color w:val="auto"/>
              </w:rPr>
              <w:t>C</w:t>
            </w:r>
            <w:r>
              <w:rPr>
                <w:rFonts w:ascii="Arial" w:cs="Arial" w:eastAsia="Arial" w:hAnsi="Arial"/>
                <w:sz w:val="7"/>
                <w:szCs w:val="7"/>
                <w:color w:val="auto"/>
              </w:rPr>
              <w:t>HILDCARE</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3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H</w:t>
            </w:r>
            <w:r>
              <w:rPr>
                <w:rFonts w:ascii="Arial" w:cs="Arial" w:eastAsia="Arial" w:hAnsi="Arial"/>
                <w:sz w:val="7"/>
                <w:szCs w:val="7"/>
                <w:color w:val="auto"/>
              </w:rPr>
              <w:t>UGHES</w:t>
            </w:r>
            <w:r>
              <w:rPr>
                <w:rFonts w:ascii="Arial" w:cs="Arial" w:eastAsia="Arial" w:hAnsi="Arial"/>
                <w:sz w:val="9"/>
                <w:szCs w:val="9"/>
                <w:color w:val="auto"/>
              </w:rPr>
              <w:t xml:space="preserve"> N</w:t>
            </w:r>
            <w:r>
              <w:rPr>
                <w:rFonts w:ascii="Arial" w:cs="Arial" w:eastAsia="Arial" w:hAnsi="Arial"/>
                <w:sz w:val="7"/>
                <w:szCs w:val="7"/>
                <w:color w:val="auto"/>
              </w:rPr>
              <w:t>ETWORK</w:t>
            </w:r>
            <w:r>
              <w:rPr>
                <w:rFonts w:ascii="Arial" w:cs="Arial" w:eastAsia="Arial" w:hAnsi="Arial"/>
                <w:sz w:val="9"/>
                <w:szCs w:val="9"/>
                <w:color w:val="auto"/>
              </w:rPr>
              <w:t xml:space="preserve"> S</w:t>
            </w:r>
            <w:r>
              <w:rPr>
                <w:rFonts w:ascii="Arial" w:cs="Arial" w:eastAsia="Arial" w:hAnsi="Arial"/>
                <w:sz w:val="7"/>
                <w:szCs w:val="7"/>
                <w:color w:val="auto"/>
              </w:rPr>
              <w:t>YSTEMS</w:t>
            </w:r>
            <w:r>
              <w:rPr>
                <w:rFonts w:ascii="Arial" w:cs="Arial" w:eastAsia="Arial" w:hAnsi="Arial"/>
                <w:sz w:val="9"/>
                <w:szCs w:val="9"/>
                <w:color w:val="auto"/>
              </w:rPr>
              <w:t>, L.L.C.</w:t>
            </w:r>
          </w:p>
        </w:tc>
        <w:tc>
          <w:tcPr>
            <w:tcW w:w="86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04/15/2014</w:t>
            </w:r>
          </w:p>
        </w:tc>
        <w:tc>
          <w:tcPr>
            <w:tcW w:w="138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T</w:t>
            </w:r>
            <w:r>
              <w:rPr>
                <w:rFonts w:ascii="Arial" w:cs="Arial" w:eastAsia="Arial" w:hAnsi="Arial"/>
                <w:sz w:val="7"/>
                <w:szCs w:val="7"/>
                <w:color w:val="auto"/>
              </w:rPr>
              <w:t>ELECOMMUNICATIONS</w:t>
            </w:r>
          </w:p>
        </w:tc>
        <w:tc>
          <w:tcPr>
            <w:tcW w:w="82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8.06%</w:t>
            </w:r>
          </w:p>
        </w:tc>
        <w:tc>
          <w:tcPr>
            <w:tcW w:w="600" w:type="dxa"/>
            <w:vAlign w:val="bottom"/>
            <w:gridSpan w:val="2"/>
            <w:shd w:val="clear" w:color="auto" w:fill="CCEEFF"/>
          </w:tcPr>
          <w:p>
            <w:pPr>
              <w:ind w:left="240"/>
              <w:spacing w:after="0" w:line="99" w:lineRule="exact"/>
              <w:rPr>
                <w:sz w:val="20"/>
                <w:szCs w:val="20"/>
                <w:color w:val="auto"/>
              </w:rPr>
            </w:pPr>
            <w:r>
              <w:rPr>
                <w:rFonts w:ascii="Arial" w:cs="Arial" w:eastAsia="Arial" w:hAnsi="Arial"/>
                <w:sz w:val="9"/>
                <w:szCs w:val="9"/>
                <w:color w:val="auto"/>
              </w:rPr>
              <w:t>L+250</w:t>
            </w:r>
          </w:p>
        </w:tc>
        <w:tc>
          <w:tcPr>
            <w:tcW w:w="1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5,000,000</w:t>
            </w: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5,000,000</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4,625,000</w:t>
            </w:r>
          </w:p>
        </w:tc>
        <w:tc>
          <w:tcPr>
            <w:tcW w:w="0" w:type="dxa"/>
            <w:vAlign w:val="bottom"/>
          </w:tcPr>
          <w:p>
            <w:pPr>
              <w:spacing w:after="0"/>
              <w:rPr>
                <w:sz w:val="1"/>
                <w:szCs w:val="1"/>
                <w:color w:val="auto"/>
              </w:rPr>
            </w:pPr>
          </w:p>
        </w:tc>
      </w:tr>
      <w:tr>
        <w:trPr>
          <w:trHeight w:val="92"/>
        </w:trPr>
        <w:tc>
          <w:tcPr>
            <w:tcW w:w="5300" w:type="dxa"/>
            <w:vAlign w:val="bottom"/>
          </w:tcPr>
          <w:p>
            <w:pPr>
              <w:spacing w:after="0" w:line="92" w:lineRule="exact"/>
              <w:rPr>
                <w:sz w:val="20"/>
                <w:szCs w:val="20"/>
                <w:color w:val="auto"/>
              </w:rPr>
            </w:pPr>
            <w:r>
              <w:rPr>
                <w:rFonts w:ascii="Arial" w:cs="Arial" w:eastAsia="Arial" w:hAnsi="Arial"/>
                <w:sz w:val="9"/>
                <w:szCs w:val="9"/>
                <w:color w:val="auto"/>
              </w:rPr>
              <w:t>J</w:t>
            </w:r>
            <w:r>
              <w:rPr>
                <w:rFonts w:ascii="Arial" w:cs="Arial" w:eastAsia="Arial" w:hAnsi="Arial"/>
                <w:sz w:val="7"/>
                <w:szCs w:val="7"/>
                <w:color w:val="auto"/>
              </w:rPr>
              <w:t>ACUZZI</w:t>
            </w:r>
            <w:r>
              <w:rPr>
                <w:rFonts w:ascii="Arial" w:cs="Arial" w:eastAsia="Arial" w:hAnsi="Arial"/>
                <w:sz w:val="9"/>
                <w:szCs w:val="9"/>
                <w:color w:val="auto"/>
              </w:rPr>
              <w:t xml:space="preserve"> B</w:t>
            </w:r>
            <w:r>
              <w:rPr>
                <w:rFonts w:ascii="Arial" w:cs="Arial" w:eastAsia="Arial" w:hAnsi="Arial"/>
                <w:sz w:val="7"/>
                <w:szCs w:val="7"/>
                <w:color w:val="auto"/>
              </w:rPr>
              <w:t>RANDS</w:t>
            </w:r>
            <w:r>
              <w:rPr>
                <w:rFonts w:ascii="Arial" w:cs="Arial" w:eastAsia="Arial" w:hAnsi="Arial"/>
                <w:sz w:val="9"/>
                <w:szCs w:val="9"/>
                <w:color w:val="auto"/>
              </w:rPr>
              <w:t xml:space="preserve"> C</w:t>
            </w:r>
            <w:r>
              <w:rPr>
                <w:rFonts w:ascii="Arial" w:cs="Arial" w:eastAsia="Arial" w:hAnsi="Arial"/>
                <w:sz w:val="7"/>
                <w:szCs w:val="7"/>
                <w:color w:val="auto"/>
              </w:rPr>
              <w:t>ORP</w:t>
            </w:r>
            <w:r>
              <w:rPr>
                <w:rFonts w:ascii="Arial" w:cs="Arial" w:eastAsia="Arial" w:hAnsi="Arial"/>
                <w:sz w:val="9"/>
                <w:szCs w:val="9"/>
                <w:color w:val="auto"/>
              </w:rPr>
              <w:t>.</w:t>
            </w:r>
          </w:p>
        </w:tc>
        <w:tc>
          <w:tcPr>
            <w:tcW w:w="860" w:type="dxa"/>
            <w:vAlign w:val="bottom"/>
            <w:gridSpan w:val="3"/>
          </w:tcPr>
          <w:p>
            <w:pPr>
              <w:jc w:val="right"/>
              <w:ind w:right="120"/>
              <w:spacing w:after="0" w:line="92" w:lineRule="exact"/>
              <w:rPr>
                <w:sz w:val="20"/>
                <w:szCs w:val="20"/>
                <w:color w:val="auto"/>
              </w:rPr>
            </w:pPr>
            <w:r>
              <w:rPr>
                <w:rFonts w:ascii="Arial" w:cs="Arial" w:eastAsia="Arial" w:hAnsi="Arial"/>
                <w:sz w:val="9"/>
                <w:szCs w:val="9"/>
                <w:color w:val="auto"/>
              </w:rPr>
              <w:t>02/07/2014</w:t>
            </w:r>
          </w:p>
        </w:tc>
        <w:tc>
          <w:tcPr>
            <w:tcW w:w="1380" w:type="dxa"/>
            <w:vAlign w:val="bottom"/>
          </w:tcPr>
          <w:p>
            <w:pPr>
              <w:jc w:val="center"/>
              <w:spacing w:after="0" w:line="92" w:lineRule="exact"/>
              <w:rPr>
                <w:sz w:val="20"/>
                <w:szCs w:val="20"/>
                <w:color w:val="auto"/>
              </w:rPr>
            </w:pPr>
            <w:r>
              <w:rPr>
                <w:rFonts w:ascii="Arial" w:cs="Arial" w:eastAsia="Arial" w:hAnsi="Arial"/>
                <w:sz w:val="9"/>
                <w:szCs w:val="9"/>
                <w:color w:val="auto"/>
              </w:rPr>
              <w:t>H</w:t>
            </w:r>
            <w:r>
              <w:rPr>
                <w:rFonts w:ascii="Arial" w:cs="Arial" w:eastAsia="Arial" w:hAnsi="Arial"/>
                <w:sz w:val="7"/>
                <w:szCs w:val="7"/>
                <w:color w:val="auto"/>
              </w:rPr>
              <w:t>OME</w:t>
            </w:r>
            <w:r>
              <w:rPr>
                <w:rFonts w:ascii="Arial" w:cs="Arial" w:eastAsia="Arial" w:hAnsi="Arial"/>
                <w:sz w:val="9"/>
                <w:szCs w:val="9"/>
                <w:color w:val="auto"/>
              </w:rPr>
              <w:t xml:space="preserve"> &amp; O</w:t>
            </w:r>
            <w:r>
              <w:rPr>
                <w:rFonts w:ascii="Arial" w:cs="Arial" w:eastAsia="Arial" w:hAnsi="Arial"/>
                <w:sz w:val="7"/>
                <w:szCs w:val="7"/>
                <w:color w:val="auto"/>
              </w:rPr>
              <w:t>FFICE</w:t>
            </w:r>
          </w:p>
        </w:tc>
        <w:tc>
          <w:tcPr>
            <w:tcW w:w="820" w:type="dxa"/>
            <w:vAlign w:val="bottom"/>
            <w:gridSpan w:val="3"/>
          </w:tcPr>
          <w:p>
            <w:pPr>
              <w:jc w:val="right"/>
              <w:ind w:right="160"/>
              <w:spacing w:after="0" w:line="92" w:lineRule="exact"/>
              <w:rPr>
                <w:sz w:val="20"/>
                <w:szCs w:val="20"/>
                <w:color w:val="auto"/>
              </w:rPr>
            </w:pPr>
            <w:r>
              <w:rPr>
                <w:rFonts w:ascii="Arial" w:cs="Arial" w:eastAsia="Arial" w:hAnsi="Arial"/>
                <w:sz w:val="9"/>
                <w:szCs w:val="9"/>
                <w:color w:val="auto"/>
              </w:rPr>
              <w:t>7.44%</w:t>
            </w:r>
          </w:p>
        </w:tc>
        <w:tc>
          <w:tcPr>
            <w:tcW w:w="600" w:type="dxa"/>
            <w:vAlign w:val="bottom"/>
            <w:gridSpan w:val="2"/>
          </w:tcPr>
          <w:p>
            <w:pPr>
              <w:ind w:left="240"/>
              <w:spacing w:after="0" w:line="92" w:lineRule="exact"/>
              <w:rPr>
                <w:sz w:val="20"/>
                <w:szCs w:val="20"/>
                <w:color w:val="auto"/>
              </w:rPr>
            </w:pPr>
            <w:r>
              <w:rPr>
                <w:rFonts w:ascii="Arial" w:cs="Arial" w:eastAsia="Arial" w:hAnsi="Arial"/>
                <w:sz w:val="9"/>
                <w:szCs w:val="9"/>
                <w:color w:val="auto"/>
              </w:rPr>
              <w:t>L+225</w:t>
            </w:r>
          </w:p>
        </w:tc>
        <w:tc>
          <w:tcPr>
            <w:tcW w:w="160" w:type="dxa"/>
            <w:vAlign w:val="bottom"/>
          </w:tcPr>
          <w:p>
            <w:pPr>
              <w:spacing w:after="0"/>
              <w:rPr>
                <w:sz w:val="7"/>
                <w:szCs w:val="7"/>
                <w:color w:val="auto"/>
              </w:rPr>
            </w:pPr>
          </w:p>
        </w:tc>
        <w:tc>
          <w:tcPr>
            <w:tcW w:w="640" w:type="dxa"/>
            <w:vAlign w:val="bottom"/>
            <w:gridSpan w:val="2"/>
          </w:tcPr>
          <w:p>
            <w:pPr>
              <w:jc w:val="right"/>
              <w:ind w:right="100"/>
              <w:spacing w:after="0" w:line="92" w:lineRule="exact"/>
              <w:rPr>
                <w:sz w:val="20"/>
                <w:szCs w:val="20"/>
                <w:color w:val="auto"/>
              </w:rPr>
            </w:pPr>
            <w:r>
              <w:rPr>
                <w:rFonts w:ascii="Arial" w:cs="Arial" w:eastAsia="Arial" w:hAnsi="Arial"/>
                <w:sz w:val="9"/>
                <w:szCs w:val="9"/>
                <w:color w:val="auto"/>
              </w:rPr>
              <w:t>9,963,514</w:t>
            </w:r>
          </w:p>
        </w:tc>
        <w:tc>
          <w:tcPr>
            <w:tcW w:w="160" w:type="dxa"/>
            <w:vAlign w:val="bottom"/>
          </w:tcPr>
          <w:p>
            <w:pPr>
              <w:spacing w:after="0"/>
              <w:rPr>
                <w:sz w:val="7"/>
                <w:szCs w:val="7"/>
                <w:color w:val="auto"/>
              </w:rPr>
            </w:pPr>
          </w:p>
        </w:tc>
        <w:tc>
          <w:tcPr>
            <w:tcW w:w="660" w:type="dxa"/>
            <w:vAlign w:val="bottom"/>
            <w:gridSpan w:val="2"/>
          </w:tcPr>
          <w:p>
            <w:pPr>
              <w:jc w:val="right"/>
              <w:ind w:right="120"/>
              <w:spacing w:after="0" w:line="92" w:lineRule="exact"/>
              <w:rPr>
                <w:sz w:val="20"/>
                <w:szCs w:val="20"/>
                <w:color w:val="auto"/>
              </w:rPr>
            </w:pPr>
            <w:r>
              <w:rPr>
                <w:rFonts w:ascii="Arial" w:cs="Arial" w:eastAsia="Arial" w:hAnsi="Arial"/>
                <w:sz w:val="9"/>
                <w:szCs w:val="9"/>
                <w:color w:val="auto"/>
              </w:rPr>
              <w:t>9,963,514</w:t>
            </w:r>
          </w:p>
        </w:tc>
        <w:tc>
          <w:tcPr>
            <w:tcW w:w="120" w:type="dxa"/>
            <w:vAlign w:val="bottom"/>
          </w:tcPr>
          <w:p>
            <w:pPr>
              <w:spacing w:after="0"/>
              <w:rPr>
                <w:sz w:val="7"/>
                <w:szCs w:val="7"/>
                <w:color w:val="auto"/>
              </w:rPr>
            </w:pPr>
          </w:p>
        </w:tc>
        <w:tc>
          <w:tcPr>
            <w:tcW w:w="600" w:type="dxa"/>
            <w:vAlign w:val="bottom"/>
          </w:tcPr>
          <w:p>
            <w:pPr>
              <w:jc w:val="right"/>
              <w:spacing w:after="0" w:line="92" w:lineRule="exact"/>
              <w:rPr>
                <w:sz w:val="20"/>
                <w:szCs w:val="20"/>
                <w:color w:val="auto"/>
              </w:rPr>
            </w:pPr>
            <w:r>
              <w:rPr>
                <w:rFonts w:ascii="Arial" w:cs="Arial" w:eastAsia="Arial" w:hAnsi="Arial"/>
                <w:sz w:val="9"/>
                <w:szCs w:val="9"/>
                <w:color w:val="auto"/>
              </w:rPr>
              <w:t>8,947,235</w:t>
            </w:r>
          </w:p>
        </w:tc>
        <w:tc>
          <w:tcPr>
            <w:tcW w:w="0" w:type="dxa"/>
            <w:vAlign w:val="bottom"/>
          </w:tcPr>
          <w:p>
            <w:pPr>
              <w:spacing w:after="0"/>
              <w:rPr>
                <w:sz w:val="1"/>
                <w:szCs w:val="1"/>
                <w:color w:val="auto"/>
              </w:rPr>
            </w:pPr>
          </w:p>
        </w:tc>
      </w:tr>
      <w:tr>
        <w:trPr>
          <w:trHeight w:val="99"/>
        </w:trPr>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jc w:val="center"/>
              <w:spacing w:after="0" w:line="99" w:lineRule="exact"/>
              <w:rPr>
                <w:sz w:val="20"/>
                <w:szCs w:val="20"/>
                <w:color w:val="auto"/>
              </w:rPr>
            </w:pPr>
            <w:r>
              <w:rPr>
                <w:rFonts w:ascii="Arial" w:cs="Arial" w:eastAsia="Arial" w:hAnsi="Arial"/>
                <w:sz w:val="9"/>
                <w:szCs w:val="9"/>
                <w:color w:val="auto"/>
              </w:rPr>
              <w:t>F</w:t>
            </w:r>
            <w:r>
              <w:rPr>
                <w:rFonts w:ascii="Arial" w:cs="Arial" w:eastAsia="Arial" w:hAnsi="Arial"/>
                <w:sz w:val="7"/>
                <w:szCs w:val="7"/>
                <w:color w:val="auto"/>
              </w:rPr>
              <w:t>URNISHINGS</w:t>
            </w: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jc w:val="center"/>
              <w:spacing w:after="0" w:line="99" w:lineRule="exact"/>
              <w:rPr>
                <w:sz w:val="20"/>
                <w:szCs w:val="20"/>
                <w:color w:val="auto"/>
              </w:rPr>
            </w:pPr>
            <w:r>
              <w:rPr>
                <w:rFonts w:ascii="Arial" w:cs="Arial" w:eastAsia="Arial" w:hAnsi="Arial"/>
                <w:sz w:val="9"/>
                <w:szCs w:val="9"/>
                <w:color w:val="auto"/>
                <w:w w:val="99"/>
              </w:rPr>
              <w:t>H</w:t>
            </w:r>
            <w:r>
              <w:rPr>
                <w:rFonts w:ascii="Arial" w:cs="Arial" w:eastAsia="Arial" w:hAnsi="Arial"/>
                <w:sz w:val="7"/>
                <w:szCs w:val="7"/>
                <w:color w:val="auto"/>
                <w:w w:val="99"/>
              </w:rPr>
              <w:t>OUSEWARES</w:t>
            </w:r>
            <w:r>
              <w:rPr>
                <w:rFonts w:ascii="Arial" w:cs="Arial" w:eastAsia="Arial" w:hAnsi="Arial"/>
                <w:sz w:val="9"/>
                <w:szCs w:val="9"/>
                <w:color w:val="auto"/>
                <w:w w:val="99"/>
              </w:rPr>
              <w:t xml:space="preserve"> &amp;</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jc w:val="center"/>
              <w:spacing w:after="0"/>
              <w:rPr>
                <w:sz w:val="20"/>
                <w:szCs w:val="20"/>
                <w:color w:val="auto"/>
              </w:rPr>
            </w:pPr>
            <w:r>
              <w:rPr>
                <w:rFonts w:ascii="Arial" w:cs="Arial" w:eastAsia="Arial" w:hAnsi="Arial"/>
                <w:sz w:val="9"/>
                <w:szCs w:val="9"/>
                <w:color w:val="auto"/>
              </w:rPr>
              <w:t>D</w:t>
            </w:r>
            <w:r>
              <w:rPr>
                <w:rFonts w:ascii="Arial" w:cs="Arial" w:eastAsia="Arial" w:hAnsi="Arial"/>
                <w:sz w:val="7"/>
                <w:szCs w:val="7"/>
                <w:color w:val="auto"/>
              </w:rPr>
              <w:t>URABLES</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3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L</w:t>
            </w:r>
            <w:r>
              <w:rPr>
                <w:rFonts w:ascii="Arial" w:cs="Arial" w:eastAsia="Arial" w:hAnsi="Arial"/>
                <w:sz w:val="7"/>
                <w:szCs w:val="7"/>
                <w:color w:val="auto"/>
              </w:rPr>
              <w:t>EVEL</w:t>
            </w:r>
            <w:r>
              <w:rPr>
                <w:rFonts w:ascii="Arial" w:cs="Arial" w:eastAsia="Arial" w:hAnsi="Arial"/>
                <w:sz w:val="9"/>
                <w:szCs w:val="9"/>
                <w:color w:val="auto"/>
              </w:rPr>
              <w:t xml:space="preserve"> 3 F</w:t>
            </w:r>
            <w:r>
              <w:rPr>
                <w:rFonts w:ascii="Arial" w:cs="Arial" w:eastAsia="Arial" w:hAnsi="Arial"/>
                <w:sz w:val="7"/>
                <w:szCs w:val="7"/>
                <w:color w:val="auto"/>
              </w:rPr>
              <w:t>INANCING</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86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03/13/2014</w:t>
            </w:r>
          </w:p>
        </w:tc>
        <w:tc>
          <w:tcPr>
            <w:tcW w:w="138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T</w:t>
            </w:r>
            <w:r>
              <w:rPr>
                <w:rFonts w:ascii="Arial" w:cs="Arial" w:eastAsia="Arial" w:hAnsi="Arial"/>
                <w:sz w:val="7"/>
                <w:szCs w:val="7"/>
                <w:color w:val="auto"/>
              </w:rPr>
              <w:t>ELECOMMUNICATIONS</w:t>
            </w:r>
          </w:p>
        </w:tc>
        <w:tc>
          <w:tcPr>
            <w:tcW w:w="82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7.61%</w:t>
            </w:r>
          </w:p>
        </w:tc>
        <w:tc>
          <w:tcPr>
            <w:tcW w:w="600" w:type="dxa"/>
            <w:vAlign w:val="bottom"/>
            <w:gridSpan w:val="2"/>
            <w:shd w:val="clear" w:color="auto" w:fill="CCEEFF"/>
          </w:tcPr>
          <w:p>
            <w:pPr>
              <w:ind w:left="240"/>
              <w:spacing w:after="0" w:line="99" w:lineRule="exact"/>
              <w:rPr>
                <w:sz w:val="20"/>
                <w:szCs w:val="20"/>
                <w:color w:val="auto"/>
              </w:rPr>
            </w:pPr>
            <w:r>
              <w:rPr>
                <w:rFonts w:ascii="Arial" w:cs="Arial" w:eastAsia="Arial" w:hAnsi="Arial"/>
                <w:sz w:val="9"/>
                <w:szCs w:val="9"/>
                <w:color w:val="auto"/>
              </w:rPr>
              <w:t>L+225</w:t>
            </w:r>
          </w:p>
        </w:tc>
        <w:tc>
          <w:tcPr>
            <w:tcW w:w="1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2,000,000</w:t>
            </w: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2,000,000</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1,939,642</w:t>
            </w:r>
          </w:p>
        </w:tc>
        <w:tc>
          <w:tcPr>
            <w:tcW w:w="0" w:type="dxa"/>
            <w:vAlign w:val="bottom"/>
          </w:tcPr>
          <w:p>
            <w:pPr>
              <w:spacing w:after="0"/>
              <w:rPr>
                <w:sz w:val="1"/>
                <w:szCs w:val="1"/>
                <w:color w:val="auto"/>
              </w:rPr>
            </w:pPr>
          </w:p>
        </w:tc>
      </w:tr>
      <w:tr>
        <w:trPr>
          <w:trHeight w:val="99"/>
        </w:trPr>
        <w:tc>
          <w:tcPr>
            <w:tcW w:w="5300" w:type="dxa"/>
            <w:vAlign w:val="bottom"/>
          </w:tcPr>
          <w:p>
            <w:pPr>
              <w:spacing w:after="0" w:line="99" w:lineRule="exact"/>
              <w:rPr>
                <w:sz w:val="20"/>
                <w:szCs w:val="20"/>
                <w:color w:val="auto"/>
              </w:rPr>
            </w:pPr>
            <w:r>
              <w:rPr>
                <w:rFonts w:ascii="Arial" w:cs="Arial" w:eastAsia="Arial" w:hAnsi="Arial"/>
                <w:sz w:val="9"/>
                <w:szCs w:val="9"/>
                <w:color w:val="auto"/>
              </w:rPr>
              <w:t>L</w:t>
            </w:r>
            <w:r>
              <w:rPr>
                <w:rFonts w:ascii="Arial" w:cs="Arial" w:eastAsia="Arial" w:hAnsi="Arial"/>
                <w:sz w:val="7"/>
                <w:szCs w:val="7"/>
                <w:color w:val="auto"/>
              </w:rPr>
              <w:t>EVLAD</w:t>
            </w:r>
            <w:r>
              <w:rPr>
                <w:rFonts w:ascii="Arial" w:cs="Arial" w:eastAsia="Arial" w:hAnsi="Arial"/>
                <w:sz w:val="9"/>
                <w:szCs w:val="9"/>
                <w:color w:val="auto"/>
              </w:rPr>
              <w:t>, L.L.C.</w:t>
            </w:r>
          </w:p>
        </w:tc>
        <w:tc>
          <w:tcPr>
            <w:tcW w:w="86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03/08/2014</w:t>
            </w:r>
          </w:p>
        </w:tc>
        <w:tc>
          <w:tcPr>
            <w:tcW w:w="1380" w:type="dxa"/>
            <w:vAlign w:val="bottom"/>
          </w:tcPr>
          <w:p>
            <w:pPr>
              <w:jc w:val="center"/>
              <w:spacing w:after="0" w:line="99" w:lineRule="exact"/>
              <w:rPr>
                <w:sz w:val="20"/>
                <w:szCs w:val="20"/>
                <w:color w:val="auto"/>
              </w:rPr>
            </w:pPr>
            <w:r>
              <w:rPr>
                <w:rFonts w:ascii="Arial" w:cs="Arial" w:eastAsia="Arial" w:hAnsi="Arial"/>
                <w:sz w:val="9"/>
                <w:szCs w:val="9"/>
                <w:color w:val="auto"/>
                <w:w w:val="98"/>
              </w:rPr>
              <w:t>C</w:t>
            </w:r>
            <w:r>
              <w:rPr>
                <w:rFonts w:ascii="Arial" w:cs="Arial" w:eastAsia="Arial" w:hAnsi="Arial"/>
                <w:sz w:val="7"/>
                <w:szCs w:val="7"/>
                <w:color w:val="auto"/>
                <w:w w:val="98"/>
              </w:rPr>
              <w:t>ONSUMER</w:t>
            </w:r>
            <w:r>
              <w:rPr>
                <w:rFonts w:ascii="Arial" w:cs="Arial" w:eastAsia="Arial" w:hAnsi="Arial"/>
                <w:sz w:val="9"/>
                <w:szCs w:val="9"/>
                <w:color w:val="auto"/>
                <w:w w:val="98"/>
              </w:rPr>
              <w:t xml:space="preserve"> P</w:t>
            </w:r>
            <w:r>
              <w:rPr>
                <w:rFonts w:ascii="Arial" w:cs="Arial" w:eastAsia="Arial" w:hAnsi="Arial"/>
                <w:sz w:val="7"/>
                <w:szCs w:val="7"/>
                <w:color w:val="auto"/>
                <w:w w:val="98"/>
              </w:rPr>
              <w:t>RODUCTS</w:t>
            </w:r>
          </w:p>
        </w:tc>
        <w:tc>
          <w:tcPr>
            <w:tcW w:w="820" w:type="dxa"/>
            <w:vAlign w:val="bottom"/>
            <w:gridSpan w:val="3"/>
          </w:tcPr>
          <w:p>
            <w:pPr>
              <w:jc w:val="right"/>
              <w:ind w:right="160"/>
              <w:spacing w:after="0" w:line="99" w:lineRule="exact"/>
              <w:rPr>
                <w:sz w:val="20"/>
                <w:szCs w:val="20"/>
                <w:color w:val="auto"/>
              </w:rPr>
            </w:pPr>
            <w:r>
              <w:rPr>
                <w:rFonts w:ascii="Arial" w:cs="Arial" w:eastAsia="Arial" w:hAnsi="Arial"/>
                <w:sz w:val="9"/>
                <w:szCs w:val="9"/>
                <w:color w:val="auto"/>
              </w:rPr>
              <w:t>7.58%</w:t>
            </w:r>
          </w:p>
        </w:tc>
        <w:tc>
          <w:tcPr>
            <w:tcW w:w="600" w:type="dxa"/>
            <w:vAlign w:val="bottom"/>
            <w:gridSpan w:val="2"/>
          </w:tcPr>
          <w:p>
            <w:pPr>
              <w:ind w:left="240"/>
              <w:spacing w:after="0" w:line="99" w:lineRule="exact"/>
              <w:rPr>
                <w:sz w:val="20"/>
                <w:szCs w:val="20"/>
                <w:color w:val="auto"/>
              </w:rPr>
            </w:pPr>
            <w:r>
              <w:rPr>
                <w:rFonts w:ascii="Arial" w:cs="Arial" w:eastAsia="Arial" w:hAnsi="Arial"/>
                <w:sz w:val="9"/>
                <w:szCs w:val="9"/>
                <w:color w:val="auto"/>
              </w:rPr>
              <w:t>L+225</w:t>
            </w:r>
          </w:p>
        </w:tc>
        <w:tc>
          <w:tcPr>
            <w:tcW w:w="1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4,842,920</w:t>
            </w:r>
          </w:p>
        </w:tc>
        <w:tc>
          <w:tcPr>
            <w:tcW w:w="16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4,842,920</w:t>
            </w:r>
          </w:p>
        </w:tc>
        <w:tc>
          <w:tcPr>
            <w:tcW w:w="12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9"/>
                <w:szCs w:val="9"/>
                <w:color w:val="auto"/>
              </w:rPr>
              <w:t>3,357,757</w:t>
            </w:r>
          </w:p>
        </w:tc>
        <w:tc>
          <w:tcPr>
            <w:tcW w:w="0" w:type="dxa"/>
            <w:vAlign w:val="bottom"/>
          </w:tcPr>
          <w:p>
            <w:pPr>
              <w:spacing w:after="0"/>
              <w:rPr>
                <w:sz w:val="1"/>
                <w:szCs w:val="1"/>
                <w:color w:val="auto"/>
              </w:rPr>
            </w:pPr>
          </w:p>
        </w:tc>
      </w:tr>
      <w:tr>
        <w:trPr>
          <w:trHeight w:val="99"/>
        </w:trPr>
        <w:tc>
          <w:tcPr>
            <w:tcW w:w="53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L</w:t>
            </w:r>
            <w:r>
              <w:rPr>
                <w:rFonts w:ascii="Arial" w:cs="Arial" w:eastAsia="Arial" w:hAnsi="Arial"/>
                <w:sz w:val="7"/>
                <w:szCs w:val="7"/>
                <w:color w:val="auto"/>
              </w:rPr>
              <w:t>ONGVIEW</w:t>
            </w:r>
            <w:r>
              <w:rPr>
                <w:rFonts w:ascii="Arial" w:cs="Arial" w:eastAsia="Arial" w:hAnsi="Arial"/>
                <w:sz w:val="9"/>
                <w:szCs w:val="9"/>
                <w:color w:val="auto"/>
              </w:rPr>
              <w:t xml:space="preserve"> P</w:t>
            </w:r>
            <w:r>
              <w:rPr>
                <w:rFonts w:ascii="Arial" w:cs="Arial" w:eastAsia="Arial" w:hAnsi="Arial"/>
                <w:sz w:val="7"/>
                <w:szCs w:val="7"/>
                <w:color w:val="auto"/>
              </w:rPr>
              <w:t>OWER</w:t>
            </w:r>
            <w:r>
              <w:rPr>
                <w:rFonts w:ascii="Arial" w:cs="Arial" w:eastAsia="Arial" w:hAnsi="Arial"/>
                <w:sz w:val="9"/>
                <w:szCs w:val="9"/>
                <w:color w:val="auto"/>
              </w:rPr>
              <w:t>, L.L.C.</w:t>
            </w:r>
          </w:p>
        </w:tc>
        <w:tc>
          <w:tcPr>
            <w:tcW w:w="86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02/28/2014</w:t>
            </w:r>
          </w:p>
        </w:tc>
        <w:tc>
          <w:tcPr>
            <w:tcW w:w="138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U</w:t>
            </w:r>
            <w:r>
              <w:rPr>
                <w:rFonts w:ascii="Arial" w:cs="Arial" w:eastAsia="Arial" w:hAnsi="Arial"/>
                <w:sz w:val="7"/>
                <w:szCs w:val="7"/>
                <w:color w:val="auto"/>
              </w:rPr>
              <w:t>TILITIES</w:t>
            </w:r>
          </w:p>
        </w:tc>
        <w:tc>
          <w:tcPr>
            <w:tcW w:w="82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7.56%</w:t>
            </w:r>
          </w:p>
        </w:tc>
        <w:tc>
          <w:tcPr>
            <w:tcW w:w="600" w:type="dxa"/>
            <w:vAlign w:val="bottom"/>
            <w:gridSpan w:val="2"/>
            <w:shd w:val="clear" w:color="auto" w:fill="CCEEFF"/>
          </w:tcPr>
          <w:p>
            <w:pPr>
              <w:ind w:left="240"/>
              <w:spacing w:after="0" w:line="99" w:lineRule="exact"/>
              <w:rPr>
                <w:sz w:val="20"/>
                <w:szCs w:val="20"/>
                <w:color w:val="auto"/>
              </w:rPr>
            </w:pPr>
            <w:r>
              <w:rPr>
                <w:rFonts w:ascii="Arial" w:cs="Arial" w:eastAsia="Arial" w:hAnsi="Arial"/>
                <w:sz w:val="9"/>
                <w:szCs w:val="9"/>
                <w:color w:val="auto"/>
              </w:rPr>
              <w:t>L+225</w:t>
            </w:r>
          </w:p>
        </w:tc>
        <w:tc>
          <w:tcPr>
            <w:tcW w:w="1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2,020,000</w:t>
            </w: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2,020,000</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1,939,200</w:t>
            </w:r>
          </w:p>
        </w:tc>
        <w:tc>
          <w:tcPr>
            <w:tcW w:w="0" w:type="dxa"/>
            <w:vAlign w:val="bottom"/>
          </w:tcPr>
          <w:p>
            <w:pPr>
              <w:spacing w:after="0"/>
              <w:rPr>
                <w:sz w:val="1"/>
                <w:szCs w:val="1"/>
                <w:color w:val="auto"/>
              </w:rPr>
            </w:pPr>
          </w:p>
        </w:tc>
      </w:tr>
      <w:tr>
        <w:trPr>
          <w:trHeight w:val="117"/>
        </w:trPr>
        <w:tc>
          <w:tcPr>
            <w:tcW w:w="5300" w:type="dxa"/>
            <w:vAlign w:val="bottom"/>
          </w:tcPr>
          <w:p>
            <w:pPr>
              <w:spacing w:after="0" w:line="117" w:lineRule="exact"/>
              <w:rPr>
                <w:sz w:val="20"/>
                <w:szCs w:val="20"/>
                <w:color w:val="auto"/>
              </w:rPr>
            </w:pPr>
            <w:r>
              <w:rPr>
                <w:rFonts w:ascii="Arial" w:cs="Arial" w:eastAsia="Arial" w:hAnsi="Arial"/>
                <w:sz w:val="8"/>
                <w:szCs w:val="8"/>
                <w:color w:val="auto"/>
              </w:rPr>
              <w:t>L</w:t>
            </w:r>
            <w:r>
              <w:rPr>
                <w:rFonts w:ascii="Arial" w:cs="Arial" w:eastAsia="Arial" w:hAnsi="Arial"/>
                <w:sz w:val="7"/>
                <w:szCs w:val="7"/>
                <w:color w:val="auto"/>
              </w:rPr>
              <w:t>ONGVIEW</w:t>
            </w:r>
            <w:r>
              <w:rPr>
                <w:rFonts w:ascii="Arial" w:cs="Arial" w:eastAsia="Arial" w:hAnsi="Arial"/>
                <w:sz w:val="8"/>
                <w:szCs w:val="8"/>
                <w:color w:val="auto"/>
              </w:rPr>
              <w:t xml:space="preserve"> P</w:t>
            </w:r>
            <w:r>
              <w:rPr>
                <w:rFonts w:ascii="Arial" w:cs="Arial" w:eastAsia="Arial" w:hAnsi="Arial"/>
                <w:sz w:val="7"/>
                <w:szCs w:val="7"/>
                <w:color w:val="auto"/>
              </w:rPr>
              <w:t>OWER</w:t>
            </w:r>
            <w:r>
              <w:rPr>
                <w:rFonts w:ascii="Arial" w:cs="Arial" w:eastAsia="Arial" w:hAnsi="Arial"/>
                <w:sz w:val="8"/>
                <w:szCs w:val="8"/>
                <w:color w:val="auto"/>
              </w:rPr>
              <w:t>, L.L.C.</w:t>
            </w:r>
            <w:r>
              <w:rPr>
                <w:rFonts w:ascii="Arial" w:cs="Arial" w:eastAsia="Arial" w:hAnsi="Arial"/>
                <w:sz w:val="13"/>
                <w:szCs w:val="13"/>
                <w:color w:val="auto"/>
                <w:vertAlign w:val="superscript"/>
              </w:rPr>
              <w:t>(4)</w:t>
            </w:r>
          </w:p>
        </w:tc>
        <w:tc>
          <w:tcPr>
            <w:tcW w:w="860" w:type="dxa"/>
            <w:vAlign w:val="bottom"/>
            <w:gridSpan w:val="3"/>
          </w:tcPr>
          <w:p>
            <w:pPr>
              <w:jc w:val="right"/>
              <w:ind w:right="120"/>
              <w:spacing w:after="0"/>
              <w:rPr>
                <w:sz w:val="20"/>
                <w:szCs w:val="20"/>
                <w:color w:val="auto"/>
              </w:rPr>
            </w:pPr>
            <w:r>
              <w:rPr>
                <w:rFonts w:ascii="Arial" w:cs="Arial" w:eastAsia="Arial" w:hAnsi="Arial"/>
                <w:sz w:val="9"/>
                <w:szCs w:val="9"/>
                <w:color w:val="auto"/>
              </w:rPr>
              <w:t>02/28/2014</w:t>
            </w:r>
          </w:p>
        </w:tc>
        <w:tc>
          <w:tcPr>
            <w:tcW w:w="1380" w:type="dxa"/>
            <w:vAlign w:val="bottom"/>
          </w:tcPr>
          <w:p>
            <w:pPr>
              <w:jc w:val="center"/>
              <w:spacing w:after="0"/>
              <w:rPr>
                <w:sz w:val="20"/>
                <w:szCs w:val="20"/>
                <w:color w:val="auto"/>
              </w:rPr>
            </w:pPr>
            <w:r>
              <w:rPr>
                <w:rFonts w:ascii="Arial" w:cs="Arial" w:eastAsia="Arial" w:hAnsi="Arial"/>
                <w:sz w:val="9"/>
                <w:szCs w:val="9"/>
                <w:color w:val="auto"/>
              </w:rPr>
              <w:t>U</w:t>
            </w:r>
            <w:r>
              <w:rPr>
                <w:rFonts w:ascii="Arial" w:cs="Arial" w:eastAsia="Arial" w:hAnsi="Arial"/>
                <w:sz w:val="7"/>
                <w:szCs w:val="7"/>
                <w:color w:val="auto"/>
              </w:rPr>
              <w:t>TILITIES</w:t>
            </w:r>
          </w:p>
        </w:tc>
        <w:tc>
          <w:tcPr>
            <w:tcW w:w="100" w:type="dxa"/>
            <w:vAlign w:val="bottom"/>
          </w:tcPr>
          <w:p>
            <w:pPr>
              <w:spacing w:after="0"/>
              <w:rPr>
                <w:sz w:val="10"/>
                <w:szCs w:val="1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9"/>
                <w:szCs w:val="9"/>
                <w:color w:val="auto"/>
              </w:rPr>
              <w:t>—</w:t>
            </w:r>
          </w:p>
        </w:tc>
        <w:tc>
          <w:tcPr>
            <w:tcW w:w="60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980,000</w:t>
            </w:r>
          </w:p>
        </w:tc>
        <w:tc>
          <w:tcPr>
            <w:tcW w:w="16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980,000</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940,800</w:t>
            </w:r>
          </w:p>
        </w:tc>
        <w:tc>
          <w:tcPr>
            <w:tcW w:w="0" w:type="dxa"/>
            <w:vAlign w:val="bottom"/>
          </w:tcPr>
          <w:p>
            <w:pPr>
              <w:spacing w:after="0"/>
              <w:rPr>
                <w:sz w:val="1"/>
                <w:szCs w:val="1"/>
                <w:color w:val="auto"/>
              </w:rPr>
            </w:pPr>
          </w:p>
        </w:tc>
      </w:tr>
      <w:tr>
        <w:trPr>
          <w:trHeight w:val="99"/>
        </w:trPr>
        <w:tc>
          <w:tcPr>
            <w:tcW w:w="53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M</w:t>
            </w:r>
            <w:r>
              <w:rPr>
                <w:rFonts w:ascii="Arial" w:cs="Arial" w:eastAsia="Arial" w:hAnsi="Arial"/>
                <w:sz w:val="7"/>
                <w:szCs w:val="7"/>
                <w:color w:val="auto"/>
              </w:rPr>
              <w:t>ACH</w:t>
            </w:r>
            <w:r>
              <w:rPr>
                <w:rFonts w:ascii="Arial" w:cs="Arial" w:eastAsia="Arial" w:hAnsi="Arial"/>
                <w:sz w:val="9"/>
                <w:szCs w:val="9"/>
                <w:color w:val="auto"/>
              </w:rPr>
              <w:t xml:space="preserve"> G</w:t>
            </w:r>
            <w:r>
              <w:rPr>
                <w:rFonts w:ascii="Arial" w:cs="Arial" w:eastAsia="Arial" w:hAnsi="Arial"/>
                <w:sz w:val="7"/>
                <w:szCs w:val="7"/>
                <w:color w:val="auto"/>
              </w:rPr>
              <w:t>EN</w:t>
            </w:r>
            <w:r>
              <w:rPr>
                <w:rFonts w:ascii="Arial" w:cs="Arial" w:eastAsia="Arial" w:hAnsi="Arial"/>
                <w:sz w:val="9"/>
                <w:szCs w:val="9"/>
                <w:color w:val="auto"/>
              </w:rPr>
              <w:t>, L.L.C.</w:t>
            </w:r>
          </w:p>
        </w:tc>
        <w:tc>
          <w:tcPr>
            <w:tcW w:w="86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02/22/2014</w:t>
            </w:r>
          </w:p>
        </w:tc>
        <w:tc>
          <w:tcPr>
            <w:tcW w:w="138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U</w:t>
            </w:r>
            <w:r>
              <w:rPr>
                <w:rFonts w:ascii="Arial" w:cs="Arial" w:eastAsia="Arial" w:hAnsi="Arial"/>
                <w:sz w:val="7"/>
                <w:szCs w:val="7"/>
                <w:color w:val="auto"/>
              </w:rPr>
              <w:t>TILITIES</w:t>
            </w:r>
          </w:p>
        </w:tc>
        <w:tc>
          <w:tcPr>
            <w:tcW w:w="82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7.34%</w:t>
            </w:r>
          </w:p>
        </w:tc>
        <w:tc>
          <w:tcPr>
            <w:tcW w:w="600" w:type="dxa"/>
            <w:vAlign w:val="bottom"/>
            <w:gridSpan w:val="2"/>
            <w:shd w:val="clear" w:color="auto" w:fill="CCEEFF"/>
          </w:tcPr>
          <w:p>
            <w:pPr>
              <w:ind w:left="240"/>
              <w:spacing w:after="0" w:line="99" w:lineRule="exact"/>
              <w:rPr>
                <w:sz w:val="20"/>
                <w:szCs w:val="20"/>
                <w:color w:val="auto"/>
              </w:rPr>
            </w:pPr>
            <w:r>
              <w:rPr>
                <w:rFonts w:ascii="Arial" w:cs="Arial" w:eastAsia="Arial" w:hAnsi="Arial"/>
                <w:sz w:val="9"/>
                <w:szCs w:val="9"/>
                <w:color w:val="auto"/>
              </w:rPr>
              <w:t>L+200</w:t>
            </w:r>
          </w:p>
        </w:tc>
        <w:tc>
          <w:tcPr>
            <w:tcW w:w="1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3,972,813</w:t>
            </w: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3,971,545</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3,845,683</w:t>
            </w:r>
          </w:p>
        </w:tc>
        <w:tc>
          <w:tcPr>
            <w:tcW w:w="0" w:type="dxa"/>
            <w:vAlign w:val="bottom"/>
          </w:tcPr>
          <w:p>
            <w:pPr>
              <w:spacing w:after="0"/>
              <w:rPr>
                <w:sz w:val="1"/>
                <w:szCs w:val="1"/>
                <w:color w:val="auto"/>
              </w:rPr>
            </w:pPr>
          </w:p>
        </w:tc>
      </w:tr>
      <w:tr>
        <w:trPr>
          <w:trHeight w:val="92"/>
        </w:trPr>
        <w:tc>
          <w:tcPr>
            <w:tcW w:w="5300" w:type="dxa"/>
            <w:vAlign w:val="bottom"/>
          </w:tcPr>
          <w:p>
            <w:pPr>
              <w:spacing w:after="0" w:line="92" w:lineRule="exact"/>
              <w:rPr>
                <w:sz w:val="20"/>
                <w:szCs w:val="20"/>
                <w:color w:val="auto"/>
              </w:rPr>
            </w:pPr>
            <w:r>
              <w:rPr>
                <w:rFonts w:ascii="Arial" w:cs="Arial" w:eastAsia="Arial" w:hAnsi="Arial"/>
                <w:sz w:val="9"/>
                <w:szCs w:val="9"/>
                <w:color w:val="auto"/>
              </w:rPr>
              <w:t>M</w:t>
            </w:r>
            <w:r>
              <w:rPr>
                <w:rFonts w:ascii="Arial" w:cs="Arial" w:eastAsia="Arial" w:hAnsi="Arial"/>
                <w:sz w:val="7"/>
                <w:szCs w:val="7"/>
                <w:color w:val="auto"/>
              </w:rPr>
              <w:t>ATTRESS</w:t>
            </w:r>
            <w:r>
              <w:rPr>
                <w:rFonts w:ascii="Arial" w:cs="Arial" w:eastAsia="Arial" w:hAnsi="Arial"/>
                <w:sz w:val="9"/>
                <w:szCs w:val="9"/>
                <w:color w:val="auto"/>
              </w:rPr>
              <w:t xml:space="preserve"> H</w:t>
            </w:r>
            <w:r>
              <w:rPr>
                <w:rFonts w:ascii="Arial" w:cs="Arial" w:eastAsia="Arial" w:hAnsi="Arial"/>
                <w:sz w:val="7"/>
                <w:szCs w:val="7"/>
                <w:color w:val="auto"/>
              </w:rPr>
              <w:t>OLDING</w:t>
            </w:r>
            <w:r>
              <w:rPr>
                <w:rFonts w:ascii="Arial" w:cs="Arial" w:eastAsia="Arial" w:hAnsi="Arial"/>
                <w:sz w:val="9"/>
                <w:szCs w:val="9"/>
                <w:color w:val="auto"/>
              </w:rPr>
              <w:t xml:space="preserve"> C</w:t>
            </w:r>
            <w:r>
              <w:rPr>
                <w:rFonts w:ascii="Arial" w:cs="Arial" w:eastAsia="Arial" w:hAnsi="Arial"/>
                <w:sz w:val="7"/>
                <w:szCs w:val="7"/>
                <w:color w:val="auto"/>
              </w:rPr>
              <w:t>ORP</w:t>
            </w:r>
            <w:r>
              <w:rPr>
                <w:rFonts w:ascii="Arial" w:cs="Arial" w:eastAsia="Arial" w:hAnsi="Arial"/>
                <w:sz w:val="9"/>
                <w:szCs w:val="9"/>
                <w:color w:val="auto"/>
              </w:rPr>
              <w:t>.</w:t>
            </w:r>
          </w:p>
        </w:tc>
        <w:tc>
          <w:tcPr>
            <w:tcW w:w="860" w:type="dxa"/>
            <w:vAlign w:val="bottom"/>
            <w:gridSpan w:val="3"/>
          </w:tcPr>
          <w:p>
            <w:pPr>
              <w:jc w:val="right"/>
              <w:ind w:right="120"/>
              <w:spacing w:after="0" w:line="92" w:lineRule="exact"/>
              <w:rPr>
                <w:sz w:val="20"/>
                <w:szCs w:val="20"/>
                <w:color w:val="auto"/>
              </w:rPr>
            </w:pPr>
            <w:r>
              <w:rPr>
                <w:rFonts w:ascii="Arial" w:cs="Arial" w:eastAsia="Arial" w:hAnsi="Arial"/>
                <w:sz w:val="9"/>
                <w:szCs w:val="9"/>
                <w:color w:val="auto"/>
              </w:rPr>
              <w:t>01/18/2014</w:t>
            </w:r>
          </w:p>
        </w:tc>
        <w:tc>
          <w:tcPr>
            <w:tcW w:w="1380" w:type="dxa"/>
            <w:vAlign w:val="bottom"/>
          </w:tcPr>
          <w:p>
            <w:pPr>
              <w:jc w:val="center"/>
              <w:spacing w:after="0" w:line="92" w:lineRule="exact"/>
              <w:rPr>
                <w:sz w:val="20"/>
                <w:szCs w:val="20"/>
                <w:color w:val="auto"/>
              </w:rPr>
            </w:pPr>
            <w:r>
              <w:rPr>
                <w:rFonts w:ascii="Arial" w:cs="Arial" w:eastAsia="Arial" w:hAnsi="Arial"/>
                <w:sz w:val="9"/>
                <w:szCs w:val="9"/>
                <w:color w:val="auto"/>
              </w:rPr>
              <w:t>H</w:t>
            </w:r>
            <w:r>
              <w:rPr>
                <w:rFonts w:ascii="Arial" w:cs="Arial" w:eastAsia="Arial" w:hAnsi="Arial"/>
                <w:sz w:val="7"/>
                <w:szCs w:val="7"/>
                <w:color w:val="auto"/>
              </w:rPr>
              <w:t>OME</w:t>
            </w:r>
            <w:r>
              <w:rPr>
                <w:rFonts w:ascii="Arial" w:cs="Arial" w:eastAsia="Arial" w:hAnsi="Arial"/>
                <w:sz w:val="9"/>
                <w:szCs w:val="9"/>
                <w:color w:val="auto"/>
              </w:rPr>
              <w:t xml:space="preserve"> &amp; O</w:t>
            </w:r>
            <w:r>
              <w:rPr>
                <w:rFonts w:ascii="Arial" w:cs="Arial" w:eastAsia="Arial" w:hAnsi="Arial"/>
                <w:sz w:val="7"/>
                <w:szCs w:val="7"/>
                <w:color w:val="auto"/>
              </w:rPr>
              <w:t>FFICE</w:t>
            </w:r>
          </w:p>
        </w:tc>
        <w:tc>
          <w:tcPr>
            <w:tcW w:w="820" w:type="dxa"/>
            <w:vAlign w:val="bottom"/>
            <w:gridSpan w:val="3"/>
          </w:tcPr>
          <w:p>
            <w:pPr>
              <w:jc w:val="right"/>
              <w:ind w:right="160"/>
              <w:spacing w:after="0" w:line="92" w:lineRule="exact"/>
              <w:rPr>
                <w:sz w:val="20"/>
                <w:szCs w:val="20"/>
                <w:color w:val="auto"/>
              </w:rPr>
            </w:pPr>
            <w:r>
              <w:rPr>
                <w:rFonts w:ascii="Arial" w:cs="Arial" w:eastAsia="Arial" w:hAnsi="Arial"/>
                <w:sz w:val="9"/>
                <w:szCs w:val="9"/>
                <w:color w:val="auto"/>
              </w:rPr>
              <w:t>7.61%</w:t>
            </w:r>
          </w:p>
        </w:tc>
        <w:tc>
          <w:tcPr>
            <w:tcW w:w="600" w:type="dxa"/>
            <w:vAlign w:val="bottom"/>
            <w:gridSpan w:val="2"/>
          </w:tcPr>
          <w:p>
            <w:pPr>
              <w:ind w:left="240"/>
              <w:spacing w:after="0" w:line="92" w:lineRule="exact"/>
              <w:rPr>
                <w:sz w:val="20"/>
                <w:szCs w:val="20"/>
                <w:color w:val="auto"/>
              </w:rPr>
            </w:pPr>
            <w:r>
              <w:rPr>
                <w:rFonts w:ascii="Arial" w:cs="Arial" w:eastAsia="Arial" w:hAnsi="Arial"/>
                <w:sz w:val="9"/>
                <w:szCs w:val="9"/>
                <w:color w:val="auto"/>
              </w:rPr>
              <w:t>L+225</w:t>
            </w:r>
          </w:p>
        </w:tc>
        <w:tc>
          <w:tcPr>
            <w:tcW w:w="160" w:type="dxa"/>
            <w:vAlign w:val="bottom"/>
          </w:tcPr>
          <w:p>
            <w:pPr>
              <w:spacing w:after="0"/>
              <w:rPr>
                <w:sz w:val="7"/>
                <w:szCs w:val="7"/>
                <w:color w:val="auto"/>
              </w:rPr>
            </w:pPr>
          </w:p>
        </w:tc>
        <w:tc>
          <w:tcPr>
            <w:tcW w:w="640" w:type="dxa"/>
            <w:vAlign w:val="bottom"/>
            <w:gridSpan w:val="2"/>
          </w:tcPr>
          <w:p>
            <w:pPr>
              <w:jc w:val="right"/>
              <w:ind w:right="100"/>
              <w:spacing w:after="0" w:line="92" w:lineRule="exact"/>
              <w:rPr>
                <w:sz w:val="20"/>
                <w:szCs w:val="20"/>
                <w:color w:val="auto"/>
              </w:rPr>
            </w:pPr>
            <w:r>
              <w:rPr>
                <w:rFonts w:ascii="Arial" w:cs="Arial" w:eastAsia="Arial" w:hAnsi="Arial"/>
                <w:sz w:val="9"/>
                <w:szCs w:val="9"/>
                <w:color w:val="auto"/>
              </w:rPr>
              <w:t>3,990,000</w:t>
            </w:r>
          </w:p>
        </w:tc>
        <w:tc>
          <w:tcPr>
            <w:tcW w:w="160" w:type="dxa"/>
            <w:vAlign w:val="bottom"/>
          </w:tcPr>
          <w:p>
            <w:pPr>
              <w:spacing w:after="0"/>
              <w:rPr>
                <w:sz w:val="7"/>
                <w:szCs w:val="7"/>
                <w:color w:val="auto"/>
              </w:rPr>
            </w:pPr>
          </w:p>
        </w:tc>
        <w:tc>
          <w:tcPr>
            <w:tcW w:w="660" w:type="dxa"/>
            <w:vAlign w:val="bottom"/>
            <w:gridSpan w:val="2"/>
          </w:tcPr>
          <w:p>
            <w:pPr>
              <w:jc w:val="right"/>
              <w:ind w:right="120"/>
              <w:spacing w:after="0" w:line="92" w:lineRule="exact"/>
              <w:rPr>
                <w:sz w:val="20"/>
                <w:szCs w:val="20"/>
                <w:color w:val="auto"/>
              </w:rPr>
            </w:pPr>
            <w:r>
              <w:rPr>
                <w:rFonts w:ascii="Arial" w:cs="Arial" w:eastAsia="Arial" w:hAnsi="Arial"/>
                <w:sz w:val="9"/>
                <w:szCs w:val="9"/>
                <w:color w:val="auto"/>
              </w:rPr>
              <w:t>3,990,000</w:t>
            </w:r>
          </w:p>
        </w:tc>
        <w:tc>
          <w:tcPr>
            <w:tcW w:w="120" w:type="dxa"/>
            <w:vAlign w:val="bottom"/>
          </w:tcPr>
          <w:p>
            <w:pPr>
              <w:spacing w:after="0"/>
              <w:rPr>
                <w:sz w:val="7"/>
                <w:szCs w:val="7"/>
                <w:color w:val="auto"/>
              </w:rPr>
            </w:pPr>
          </w:p>
        </w:tc>
        <w:tc>
          <w:tcPr>
            <w:tcW w:w="600" w:type="dxa"/>
            <w:vAlign w:val="bottom"/>
          </w:tcPr>
          <w:p>
            <w:pPr>
              <w:jc w:val="right"/>
              <w:spacing w:after="0" w:line="92" w:lineRule="exact"/>
              <w:rPr>
                <w:sz w:val="20"/>
                <w:szCs w:val="20"/>
                <w:color w:val="auto"/>
              </w:rPr>
            </w:pPr>
            <w:r>
              <w:rPr>
                <w:rFonts w:ascii="Arial" w:cs="Arial" w:eastAsia="Arial" w:hAnsi="Arial"/>
                <w:sz w:val="9"/>
                <w:szCs w:val="9"/>
                <w:color w:val="auto"/>
              </w:rPr>
              <w:t>3,740,625</w:t>
            </w:r>
          </w:p>
        </w:tc>
        <w:tc>
          <w:tcPr>
            <w:tcW w:w="0" w:type="dxa"/>
            <w:vAlign w:val="bottom"/>
          </w:tcPr>
          <w:p>
            <w:pPr>
              <w:spacing w:after="0"/>
              <w:rPr>
                <w:sz w:val="1"/>
                <w:szCs w:val="1"/>
                <w:color w:val="auto"/>
              </w:rPr>
            </w:pPr>
          </w:p>
        </w:tc>
      </w:tr>
      <w:tr>
        <w:trPr>
          <w:trHeight w:val="99"/>
        </w:trPr>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jc w:val="center"/>
              <w:spacing w:after="0" w:line="99" w:lineRule="exact"/>
              <w:rPr>
                <w:sz w:val="20"/>
                <w:szCs w:val="20"/>
                <w:color w:val="auto"/>
              </w:rPr>
            </w:pPr>
            <w:r>
              <w:rPr>
                <w:rFonts w:ascii="Arial" w:cs="Arial" w:eastAsia="Arial" w:hAnsi="Arial"/>
                <w:sz w:val="9"/>
                <w:szCs w:val="9"/>
                <w:color w:val="auto"/>
              </w:rPr>
              <w:t>F</w:t>
            </w:r>
            <w:r>
              <w:rPr>
                <w:rFonts w:ascii="Arial" w:cs="Arial" w:eastAsia="Arial" w:hAnsi="Arial"/>
                <w:sz w:val="7"/>
                <w:szCs w:val="7"/>
                <w:color w:val="auto"/>
              </w:rPr>
              <w:t>URNISHINGS</w:t>
            </w: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jc w:val="center"/>
              <w:spacing w:after="0" w:line="99" w:lineRule="exact"/>
              <w:rPr>
                <w:sz w:val="20"/>
                <w:szCs w:val="20"/>
                <w:color w:val="auto"/>
              </w:rPr>
            </w:pPr>
            <w:r>
              <w:rPr>
                <w:rFonts w:ascii="Arial" w:cs="Arial" w:eastAsia="Arial" w:hAnsi="Arial"/>
                <w:sz w:val="9"/>
                <w:szCs w:val="9"/>
                <w:color w:val="auto"/>
                <w:w w:val="99"/>
              </w:rPr>
              <w:t>H</w:t>
            </w:r>
            <w:r>
              <w:rPr>
                <w:rFonts w:ascii="Arial" w:cs="Arial" w:eastAsia="Arial" w:hAnsi="Arial"/>
                <w:sz w:val="7"/>
                <w:szCs w:val="7"/>
                <w:color w:val="auto"/>
                <w:w w:val="99"/>
              </w:rPr>
              <w:t>OUSEWARES</w:t>
            </w:r>
            <w:r>
              <w:rPr>
                <w:rFonts w:ascii="Arial" w:cs="Arial" w:eastAsia="Arial" w:hAnsi="Arial"/>
                <w:sz w:val="9"/>
                <w:szCs w:val="9"/>
                <w:color w:val="auto"/>
                <w:w w:val="99"/>
              </w:rPr>
              <w:t xml:space="preserve"> &amp;</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jc w:val="center"/>
              <w:spacing w:after="0"/>
              <w:rPr>
                <w:sz w:val="20"/>
                <w:szCs w:val="20"/>
                <w:color w:val="auto"/>
              </w:rPr>
            </w:pPr>
            <w:r>
              <w:rPr>
                <w:rFonts w:ascii="Arial" w:cs="Arial" w:eastAsia="Arial" w:hAnsi="Arial"/>
                <w:sz w:val="9"/>
                <w:szCs w:val="9"/>
                <w:color w:val="auto"/>
              </w:rPr>
              <w:t>D</w:t>
            </w:r>
            <w:r>
              <w:rPr>
                <w:rFonts w:ascii="Arial" w:cs="Arial" w:eastAsia="Arial" w:hAnsi="Arial"/>
                <w:sz w:val="7"/>
                <w:szCs w:val="7"/>
                <w:color w:val="auto"/>
              </w:rPr>
              <w:t>URABLES</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3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M</w:t>
            </w:r>
            <w:r>
              <w:rPr>
                <w:rFonts w:ascii="Arial" w:cs="Arial" w:eastAsia="Arial" w:hAnsi="Arial"/>
                <w:sz w:val="7"/>
                <w:szCs w:val="7"/>
                <w:color w:val="auto"/>
              </w:rPr>
              <w:t>C</w:t>
            </w:r>
            <w:r>
              <w:rPr>
                <w:rFonts w:ascii="Arial" w:cs="Arial" w:eastAsia="Arial" w:hAnsi="Arial"/>
                <w:sz w:val="9"/>
                <w:szCs w:val="9"/>
                <w:color w:val="auto"/>
              </w:rPr>
              <w:t>J</w:t>
            </w:r>
            <w:r>
              <w:rPr>
                <w:rFonts w:ascii="Arial" w:cs="Arial" w:eastAsia="Arial" w:hAnsi="Arial"/>
                <w:sz w:val="7"/>
                <w:szCs w:val="7"/>
                <w:color w:val="auto"/>
              </w:rPr>
              <w:t>UNKIN</w:t>
            </w:r>
            <w:r>
              <w:rPr>
                <w:rFonts w:ascii="Arial" w:cs="Arial" w:eastAsia="Arial" w:hAnsi="Arial"/>
                <w:sz w:val="9"/>
                <w:szCs w:val="9"/>
                <w:color w:val="auto"/>
              </w:rPr>
              <w:t xml:space="preserve"> C</w:t>
            </w:r>
            <w:r>
              <w:rPr>
                <w:rFonts w:ascii="Arial" w:cs="Arial" w:eastAsia="Arial" w:hAnsi="Arial"/>
                <w:sz w:val="7"/>
                <w:szCs w:val="7"/>
                <w:color w:val="auto"/>
              </w:rPr>
              <w:t>ORP</w:t>
            </w:r>
            <w:r>
              <w:rPr>
                <w:rFonts w:ascii="Arial" w:cs="Arial" w:eastAsia="Arial" w:hAnsi="Arial"/>
                <w:sz w:val="9"/>
                <w:szCs w:val="9"/>
                <w:color w:val="auto"/>
              </w:rPr>
              <w:t>.</w:t>
            </w:r>
          </w:p>
        </w:tc>
        <w:tc>
          <w:tcPr>
            <w:tcW w:w="86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01/31/2014</w:t>
            </w:r>
          </w:p>
        </w:tc>
        <w:tc>
          <w:tcPr>
            <w:tcW w:w="138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O</w:t>
            </w:r>
            <w:r>
              <w:rPr>
                <w:rFonts w:ascii="Arial" w:cs="Arial" w:eastAsia="Arial" w:hAnsi="Arial"/>
                <w:sz w:val="7"/>
                <w:szCs w:val="7"/>
                <w:color w:val="auto"/>
              </w:rPr>
              <w:t>IL</w:t>
            </w:r>
            <w:r>
              <w:rPr>
                <w:rFonts w:ascii="Arial" w:cs="Arial" w:eastAsia="Arial" w:hAnsi="Arial"/>
                <w:sz w:val="9"/>
                <w:szCs w:val="9"/>
                <w:color w:val="auto"/>
              </w:rPr>
              <w:t xml:space="preserve"> &amp; G</w:t>
            </w:r>
            <w:r>
              <w:rPr>
                <w:rFonts w:ascii="Arial" w:cs="Arial" w:eastAsia="Arial" w:hAnsi="Arial"/>
                <w:sz w:val="7"/>
                <w:szCs w:val="7"/>
                <w:color w:val="auto"/>
              </w:rPr>
              <w:t>AS</w:t>
            </w:r>
          </w:p>
        </w:tc>
        <w:tc>
          <w:tcPr>
            <w:tcW w:w="82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7.45%</w:t>
            </w:r>
          </w:p>
        </w:tc>
        <w:tc>
          <w:tcPr>
            <w:tcW w:w="600" w:type="dxa"/>
            <w:vAlign w:val="bottom"/>
            <w:gridSpan w:val="2"/>
            <w:shd w:val="clear" w:color="auto" w:fill="CCEEFF"/>
          </w:tcPr>
          <w:p>
            <w:pPr>
              <w:ind w:left="240"/>
              <w:spacing w:after="0" w:line="99" w:lineRule="exact"/>
              <w:rPr>
                <w:sz w:val="20"/>
                <w:szCs w:val="20"/>
                <w:color w:val="auto"/>
              </w:rPr>
            </w:pPr>
            <w:r>
              <w:rPr>
                <w:rFonts w:ascii="Arial" w:cs="Arial" w:eastAsia="Arial" w:hAnsi="Arial"/>
                <w:sz w:val="9"/>
                <w:szCs w:val="9"/>
                <w:color w:val="auto"/>
              </w:rPr>
              <w:t>L+225</w:t>
            </w:r>
          </w:p>
        </w:tc>
        <w:tc>
          <w:tcPr>
            <w:tcW w:w="1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982,525</w:t>
            </w: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982,525</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965,331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300"/>
          </w:cols>
          <w:pgMar w:left="300" w:top="354" w:right="299"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OF INVESTMENTS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2007</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3"/>
              </w:rPr>
              <w:t>Basis</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w w:val="88"/>
              </w:rPr>
              <w:t>Point</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w w:val="91"/>
              </w:rPr>
              <w:t>Spread</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20" w:type="dxa"/>
            <w:vAlign w:val="bottom"/>
            <w:vMerge w:val="restart"/>
          </w:tcPr>
          <w:p>
            <w:pPr>
              <w:spacing w:after="0"/>
              <w:rPr>
                <w:sz w:val="20"/>
                <w:szCs w:val="20"/>
                <w:color w:val="auto"/>
              </w:rPr>
            </w:pPr>
            <w:r>
              <w:rPr>
                <w:rFonts w:ascii="Arial" w:cs="Arial" w:eastAsia="Arial" w:hAnsi="Arial"/>
                <w:sz w:val="9"/>
                <w:szCs w:val="9"/>
                <w:b w:val="1"/>
                <w:bCs w:val="1"/>
                <w:color w:val="auto"/>
              </w:rPr>
              <w:t>Issuer name</w:t>
            </w:r>
            <w:r>
              <w:rPr>
                <w:rFonts w:ascii="Arial" w:cs="Arial" w:eastAsia="Arial" w:hAnsi="Arial"/>
                <w:sz w:val="14"/>
                <w:szCs w:val="14"/>
                <w:b w:val="1"/>
                <w:bCs w:val="1"/>
                <w:color w:val="auto"/>
                <w:vertAlign w:val="superscript"/>
              </w:rPr>
              <w:t>(1)</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rPr>
              <w:t>Current</w:t>
            </w:r>
          </w:p>
        </w:tc>
        <w:tc>
          <w:tcPr>
            <w:tcW w:w="6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7"/>
              </w:rPr>
              <w:t>Above</w:t>
            </w: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restart"/>
          </w:tcPr>
          <w:p>
            <w:pPr>
              <w:jc w:val="right"/>
              <w:ind w:right="235"/>
              <w:spacing w:after="0"/>
              <w:rPr>
                <w:sz w:val="20"/>
                <w:szCs w:val="20"/>
                <w:color w:val="auto"/>
              </w:rPr>
            </w:pPr>
            <w:r>
              <w:rPr>
                <w:rFonts w:ascii="Arial" w:cs="Arial" w:eastAsia="Arial" w:hAnsi="Arial"/>
                <w:sz w:val="9"/>
                <w:szCs w:val="9"/>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08"/>
        </w:trPr>
        <w:tc>
          <w:tcPr>
            <w:tcW w:w="4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Maturity</w:t>
            </w:r>
          </w:p>
        </w:tc>
        <w:tc>
          <w:tcPr>
            <w:tcW w:w="1460" w:type="dxa"/>
            <w:vAlign w:val="bottom"/>
          </w:tcPr>
          <w:p>
            <w:pPr>
              <w:jc w:val="center"/>
              <w:spacing w:after="0"/>
              <w:rPr>
                <w:sz w:val="20"/>
                <w:szCs w:val="20"/>
                <w:color w:val="auto"/>
              </w:rPr>
            </w:pPr>
            <w:r>
              <w:rPr>
                <w:rFonts w:ascii="Arial" w:cs="Arial" w:eastAsia="Arial" w:hAnsi="Arial"/>
                <w:sz w:val="9"/>
                <w:szCs w:val="9"/>
                <w:b w:val="1"/>
                <w:bCs w:val="1"/>
                <w:color w:val="auto"/>
                <w:w w:val="95"/>
              </w:rPr>
              <w:t>Industry</w:t>
            </w:r>
          </w:p>
        </w:tc>
        <w:tc>
          <w:tcPr>
            <w:tcW w:w="100" w:type="dxa"/>
            <w:vAlign w:val="bottom"/>
          </w:tcPr>
          <w:p>
            <w:pPr>
              <w:spacing w:after="0"/>
              <w:rPr>
                <w:sz w:val="9"/>
                <w:szCs w:val="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rPr>
              <w:t>Coupon</w:t>
            </w:r>
          </w:p>
        </w:tc>
        <w:tc>
          <w:tcPr>
            <w:tcW w:w="640" w:type="dxa"/>
            <w:vAlign w:val="bottom"/>
            <w:gridSpan w:val="2"/>
          </w:tcPr>
          <w:p>
            <w:pPr>
              <w:jc w:val="center"/>
              <w:ind w:right="100"/>
              <w:spacing w:after="0" w:line="108" w:lineRule="exact"/>
              <w:rPr>
                <w:sz w:val="20"/>
                <w:szCs w:val="20"/>
                <w:color w:val="auto"/>
              </w:rPr>
            </w:pPr>
            <w:r>
              <w:rPr>
                <w:rFonts w:ascii="Arial" w:cs="Arial" w:eastAsia="Arial" w:hAnsi="Arial"/>
                <w:sz w:val="8"/>
                <w:szCs w:val="8"/>
                <w:b w:val="1"/>
                <w:bCs w:val="1"/>
                <w:color w:val="auto"/>
                <w:w w:val="97"/>
              </w:rPr>
              <w:t>Index</w:t>
            </w:r>
            <w:r>
              <w:rPr>
                <w:rFonts w:ascii="Arial" w:cs="Arial" w:eastAsia="Arial" w:hAnsi="Arial"/>
                <w:sz w:val="12"/>
                <w:szCs w:val="12"/>
                <w:b w:val="1"/>
                <w:bCs w:val="1"/>
                <w:color w:val="auto"/>
                <w:w w:val="97"/>
                <w:vertAlign w:val="superscript"/>
              </w:rPr>
              <w:t>(3)</w:t>
            </w:r>
          </w:p>
        </w:tc>
        <w:tc>
          <w:tcPr>
            <w:tcW w:w="200" w:type="dxa"/>
            <w:vAlign w:val="bottom"/>
          </w:tcPr>
          <w:p>
            <w:pPr>
              <w:spacing w:after="0"/>
              <w:rPr>
                <w:sz w:val="9"/>
                <w:szCs w:val="9"/>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9"/>
                <w:szCs w:val="9"/>
                <w:b w:val="1"/>
                <w:bCs w:val="1"/>
                <w:color w:val="auto"/>
              </w:rPr>
              <w:t>Par</w:t>
            </w:r>
          </w:p>
        </w:tc>
        <w:tc>
          <w:tcPr>
            <w:tcW w:w="180" w:type="dxa"/>
            <w:vAlign w:val="bottom"/>
          </w:tcPr>
          <w:p>
            <w:pPr>
              <w:spacing w:after="0"/>
              <w:rPr>
                <w:sz w:val="9"/>
                <w:szCs w:val="9"/>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9"/>
                <w:szCs w:val="9"/>
                <w:b w:val="1"/>
                <w:bCs w:val="1"/>
                <w:color w:val="auto"/>
              </w:rPr>
              <w:t>Cost</w:t>
            </w: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620" w:type="dxa"/>
            <w:vAlign w:val="bottom"/>
            <w:tcBorders>
              <w:top w:val="single" w:sz="8" w:color="auto"/>
            </w:tcBorders>
            <w:shd w:val="clear" w:color="auto" w:fill="CCEEFF"/>
          </w:tcPr>
          <w:p>
            <w:pPr>
              <w:spacing w:after="0" w:line="97" w:lineRule="exact"/>
              <w:rPr>
                <w:sz w:val="20"/>
                <w:szCs w:val="20"/>
                <w:color w:val="auto"/>
              </w:rPr>
            </w:pPr>
            <w:r>
              <w:rPr>
                <w:rFonts w:ascii="Arial" w:cs="Arial" w:eastAsia="Arial" w:hAnsi="Arial"/>
                <w:sz w:val="9"/>
                <w:szCs w:val="9"/>
                <w:b w:val="1"/>
                <w:bCs w:val="1"/>
                <w:color w:val="auto"/>
              </w:rPr>
              <w:t>First Lien Secured Debt—(Continued)</w:t>
            </w:r>
          </w:p>
        </w:tc>
        <w:tc>
          <w:tcPr>
            <w:tcW w:w="100" w:type="dxa"/>
            <w:vAlign w:val="bottom"/>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6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620" w:type="dxa"/>
            <w:vAlign w:val="bottom"/>
          </w:tcPr>
          <w:p>
            <w:pPr>
              <w:spacing w:after="0" w:line="99" w:lineRule="exact"/>
              <w:rPr>
                <w:sz w:val="20"/>
                <w:szCs w:val="20"/>
                <w:color w:val="auto"/>
              </w:rPr>
            </w:pPr>
            <w:r>
              <w:rPr>
                <w:rFonts w:ascii="Arial" w:cs="Arial" w:eastAsia="Arial" w:hAnsi="Arial"/>
                <w:sz w:val="9"/>
                <w:szCs w:val="9"/>
                <w:color w:val="auto"/>
              </w:rPr>
              <w:t>M</w:t>
            </w:r>
            <w:r>
              <w:rPr>
                <w:rFonts w:ascii="Arial" w:cs="Arial" w:eastAsia="Arial" w:hAnsi="Arial"/>
                <w:sz w:val="7"/>
                <w:szCs w:val="7"/>
                <w:color w:val="auto"/>
              </w:rPr>
              <w:t>ITCHELL</w:t>
            </w:r>
            <w:r>
              <w:rPr>
                <w:rFonts w:ascii="Arial" w:cs="Arial" w:eastAsia="Arial" w:hAnsi="Arial"/>
                <w:sz w:val="9"/>
                <w:szCs w:val="9"/>
                <w:color w:val="auto"/>
              </w:rPr>
              <w:t xml:space="preserve"> I</w:t>
            </w:r>
            <w:r>
              <w:rPr>
                <w:rFonts w:ascii="Arial" w:cs="Arial" w:eastAsia="Arial" w:hAnsi="Arial"/>
                <w:sz w:val="7"/>
                <w:szCs w:val="7"/>
                <w:color w:val="auto"/>
              </w:rPr>
              <w:t>NTERNATIONAL</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03/28/2014</w:t>
            </w:r>
          </w:p>
        </w:tc>
        <w:tc>
          <w:tcPr>
            <w:tcW w:w="1460" w:type="dxa"/>
            <w:vAlign w:val="bottom"/>
          </w:tcPr>
          <w:p>
            <w:pPr>
              <w:jc w:val="center"/>
              <w:spacing w:after="0" w:line="99" w:lineRule="exact"/>
              <w:rPr>
                <w:sz w:val="20"/>
                <w:szCs w:val="20"/>
                <w:color w:val="auto"/>
              </w:rPr>
            </w:pPr>
            <w:r>
              <w:rPr>
                <w:rFonts w:ascii="Arial" w:cs="Arial" w:eastAsia="Arial" w:hAnsi="Arial"/>
                <w:sz w:val="9"/>
                <w:szCs w:val="9"/>
                <w:color w:val="auto"/>
                <w:w w:val="97"/>
              </w:rPr>
              <w:t>B</w:t>
            </w:r>
            <w:r>
              <w:rPr>
                <w:rFonts w:ascii="Arial" w:cs="Arial" w:eastAsia="Arial" w:hAnsi="Arial"/>
                <w:sz w:val="7"/>
                <w:szCs w:val="7"/>
                <w:color w:val="auto"/>
                <w:w w:val="97"/>
              </w:rPr>
              <w:t>USINESS</w:t>
            </w:r>
            <w:r>
              <w:rPr>
                <w:rFonts w:ascii="Arial" w:cs="Arial" w:eastAsia="Arial" w:hAnsi="Arial"/>
                <w:sz w:val="9"/>
                <w:szCs w:val="9"/>
                <w:color w:val="auto"/>
                <w:w w:val="97"/>
              </w:rPr>
              <w:t xml:space="preserve"> S</w:t>
            </w:r>
            <w:r>
              <w:rPr>
                <w:rFonts w:ascii="Arial" w:cs="Arial" w:eastAsia="Arial" w:hAnsi="Arial"/>
                <w:sz w:val="7"/>
                <w:szCs w:val="7"/>
                <w:color w:val="auto"/>
                <w:w w:val="97"/>
              </w:rPr>
              <w:t>ERVICES</w:t>
            </w:r>
          </w:p>
        </w:tc>
        <w:tc>
          <w:tcPr>
            <w:tcW w:w="880" w:type="dxa"/>
            <w:vAlign w:val="bottom"/>
            <w:gridSpan w:val="3"/>
          </w:tcPr>
          <w:p>
            <w:pPr>
              <w:jc w:val="right"/>
              <w:ind w:right="180"/>
              <w:spacing w:after="0" w:line="99" w:lineRule="exact"/>
              <w:rPr>
                <w:sz w:val="20"/>
                <w:szCs w:val="20"/>
                <w:color w:val="auto"/>
              </w:rPr>
            </w:pPr>
            <w:r>
              <w:rPr>
                <w:rFonts w:ascii="Arial" w:cs="Arial" w:eastAsia="Arial" w:hAnsi="Arial"/>
                <w:sz w:val="9"/>
                <w:szCs w:val="9"/>
                <w:color w:val="auto"/>
              </w:rPr>
              <w:t>7.20%</w:t>
            </w:r>
          </w:p>
        </w:tc>
        <w:tc>
          <w:tcPr>
            <w:tcW w:w="640" w:type="dxa"/>
            <w:vAlign w:val="bottom"/>
            <w:gridSpan w:val="2"/>
          </w:tcPr>
          <w:p>
            <w:pPr>
              <w:ind w:left="300"/>
              <w:spacing w:after="0" w:line="99" w:lineRule="exact"/>
              <w:rPr>
                <w:sz w:val="20"/>
                <w:szCs w:val="20"/>
                <w:color w:val="auto"/>
              </w:rPr>
            </w:pPr>
            <w:r>
              <w:rPr>
                <w:rFonts w:ascii="Arial" w:cs="Arial" w:eastAsia="Arial" w:hAnsi="Arial"/>
                <w:sz w:val="9"/>
                <w:szCs w:val="9"/>
                <w:color w:val="auto"/>
              </w:rPr>
              <w:t>L+200</w:t>
            </w:r>
          </w:p>
        </w:tc>
        <w:tc>
          <w:tcPr>
            <w:tcW w:w="200" w:type="dxa"/>
            <w:vAlign w:val="bottom"/>
          </w:tcPr>
          <w:p>
            <w:pPr>
              <w:jc w:val="right"/>
              <w:ind w:right="138"/>
              <w:spacing w:after="0"/>
              <w:rPr>
                <w:sz w:val="20"/>
                <w:szCs w:val="20"/>
                <w:color w:val="auto"/>
              </w:rPr>
            </w:pPr>
            <w:r>
              <w:rPr>
                <w:rFonts w:ascii="Arial" w:cs="Arial" w:eastAsia="Arial" w:hAnsi="Arial"/>
                <w:sz w:val="4"/>
                <w:szCs w:val="4"/>
                <w:color w:val="auto"/>
                <w:w w:val="87"/>
              </w:rPr>
              <w:t>$</w:t>
            </w:r>
          </w:p>
        </w:tc>
        <w:tc>
          <w:tcPr>
            <w:tcW w:w="76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3,980,000</w:t>
            </w:r>
          </w:p>
        </w:tc>
        <w:tc>
          <w:tcPr>
            <w:tcW w:w="180" w:type="dxa"/>
            <w:vAlign w:val="bottom"/>
          </w:tcPr>
          <w:p>
            <w:pPr>
              <w:jc w:val="right"/>
              <w:ind w:right="118"/>
              <w:spacing w:after="0"/>
              <w:rPr>
                <w:sz w:val="20"/>
                <w:szCs w:val="20"/>
                <w:color w:val="auto"/>
              </w:rPr>
            </w:pPr>
            <w:r>
              <w:rPr>
                <w:rFonts w:ascii="Arial" w:cs="Arial" w:eastAsia="Arial" w:hAnsi="Arial"/>
                <w:sz w:val="4"/>
                <w:szCs w:val="4"/>
                <w:color w:val="auto"/>
                <w:w w:val="87"/>
              </w:rPr>
              <w:t>$</w:t>
            </w:r>
          </w:p>
        </w:tc>
        <w:tc>
          <w:tcPr>
            <w:tcW w:w="78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3,980,000</w:t>
            </w:r>
          </w:p>
        </w:tc>
        <w:tc>
          <w:tcPr>
            <w:tcW w:w="160" w:type="dxa"/>
            <w:vAlign w:val="bottom"/>
          </w:tcPr>
          <w:p>
            <w:pPr>
              <w:jc w:val="right"/>
              <w:ind w:right="98"/>
              <w:spacing w:after="0"/>
              <w:rPr>
                <w:sz w:val="20"/>
                <w:szCs w:val="20"/>
                <w:color w:val="auto"/>
              </w:rPr>
            </w:pPr>
            <w:r>
              <w:rPr>
                <w:rFonts w:ascii="Arial" w:cs="Arial" w:eastAsia="Arial" w:hAnsi="Arial"/>
                <w:sz w:val="4"/>
                <w:szCs w:val="4"/>
                <w:color w:val="auto"/>
                <w:w w:val="87"/>
              </w:rPr>
              <w:t>$</w:t>
            </w:r>
          </w:p>
        </w:tc>
        <w:tc>
          <w:tcPr>
            <w:tcW w:w="700" w:type="dxa"/>
            <w:vAlign w:val="bottom"/>
          </w:tcPr>
          <w:p>
            <w:pPr>
              <w:jc w:val="right"/>
              <w:spacing w:after="0" w:line="99" w:lineRule="exact"/>
              <w:rPr>
                <w:sz w:val="20"/>
                <w:szCs w:val="20"/>
                <w:color w:val="auto"/>
              </w:rPr>
            </w:pPr>
            <w:r>
              <w:rPr>
                <w:rFonts w:ascii="Arial" w:cs="Arial" w:eastAsia="Arial" w:hAnsi="Arial"/>
                <w:sz w:val="9"/>
                <w:szCs w:val="9"/>
                <w:color w:val="auto"/>
              </w:rPr>
              <w:t>3,835,725</w:t>
            </w:r>
          </w:p>
        </w:tc>
        <w:tc>
          <w:tcPr>
            <w:tcW w:w="0" w:type="dxa"/>
            <w:vAlign w:val="bottom"/>
          </w:tcPr>
          <w:p>
            <w:pPr>
              <w:spacing w:after="0"/>
              <w:rPr>
                <w:sz w:val="1"/>
                <w:szCs w:val="1"/>
                <w:color w:val="auto"/>
              </w:rPr>
            </w:pPr>
          </w:p>
        </w:tc>
      </w:tr>
      <w:tr>
        <w:trPr>
          <w:trHeight w:val="92"/>
        </w:trPr>
        <w:tc>
          <w:tcPr>
            <w:tcW w:w="4620" w:type="dxa"/>
            <w:vAlign w:val="bottom"/>
            <w:shd w:val="clear" w:color="auto" w:fill="CCEEFF"/>
          </w:tcPr>
          <w:p>
            <w:pPr>
              <w:spacing w:after="0" w:line="92" w:lineRule="exact"/>
              <w:rPr>
                <w:sz w:val="20"/>
                <w:szCs w:val="20"/>
                <w:color w:val="auto"/>
              </w:rPr>
            </w:pPr>
            <w:r>
              <w:rPr>
                <w:rFonts w:ascii="Arial" w:cs="Arial" w:eastAsia="Arial" w:hAnsi="Arial"/>
                <w:sz w:val="9"/>
                <w:szCs w:val="9"/>
                <w:color w:val="auto"/>
              </w:rPr>
              <w:t>N</w:t>
            </w:r>
            <w:r>
              <w:rPr>
                <w:rFonts w:ascii="Arial" w:cs="Arial" w:eastAsia="Arial" w:hAnsi="Arial"/>
                <w:sz w:val="7"/>
                <w:szCs w:val="7"/>
                <w:color w:val="auto"/>
              </w:rPr>
              <w:t>ATIONAL</w:t>
            </w:r>
            <w:r>
              <w:rPr>
                <w:rFonts w:ascii="Arial" w:cs="Arial" w:eastAsia="Arial" w:hAnsi="Arial"/>
                <w:sz w:val="9"/>
                <w:szCs w:val="9"/>
                <w:color w:val="auto"/>
              </w:rPr>
              <w:t xml:space="preserve"> B</w:t>
            </w:r>
            <w:r>
              <w:rPr>
                <w:rFonts w:ascii="Arial" w:cs="Arial" w:eastAsia="Arial" w:hAnsi="Arial"/>
                <w:sz w:val="7"/>
                <w:szCs w:val="7"/>
                <w:color w:val="auto"/>
              </w:rPr>
              <w:t>EDDING</w:t>
            </w:r>
            <w:r>
              <w:rPr>
                <w:rFonts w:ascii="Arial" w:cs="Arial" w:eastAsia="Arial" w:hAnsi="Arial"/>
                <w:sz w:val="9"/>
                <w:szCs w:val="9"/>
                <w:color w:val="auto"/>
              </w:rPr>
              <w:t xml:space="preserve"> C</w:t>
            </w:r>
            <w:r>
              <w:rPr>
                <w:rFonts w:ascii="Arial" w:cs="Arial" w:eastAsia="Arial" w:hAnsi="Arial"/>
                <w:sz w:val="7"/>
                <w:szCs w:val="7"/>
                <w:color w:val="auto"/>
              </w:rPr>
              <w:t>O</w:t>
            </w:r>
            <w:r>
              <w:rPr>
                <w:rFonts w:ascii="Arial" w:cs="Arial" w:eastAsia="Arial" w:hAnsi="Arial"/>
                <w:sz w:val="9"/>
                <w:szCs w:val="9"/>
                <w:color w:val="auto"/>
              </w:rPr>
              <w:t>., L.L.C.</w:t>
            </w:r>
          </w:p>
        </w:tc>
        <w:tc>
          <w:tcPr>
            <w:tcW w:w="920" w:type="dxa"/>
            <w:vAlign w:val="bottom"/>
            <w:gridSpan w:val="3"/>
            <w:shd w:val="clear" w:color="auto" w:fill="CCEEFF"/>
          </w:tcPr>
          <w:p>
            <w:pPr>
              <w:jc w:val="right"/>
              <w:ind w:right="120"/>
              <w:spacing w:after="0" w:line="92" w:lineRule="exact"/>
              <w:rPr>
                <w:sz w:val="20"/>
                <w:szCs w:val="20"/>
                <w:color w:val="auto"/>
              </w:rPr>
            </w:pPr>
            <w:r>
              <w:rPr>
                <w:rFonts w:ascii="Arial" w:cs="Arial" w:eastAsia="Arial" w:hAnsi="Arial"/>
                <w:sz w:val="9"/>
                <w:szCs w:val="9"/>
                <w:color w:val="auto"/>
              </w:rPr>
              <w:t>08/31/2011</w:t>
            </w:r>
          </w:p>
        </w:tc>
        <w:tc>
          <w:tcPr>
            <w:tcW w:w="1460" w:type="dxa"/>
            <w:vAlign w:val="bottom"/>
            <w:shd w:val="clear" w:color="auto" w:fill="CCEEFF"/>
          </w:tcPr>
          <w:p>
            <w:pPr>
              <w:jc w:val="center"/>
              <w:spacing w:after="0" w:line="92" w:lineRule="exact"/>
              <w:rPr>
                <w:sz w:val="20"/>
                <w:szCs w:val="20"/>
                <w:color w:val="auto"/>
              </w:rPr>
            </w:pPr>
            <w:r>
              <w:rPr>
                <w:rFonts w:ascii="Arial" w:cs="Arial" w:eastAsia="Arial" w:hAnsi="Arial"/>
                <w:sz w:val="9"/>
                <w:szCs w:val="9"/>
                <w:color w:val="auto"/>
              </w:rPr>
              <w:t>H</w:t>
            </w:r>
            <w:r>
              <w:rPr>
                <w:rFonts w:ascii="Arial" w:cs="Arial" w:eastAsia="Arial" w:hAnsi="Arial"/>
                <w:sz w:val="7"/>
                <w:szCs w:val="7"/>
                <w:color w:val="auto"/>
              </w:rPr>
              <w:t>OME</w:t>
            </w:r>
            <w:r>
              <w:rPr>
                <w:rFonts w:ascii="Arial" w:cs="Arial" w:eastAsia="Arial" w:hAnsi="Arial"/>
                <w:sz w:val="9"/>
                <w:szCs w:val="9"/>
                <w:color w:val="auto"/>
              </w:rPr>
              <w:t xml:space="preserve"> &amp; O</w:t>
            </w:r>
            <w:r>
              <w:rPr>
                <w:rFonts w:ascii="Arial" w:cs="Arial" w:eastAsia="Arial" w:hAnsi="Arial"/>
                <w:sz w:val="7"/>
                <w:szCs w:val="7"/>
                <w:color w:val="auto"/>
              </w:rPr>
              <w:t>FFICE</w:t>
            </w:r>
          </w:p>
        </w:tc>
        <w:tc>
          <w:tcPr>
            <w:tcW w:w="880" w:type="dxa"/>
            <w:vAlign w:val="bottom"/>
            <w:gridSpan w:val="3"/>
            <w:shd w:val="clear" w:color="auto" w:fill="CCEEFF"/>
          </w:tcPr>
          <w:p>
            <w:pPr>
              <w:jc w:val="right"/>
              <w:ind w:right="180"/>
              <w:spacing w:after="0" w:line="92" w:lineRule="exact"/>
              <w:rPr>
                <w:sz w:val="20"/>
                <w:szCs w:val="20"/>
                <w:color w:val="auto"/>
              </w:rPr>
            </w:pPr>
            <w:r>
              <w:rPr>
                <w:rFonts w:ascii="Arial" w:cs="Arial" w:eastAsia="Arial" w:hAnsi="Arial"/>
                <w:sz w:val="9"/>
                <w:szCs w:val="9"/>
                <w:color w:val="auto"/>
              </w:rPr>
              <w:t>7.43%</w:t>
            </w:r>
          </w:p>
        </w:tc>
        <w:tc>
          <w:tcPr>
            <w:tcW w:w="640" w:type="dxa"/>
            <w:vAlign w:val="bottom"/>
            <w:gridSpan w:val="2"/>
            <w:shd w:val="clear" w:color="auto" w:fill="CCEEFF"/>
          </w:tcPr>
          <w:p>
            <w:pPr>
              <w:ind w:left="300"/>
              <w:spacing w:after="0" w:line="92" w:lineRule="exact"/>
              <w:rPr>
                <w:sz w:val="20"/>
                <w:szCs w:val="20"/>
                <w:color w:val="auto"/>
              </w:rPr>
            </w:pPr>
            <w:r>
              <w:rPr>
                <w:rFonts w:ascii="Arial" w:cs="Arial" w:eastAsia="Arial" w:hAnsi="Arial"/>
                <w:sz w:val="9"/>
                <w:szCs w:val="9"/>
                <w:color w:val="auto"/>
              </w:rPr>
              <w:t>L+200</w:t>
            </w:r>
          </w:p>
        </w:tc>
        <w:tc>
          <w:tcPr>
            <w:tcW w:w="20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00"/>
              <w:spacing w:after="0" w:line="92" w:lineRule="exact"/>
              <w:rPr>
                <w:sz w:val="20"/>
                <w:szCs w:val="20"/>
                <w:color w:val="auto"/>
              </w:rPr>
            </w:pPr>
            <w:r>
              <w:rPr>
                <w:rFonts w:ascii="Arial" w:cs="Arial" w:eastAsia="Arial" w:hAnsi="Arial"/>
                <w:sz w:val="9"/>
                <w:szCs w:val="9"/>
                <w:color w:val="auto"/>
              </w:rPr>
              <w:t>6,965,000</w:t>
            </w:r>
          </w:p>
        </w:tc>
        <w:tc>
          <w:tcPr>
            <w:tcW w:w="18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2" w:lineRule="exact"/>
              <w:rPr>
                <w:sz w:val="20"/>
                <w:szCs w:val="20"/>
                <w:color w:val="auto"/>
              </w:rPr>
            </w:pPr>
            <w:r>
              <w:rPr>
                <w:rFonts w:ascii="Arial" w:cs="Arial" w:eastAsia="Arial" w:hAnsi="Arial"/>
                <w:sz w:val="9"/>
                <w:szCs w:val="9"/>
                <w:color w:val="auto"/>
              </w:rPr>
              <w:t>6,971,653</w:t>
            </w: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92" w:lineRule="exact"/>
              <w:rPr>
                <w:sz w:val="20"/>
                <w:szCs w:val="20"/>
                <w:color w:val="auto"/>
              </w:rPr>
            </w:pPr>
            <w:r>
              <w:rPr>
                <w:rFonts w:ascii="Arial" w:cs="Arial" w:eastAsia="Arial" w:hAnsi="Arial"/>
                <w:sz w:val="9"/>
                <w:szCs w:val="9"/>
                <w:color w:val="auto"/>
              </w:rPr>
              <w:t>6,668,988</w:t>
            </w:r>
          </w:p>
        </w:tc>
        <w:tc>
          <w:tcPr>
            <w:tcW w:w="0" w:type="dxa"/>
            <w:vAlign w:val="bottom"/>
          </w:tcPr>
          <w:p>
            <w:pPr>
              <w:spacing w:after="0"/>
              <w:rPr>
                <w:sz w:val="1"/>
                <w:szCs w:val="1"/>
                <w:color w:val="auto"/>
              </w:rPr>
            </w:pPr>
          </w:p>
        </w:tc>
      </w:tr>
      <w:tr>
        <w:trPr>
          <w:trHeight w:val="99"/>
        </w:trPr>
        <w:tc>
          <w:tcPr>
            <w:tcW w:w="4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6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F</w:t>
            </w:r>
            <w:r>
              <w:rPr>
                <w:rFonts w:ascii="Arial" w:cs="Arial" w:eastAsia="Arial" w:hAnsi="Arial"/>
                <w:sz w:val="7"/>
                <w:szCs w:val="7"/>
                <w:color w:val="auto"/>
              </w:rPr>
              <w:t>URNISHINGS</w:t>
            </w: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6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w w:val="99"/>
              </w:rPr>
              <w:t>H</w:t>
            </w:r>
            <w:r>
              <w:rPr>
                <w:rFonts w:ascii="Arial" w:cs="Arial" w:eastAsia="Arial" w:hAnsi="Arial"/>
                <w:sz w:val="7"/>
                <w:szCs w:val="7"/>
                <w:color w:val="auto"/>
                <w:w w:val="99"/>
              </w:rPr>
              <w:t>OUSEWARES</w:t>
            </w:r>
            <w:r>
              <w:rPr>
                <w:rFonts w:ascii="Arial" w:cs="Arial" w:eastAsia="Arial" w:hAnsi="Arial"/>
                <w:sz w:val="9"/>
                <w:szCs w:val="9"/>
                <w:color w:val="auto"/>
                <w:w w:val="99"/>
              </w:rPr>
              <w:t xml:space="preserve"> &amp;</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9"/>
                <w:szCs w:val="9"/>
                <w:color w:val="auto"/>
              </w:rPr>
              <w:t>D</w:t>
            </w:r>
            <w:r>
              <w:rPr>
                <w:rFonts w:ascii="Arial" w:cs="Arial" w:eastAsia="Arial" w:hAnsi="Arial"/>
                <w:sz w:val="7"/>
                <w:szCs w:val="7"/>
                <w:color w:val="auto"/>
              </w:rPr>
              <w:t>URABLES</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620" w:type="dxa"/>
            <w:vAlign w:val="bottom"/>
          </w:tcPr>
          <w:p>
            <w:pPr>
              <w:spacing w:after="0" w:line="99" w:lineRule="exact"/>
              <w:rPr>
                <w:sz w:val="20"/>
                <w:szCs w:val="20"/>
                <w:color w:val="auto"/>
              </w:rPr>
            </w:pPr>
            <w:r>
              <w:rPr>
                <w:rFonts w:ascii="Arial" w:cs="Arial" w:eastAsia="Arial" w:hAnsi="Arial"/>
                <w:sz w:val="9"/>
                <w:szCs w:val="9"/>
                <w:color w:val="auto"/>
              </w:rPr>
              <w:t>P</w:t>
            </w:r>
            <w:r>
              <w:rPr>
                <w:rFonts w:ascii="Arial" w:cs="Arial" w:eastAsia="Arial" w:hAnsi="Arial"/>
                <w:sz w:val="7"/>
                <w:szCs w:val="7"/>
                <w:color w:val="auto"/>
              </w:rPr>
              <w:t>ENTON</w:t>
            </w:r>
            <w:r>
              <w:rPr>
                <w:rFonts w:ascii="Arial" w:cs="Arial" w:eastAsia="Arial" w:hAnsi="Arial"/>
                <w:sz w:val="9"/>
                <w:szCs w:val="9"/>
                <w:color w:val="auto"/>
              </w:rPr>
              <w:t xml:space="preserve"> M</w:t>
            </w:r>
            <w:r>
              <w:rPr>
                <w:rFonts w:ascii="Arial" w:cs="Arial" w:eastAsia="Arial" w:hAnsi="Arial"/>
                <w:sz w:val="7"/>
                <w:szCs w:val="7"/>
                <w:color w:val="auto"/>
              </w:rPr>
              <w:t>EDIA</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02/01/2013</w:t>
            </w:r>
          </w:p>
        </w:tc>
        <w:tc>
          <w:tcPr>
            <w:tcW w:w="1460" w:type="dxa"/>
            <w:vAlign w:val="bottom"/>
          </w:tcPr>
          <w:p>
            <w:pPr>
              <w:jc w:val="center"/>
              <w:spacing w:after="0" w:line="99" w:lineRule="exact"/>
              <w:rPr>
                <w:sz w:val="20"/>
                <w:szCs w:val="20"/>
                <w:color w:val="auto"/>
              </w:rPr>
            </w:pPr>
            <w:r>
              <w:rPr>
                <w:rFonts w:ascii="Arial" w:cs="Arial" w:eastAsia="Arial" w:hAnsi="Arial"/>
                <w:sz w:val="9"/>
                <w:szCs w:val="9"/>
                <w:color w:val="auto"/>
              </w:rPr>
              <w:t>O</w:t>
            </w:r>
            <w:r>
              <w:rPr>
                <w:rFonts w:ascii="Arial" w:cs="Arial" w:eastAsia="Arial" w:hAnsi="Arial"/>
                <w:sz w:val="7"/>
                <w:szCs w:val="7"/>
                <w:color w:val="auto"/>
              </w:rPr>
              <w:t>THER</w:t>
            </w:r>
            <w:r>
              <w:rPr>
                <w:rFonts w:ascii="Arial" w:cs="Arial" w:eastAsia="Arial" w:hAnsi="Arial"/>
                <w:sz w:val="9"/>
                <w:szCs w:val="9"/>
                <w:color w:val="auto"/>
              </w:rPr>
              <w:t xml:space="preserve"> M</w:t>
            </w:r>
            <w:r>
              <w:rPr>
                <w:rFonts w:ascii="Arial" w:cs="Arial" w:eastAsia="Arial" w:hAnsi="Arial"/>
                <w:sz w:val="7"/>
                <w:szCs w:val="7"/>
                <w:color w:val="auto"/>
              </w:rPr>
              <w:t>EDIA</w:t>
            </w:r>
          </w:p>
        </w:tc>
        <w:tc>
          <w:tcPr>
            <w:tcW w:w="880" w:type="dxa"/>
            <w:vAlign w:val="bottom"/>
            <w:gridSpan w:val="3"/>
          </w:tcPr>
          <w:p>
            <w:pPr>
              <w:jc w:val="right"/>
              <w:ind w:right="180"/>
              <w:spacing w:after="0" w:line="99" w:lineRule="exact"/>
              <w:rPr>
                <w:sz w:val="20"/>
                <w:szCs w:val="20"/>
                <w:color w:val="auto"/>
              </w:rPr>
            </w:pPr>
            <w:r>
              <w:rPr>
                <w:rFonts w:ascii="Arial" w:cs="Arial" w:eastAsia="Arial" w:hAnsi="Arial"/>
                <w:sz w:val="9"/>
                <w:szCs w:val="9"/>
                <w:color w:val="auto"/>
              </w:rPr>
              <w:t>7.59%</w:t>
            </w:r>
          </w:p>
        </w:tc>
        <w:tc>
          <w:tcPr>
            <w:tcW w:w="640" w:type="dxa"/>
            <w:vAlign w:val="bottom"/>
            <w:gridSpan w:val="2"/>
          </w:tcPr>
          <w:p>
            <w:pPr>
              <w:ind w:left="300"/>
              <w:spacing w:after="0" w:line="99" w:lineRule="exact"/>
              <w:rPr>
                <w:sz w:val="20"/>
                <w:szCs w:val="20"/>
                <w:color w:val="auto"/>
              </w:rPr>
            </w:pPr>
            <w:r>
              <w:rPr>
                <w:rFonts w:ascii="Arial" w:cs="Arial" w:eastAsia="Arial" w:hAnsi="Arial"/>
                <w:sz w:val="9"/>
                <w:szCs w:val="9"/>
                <w:color w:val="auto"/>
              </w:rPr>
              <w:t>L+225</w:t>
            </w:r>
          </w:p>
        </w:tc>
        <w:tc>
          <w:tcPr>
            <w:tcW w:w="200" w:type="dxa"/>
            <w:vAlign w:val="bottom"/>
          </w:tcPr>
          <w:p>
            <w:pPr>
              <w:spacing w:after="0"/>
              <w:rPr>
                <w:sz w:val="8"/>
                <w:szCs w:val="8"/>
                <w:color w:val="auto"/>
              </w:rPr>
            </w:pPr>
          </w:p>
        </w:tc>
        <w:tc>
          <w:tcPr>
            <w:tcW w:w="76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4,975,000</w:t>
            </w:r>
          </w:p>
        </w:tc>
        <w:tc>
          <w:tcPr>
            <w:tcW w:w="180" w:type="dxa"/>
            <w:vAlign w:val="bottom"/>
          </w:tcPr>
          <w:p>
            <w:pPr>
              <w:spacing w:after="0"/>
              <w:rPr>
                <w:sz w:val="8"/>
                <w:szCs w:val="8"/>
                <w:color w:val="auto"/>
              </w:rPr>
            </w:pPr>
          </w:p>
        </w:tc>
        <w:tc>
          <w:tcPr>
            <w:tcW w:w="78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4,975,000</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9"/>
                <w:szCs w:val="9"/>
                <w:color w:val="auto"/>
              </w:rPr>
              <w:t>4,716,922</w:t>
            </w:r>
          </w:p>
        </w:tc>
        <w:tc>
          <w:tcPr>
            <w:tcW w:w="0" w:type="dxa"/>
            <w:vAlign w:val="bottom"/>
          </w:tcPr>
          <w:p>
            <w:pPr>
              <w:spacing w:after="0"/>
              <w:rPr>
                <w:sz w:val="1"/>
                <w:szCs w:val="1"/>
                <w:color w:val="auto"/>
              </w:rPr>
            </w:pPr>
          </w:p>
        </w:tc>
      </w:tr>
      <w:tr>
        <w:trPr>
          <w:trHeight w:val="99"/>
        </w:trPr>
        <w:tc>
          <w:tcPr>
            <w:tcW w:w="46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P</w:t>
            </w:r>
            <w:r>
              <w:rPr>
                <w:rFonts w:ascii="Arial" w:cs="Arial" w:eastAsia="Arial" w:hAnsi="Arial"/>
                <w:sz w:val="7"/>
                <w:szCs w:val="7"/>
                <w:color w:val="auto"/>
              </w:rPr>
              <w:t>HILOSOPHY</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03/16/2014</w:t>
            </w:r>
          </w:p>
        </w:tc>
        <w:tc>
          <w:tcPr>
            <w:tcW w:w="146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w w:val="98"/>
              </w:rPr>
              <w:t>C</w:t>
            </w:r>
            <w:r>
              <w:rPr>
                <w:rFonts w:ascii="Arial" w:cs="Arial" w:eastAsia="Arial" w:hAnsi="Arial"/>
                <w:sz w:val="7"/>
                <w:szCs w:val="7"/>
                <w:color w:val="auto"/>
                <w:w w:val="98"/>
              </w:rPr>
              <w:t>ONSUMER</w:t>
            </w:r>
            <w:r>
              <w:rPr>
                <w:rFonts w:ascii="Arial" w:cs="Arial" w:eastAsia="Arial" w:hAnsi="Arial"/>
                <w:sz w:val="9"/>
                <w:szCs w:val="9"/>
                <w:color w:val="auto"/>
                <w:w w:val="98"/>
              </w:rPr>
              <w:t xml:space="preserve"> P</w:t>
            </w:r>
            <w:r>
              <w:rPr>
                <w:rFonts w:ascii="Arial" w:cs="Arial" w:eastAsia="Arial" w:hAnsi="Arial"/>
                <w:sz w:val="7"/>
                <w:szCs w:val="7"/>
                <w:color w:val="auto"/>
                <w:w w:val="98"/>
              </w:rPr>
              <w:t>RODUCTS</w:t>
            </w:r>
          </w:p>
        </w:tc>
        <w:tc>
          <w:tcPr>
            <w:tcW w:w="880" w:type="dxa"/>
            <w:vAlign w:val="bottom"/>
            <w:gridSpan w:val="3"/>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7.36%</w:t>
            </w:r>
          </w:p>
        </w:tc>
        <w:tc>
          <w:tcPr>
            <w:tcW w:w="640" w:type="dxa"/>
            <w:vAlign w:val="bottom"/>
            <w:gridSpan w:val="2"/>
            <w:shd w:val="clear" w:color="auto" w:fill="CCEEFF"/>
          </w:tcPr>
          <w:p>
            <w:pPr>
              <w:ind w:left="300"/>
              <w:spacing w:after="0" w:line="99" w:lineRule="exact"/>
              <w:rPr>
                <w:sz w:val="20"/>
                <w:szCs w:val="20"/>
                <w:color w:val="auto"/>
              </w:rPr>
            </w:pPr>
            <w:r>
              <w:rPr>
                <w:rFonts w:ascii="Arial" w:cs="Arial" w:eastAsia="Arial" w:hAnsi="Arial"/>
                <w:sz w:val="9"/>
                <w:szCs w:val="9"/>
                <w:color w:val="auto"/>
              </w:rPr>
              <w:t>L+200</w:t>
            </w:r>
          </w:p>
        </w:tc>
        <w:tc>
          <w:tcPr>
            <w:tcW w:w="2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1,493,333</w:t>
            </w:r>
          </w:p>
        </w:tc>
        <w:tc>
          <w:tcPr>
            <w:tcW w:w="18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1,493,333</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1,344,000</w:t>
            </w:r>
          </w:p>
        </w:tc>
        <w:tc>
          <w:tcPr>
            <w:tcW w:w="0" w:type="dxa"/>
            <w:vAlign w:val="bottom"/>
          </w:tcPr>
          <w:p>
            <w:pPr>
              <w:spacing w:after="0"/>
              <w:rPr>
                <w:sz w:val="1"/>
                <w:szCs w:val="1"/>
                <w:color w:val="auto"/>
              </w:rPr>
            </w:pPr>
          </w:p>
        </w:tc>
      </w:tr>
      <w:tr>
        <w:trPr>
          <w:trHeight w:val="99"/>
        </w:trPr>
        <w:tc>
          <w:tcPr>
            <w:tcW w:w="4620" w:type="dxa"/>
            <w:vAlign w:val="bottom"/>
          </w:tcPr>
          <w:p>
            <w:pPr>
              <w:spacing w:after="0" w:line="99" w:lineRule="exact"/>
              <w:rPr>
                <w:sz w:val="20"/>
                <w:szCs w:val="20"/>
                <w:color w:val="auto"/>
              </w:rPr>
            </w:pPr>
            <w:r>
              <w:rPr>
                <w:rFonts w:ascii="Arial" w:cs="Arial" w:eastAsia="Arial" w:hAnsi="Arial"/>
                <w:sz w:val="9"/>
                <w:szCs w:val="9"/>
                <w:color w:val="auto"/>
              </w:rPr>
              <w:t>P</w:t>
            </w:r>
            <w:r>
              <w:rPr>
                <w:rFonts w:ascii="Arial" w:cs="Arial" w:eastAsia="Arial" w:hAnsi="Arial"/>
                <w:sz w:val="7"/>
                <w:szCs w:val="7"/>
                <w:color w:val="auto"/>
              </w:rPr>
              <w:t>ROQUEST</w:t>
            </w:r>
            <w:r>
              <w:rPr>
                <w:rFonts w:ascii="Arial" w:cs="Arial" w:eastAsia="Arial" w:hAnsi="Arial"/>
                <w:sz w:val="9"/>
                <w:szCs w:val="9"/>
                <w:color w:val="auto"/>
              </w:rPr>
              <w:t xml:space="preserve"> C</w:t>
            </w:r>
            <w:r>
              <w:rPr>
                <w:rFonts w:ascii="Arial" w:cs="Arial" w:eastAsia="Arial" w:hAnsi="Arial"/>
                <w:sz w:val="7"/>
                <w:szCs w:val="7"/>
                <w:color w:val="auto"/>
              </w:rPr>
              <w:t>SA</w:t>
            </w:r>
            <w:r>
              <w:rPr>
                <w:rFonts w:ascii="Arial" w:cs="Arial" w:eastAsia="Arial" w:hAnsi="Arial"/>
                <w:sz w:val="9"/>
                <w:szCs w:val="9"/>
                <w:color w:val="auto"/>
              </w:rPr>
              <w:t>, L.L.C.</w:t>
            </w:r>
          </w:p>
        </w:tc>
        <w:tc>
          <w:tcPr>
            <w:tcW w:w="92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02/09/2014</w:t>
            </w:r>
          </w:p>
        </w:tc>
        <w:tc>
          <w:tcPr>
            <w:tcW w:w="1460" w:type="dxa"/>
            <w:vAlign w:val="bottom"/>
          </w:tcPr>
          <w:p>
            <w:pPr>
              <w:jc w:val="center"/>
              <w:spacing w:after="0" w:line="99" w:lineRule="exact"/>
              <w:rPr>
                <w:sz w:val="20"/>
                <w:szCs w:val="20"/>
                <w:color w:val="auto"/>
              </w:rPr>
            </w:pPr>
            <w:r>
              <w:rPr>
                <w:rFonts w:ascii="Arial" w:cs="Arial" w:eastAsia="Arial" w:hAnsi="Arial"/>
                <w:sz w:val="9"/>
                <w:szCs w:val="9"/>
                <w:color w:val="auto"/>
              </w:rPr>
              <w:t>E</w:t>
            </w:r>
            <w:r>
              <w:rPr>
                <w:rFonts w:ascii="Arial" w:cs="Arial" w:eastAsia="Arial" w:hAnsi="Arial"/>
                <w:sz w:val="7"/>
                <w:szCs w:val="7"/>
                <w:color w:val="auto"/>
              </w:rPr>
              <w:t>DUCATION</w:t>
            </w:r>
          </w:p>
        </w:tc>
        <w:tc>
          <w:tcPr>
            <w:tcW w:w="880" w:type="dxa"/>
            <w:vAlign w:val="bottom"/>
            <w:gridSpan w:val="3"/>
          </w:tcPr>
          <w:p>
            <w:pPr>
              <w:jc w:val="right"/>
              <w:ind w:right="180"/>
              <w:spacing w:after="0" w:line="99" w:lineRule="exact"/>
              <w:rPr>
                <w:sz w:val="20"/>
                <w:szCs w:val="20"/>
                <w:color w:val="auto"/>
              </w:rPr>
            </w:pPr>
            <w:r>
              <w:rPr>
                <w:rFonts w:ascii="Arial" w:cs="Arial" w:eastAsia="Arial" w:hAnsi="Arial"/>
                <w:sz w:val="9"/>
                <w:szCs w:val="9"/>
                <w:color w:val="auto"/>
              </w:rPr>
              <w:t>8.20%</w:t>
            </w:r>
          </w:p>
        </w:tc>
        <w:tc>
          <w:tcPr>
            <w:tcW w:w="640" w:type="dxa"/>
            <w:vAlign w:val="bottom"/>
            <w:gridSpan w:val="2"/>
          </w:tcPr>
          <w:p>
            <w:pPr>
              <w:ind w:left="300"/>
              <w:spacing w:after="0" w:line="99" w:lineRule="exact"/>
              <w:rPr>
                <w:sz w:val="20"/>
                <w:szCs w:val="20"/>
                <w:color w:val="auto"/>
              </w:rPr>
            </w:pPr>
            <w:r>
              <w:rPr>
                <w:rFonts w:ascii="Arial" w:cs="Arial" w:eastAsia="Arial" w:hAnsi="Arial"/>
                <w:sz w:val="9"/>
                <w:szCs w:val="9"/>
                <w:color w:val="auto"/>
              </w:rPr>
              <w:t>L+300</w:t>
            </w:r>
          </w:p>
        </w:tc>
        <w:tc>
          <w:tcPr>
            <w:tcW w:w="200" w:type="dxa"/>
            <w:vAlign w:val="bottom"/>
          </w:tcPr>
          <w:p>
            <w:pPr>
              <w:spacing w:after="0"/>
              <w:rPr>
                <w:sz w:val="8"/>
                <w:szCs w:val="8"/>
                <w:color w:val="auto"/>
              </w:rPr>
            </w:pPr>
          </w:p>
        </w:tc>
        <w:tc>
          <w:tcPr>
            <w:tcW w:w="76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955,833</w:t>
            </w:r>
          </w:p>
        </w:tc>
        <w:tc>
          <w:tcPr>
            <w:tcW w:w="180" w:type="dxa"/>
            <w:vAlign w:val="bottom"/>
          </w:tcPr>
          <w:p>
            <w:pPr>
              <w:spacing w:after="0"/>
              <w:rPr>
                <w:sz w:val="8"/>
                <w:szCs w:val="8"/>
                <w:color w:val="auto"/>
              </w:rPr>
            </w:pPr>
          </w:p>
        </w:tc>
        <w:tc>
          <w:tcPr>
            <w:tcW w:w="78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955,833</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9"/>
                <w:szCs w:val="9"/>
                <w:color w:val="auto"/>
              </w:rPr>
              <w:t>936,716</w:t>
            </w:r>
          </w:p>
        </w:tc>
        <w:tc>
          <w:tcPr>
            <w:tcW w:w="0" w:type="dxa"/>
            <w:vAlign w:val="bottom"/>
          </w:tcPr>
          <w:p>
            <w:pPr>
              <w:spacing w:after="0"/>
              <w:rPr>
                <w:sz w:val="1"/>
                <w:szCs w:val="1"/>
                <w:color w:val="auto"/>
              </w:rPr>
            </w:pPr>
          </w:p>
        </w:tc>
      </w:tr>
      <w:tr>
        <w:trPr>
          <w:trHeight w:val="99"/>
        </w:trPr>
        <w:tc>
          <w:tcPr>
            <w:tcW w:w="46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Q</w:t>
            </w:r>
            <w:r>
              <w:rPr>
                <w:rFonts w:ascii="Arial" w:cs="Arial" w:eastAsia="Arial" w:hAnsi="Arial"/>
                <w:sz w:val="7"/>
                <w:szCs w:val="7"/>
                <w:color w:val="auto"/>
              </w:rPr>
              <w:t>UESTEX</w:t>
            </w:r>
            <w:r>
              <w:rPr>
                <w:rFonts w:ascii="Arial" w:cs="Arial" w:eastAsia="Arial" w:hAnsi="Arial"/>
                <w:sz w:val="9"/>
                <w:szCs w:val="9"/>
                <w:color w:val="auto"/>
              </w:rPr>
              <w:t xml:space="preserve"> M</w:t>
            </w:r>
            <w:r>
              <w:rPr>
                <w:rFonts w:ascii="Arial" w:cs="Arial" w:eastAsia="Arial" w:hAnsi="Arial"/>
                <w:sz w:val="7"/>
                <w:szCs w:val="7"/>
                <w:color w:val="auto"/>
              </w:rPr>
              <w:t>EDIA</w:t>
            </w:r>
            <w:r>
              <w:rPr>
                <w:rFonts w:ascii="Arial" w:cs="Arial" w:eastAsia="Arial" w:hAnsi="Arial"/>
                <w:sz w:val="9"/>
                <w:szCs w:val="9"/>
                <w:color w:val="auto"/>
              </w:rPr>
              <w:t xml:space="preserve"> G</w:t>
            </w:r>
            <w:r>
              <w:rPr>
                <w:rFonts w:ascii="Arial" w:cs="Arial" w:eastAsia="Arial" w:hAnsi="Arial"/>
                <w:sz w:val="7"/>
                <w:szCs w:val="7"/>
                <w:color w:val="auto"/>
              </w:rPr>
              <w:t>ROUP</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05/04/2014</w:t>
            </w:r>
          </w:p>
        </w:tc>
        <w:tc>
          <w:tcPr>
            <w:tcW w:w="146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O</w:t>
            </w:r>
            <w:r>
              <w:rPr>
                <w:rFonts w:ascii="Arial" w:cs="Arial" w:eastAsia="Arial" w:hAnsi="Arial"/>
                <w:sz w:val="7"/>
                <w:szCs w:val="7"/>
                <w:color w:val="auto"/>
              </w:rPr>
              <w:t>THER</w:t>
            </w:r>
            <w:r>
              <w:rPr>
                <w:rFonts w:ascii="Arial" w:cs="Arial" w:eastAsia="Arial" w:hAnsi="Arial"/>
                <w:sz w:val="9"/>
                <w:szCs w:val="9"/>
                <w:color w:val="auto"/>
              </w:rPr>
              <w:t xml:space="preserve"> M</w:t>
            </w:r>
            <w:r>
              <w:rPr>
                <w:rFonts w:ascii="Arial" w:cs="Arial" w:eastAsia="Arial" w:hAnsi="Arial"/>
                <w:sz w:val="7"/>
                <w:szCs w:val="7"/>
                <w:color w:val="auto"/>
              </w:rPr>
              <w:t>EDIA</w:t>
            </w:r>
          </w:p>
        </w:tc>
        <w:tc>
          <w:tcPr>
            <w:tcW w:w="880" w:type="dxa"/>
            <w:vAlign w:val="bottom"/>
            <w:gridSpan w:val="3"/>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8.56%</w:t>
            </w:r>
          </w:p>
        </w:tc>
        <w:tc>
          <w:tcPr>
            <w:tcW w:w="640" w:type="dxa"/>
            <w:vAlign w:val="bottom"/>
            <w:gridSpan w:val="2"/>
            <w:shd w:val="clear" w:color="auto" w:fill="CCEEFF"/>
          </w:tcPr>
          <w:p>
            <w:pPr>
              <w:ind w:left="300"/>
              <w:spacing w:after="0" w:line="99" w:lineRule="exact"/>
              <w:rPr>
                <w:sz w:val="20"/>
                <w:szCs w:val="20"/>
                <w:color w:val="auto"/>
              </w:rPr>
            </w:pPr>
            <w:r>
              <w:rPr>
                <w:rFonts w:ascii="Arial" w:cs="Arial" w:eastAsia="Arial" w:hAnsi="Arial"/>
                <w:sz w:val="9"/>
                <w:szCs w:val="9"/>
                <w:color w:val="auto"/>
              </w:rPr>
              <w:t>L+300</w:t>
            </w:r>
          </w:p>
        </w:tc>
        <w:tc>
          <w:tcPr>
            <w:tcW w:w="2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4,974,167</w:t>
            </w:r>
          </w:p>
        </w:tc>
        <w:tc>
          <w:tcPr>
            <w:tcW w:w="18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4,974,167</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4,839,742</w:t>
            </w:r>
          </w:p>
        </w:tc>
        <w:tc>
          <w:tcPr>
            <w:tcW w:w="0" w:type="dxa"/>
            <w:vAlign w:val="bottom"/>
          </w:tcPr>
          <w:p>
            <w:pPr>
              <w:spacing w:after="0"/>
              <w:rPr>
                <w:sz w:val="1"/>
                <w:szCs w:val="1"/>
                <w:color w:val="auto"/>
              </w:rPr>
            </w:pPr>
          </w:p>
        </w:tc>
      </w:tr>
      <w:tr>
        <w:trPr>
          <w:trHeight w:val="92"/>
        </w:trPr>
        <w:tc>
          <w:tcPr>
            <w:tcW w:w="4620" w:type="dxa"/>
            <w:vAlign w:val="bottom"/>
          </w:tcPr>
          <w:p>
            <w:pPr>
              <w:spacing w:after="0" w:line="92" w:lineRule="exact"/>
              <w:rPr>
                <w:sz w:val="20"/>
                <w:szCs w:val="20"/>
                <w:color w:val="auto"/>
              </w:rPr>
            </w:pPr>
            <w:r>
              <w:rPr>
                <w:rFonts w:ascii="Arial" w:cs="Arial" w:eastAsia="Arial" w:hAnsi="Arial"/>
                <w:sz w:val="9"/>
                <w:szCs w:val="9"/>
                <w:color w:val="auto"/>
              </w:rPr>
              <w:t>R</w:t>
            </w:r>
            <w:r>
              <w:rPr>
                <w:rFonts w:ascii="Arial" w:cs="Arial" w:eastAsia="Arial" w:hAnsi="Arial"/>
                <w:sz w:val="7"/>
                <w:szCs w:val="7"/>
                <w:color w:val="auto"/>
              </w:rPr>
              <w:t>EADER</w:t>
            </w: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xml:space="preserve"> D</w:t>
            </w:r>
            <w:r>
              <w:rPr>
                <w:rFonts w:ascii="Arial" w:cs="Arial" w:eastAsia="Arial" w:hAnsi="Arial"/>
                <w:sz w:val="7"/>
                <w:szCs w:val="7"/>
                <w:color w:val="auto"/>
              </w:rPr>
              <w:t>IGEST</w:t>
            </w:r>
            <w:r>
              <w:rPr>
                <w:rFonts w:ascii="Arial" w:cs="Arial" w:eastAsia="Arial" w:hAnsi="Arial"/>
                <w:sz w:val="9"/>
                <w:szCs w:val="9"/>
                <w:color w:val="auto"/>
              </w:rPr>
              <w:t xml:space="preserve"> A</w:t>
            </w:r>
            <w:r>
              <w:rPr>
                <w:rFonts w:ascii="Arial" w:cs="Arial" w:eastAsia="Arial" w:hAnsi="Arial"/>
                <w:sz w:val="7"/>
                <w:szCs w:val="7"/>
                <w:color w:val="auto"/>
              </w:rPr>
              <w:t>SSOCIATION</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tcPr>
          <w:p>
            <w:pPr>
              <w:jc w:val="right"/>
              <w:ind w:right="120"/>
              <w:spacing w:after="0" w:line="92" w:lineRule="exact"/>
              <w:rPr>
                <w:sz w:val="20"/>
                <w:szCs w:val="20"/>
                <w:color w:val="auto"/>
              </w:rPr>
            </w:pPr>
            <w:r>
              <w:rPr>
                <w:rFonts w:ascii="Arial" w:cs="Arial" w:eastAsia="Arial" w:hAnsi="Arial"/>
                <w:sz w:val="9"/>
                <w:szCs w:val="9"/>
                <w:color w:val="auto"/>
              </w:rPr>
              <w:t>03/02/2014</w:t>
            </w:r>
          </w:p>
        </w:tc>
        <w:tc>
          <w:tcPr>
            <w:tcW w:w="1460" w:type="dxa"/>
            <w:vAlign w:val="bottom"/>
          </w:tcPr>
          <w:p>
            <w:pPr>
              <w:jc w:val="center"/>
              <w:spacing w:after="0" w:line="92" w:lineRule="exact"/>
              <w:rPr>
                <w:sz w:val="20"/>
                <w:szCs w:val="20"/>
                <w:color w:val="auto"/>
              </w:rPr>
            </w:pPr>
            <w:r>
              <w:rPr>
                <w:rFonts w:ascii="Arial" w:cs="Arial" w:eastAsia="Arial" w:hAnsi="Arial"/>
                <w:sz w:val="9"/>
                <w:szCs w:val="9"/>
                <w:color w:val="auto"/>
              </w:rPr>
              <w:t>P</w:t>
            </w:r>
            <w:r>
              <w:rPr>
                <w:rFonts w:ascii="Arial" w:cs="Arial" w:eastAsia="Arial" w:hAnsi="Arial"/>
                <w:sz w:val="7"/>
                <w:szCs w:val="7"/>
                <w:color w:val="auto"/>
              </w:rPr>
              <w:t>RINTING</w:t>
            </w:r>
            <w:r>
              <w:rPr>
                <w:rFonts w:ascii="Arial" w:cs="Arial" w:eastAsia="Arial" w:hAnsi="Arial"/>
                <w:sz w:val="9"/>
                <w:szCs w:val="9"/>
                <w:color w:val="auto"/>
              </w:rPr>
              <w:t xml:space="preserve"> &amp;</w:t>
            </w:r>
          </w:p>
        </w:tc>
        <w:tc>
          <w:tcPr>
            <w:tcW w:w="880" w:type="dxa"/>
            <w:vAlign w:val="bottom"/>
            <w:gridSpan w:val="3"/>
          </w:tcPr>
          <w:p>
            <w:pPr>
              <w:jc w:val="right"/>
              <w:ind w:right="180"/>
              <w:spacing w:after="0" w:line="92" w:lineRule="exact"/>
              <w:rPr>
                <w:sz w:val="20"/>
                <w:szCs w:val="20"/>
                <w:color w:val="auto"/>
              </w:rPr>
            </w:pPr>
            <w:r>
              <w:rPr>
                <w:rFonts w:ascii="Arial" w:cs="Arial" w:eastAsia="Arial" w:hAnsi="Arial"/>
                <w:sz w:val="9"/>
                <w:szCs w:val="9"/>
                <w:color w:val="auto"/>
              </w:rPr>
              <w:t>7.43%</w:t>
            </w:r>
          </w:p>
        </w:tc>
        <w:tc>
          <w:tcPr>
            <w:tcW w:w="640" w:type="dxa"/>
            <w:vAlign w:val="bottom"/>
            <w:gridSpan w:val="2"/>
          </w:tcPr>
          <w:p>
            <w:pPr>
              <w:ind w:left="300"/>
              <w:spacing w:after="0" w:line="92" w:lineRule="exact"/>
              <w:rPr>
                <w:sz w:val="20"/>
                <w:szCs w:val="20"/>
                <w:color w:val="auto"/>
              </w:rPr>
            </w:pPr>
            <w:r>
              <w:rPr>
                <w:rFonts w:ascii="Arial" w:cs="Arial" w:eastAsia="Arial" w:hAnsi="Arial"/>
                <w:sz w:val="9"/>
                <w:szCs w:val="9"/>
                <w:color w:val="auto"/>
              </w:rPr>
              <w:t>L+200</w:t>
            </w:r>
          </w:p>
        </w:tc>
        <w:tc>
          <w:tcPr>
            <w:tcW w:w="200" w:type="dxa"/>
            <w:vAlign w:val="bottom"/>
          </w:tcPr>
          <w:p>
            <w:pPr>
              <w:spacing w:after="0"/>
              <w:rPr>
                <w:sz w:val="7"/>
                <w:szCs w:val="7"/>
                <w:color w:val="auto"/>
              </w:rPr>
            </w:pPr>
          </w:p>
        </w:tc>
        <w:tc>
          <w:tcPr>
            <w:tcW w:w="760" w:type="dxa"/>
            <w:vAlign w:val="bottom"/>
            <w:gridSpan w:val="2"/>
          </w:tcPr>
          <w:p>
            <w:pPr>
              <w:jc w:val="right"/>
              <w:ind w:right="100"/>
              <w:spacing w:after="0" w:line="92" w:lineRule="exact"/>
              <w:rPr>
                <w:sz w:val="20"/>
                <w:szCs w:val="20"/>
                <w:color w:val="auto"/>
              </w:rPr>
            </w:pPr>
            <w:r>
              <w:rPr>
                <w:rFonts w:ascii="Arial" w:cs="Arial" w:eastAsia="Arial" w:hAnsi="Arial"/>
                <w:sz w:val="9"/>
                <w:szCs w:val="9"/>
                <w:color w:val="auto"/>
              </w:rPr>
              <w:t>995,006</w:t>
            </w:r>
          </w:p>
        </w:tc>
        <w:tc>
          <w:tcPr>
            <w:tcW w:w="180" w:type="dxa"/>
            <w:vAlign w:val="bottom"/>
          </w:tcPr>
          <w:p>
            <w:pPr>
              <w:spacing w:after="0"/>
              <w:rPr>
                <w:sz w:val="7"/>
                <w:szCs w:val="7"/>
                <w:color w:val="auto"/>
              </w:rPr>
            </w:pPr>
          </w:p>
        </w:tc>
        <w:tc>
          <w:tcPr>
            <w:tcW w:w="780" w:type="dxa"/>
            <w:vAlign w:val="bottom"/>
            <w:gridSpan w:val="2"/>
          </w:tcPr>
          <w:p>
            <w:pPr>
              <w:jc w:val="right"/>
              <w:ind w:right="120"/>
              <w:spacing w:after="0" w:line="92" w:lineRule="exact"/>
              <w:rPr>
                <w:sz w:val="20"/>
                <w:szCs w:val="20"/>
                <w:color w:val="auto"/>
              </w:rPr>
            </w:pPr>
            <w:r>
              <w:rPr>
                <w:rFonts w:ascii="Arial" w:cs="Arial" w:eastAsia="Arial" w:hAnsi="Arial"/>
                <w:sz w:val="9"/>
                <w:szCs w:val="9"/>
                <w:color w:val="auto"/>
              </w:rPr>
              <w:t>995,006</w:t>
            </w:r>
          </w:p>
        </w:tc>
        <w:tc>
          <w:tcPr>
            <w:tcW w:w="160" w:type="dxa"/>
            <w:vAlign w:val="bottom"/>
          </w:tcPr>
          <w:p>
            <w:pPr>
              <w:spacing w:after="0"/>
              <w:rPr>
                <w:sz w:val="7"/>
                <w:szCs w:val="7"/>
                <w:color w:val="auto"/>
              </w:rPr>
            </w:pPr>
          </w:p>
        </w:tc>
        <w:tc>
          <w:tcPr>
            <w:tcW w:w="700" w:type="dxa"/>
            <w:vAlign w:val="bottom"/>
          </w:tcPr>
          <w:p>
            <w:pPr>
              <w:jc w:val="right"/>
              <w:spacing w:after="0" w:line="92" w:lineRule="exact"/>
              <w:rPr>
                <w:sz w:val="20"/>
                <w:szCs w:val="20"/>
                <w:color w:val="auto"/>
              </w:rPr>
            </w:pPr>
            <w:r>
              <w:rPr>
                <w:rFonts w:ascii="Arial" w:cs="Arial" w:eastAsia="Arial" w:hAnsi="Arial"/>
                <w:sz w:val="9"/>
                <w:szCs w:val="9"/>
                <w:color w:val="auto"/>
              </w:rPr>
              <w:t>940,281</w:t>
            </w:r>
          </w:p>
        </w:tc>
        <w:tc>
          <w:tcPr>
            <w:tcW w:w="0" w:type="dxa"/>
            <w:vAlign w:val="bottom"/>
          </w:tcPr>
          <w:p>
            <w:pPr>
              <w:spacing w:after="0"/>
              <w:rPr>
                <w:sz w:val="1"/>
                <w:szCs w:val="1"/>
                <w:color w:val="auto"/>
              </w:rPr>
            </w:pPr>
          </w:p>
        </w:tc>
      </w:tr>
      <w:tr>
        <w:trPr>
          <w:trHeight w:val="106"/>
        </w:trPr>
        <w:tc>
          <w:tcPr>
            <w:tcW w:w="4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jc w:val="center"/>
              <w:spacing w:after="0"/>
              <w:rPr>
                <w:sz w:val="20"/>
                <w:szCs w:val="20"/>
                <w:color w:val="auto"/>
              </w:rPr>
            </w:pPr>
            <w:r>
              <w:rPr>
                <w:rFonts w:ascii="Arial" w:cs="Arial" w:eastAsia="Arial" w:hAnsi="Arial"/>
                <w:sz w:val="9"/>
                <w:szCs w:val="9"/>
                <w:color w:val="auto"/>
              </w:rPr>
              <w:t>P</w:t>
            </w:r>
            <w:r>
              <w:rPr>
                <w:rFonts w:ascii="Arial" w:cs="Arial" w:eastAsia="Arial" w:hAnsi="Arial"/>
                <w:sz w:val="7"/>
                <w:szCs w:val="7"/>
                <w:color w:val="auto"/>
              </w:rPr>
              <w:t>UBLISHING</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620" w:type="dxa"/>
            <w:vAlign w:val="bottom"/>
            <w:shd w:val="clear" w:color="auto" w:fill="CCEEFF"/>
          </w:tcPr>
          <w:p>
            <w:pPr>
              <w:spacing w:after="0" w:line="92" w:lineRule="exact"/>
              <w:rPr>
                <w:sz w:val="20"/>
                <w:szCs w:val="20"/>
                <w:color w:val="auto"/>
              </w:rPr>
            </w:pPr>
            <w:r>
              <w:rPr>
                <w:rFonts w:ascii="Arial" w:cs="Arial" w:eastAsia="Arial" w:hAnsi="Arial"/>
                <w:sz w:val="9"/>
                <w:szCs w:val="9"/>
                <w:color w:val="auto"/>
              </w:rPr>
              <w:t>R</w:t>
            </w:r>
            <w:r>
              <w:rPr>
                <w:rFonts w:ascii="Arial" w:cs="Arial" w:eastAsia="Arial" w:hAnsi="Arial"/>
                <w:sz w:val="7"/>
                <w:szCs w:val="7"/>
                <w:color w:val="auto"/>
              </w:rPr>
              <w:t>EXNORD</w:t>
            </w:r>
            <w:r>
              <w:rPr>
                <w:rFonts w:ascii="Arial" w:cs="Arial" w:eastAsia="Arial" w:hAnsi="Arial"/>
                <w:sz w:val="9"/>
                <w:szCs w:val="9"/>
                <w:color w:val="auto"/>
              </w:rPr>
              <w:t xml:space="preserve"> , L.L.C.</w:t>
            </w:r>
          </w:p>
        </w:tc>
        <w:tc>
          <w:tcPr>
            <w:tcW w:w="920" w:type="dxa"/>
            <w:vAlign w:val="bottom"/>
            <w:gridSpan w:val="3"/>
            <w:shd w:val="clear" w:color="auto" w:fill="CCEEFF"/>
          </w:tcPr>
          <w:p>
            <w:pPr>
              <w:jc w:val="right"/>
              <w:ind w:right="120"/>
              <w:spacing w:after="0" w:line="92" w:lineRule="exact"/>
              <w:rPr>
                <w:sz w:val="20"/>
                <w:szCs w:val="20"/>
                <w:color w:val="auto"/>
              </w:rPr>
            </w:pPr>
            <w:r>
              <w:rPr>
                <w:rFonts w:ascii="Arial" w:cs="Arial" w:eastAsia="Arial" w:hAnsi="Arial"/>
                <w:sz w:val="9"/>
                <w:szCs w:val="9"/>
                <w:color w:val="auto"/>
              </w:rPr>
              <w:t>07/19/2013</w:t>
            </w:r>
          </w:p>
        </w:tc>
        <w:tc>
          <w:tcPr>
            <w:tcW w:w="1460" w:type="dxa"/>
            <w:vAlign w:val="bottom"/>
            <w:shd w:val="clear" w:color="auto" w:fill="CCEEFF"/>
          </w:tcPr>
          <w:p>
            <w:pPr>
              <w:jc w:val="center"/>
              <w:spacing w:after="0" w:line="92" w:lineRule="exact"/>
              <w:rPr>
                <w:sz w:val="20"/>
                <w:szCs w:val="20"/>
                <w:color w:val="auto"/>
              </w:rPr>
            </w:pPr>
            <w:r>
              <w:rPr>
                <w:rFonts w:ascii="Arial" w:cs="Arial" w:eastAsia="Arial" w:hAnsi="Arial"/>
                <w:sz w:val="9"/>
                <w:szCs w:val="9"/>
                <w:color w:val="auto"/>
              </w:rPr>
              <w:t>M</w:t>
            </w:r>
            <w:r>
              <w:rPr>
                <w:rFonts w:ascii="Arial" w:cs="Arial" w:eastAsia="Arial" w:hAnsi="Arial"/>
                <w:sz w:val="7"/>
                <w:szCs w:val="7"/>
                <w:color w:val="auto"/>
              </w:rPr>
              <w:t>ANUFACTURING</w:t>
            </w:r>
            <w:r>
              <w:rPr>
                <w:rFonts w:ascii="Arial" w:cs="Arial" w:eastAsia="Arial" w:hAnsi="Arial"/>
                <w:sz w:val="9"/>
                <w:szCs w:val="9"/>
                <w:color w:val="auto"/>
              </w:rPr>
              <w:t>/</w:t>
            </w:r>
          </w:p>
        </w:tc>
        <w:tc>
          <w:tcPr>
            <w:tcW w:w="880" w:type="dxa"/>
            <w:vAlign w:val="bottom"/>
            <w:gridSpan w:val="3"/>
            <w:shd w:val="clear" w:color="auto" w:fill="CCEEFF"/>
          </w:tcPr>
          <w:p>
            <w:pPr>
              <w:jc w:val="right"/>
              <w:ind w:right="180"/>
              <w:spacing w:after="0" w:line="92" w:lineRule="exact"/>
              <w:rPr>
                <w:sz w:val="20"/>
                <w:szCs w:val="20"/>
                <w:color w:val="auto"/>
              </w:rPr>
            </w:pPr>
            <w:r>
              <w:rPr>
                <w:rFonts w:ascii="Arial" w:cs="Arial" w:eastAsia="Arial" w:hAnsi="Arial"/>
                <w:sz w:val="9"/>
                <w:szCs w:val="9"/>
                <w:color w:val="auto"/>
              </w:rPr>
              <w:t>7.64%</w:t>
            </w:r>
          </w:p>
        </w:tc>
        <w:tc>
          <w:tcPr>
            <w:tcW w:w="640" w:type="dxa"/>
            <w:vAlign w:val="bottom"/>
            <w:gridSpan w:val="2"/>
            <w:shd w:val="clear" w:color="auto" w:fill="CCEEFF"/>
          </w:tcPr>
          <w:p>
            <w:pPr>
              <w:ind w:left="300"/>
              <w:spacing w:after="0" w:line="92" w:lineRule="exact"/>
              <w:rPr>
                <w:sz w:val="20"/>
                <w:szCs w:val="20"/>
                <w:color w:val="auto"/>
              </w:rPr>
            </w:pPr>
            <w:r>
              <w:rPr>
                <w:rFonts w:ascii="Arial" w:cs="Arial" w:eastAsia="Arial" w:hAnsi="Arial"/>
                <w:sz w:val="9"/>
                <w:szCs w:val="9"/>
                <w:color w:val="auto"/>
              </w:rPr>
              <w:t>L+225</w:t>
            </w:r>
          </w:p>
        </w:tc>
        <w:tc>
          <w:tcPr>
            <w:tcW w:w="20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00"/>
              <w:spacing w:after="0" w:line="92" w:lineRule="exact"/>
              <w:rPr>
                <w:sz w:val="20"/>
                <w:szCs w:val="20"/>
                <w:color w:val="auto"/>
              </w:rPr>
            </w:pPr>
            <w:r>
              <w:rPr>
                <w:rFonts w:ascii="Arial" w:cs="Arial" w:eastAsia="Arial" w:hAnsi="Arial"/>
                <w:sz w:val="9"/>
                <w:szCs w:val="9"/>
                <w:color w:val="auto"/>
              </w:rPr>
              <w:t>4,937,500</w:t>
            </w:r>
          </w:p>
        </w:tc>
        <w:tc>
          <w:tcPr>
            <w:tcW w:w="18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2" w:lineRule="exact"/>
              <w:rPr>
                <w:sz w:val="20"/>
                <w:szCs w:val="20"/>
                <w:color w:val="auto"/>
              </w:rPr>
            </w:pPr>
            <w:r>
              <w:rPr>
                <w:rFonts w:ascii="Arial" w:cs="Arial" w:eastAsia="Arial" w:hAnsi="Arial"/>
                <w:sz w:val="9"/>
                <w:szCs w:val="9"/>
                <w:color w:val="auto"/>
              </w:rPr>
              <w:t>4,937,500</w:t>
            </w: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92" w:lineRule="exact"/>
              <w:rPr>
                <w:sz w:val="20"/>
                <w:szCs w:val="20"/>
                <w:color w:val="auto"/>
              </w:rPr>
            </w:pPr>
            <w:r>
              <w:rPr>
                <w:rFonts w:ascii="Arial" w:cs="Arial" w:eastAsia="Arial" w:hAnsi="Arial"/>
                <w:sz w:val="9"/>
                <w:szCs w:val="9"/>
                <w:color w:val="auto"/>
              </w:rPr>
              <w:t>4,835,664</w:t>
            </w:r>
          </w:p>
        </w:tc>
        <w:tc>
          <w:tcPr>
            <w:tcW w:w="0" w:type="dxa"/>
            <w:vAlign w:val="bottom"/>
          </w:tcPr>
          <w:p>
            <w:pPr>
              <w:spacing w:after="0"/>
              <w:rPr>
                <w:sz w:val="1"/>
                <w:szCs w:val="1"/>
                <w:color w:val="auto"/>
              </w:rPr>
            </w:pPr>
          </w:p>
        </w:tc>
      </w:tr>
      <w:tr>
        <w:trPr>
          <w:trHeight w:val="106"/>
        </w:trPr>
        <w:tc>
          <w:tcPr>
            <w:tcW w:w="4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9"/>
                <w:szCs w:val="9"/>
                <w:color w:val="auto"/>
              </w:rPr>
              <w:t>B</w:t>
            </w:r>
            <w:r>
              <w:rPr>
                <w:rFonts w:ascii="Arial" w:cs="Arial" w:eastAsia="Arial" w:hAnsi="Arial"/>
                <w:sz w:val="7"/>
                <w:szCs w:val="7"/>
                <w:color w:val="auto"/>
              </w:rPr>
              <w:t>ASIC</w:t>
            </w:r>
            <w:r>
              <w:rPr>
                <w:rFonts w:ascii="Arial" w:cs="Arial" w:eastAsia="Arial" w:hAnsi="Arial"/>
                <w:sz w:val="9"/>
                <w:szCs w:val="9"/>
                <w:color w:val="auto"/>
              </w:rPr>
              <w:t xml:space="preserve"> I</w:t>
            </w:r>
            <w:r>
              <w:rPr>
                <w:rFonts w:ascii="Arial" w:cs="Arial" w:eastAsia="Arial" w:hAnsi="Arial"/>
                <w:sz w:val="7"/>
                <w:szCs w:val="7"/>
                <w:color w:val="auto"/>
              </w:rPr>
              <w:t>NDUSTRIES</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620" w:type="dxa"/>
            <w:vAlign w:val="bottom"/>
          </w:tcPr>
          <w:p>
            <w:pPr>
              <w:spacing w:after="0" w:line="99" w:lineRule="exact"/>
              <w:rPr>
                <w:sz w:val="20"/>
                <w:szCs w:val="20"/>
                <w:color w:val="auto"/>
              </w:rPr>
            </w:pPr>
            <w:r>
              <w:rPr>
                <w:rFonts w:ascii="Arial" w:cs="Arial" w:eastAsia="Arial" w:hAnsi="Arial"/>
                <w:sz w:val="9"/>
                <w:szCs w:val="9"/>
                <w:color w:val="auto"/>
              </w:rPr>
              <w:t>S</w:t>
            </w:r>
            <w:r>
              <w:rPr>
                <w:rFonts w:ascii="Arial" w:cs="Arial" w:eastAsia="Arial" w:hAnsi="Arial"/>
                <w:sz w:val="7"/>
                <w:szCs w:val="7"/>
                <w:color w:val="auto"/>
              </w:rPr>
              <w:t>ITEL</w:t>
            </w:r>
            <w:r>
              <w:rPr>
                <w:rFonts w:ascii="Arial" w:cs="Arial" w:eastAsia="Arial" w:hAnsi="Arial"/>
                <w:sz w:val="9"/>
                <w:szCs w:val="9"/>
                <w:color w:val="auto"/>
              </w:rPr>
              <w:t>, L.L.C.</w:t>
            </w:r>
          </w:p>
        </w:tc>
        <w:tc>
          <w:tcPr>
            <w:tcW w:w="92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01/30/2014</w:t>
            </w:r>
          </w:p>
        </w:tc>
        <w:tc>
          <w:tcPr>
            <w:tcW w:w="1460" w:type="dxa"/>
            <w:vAlign w:val="bottom"/>
          </w:tcPr>
          <w:p>
            <w:pPr>
              <w:jc w:val="center"/>
              <w:spacing w:after="0" w:line="99" w:lineRule="exact"/>
              <w:rPr>
                <w:sz w:val="20"/>
                <w:szCs w:val="20"/>
                <w:color w:val="auto"/>
              </w:rPr>
            </w:pPr>
            <w:r>
              <w:rPr>
                <w:rFonts w:ascii="Arial" w:cs="Arial" w:eastAsia="Arial" w:hAnsi="Arial"/>
                <w:sz w:val="9"/>
                <w:szCs w:val="9"/>
                <w:color w:val="auto"/>
                <w:w w:val="97"/>
              </w:rPr>
              <w:t>B</w:t>
            </w:r>
            <w:r>
              <w:rPr>
                <w:rFonts w:ascii="Arial" w:cs="Arial" w:eastAsia="Arial" w:hAnsi="Arial"/>
                <w:sz w:val="7"/>
                <w:szCs w:val="7"/>
                <w:color w:val="auto"/>
                <w:w w:val="97"/>
              </w:rPr>
              <w:t>USINESS</w:t>
            </w:r>
            <w:r>
              <w:rPr>
                <w:rFonts w:ascii="Arial" w:cs="Arial" w:eastAsia="Arial" w:hAnsi="Arial"/>
                <w:sz w:val="9"/>
                <w:szCs w:val="9"/>
                <w:color w:val="auto"/>
                <w:w w:val="97"/>
              </w:rPr>
              <w:t xml:space="preserve"> S</w:t>
            </w:r>
            <w:r>
              <w:rPr>
                <w:rFonts w:ascii="Arial" w:cs="Arial" w:eastAsia="Arial" w:hAnsi="Arial"/>
                <w:sz w:val="7"/>
                <w:szCs w:val="7"/>
                <w:color w:val="auto"/>
                <w:w w:val="97"/>
              </w:rPr>
              <w:t>ERVICES</w:t>
            </w:r>
          </w:p>
        </w:tc>
        <w:tc>
          <w:tcPr>
            <w:tcW w:w="880" w:type="dxa"/>
            <w:vAlign w:val="bottom"/>
            <w:gridSpan w:val="3"/>
          </w:tcPr>
          <w:p>
            <w:pPr>
              <w:jc w:val="right"/>
              <w:ind w:right="180"/>
              <w:spacing w:after="0" w:line="99" w:lineRule="exact"/>
              <w:rPr>
                <w:sz w:val="20"/>
                <w:szCs w:val="20"/>
                <w:color w:val="auto"/>
              </w:rPr>
            </w:pPr>
            <w:r>
              <w:rPr>
                <w:rFonts w:ascii="Arial" w:cs="Arial" w:eastAsia="Arial" w:hAnsi="Arial"/>
                <w:sz w:val="9"/>
                <w:szCs w:val="9"/>
                <w:color w:val="auto"/>
              </w:rPr>
              <w:t>7.78%</w:t>
            </w:r>
          </w:p>
        </w:tc>
        <w:tc>
          <w:tcPr>
            <w:tcW w:w="640" w:type="dxa"/>
            <w:vAlign w:val="bottom"/>
            <w:gridSpan w:val="2"/>
          </w:tcPr>
          <w:p>
            <w:pPr>
              <w:ind w:left="300"/>
              <w:spacing w:after="0" w:line="99" w:lineRule="exact"/>
              <w:rPr>
                <w:sz w:val="20"/>
                <w:szCs w:val="20"/>
                <w:color w:val="auto"/>
              </w:rPr>
            </w:pPr>
            <w:r>
              <w:rPr>
                <w:rFonts w:ascii="Arial" w:cs="Arial" w:eastAsia="Arial" w:hAnsi="Arial"/>
                <w:sz w:val="9"/>
                <w:szCs w:val="9"/>
                <w:color w:val="auto"/>
              </w:rPr>
              <w:t>L+250</w:t>
            </w:r>
          </w:p>
        </w:tc>
        <w:tc>
          <w:tcPr>
            <w:tcW w:w="200" w:type="dxa"/>
            <w:vAlign w:val="bottom"/>
          </w:tcPr>
          <w:p>
            <w:pPr>
              <w:spacing w:after="0"/>
              <w:rPr>
                <w:sz w:val="8"/>
                <w:szCs w:val="8"/>
                <w:color w:val="auto"/>
              </w:rPr>
            </w:pPr>
          </w:p>
        </w:tc>
        <w:tc>
          <w:tcPr>
            <w:tcW w:w="76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2,867,302</w:t>
            </w:r>
          </w:p>
        </w:tc>
        <w:tc>
          <w:tcPr>
            <w:tcW w:w="180" w:type="dxa"/>
            <w:vAlign w:val="bottom"/>
          </w:tcPr>
          <w:p>
            <w:pPr>
              <w:spacing w:after="0"/>
              <w:rPr>
                <w:sz w:val="8"/>
                <w:szCs w:val="8"/>
                <w:color w:val="auto"/>
              </w:rPr>
            </w:pPr>
          </w:p>
        </w:tc>
        <w:tc>
          <w:tcPr>
            <w:tcW w:w="78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2,867,302</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9"/>
                <w:szCs w:val="9"/>
                <w:color w:val="auto"/>
              </w:rPr>
              <w:t>2,680,927</w:t>
            </w:r>
          </w:p>
        </w:tc>
        <w:tc>
          <w:tcPr>
            <w:tcW w:w="0" w:type="dxa"/>
            <w:vAlign w:val="bottom"/>
          </w:tcPr>
          <w:p>
            <w:pPr>
              <w:spacing w:after="0"/>
              <w:rPr>
                <w:sz w:val="1"/>
                <w:szCs w:val="1"/>
                <w:color w:val="auto"/>
              </w:rPr>
            </w:pPr>
          </w:p>
        </w:tc>
      </w:tr>
      <w:tr>
        <w:trPr>
          <w:trHeight w:val="92"/>
        </w:trPr>
        <w:tc>
          <w:tcPr>
            <w:tcW w:w="4620" w:type="dxa"/>
            <w:vAlign w:val="bottom"/>
            <w:shd w:val="clear" w:color="auto" w:fill="CCEEFF"/>
          </w:tcPr>
          <w:p>
            <w:pPr>
              <w:spacing w:after="0" w:line="92" w:lineRule="exact"/>
              <w:rPr>
                <w:sz w:val="20"/>
                <w:szCs w:val="20"/>
                <w:color w:val="auto"/>
              </w:rPr>
            </w:pPr>
            <w:r>
              <w:rPr>
                <w:rFonts w:ascii="Arial" w:cs="Arial" w:eastAsia="Arial" w:hAnsi="Arial"/>
                <w:sz w:val="9"/>
                <w:szCs w:val="9"/>
                <w:color w:val="auto"/>
              </w:rPr>
              <w:t>U</w:t>
            </w:r>
            <w:r>
              <w:rPr>
                <w:rFonts w:ascii="Arial" w:cs="Arial" w:eastAsia="Arial" w:hAnsi="Arial"/>
                <w:sz w:val="7"/>
                <w:szCs w:val="7"/>
                <w:color w:val="auto"/>
              </w:rPr>
              <w:t>NIVISION</w:t>
            </w:r>
            <w:r>
              <w:rPr>
                <w:rFonts w:ascii="Arial" w:cs="Arial" w:eastAsia="Arial" w:hAnsi="Arial"/>
                <w:sz w:val="9"/>
                <w:szCs w:val="9"/>
                <w:color w:val="auto"/>
              </w:rPr>
              <w:t xml:space="preserve"> C</w:t>
            </w:r>
            <w:r>
              <w:rPr>
                <w:rFonts w:ascii="Arial" w:cs="Arial" w:eastAsia="Arial" w:hAnsi="Arial"/>
                <w:sz w:val="7"/>
                <w:szCs w:val="7"/>
                <w:color w:val="auto"/>
              </w:rPr>
              <w:t>OMMUNICATIONS</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shd w:val="clear" w:color="auto" w:fill="CCEEFF"/>
          </w:tcPr>
          <w:p>
            <w:pPr>
              <w:jc w:val="right"/>
              <w:ind w:right="120"/>
              <w:spacing w:after="0" w:line="92" w:lineRule="exact"/>
              <w:rPr>
                <w:sz w:val="20"/>
                <w:szCs w:val="20"/>
                <w:color w:val="auto"/>
              </w:rPr>
            </w:pPr>
            <w:r>
              <w:rPr>
                <w:rFonts w:ascii="Arial" w:cs="Arial" w:eastAsia="Arial" w:hAnsi="Arial"/>
                <w:sz w:val="9"/>
                <w:szCs w:val="9"/>
                <w:color w:val="auto"/>
              </w:rPr>
              <w:t>09/29/2014</w:t>
            </w:r>
          </w:p>
        </w:tc>
        <w:tc>
          <w:tcPr>
            <w:tcW w:w="1460" w:type="dxa"/>
            <w:vAlign w:val="bottom"/>
            <w:shd w:val="clear" w:color="auto" w:fill="CCEEFF"/>
          </w:tcPr>
          <w:p>
            <w:pPr>
              <w:jc w:val="center"/>
              <w:spacing w:after="0" w:line="92" w:lineRule="exact"/>
              <w:rPr>
                <w:sz w:val="20"/>
                <w:szCs w:val="20"/>
                <w:color w:val="auto"/>
              </w:rPr>
            </w:pPr>
            <w:r>
              <w:rPr>
                <w:rFonts w:ascii="Arial" w:cs="Arial" w:eastAsia="Arial" w:hAnsi="Arial"/>
                <w:sz w:val="9"/>
                <w:szCs w:val="9"/>
                <w:color w:val="auto"/>
              </w:rPr>
              <w:t>B</w:t>
            </w:r>
            <w:r>
              <w:rPr>
                <w:rFonts w:ascii="Arial" w:cs="Arial" w:eastAsia="Arial" w:hAnsi="Arial"/>
                <w:sz w:val="7"/>
                <w:szCs w:val="7"/>
                <w:color w:val="auto"/>
              </w:rPr>
              <w:t>ROADCASTING</w:t>
            </w:r>
            <w:r>
              <w:rPr>
                <w:rFonts w:ascii="Arial" w:cs="Arial" w:eastAsia="Arial" w:hAnsi="Arial"/>
                <w:sz w:val="9"/>
                <w:szCs w:val="9"/>
                <w:color w:val="auto"/>
              </w:rPr>
              <w:t xml:space="preserve"> &amp;</w:t>
            </w:r>
          </w:p>
        </w:tc>
        <w:tc>
          <w:tcPr>
            <w:tcW w:w="880" w:type="dxa"/>
            <w:vAlign w:val="bottom"/>
            <w:gridSpan w:val="3"/>
            <w:shd w:val="clear" w:color="auto" w:fill="CCEEFF"/>
          </w:tcPr>
          <w:p>
            <w:pPr>
              <w:jc w:val="right"/>
              <w:ind w:right="180"/>
              <w:spacing w:after="0" w:line="92" w:lineRule="exact"/>
              <w:rPr>
                <w:sz w:val="20"/>
                <w:szCs w:val="20"/>
                <w:color w:val="auto"/>
              </w:rPr>
            </w:pPr>
            <w:r>
              <w:rPr>
                <w:rFonts w:ascii="Arial" w:cs="Arial" w:eastAsia="Arial" w:hAnsi="Arial"/>
                <w:sz w:val="9"/>
                <w:szCs w:val="9"/>
                <w:color w:val="auto"/>
              </w:rPr>
              <w:t>7.57%</w:t>
            </w:r>
          </w:p>
        </w:tc>
        <w:tc>
          <w:tcPr>
            <w:tcW w:w="640" w:type="dxa"/>
            <w:vAlign w:val="bottom"/>
            <w:gridSpan w:val="2"/>
            <w:shd w:val="clear" w:color="auto" w:fill="CCEEFF"/>
          </w:tcPr>
          <w:p>
            <w:pPr>
              <w:ind w:left="300"/>
              <w:spacing w:after="0" w:line="92" w:lineRule="exact"/>
              <w:rPr>
                <w:sz w:val="20"/>
                <w:szCs w:val="20"/>
                <w:color w:val="auto"/>
              </w:rPr>
            </w:pPr>
            <w:r>
              <w:rPr>
                <w:rFonts w:ascii="Arial" w:cs="Arial" w:eastAsia="Arial" w:hAnsi="Arial"/>
                <w:sz w:val="9"/>
                <w:szCs w:val="9"/>
                <w:color w:val="auto"/>
              </w:rPr>
              <w:t>L+225</w:t>
            </w:r>
          </w:p>
        </w:tc>
        <w:tc>
          <w:tcPr>
            <w:tcW w:w="20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00"/>
              <w:spacing w:after="0" w:line="92" w:lineRule="exact"/>
              <w:rPr>
                <w:sz w:val="20"/>
                <w:szCs w:val="20"/>
                <w:color w:val="auto"/>
              </w:rPr>
            </w:pPr>
            <w:r>
              <w:rPr>
                <w:rFonts w:ascii="Arial" w:cs="Arial" w:eastAsia="Arial" w:hAnsi="Arial"/>
                <w:sz w:val="9"/>
                <w:szCs w:val="9"/>
                <w:color w:val="auto"/>
              </w:rPr>
              <w:t>14,093,960</w:t>
            </w:r>
          </w:p>
        </w:tc>
        <w:tc>
          <w:tcPr>
            <w:tcW w:w="18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2" w:lineRule="exact"/>
              <w:rPr>
                <w:sz w:val="20"/>
                <w:szCs w:val="20"/>
                <w:color w:val="auto"/>
              </w:rPr>
            </w:pPr>
            <w:r>
              <w:rPr>
                <w:rFonts w:ascii="Arial" w:cs="Arial" w:eastAsia="Arial" w:hAnsi="Arial"/>
                <w:sz w:val="9"/>
                <w:szCs w:val="9"/>
                <w:color w:val="auto"/>
              </w:rPr>
              <w:t>14,093,960</w:t>
            </w: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92" w:lineRule="exact"/>
              <w:rPr>
                <w:sz w:val="20"/>
                <w:szCs w:val="20"/>
                <w:color w:val="auto"/>
              </w:rPr>
            </w:pPr>
            <w:r>
              <w:rPr>
                <w:rFonts w:ascii="Arial" w:cs="Arial" w:eastAsia="Arial" w:hAnsi="Arial"/>
                <w:sz w:val="9"/>
                <w:szCs w:val="9"/>
                <w:color w:val="auto"/>
              </w:rPr>
              <w:t>13,389,262</w:t>
            </w:r>
          </w:p>
        </w:tc>
        <w:tc>
          <w:tcPr>
            <w:tcW w:w="0" w:type="dxa"/>
            <w:vAlign w:val="bottom"/>
          </w:tcPr>
          <w:p>
            <w:pPr>
              <w:spacing w:after="0"/>
              <w:rPr>
                <w:sz w:val="1"/>
                <w:szCs w:val="1"/>
                <w:color w:val="auto"/>
              </w:rPr>
            </w:pPr>
          </w:p>
        </w:tc>
      </w:tr>
      <w:tr>
        <w:trPr>
          <w:trHeight w:val="106"/>
        </w:trPr>
        <w:tc>
          <w:tcPr>
            <w:tcW w:w="4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9"/>
                <w:szCs w:val="9"/>
                <w:color w:val="auto"/>
              </w:rPr>
              <w:t>E</w:t>
            </w:r>
            <w:r>
              <w:rPr>
                <w:rFonts w:ascii="Arial" w:cs="Arial" w:eastAsia="Arial" w:hAnsi="Arial"/>
                <w:sz w:val="7"/>
                <w:szCs w:val="7"/>
                <w:color w:val="auto"/>
              </w:rPr>
              <w:t>NTERTAINMENT</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620" w:type="dxa"/>
            <w:vAlign w:val="bottom"/>
          </w:tcPr>
          <w:p>
            <w:pPr>
              <w:spacing w:after="0" w:line="99" w:lineRule="exact"/>
              <w:rPr>
                <w:sz w:val="20"/>
                <w:szCs w:val="20"/>
                <w:color w:val="auto"/>
              </w:rPr>
            </w:pPr>
            <w:r>
              <w:rPr>
                <w:rFonts w:ascii="Arial" w:cs="Arial" w:eastAsia="Arial" w:hAnsi="Arial"/>
                <w:sz w:val="7"/>
                <w:szCs w:val="7"/>
                <w:color w:val="auto"/>
              </w:rPr>
              <w:t>U</w:t>
            </w:r>
            <w:r>
              <w:rPr>
                <w:rFonts w:ascii="Arial" w:cs="Arial" w:eastAsia="Arial" w:hAnsi="Arial"/>
                <w:sz w:val="6"/>
                <w:szCs w:val="6"/>
                <w:color w:val="auto"/>
              </w:rPr>
              <w:t>NIVISION</w:t>
            </w:r>
            <w:r>
              <w:rPr>
                <w:rFonts w:ascii="Arial" w:cs="Arial" w:eastAsia="Arial" w:hAnsi="Arial"/>
                <w:sz w:val="7"/>
                <w:szCs w:val="7"/>
                <w:color w:val="auto"/>
              </w:rPr>
              <w:t xml:space="preserve"> C</w:t>
            </w:r>
            <w:r>
              <w:rPr>
                <w:rFonts w:ascii="Arial" w:cs="Arial" w:eastAsia="Arial" w:hAnsi="Arial"/>
                <w:sz w:val="6"/>
                <w:szCs w:val="6"/>
                <w:color w:val="auto"/>
              </w:rPr>
              <w:t>OMMUNICATIONS</w:t>
            </w:r>
            <w:r>
              <w:rPr>
                <w:rFonts w:ascii="Arial" w:cs="Arial" w:eastAsia="Arial" w:hAnsi="Arial"/>
                <w:sz w:val="7"/>
                <w:szCs w:val="7"/>
                <w:color w:val="auto"/>
              </w:rPr>
              <w:t>, I</w:t>
            </w:r>
            <w:r>
              <w:rPr>
                <w:rFonts w:ascii="Arial" w:cs="Arial" w:eastAsia="Arial" w:hAnsi="Arial"/>
                <w:sz w:val="6"/>
                <w:szCs w:val="6"/>
                <w:color w:val="auto"/>
              </w:rPr>
              <w:t>NC</w:t>
            </w:r>
            <w:r>
              <w:rPr>
                <w:rFonts w:ascii="Arial" w:cs="Arial" w:eastAsia="Arial" w:hAnsi="Arial"/>
                <w:sz w:val="7"/>
                <w:szCs w:val="7"/>
                <w:color w:val="auto"/>
              </w:rPr>
              <w:t>.</w:t>
            </w:r>
            <w:r>
              <w:rPr>
                <w:rFonts w:ascii="Arial" w:cs="Arial" w:eastAsia="Arial" w:hAnsi="Arial"/>
                <w:sz w:val="11"/>
                <w:szCs w:val="11"/>
                <w:color w:val="auto"/>
                <w:vertAlign w:val="superscript"/>
              </w:rPr>
              <w:t>(4)</w:t>
            </w:r>
          </w:p>
        </w:tc>
        <w:tc>
          <w:tcPr>
            <w:tcW w:w="92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09/29/2014</w:t>
            </w:r>
          </w:p>
        </w:tc>
        <w:tc>
          <w:tcPr>
            <w:tcW w:w="1460" w:type="dxa"/>
            <w:vAlign w:val="bottom"/>
          </w:tcPr>
          <w:p>
            <w:pPr>
              <w:jc w:val="center"/>
              <w:spacing w:after="0" w:line="99" w:lineRule="exact"/>
              <w:rPr>
                <w:sz w:val="20"/>
                <w:szCs w:val="20"/>
                <w:color w:val="auto"/>
              </w:rPr>
            </w:pPr>
            <w:r>
              <w:rPr>
                <w:rFonts w:ascii="Arial" w:cs="Arial" w:eastAsia="Arial" w:hAnsi="Arial"/>
                <w:sz w:val="9"/>
                <w:szCs w:val="9"/>
                <w:color w:val="auto"/>
              </w:rPr>
              <w:t>B</w:t>
            </w:r>
            <w:r>
              <w:rPr>
                <w:rFonts w:ascii="Arial" w:cs="Arial" w:eastAsia="Arial" w:hAnsi="Arial"/>
                <w:sz w:val="7"/>
                <w:szCs w:val="7"/>
                <w:color w:val="auto"/>
              </w:rPr>
              <w:t>ROADCASTING</w:t>
            </w:r>
            <w:r>
              <w:rPr>
                <w:rFonts w:ascii="Arial" w:cs="Arial" w:eastAsia="Arial" w:hAnsi="Arial"/>
                <w:sz w:val="9"/>
                <w:szCs w:val="9"/>
                <w:color w:val="auto"/>
              </w:rPr>
              <w:t xml:space="preserve"> &amp;</w:t>
            </w:r>
          </w:p>
        </w:tc>
        <w:tc>
          <w:tcPr>
            <w:tcW w:w="100" w:type="dxa"/>
            <w:vAlign w:val="bottom"/>
          </w:tcPr>
          <w:p>
            <w:pPr>
              <w:spacing w:after="0"/>
              <w:rPr>
                <w:sz w:val="8"/>
                <w:szCs w:val="8"/>
                <w:color w:val="auto"/>
              </w:rPr>
            </w:pPr>
          </w:p>
        </w:tc>
        <w:tc>
          <w:tcPr>
            <w:tcW w:w="78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w:t>
            </w:r>
          </w:p>
        </w:tc>
        <w:tc>
          <w:tcPr>
            <w:tcW w:w="640" w:type="dxa"/>
            <w:vAlign w:val="bottom"/>
            <w:gridSpan w:val="2"/>
          </w:tcPr>
          <w:p>
            <w:pPr>
              <w:ind w:left="400"/>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76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906,040</w:t>
            </w:r>
          </w:p>
        </w:tc>
        <w:tc>
          <w:tcPr>
            <w:tcW w:w="180" w:type="dxa"/>
            <w:vAlign w:val="bottom"/>
          </w:tcPr>
          <w:p>
            <w:pPr>
              <w:spacing w:after="0"/>
              <w:rPr>
                <w:sz w:val="8"/>
                <w:szCs w:val="8"/>
                <w:color w:val="auto"/>
              </w:rPr>
            </w:pPr>
          </w:p>
        </w:tc>
        <w:tc>
          <w:tcPr>
            <w:tcW w:w="78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906,040</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9"/>
                <w:szCs w:val="9"/>
                <w:color w:val="auto"/>
              </w:rPr>
              <w:t>860,738</w:t>
            </w:r>
          </w:p>
        </w:tc>
        <w:tc>
          <w:tcPr>
            <w:tcW w:w="0" w:type="dxa"/>
            <w:vAlign w:val="bottom"/>
          </w:tcPr>
          <w:p>
            <w:pPr>
              <w:spacing w:after="0"/>
              <w:rPr>
                <w:sz w:val="1"/>
                <w:szCs w:val="1"/>
                <w:color w:val="auto"/>
              </w:rPr>
            </w:pPr>
          </w:p>
        </w:tc>
      </w:tr>
      <w:tr>
        <w:trPr>
          <w:trHeight w:val="99"/>
        </w:trPr>
        <w:tc>
          <w:tcPr>
            <w:tcW w:w="4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jc w:val="center"/>
              <w:spacing w:after="0" w:line="99" w:lineRule="exact"/>
              <w:rPr>
                <w:sz w:val="20"/>
                <w:szCs w:val="20"/>
                <w:color w:val="auto"/>
              </w:rPr>
            </w:pPr>
            <w:r>
              <w:rPr>
                <w:rFonts w:ascii="Arial" w:cs="Arial" w:eastAsia="Arial" w:hAnsi="Arial"/>
                <w:sz w:val="9"/>
                <w:szCs w:val="9"/>
                <w:color w:val="auto"/>
              </w:rPr>
              <w:t>E</w:t>
            </w:r>
            <w:r>
              <w:rPr>
                <w:rFonts w:ascii="Arial" w:cs="Arial" w:eastAsia="Arial" w:hAnsi="Arial"/>
                <w:sz w:val="7"/>
                <w:szCs w:val="7"/>
                <w:color w:val="auto"/>
              </w:rPr>
              <w:t>NTERTAINMENT</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620" w:type="dxa"/>
            <w:vAlign w:val="bottom"/>
            <w:shd w:val="clear" w:color="auto" w:fill="CCEEFF"/>
          </w:tcPr>
          <w:p>
            <w:pPr>
              <w:spacing w:after="0" w:line="92" w:lineRule="exact"/>
              <w:rPr>
                <w:sz w:val="20"/>
                <w:szCs w:val="20"/>
                <w:color w:val="auto"/>
              </w:rPr>
            </w:pPr>
            <w:r>
              <w:rPr>
                <w:rFonts w:ascii="Arial" w:cs="Arial" w:eastAsia="Arial" w:hAnsi="Arial"/>
                <w:sz w:val="9"/>
                <w:szCs w:val="9"/>
                <w:color w:val="auto"/>
              </w:rPr>
              <w:t>V</w:t>
            </w:r>
            <w:r>
              <w:rPr>
                <w:rFonts w:ascii="Arial" w:cs="Arial" w:eastAsia="Arial" w:hAnsi="Arial"/>
                <w:sz w:val="7"/>
                <w:szCs w:val="7"/>
                <w:color w:val="auto"/>
              </w:rPr>
              <w:t>ALASSIS</w:t>
            </w:r>
            <w:r>
              <w:rPr>
                <w:rFonts w:ascii="Arial" w:cs="Arial" w:eastAsia="Arial" w:hAnsi="Arial"/>
                <w:sz w:val="9"/>
                <w:szCs w:val="9"/>
                <w:color w:val="auto"/>
              </w:rPr>
              <w:t xml:space="preserve"> C</w:t>
            </w:r>
            <w:r>
              <w:rPr>
                <w:rFonts w:ascii="Arial" w:cs="Arial" w:eastAsia="Arial" w:hAnsi="Arial"/>
                <w:sz w:val="7"/>
                <w:szCs w:val="7"/>
                <w:color w:val="auto"/>
              </w:rPr>
              <w:t>OMMUNICATIONS</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shd w:val="clear" w:color="auto" w:fill="CCEEFF"/>
          </w:tcPr>
          <w:p>
            <w:pPr>
              <w:jc w:val="right"/>
              <w:ind w:right="120"/>
              <w:spacing w:after="0" w:line="92" w:lineRule="exact"/>
              <w:rPr>
                <w:sz w:val="20"/>
                <w:szCs w:val="20"/>
                <w:color w:val="auto"/>
              </w:rPr>
            </w:pPr>
            <w:r>
              <w:rPr>
                <w:rFonts w:ascii="Arial" w:cs="Arial" w:eastAsia="Arial" w:hAnsi="Arial"/>
                <w:sz w:val="9"/>
                <w:szCs w:val="9"/>
                <w:color w:val="auto"/>
              </w:rPr>
              <w:t>03/02/2014</w:t>
            </w:r>
          </w:p>
        </w:tc>
        <w:tc>
          <w:tcPr>
            <w:tcW w:w="1460" w:type="dxa"/>
            <w:vAlign w:val="bottom"/>
            <w:shd w:val="clear" w:color="auto" w:fill="CCEEFF"/>
          </w:tcPr>
          <w:p>
            <w:pPr>
              <w:jc w:val="center"/>
              <w:spacing w:after="0" w:line="92" w:lineRule="exact"/>
              <w:rPr>
                <w:sz w:val="20"/>
                <w:szCs w:val="20"/>
                <w:color w:val="auto"/>
              </w:rPr>
            </w:pPr>
            <w:r>
              <w:rPr>
                <w:rFonts w:ascii="Arial" w:cs="Arial" w:eastAsia="Arial" w:hAnsi="Arial"/>
                <w:sz w:val="9"/>
                <w:szCs w:val="9"/>
                <w:color w:val="auto"/>
              </w:rPr>
              <w:t>P</w:t>
            </w:r>
            <w:r>
              <w:rPr>
                <w:rFonts w:ascii="Arial" w:cs="Arial" w:eastAsia="Arial" w:hAnsi="Arial"/>
                <w:sz w:val="7"/>
                <w:szCs w:val="7"/>
                <w:color w:val="auto"/>
              </w:rPr>
              <w:t>RINTING</w:t>
            </w:r>
            <w:r>
              <w:rPr>
                <w:rFonts w:ascii="Arial" w:cs="Arial" w:eastAsia="Arial" w:hAnsi="Arial"/>
                <w:sz w:val="9"/>
                <w:szCs w:val="9"/>
                <w:color w:val="auto"/>
              </w:rPr>
              <w:t xml:space="preserve"> &amp;</w:t>
            </w:r>
          </w:p>
        </w:tc>
        <w:tc>
          <w:tcPr>
            <w:tcW w:w="880" w:type="dxa"/>
            <w:vAlign w:val="bottom"/>
            <w:gridSpan w:val="3"/>
            <w:shd w:val="clear" w:color="auto" w:fill="CCEEFF"/>
          </w:tcPr>
          <w:p>
            <w:pPr>
              <w:jc w:val="right"/>
              <w:ind w:right="180"/>
              <w:spacing w:after="0" w:line="92" w:lineRule="exact"/>
              <w:rPr>
                <w:sz w:val="20"/>
                <w:szCs w:val="20"/>
                <w:color w:val="auto"/>
              </w:rPr>
            </w:pPr>
            <w:r>
              <w:rPr>
                <w:rFonts w:ascii="Arial" w:cs="Arial" w:eastAsia="Arial" w:hAnsi="Arial"/>
                <w:sz w:val="9"/>
                <w:szCs w:val="9"/>
                <w:color w:val="auto"/>
              </w:rPr>
              <w:t>6.95%</w:t>
            </w:r>
          </w:p>
        </w:tc>
        <w:tc>
          <w:tcPr>
            <w:tcW w:w="640" w:type="dxa"/>
            <w:vAlign w:val="bottom"/>
            <w:gridSpan w:val="2"/>
            <w:shd w:val="clear" w:color="auto" w:fill="CCEEFF"/>
          </w:tcPr>
          <w:p>
            <w:pPr>
              <w:ind w:left="300"/>
              <w:spacing w:after="0" w:line="92" w:lineRule="exact"/>
              <w:rPr>
                <w:sz w:val="20"/>
                <w:szCs w:val="20"/>
                <w:color w:val="auto"/>
              </w:rPr>
            </w:pPr>
            <w:r>
              <w:rPr>
                <w:rFonts w:ascii="Arial" w:cs="Arial" w:eastAsia="Arial" w:hAnsi="Arial"/>
                <w:sz w:val="9"/>
                <w:szCs w:val="9"/>
                <w:color w:val="auto"/>
              </w:rPr>
              <w:t>L+175</w:t>
            </w:r>
          </w:p>
        </w:tc>
        <w:tc>
          <w:tcPr>
            <w:tcW w:w="20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00"/>
              <w:spacing w:after="0" w:line="92" w:lineRule="exact"/>
              <w:rPr>
                <w:sz w:val="20"/>
                <w:szCs w:val="20"/>
                <w:color w:val="auto"/>
              </w:rPr>
            </w:pPr>
            <w:r>
              <w:rPr>
                <w:rFonts w:ascii="Arial" w:cs="Arial" w:eastAsia="Arial" w:hAnsi="Arial"/>
                <w:sz w:val="9"/>
                <w:szCs w:val="9"/>
                <w:color w:val="auto"/>
              </w:rPr>
              <w:t>7,061,899</w:t>
            </w:r>
          </w:p>
        </w:tc>
        <w:tc>
          <w:tcPr>
            <w:tcW w:w="18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2" w:lineRule="exact"/>
              <w:rPr>
                <w:sz w:val="20"/>
                <w:szCs w:val="20"/>
                <w:color w:val="auto"/>
              </w:rPr>
            </w:pPr>
            <w:r>
              <w:rPr>
                <w:rFonts w:ascii="Arial" w:cs="Arial" w:eastAsia="Arial" w:hAnsi="Arial"/>
                <w:sz w:val="9"/>
                <w:szCs w:val="9"/>
                <w:color w:val="auto"/>
              </w:rPr>
              <w:t>7,061,899</w:t>
            </w: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92" w:lineRule="exact"/>
              <w:rPr>
                <w:sz w:val="20"/>
                <w:szCs w:val="20"/>
                <w:color w:val="auto"/>
              </w:rPr>
            </w:pPr>
            <w:r>
              <w:rPr>
                <w:rFonts w:ascii="Arial" w:cs="Arial" w:eastAsia="Arial" w:hAnsi="Arial"/>
                <w:sz w:val="9"/>
                <w:szCs w:val="9"/>
                <w:color w:val="auto"/>
              </w:rPr>
              <w:t>6,549,911</w:t>
            </w:r>
          </w:p>
        </w:tc>
        <w:tc>
          <w:tcPr>
            <w:tcW w:w="0" w:type="dxa"/>
            <w:vAlign w:val="bottom"/>
          </w:tcPr>
          <w:p>
            <w:pPr>
              <w:spacing w:after="0"/>
              <w:rPr>
                <w:sz w:val="1"/>
                <w:szCs w:val="1"/>
                <w:color w:val="auto"/>
              </w:rPr>
            </w:pPr>
          </w:p>
        </w:tc>
      </w:tr>
      <w:tr>
        <w:trPr>
          <w:trHeight w:val="106"/>
        </w:trPr>
        <w:tc>
          <w:tcPr>
            <w:tcW w:w="4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9"/>
                <w:szCs w:val="9"/>
                <w:color w:val="auto"/>
              </w:rPr>
              <w:t>P</w:t>
            </w:r>
            <w:r>
              <w:rPr>
                <w:rFonts w:ascii="Arial" w:cs="Arial" w:eastAsia="Arial" w:hAnsi="Arial"/>
                <w:sz w:val="7"/>
                <w:szCs w:val="7"/>
                <w:color w:val="auto"/>
              </w:rPr>
              <w:t>UBLISHING</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620" w:type="dxa"/>
            <w:vAlign w:val="bottom"/>
          </w:tcPr>
          <w:p>
            <w:pPr>
              <w:spacing w:after="0" w:line="99" w:lineRule="exact"/>
              <w:rPr>
                <w:sz w:val="20"/>
                <w:szCs w:val="20"/>
                <w:color w:val="auto"/>
              </w:rPr>
            </w:pPr>
            <w:r>
              <w:rPr>
                <w:rFonts w:ascii="Arial" w:cs="Arial" w:eastAsia="Arial" w:hAnsi="Arial"/>
                <w:sz w:val="7"/>
                <w:szCs w:val="7"/>
                <w:color w:val="auto"/>
              </w:rPr>
              <w:t>V</w:t>
            </w:r>
            <w:r>
              <w:rPr>
                <w:rFonts w:ascii="Arial" w:cs="Arial" w:eastAsia="Arial" w:hAnsi="Arial"/>
                <w:sz w:val="6"/>
                <w:szCs w:val="6"/>
                <w:color w:val="auto"/>
              </w:rPr>
              <w:t>ALASSIS</w:t>
            </w:r>
            <w:r>
              <w:rPr>
                <w:rFonts w:ascii="Arial" w:cs="Arial" w:eastAsia="Arial" w:hAnsi="Arial"/>
                <w:sz w:val="7"/>
                <w:szCs w:val="7"/>
                <w:color w:val="auto"/>
              </w:rPr>
              <w:t xml:space="preserve"> C</w:t>
            </w:r>
            <w:r>
              <w:rPr>
                <w:rFonts w:ascii="Arial" w:cs="Arial" w:eastAsia="Arial" w:hAnsi="Arial"/>
                <w:sz w:val="6"/>
                <w:szCs w:val="6"/>
                <w:color w:val="auto"/>
              </w:rPr>
              <w:t>OMMUNICATIONS</w:t>
            </w:r>
            <w:r>
              <w:rPr>
                <w:rFonts w:ascii="Arial" w:cs="Arial" w:eastAsia="Arial" w:hAnsi="Arial"/>
                <w:sz w:val="7"/>
                <w:szCs w:val="7"/>
                <w:color w:val="auto"/>
              </w:rPr>
              <w:t>, I</w:t>
            </w:r>
            <w:r>
              <w:rPr>
                <w:rFonts w:ascii="Arial" w:cs="Arial" w:eastAsia="Arial" w:hAnsi="Arial"/>
                <w:sz w:val="6"/>
                <w:szCs w:val="6"/>
                <w:color w:val="auto"/>
              </w:rPr>
              <w:t>NC</w:t>
            </w:r>
            <w:r>
              <w:rPr>
                <w:rFonts w:ascii="Arial" w:cs="Arial" w:eastAsia="Arial" w:hAnsi="Arial"/>
                <w:sz w:val="7"/>
                <w:szCs w:val="7"/>
                <w:color w:val="auto"/>
              </w:rPr>
              <w:t>.</w:t>
            </w:r>
            <w:r>
              <w:rPr>
                <w:rFonts w:ascii="Arial" w:cs="Arial" w:eastAsia="Arial" w:hAnsi="Arial"/>
                <w:sz w:val="11"/>
                <w:szCs w:val="11"/>
                <w:color w:val="auto"/>
                <w:vertAlign w:val="superscript"/>
              </w:rPr>
              <w:t>(4)</w:t>
            </w:r>
          </w:p>
        </w:tc>
        <w:tc>
          <w:tcPr>
            <w:tcW w:w="920" w:type="dxa"/>
            <w:vAlign w:val="bottom"/>
            <w:gridSpan w:val="3"/>
          </w:tcPr>
          <w:p>
            <w:pPr>
              <w:jc w:val="right"/>
              <w:ind w:right="120"/>
              <w:spacing w:after="0" w:line="99" w:lineRule="exact"/>
              <w:rPr>
                <w:sz w:val="20"/>
                <w:szCs w:val="20"/>
                <w:color w:val="auto"/>
              </w:rPr>
            </w:pPr>
            <w:r>
              <w:rPr>
                <w:rFonts w:ascii="Arial" w:cs="Arial" w:eastAsia="Arial" w:hAnsi="Arial"/>
                <w:sz w:val="9"/>
                <w:szCs w:val="9"/>
                <w:color w:val="auto"/>
              </w:rPr>
              <w:t>03/02/2014</w:t>
            </w:r>
          </w:p>
        </w:tc>
        <w:tc>
          <w:tcPr>
            <w:tcW w:w="1460" w:type="dxa"/>
            <w:vAlign w:val="bottom"/>
          </w:tcPr>
          <w:p>
            <w:pPr>
              <w:jc w:val="center"/>
              <w:spacing w:after="0" w:line="99" w:lineRule="exact"/>
              <w:rPr>
                <w:sz w:val="20"/>
                <w:szCs w:val="20"/>
                <w:color w:val="auto"/>
              </w:rPr>
            </w:pPr>
            <w:r>
              <w:rPr>
                <w:rFonts w:ascii="Arial" w:cs="Arial" w:eastAsia="Arial" w:hAnsi="Arial"/>
                <w:sz w:val="9"/>
                <w:szCs w:val="9"/>
                <w:color w:val="auto"/>
              </w:rPr>
              <w:t>P</w:t>
            </w:r>
            <w:r>
              <w:rPr>
                <w:rFonts w:ascii="Arial" w:cs="Arial" w:eastAsia="Arial" w:hAnsi="Arial"/>
                <w:sz w:val="7"/>
                <w:szCs w:val="7"/>
                <w:color w:val="auto"/>
              </w:rPr>
              <w:t>RINTING</w:t>
            </w:r>
            <w:r>
              <w:rPr>
                <w:rFonts w:ascii="Arial" w:cs="Arial" w:eastAsia="Arial" w:hAnsi="Arial"/>
                <w:sz w:val="9"/>
                <w:szCs w:val="9"/>
                <w:color w:val="auto"/>
              </w:rPr>
              <w:t xml:space="preserve"> &amp;</w:t>
            </w:r>
          </w:p>
        </w:tc>
        <w:tc>
          <w:tcPr>
            <w:tcW w:w="100" w:type="dxa"/>
            <w:vAlign w:val="bottom"/>
          </w:tcPr>
          <w:p>
            <w:pPr>
              <w:spacing w:after="0"/>
              <w:rPr>
                <w:sz w:val="8"/>
                <w:szCs w:val="8"/>
                <w:color w:val="auto"/>
              </w:rPr>
            </w:pPr>
          </w:p>
        </w:tc>
        <w:tc>
          <w:tcPr>
            <w:tcW w:w="780" w:type="dxa"/>
            <w:vAlign w:val="bottom"/>
            <w:gridSpan w:val="2"/>
          </w:tcPr>
          <w:p>
            <w:pPr>
              <w:jc w:val="right"/>
              <w:ind w:right="300"/>
              <w:spacing w:after="0" w:line="99" w:lineRule="exact"/>
              <w:rPr>
                <w:sz w:val="20"/>
                <w:szCs w:val="20"/>
                <w:color w:val="auto"/>
              </w:rPr>
            </w:pPr>
            <w:r>
              <w:rPr>
                <w:rFonts w:ascii="Arial" w:cs="Arial" w:eastAsia="Arial" w:hAnsi="Arial"/>
                <w:sz w:val="9"/>
                <w:szCs w:val="9"/>
                <w:color w:val="auto"/>
              </w:rPr>
              <w:t>—</w:t>
            </w:r>
          </w:p>
        </w:tc>
        <w:tc>
          <w:tcPr>
            <w:tcW w:w="640" w:type="dxa"/>
            <w:vAlign w:val="bottom"/>
            <w:gridSpan w:val="2"/>
          </w:tcPr>
          <w:p>
            <w:pPr>
              <w:ind w:left="400"/>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76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2,103,908</w:t>
            </w:r>
          </w:p>
        </w:tc>
        <w:tc>
          <w:tcPr>
            <w:tcW w:w="180" w:type="dxa"/>
            <w:vAlign w:val="bottom"/>
          </w:tcPr>
          <w:p>
            <w:pPr>
              <w:spacing w:after="0"/>
              <w:rPr>
                <w:sz w:val="8"/>
                <w:szCs w:val="8"/>
                <w:color w:val="auto"/>
              </w:rPr>
            </w:pPr>
          </w:p>
        </w:tc>
        <w:tc>
          <w:tcPr>
            <w:tcW w:w="78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2,103,908</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Arial" w:cs="Arial" w:eastAsia="Arial" w:hAnsi="Arial"/>
                <w:sz w:val="9"/>
                <w:szCs w:val="9"/>
                <w:color w:val="auto"/>
              </w:rPr>
              <w:t>1,951,375</w:t>
            </w:r>
          </w:p>
        </w:tc>
        <w:tc>
          <w:tcPr>
            <w:tcW w:w="0" w:type="dxa"/>
            <w:vAlign w:val="bottom"/>
          </w:tcPr>
          <w:p>
            <w:pPr>
              <w:spacing w:after="0"/>
              <w:rPr>
                <w:sz w:val="1"/>
                <w:szCs w:val="1"/>
                <w:color w:val="auto"/>
              </w:rPr>
            </w:pPr>
          </w:p>
        </w:tc>
      </w:tr>
      <w:tr>
        <w:trPr>
          <w:trHeight w:val="99"/>
        </w:trPr>
        <w:tc>
          <w:tcPr>
            <w:tcW w:w="4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jc w:val="center"/>
              <w:spacing w:after="0" w:line="99" w:lineRule="exact"/>
              <w:rPr>
                <w:sz w:val="20"/>
                <w:szCs w:val="20"/>
                <w:color w:val="auto"/>
              </w:rPr>
            </w:pPr>
            <w:r>
              <w:rPr>
                <w:rFonts w:ascii="Arial" w:cs="Arial" w:eastAsia="Arial" w:hAnsi="Arial"/>
                <w:sz w:val="9"/>
                <w:szCs w:val="9"/>
                <w:color w:val="auto"/>
              </w:rPr>
              <w:t>P</w:t>
            </w:r>
            <w:r>
              <w:rPr>
                <w:rFonts w:ascii="Arial" w:cs="Arial" w:eastAsia="Arial" w:hAnsi="Arial"/>
                <w:sz w:val="7"/>
                <w:szCs w:val="7"/>
                <w:color w:val="auto"/>
              </w:rPr>
              <w:t>UBLISHING</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62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W</w:t>
            </w:r>
            <w:r>
              <w:rPr>
                <w:rFonts w:ascii="Arial" w:cs="Arial" w:eastAsia="Arial" w:hAnsi="Arial"/>
                <w:sz w:val="7"/>
                <w:szCs w:val="7"/>
                <w:color w:val="auto"/>
              </w:rPr>
              <w:t>ESTERN</w:t>
            </w:r>
            <w:r>
              <w:rPr>
                <w:rFonts w:ascii="Arial" w:cs="Arial" w:eastAsia="Arial" w:hAnsi="Arial"/>
                <w:sz w:val="9"/>
                <w:szCs w:val="9"/>
                <w:color w:val="auto"/>
              </w:rPr>
              <w:t xml:space="preserve"> R</w:t>
            </w:r>
            <w:r>
              <w:rPr>
                <w:rFonts w:ascii="Arial" w:cs="Arial" w:eastAsia="Arial" w:hAnsi="Arial"/>
                <w:sz w:val="7"/>
                <w:szCs w:val="7"/>
                <w:color w:val="auto"/>
              </w:rPr>
              <w:t>EFINING</w:t>
            </w:r>
            <w:r>
              <w:rPr>
                <w:rFonts w:ascii="Arial" w:cs="Arial" w:eastAsia="Arial" w:hAnsi="Arial"/>
                <w:sz w:val="9"/>
                <w:szCs w:val="9"/>
                <w:color w:val="auto"/>
              </w:rPr>
              <w:t>, I</w:t>
            </w:r>
            <w:r>
              <w:rPr>
                <w:rFonts w:ascii="Arial" w:cs="Arial" w:eastAsia="Arial" w:hAnsi="Arial"/>
                <w:sz w:val="7"/>
                <w:szCs w:val="7"/>
                <w:color w:val="auto"/>
              </w:rPr>
              <w:t>NC</w:t>
            </w:r>
            <w:r>
              <w:rPr>
                <w:rFonts w:ascii="Arial" w:cs="Arial" w:eastAsia="Arial" w:hAnsi="Arial"/>
                <w:sz w:val="9"/>
                <w:szCs w:val="9"/>
                <w:color w:val="auto"/>
              </w:rPr>
              <w:t>.</w:t>
            </w:r>
          </w:p>
        </w:tc>
        <w:tc>
          <w:tcPr>
            <w:tcW w:w="92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05/30/2014</w:t>
            </w:r>
          </w:p>
        </w:tc>
        <w:tc>
          <w:tcPr>
            <w:tcW w:w="1460" w:type="dxa"/>
            <w:vAlign w:val="bottom"/>
            <w:shd w:val="clear" w:color="auto" w:fill="CCEEFF"/>
          </w:tcPr>
          <w:p>
            <w:pPr>
              <w:jc w:val="center"/>
              <w:spacing w:after="0" w:line="99" w:lineRule="exact"/>
              <w:rPr>
                <w:sz w:val="20"/>
                <w:szCs w:val="20"/>
                <w:color w:val="auto"/>
              </w:rPr>
            </w:pPr>
            <w:r>
              <w:rPr>
                <w:rFonts w:ascii="Arial" w:cs="Arial" w:eastAsia="Arial" w:hAnsi="Arial"/>
                <w:sz w:val="9"/>
                <w:szCs w:val="9"/>
                <w:color w:val="auto"/>
              </w:rPr>
              <w:t>O</w:t>
            </w:r>
            <w:r>
              <w:rPr>
                <w:rFonts w:ascii="Arial" w:cs="Arial" w:eastAsia="Arial" w:hAnsi="Arial"/>
                <w:sz w:val="7"/>
                <w:szCs w:val="7"/>
                <w:color w:val="auto"/>
              </w:rPr>
              <w:t>IL</w:t>
            </w:r>
            <w:r>
              <w:rPr>
                <w:rFonts w:ascii="Arial" w:cs="Arial" w:eastAsia="Arial" w:hAnsi="Arial"/>
                <w:sz w:val="9"/>
                <w:szCs w:val="9"/>
                <w:color w:val="auto"/>
              </w:rPr>
              <w:t xml:space="preserve"> &amp; G</w:t>
            </w:r>
            <w:r>
              <w:rPr>
                <w:rFonts w:ascii="Arial" w:cs="Arial" w:eastAsia="Arial" w:hAnsi="Arial"/>
                <w:sz w:val="7"/>
                <w:szCs w:val="7"/>
                <w:color w:val="auto"/>
              </w:rPr>
              <w:t>AS</w:t>
            </w:r>
          </w:p>
        </w:tc>
        <w:tc>
          <w:tcPr>
            <w:tcW w:w="880" w:type="dxa"/>
            <w:vAlign w:val="bottom"/>
            <w:gridSpan w:val="3"/>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6.88%</w:t>
            </w:r>
          </w:p>
        </w:tc>
        <w:tc>
          <w:tcPr>
            <w:tcW w:w="640" w:type="dxa"/>
            <w:vAlign w:val="bottom"/>
            <w:gridSpan w:val="2"/>
            <w:shd w:val="clear" w:color="auto" w:fill="CCEEFF"/>
          </w:tcPr>
          <w:p>
            <w:pPr>
              <w:ind w:left="300"/>
              <w:spacing w:after="0" w:line="99" w:lineRule="exact"/>
              <w:rPr>
                <w:sz w:val="20"/>
                <w:szCs w:val="20"/>
                <w:color w:val="auto"/>
              </w:rPr>
            </w:pPr>
            <w:r>
              <w:rPr>
                <w:rFonts w:ascii="Arial" w:cs="Arial" w:eastAsia="Arial" w:hAnsi="Arial"/>
                <w:sz w:val="9"/>
                <w:szCs w:val="9"/>
                <w:color w:val="auto"/>
              </w:rPr>
              <w:t>L+175</w:t>
            </w:r>
          </w:p>
        </w:tc>
        <w:tc>
          <w:tcPr>
            <w:tcW w:w="2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3,714,286</w:t>
            </w:r>
          </w:p>
        </w:tc>
        <w:tc>
          <w:tcPr>
            <w:tcW w:w="18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3,714,286</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3,640,000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9"/>
                <w:szCs w:val="9"/>
                <w:b w:val="1"/>
                <w:bCs w:val="1"/>
                <w:color w:val="auto"/>
              </w:rPr>
              <w:t>Total First Lien Secured Debt</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170,481,009</w:t>
            </w:r>
          </w:p>
        </w:tc>
        <w:tc>
          <w:tcPr>
            <w:tcW w:w="180" w:type="dxa"/>
            <w:vAlign w:val="bottom"/>
          </w:tcPr>
          <w:p>
            <w:pPr>
              <w:spacing w:after="0"/>
              <w:rPr>
                <w:sz w:val="8"/>
                <w:szCs w:val="8"/>
                <w:color w:val="auto"/>
              </w:rPr>
            </w:pPr>
          </w:p>
        </w:tc>
        <w:tc>
          <w:tcPr>
            <w:tcW w:w="78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170,474,236</w:t>
            </w:r>
          </w:p>
        </w:tc>
        <w:tc>
          <w:tcPr>
            <w:tcW w:w="160" w:type="dxa"/>
            <w:vAlign w:val="bottom"/>
          </w:tcPr>
          <w:p>
            <w:pPr>
              <w:spacing w:after="0"/>
              <w:rPr>
                <w:sz w:val="8"/>
                <w:szCs w:val="8"/>
                <w:color w:val="auto"/>
              </w:rPr>
            </w:pPr>
          </w:p>
        </w:tc>
        <w:tc>
          <w:tcPr>
            <w:tcW w:w="700" w:type="dxa"/>
            <w:vAlign w:val="bottom"/>
          </w:tcPr>
          <w:p>
            <w:pPr>
              <w:jc w:val="right"/>
              <w:spacing w:after="0" w:line="97" w:lineRule="exact"/>
              <w:rPr>
                <w:sz w:val="20"/>
                <w:szCs w:val="20"/>
                <w:color w:val="auto"/>
              </w:rPr>
            </w:pPr>
            <w:r>
              <w:rPr>
                <w:rFonts w:ascii="Arial" w:cs="Arial" w:eastAsia="Arial" w:hAnsi="Arial"/>
                <w:sz w:val="9"/>
                <w:szCs w:val="9"/>
                <w:color w:val="auto"/>
              </w:rPr>
              <w:t>158,929,905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620" w:type="dxa"/>
            <w:vAlign w:val="bottom"/>
            <w:shd w:val="clear" w:color="auto" w:fill="CCEEFF"/>
          </w:tcPr>
          <w:p>
            <w:pPr>
              <w:spacing w:after="0" w:line="97" w:lineRule="exact"/>
              <w:rPr>
                <w:sz w:val="20"/>
                <w:szCs w:val="20"/>
                <w:color w:val="auto"/>
              </w:rPr>
            </w:pPr>
            <w:r>
              <w:rPr>
                <w:rFonts w:ascii="Arial" w:cs="Arial" w:eastAsia="Arial" w:hAnsi="Arial"/>
                <w:sz w:val="9"/>
                <w:szCs w:val="9"/>
                <w:b w:val="1"/>
                <w:bCs w:val="1"/>
                <w:color w:val="auto"/>
              </w:rPr>
              <w:t>Total Investments – 107.6%</w:t>
            </w: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jc w:val="right"/>
              <w:ind w:right="118"/>
              <w:spacing w:after="0"/>
              <w:rPr>
                <w:sz w:val="20"/>
                <w:szCs w:val="20"/>
                <w:color w:val="auto"/>
              </w:rPr>
            </w:pPr>
            <w:r>
              <w:rPr>
                <w:rFonts w:ascii="Arial" w:cs="Arial" w:eastAsia="Arial" w:hAnsi="Arial"/>
                <w:sz w:val="4"/>
                <w:szCs w:val="4"/>
                <w:color w:val="auto"/>
                <w:w w:val="87"/>
              </w:rPr>
              <w:t>$</w:t>
            </w:r>
          </w:p>
        </w:tc>
        <w:tc>
          <w:tcPr>
            <w:tcW w:w="78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9"/>
                <w:szCs w:val="9"/>
                <w:color w:val="auto"/>
              </w:rPr>
              <w:t>314,881,870</w:t>
            </w:r>
          </w:p>
        </w:tc>
        <w:tc>
          <w:tcPr>
            <w:tcW w:w="160" w:type="dxa"/>
            <w:vAlign w:val="bottom"/>
            <w:shd w:val="clear" w:color="auto" w:fill="CCEEFF"/>
          </w:tcPr>
          <w:p>
            <w:pPr>
              <w:jc w:val="right"/>
              <w:ind w:right="98"/>
              <w:spacing w:after="0"/>
              <w:rPr>
                <w:sz w:val="20"/>
                <w:szCs w:val="20"/>
                <w:color w:val="auto"/>
              </w:rPr>
            </w:pPr>
            <w:r>
              <w:rPr>
                <w:rFonts w:ascii="Arial" w:cs="Arial" w:eastAsia="Arial" w:hAnsi="Arial"/>
                <w:sz w:val="4"/>
                <w:szCs w:val="4"/>
                <w:color w:val="auto"/>
                <w:w w:val="87"/>
              </w:rPr>
              <w:t>$</w:t>
            </w:r>
          </w:p>
        </w:tc>
        <w:tc>
          <w:tcPr>
            <w:tcW w:w="7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291,016,608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300"/>
          </w:cols>
          <w:pgMar w:left="300" w:top="354" w:right="299" w:bottom="1440" w:gutter="0" w:footer="0" w:header="0"/>
        </w:sectPr>
      </w:pPr>
    </w:p>
    <w:bookmarkStart w:id="56" w:name="page57"/>
    <w:bookmarkEnd w:id="56"/>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PENNANTPARK INVESTMENT CORPORATION</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SCHEDULE OF INVESTMENTS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2007</w:t>
      </w:r>
    </w:p>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11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jc w:val="center"/>
              <w:spacing w:after="0"/>
              <w:rPr>
                <w:sz w:val="20"/>
                <w:szCs w:val="20"/>
                <w:color w:val="auto"/>
              </w:rPr>
            </w:pPr>
            <w:r>
              <w:rPr>
                <w:rFonts w:ascii="Arial" w:cs="Arial" w:eastAsia="Arial" w:hAnsi="Arial"/>
                <w:sz w:val="9"/>
                <w:szCs w:val="9"/>
                <w:b w:val="1"/>
                <w:bCs w:val="1"/>
                <w:color w:val="auto"/>
                <w:w w:val="83"/>
              </w:rPr>
              <w:t>Basis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7"/>
              </w:rPr>
              <w:t>Point</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85"/>
              </w:rPr>
              <w:t>Spread</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3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Issuer name</w:t>
            </w:r>
            <w:r>
              <w:rPr>
                <w:rFonts w:ascii="Arial" w:cs="Arial" w:eastAsia="Arial" w:hAnsi="Arial"/>
                <w:sz w:val="14"/>
                <w:szCs w:val="14"/>
                <w:b w:val="1"/>
                <w:bCs w:val="1"/>
                <w:color w:val="auto"/>
                <w:vertAlign w:val="superscript"/>
              </w:rPr>
              <w:t>(1)</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Current</w:t>
            </w:r>
          </w:p>
        </w:tc>
        <w:tc>
          <w:tcPr>
            <w:tcW w:w="380" w:type="dxa"/>
            <w:vAlign w:val="bottom"/>
          </w:tcPr>
          <w:p>
            <w:pPr>
              <w:jc w:val="center"/>
              <w:spacing w:after="0"/>
              <w:rPr>
                <w:sz w:val="20"/>
                <w:szCs w:val="20"/>
                <w:color w:val="auto"/>
              </w:rPr>
            </w:pPr>
            <w:r>
              <w:rPr>
                <w:rFonts w:ascii="Arial" w:cs="Arial" w:eastAsia="Arial" w:hAnsi="Arial"/>
                <w:sz w:val="9"/>
                <w:szCs w:val="9"/>
                <w:b w:val="1"/>
                <w:bCs w:val="1"/>
                <w:color w:val="auto"/>
                <w:w w:val="94"/>
              </w:rPr>
              <w:t>Above</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9"/>
                <w:szCs w:val="9"/>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08"/>
        </w:trPr>
        <w:tc>
          <w:tcPr>
            <w:tcW w:w="53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tcPr>
          <w:p>
            <w:pPr>
              <w:ind w:left="160"/>
              <w:spacing w:after="0"/>
              <w:rPr>
                <w:sz w:val="20"/>
                <w:szCs w:val="20"/>
                <w:color w:val="auto"/>
              </w:rPr>
            </w:pPr>
            <w:r>
              <w:rPr>
                <w:rFonts w:ascii="Arial" w:cs="Arial" w:eastAsia="Arial" w:hAnsi="Arial"/>
                <w:sz w:val="9"/>
                <w:szCs w:val="9"/>
                <w:b w:val="1"/>
                <w:bCs w:val="1"/>
                <w:color w:val="auto"/>
              </w:rPr>
              <w:t>Maturity</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Industry</w:t>
            </w:r>
          </w:p>
        </w:tc>
        <w:tc>
          <w:tcPr>
            <w:tcW w:w="22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Coupon</w:t>
            </w:r>
          </w:p>
        </w:tc>
        <w:tc>
          <w:tcPr>
            <w:tcW w:w="380" w:type="dxa"/>
            <w:vAlign w:val="bottom"/>
          </w:tcPr>
          <w:p>
            <w:pPr>
              <w:jc w:val="center"/>
              <w:spacing w:after="0" w:line="108" w:lineRule="exact"/>
              <w:rPr>
                <w:sz w:val="20"/>
                <w:szCs w:val="20"/>
                <w:color w:val="auto"/>
              </w:rPr>
            </w:pPr>
            <w:r>
              <w:rPr>
                <w:rFonts w:ascii="Arial" w:cs="Arial" w:eastAsia="Arial" w:hAnsi="Arial"/>
                <w:sz w:val="8"/>
                <w:szCs w:val="8"/>
                <w:b w:val="1"/>
                <w:bCs w:val="1"/>
                <w:color w:val="auto"/>
                <w:w w:val="97"/>
              </w:rPr>
              <w:t>Index</w:t>
            </w:r>
            <w:r>
              <w:rPr>
                <w:rFonts w:ascii="Arial" w:cs="Arial" w:eastAsia="Arial" w:hAnsi="Arial"/>
                <w:sz w:val="12"/>
                <w:szCs w:val="12"/>
                <w:b w:val="1"/>
                <w:bCs w:val="1"/>
                <w:color w:val="auto"/>
                <w:w w:val="97"/>
                <w:vertAlign w:val="superscript"/>
              </w:rPr>
              <w:t>(3)</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9"/>
                <w:szCs w:val="9"/>
                <w:b w:val="1"/>
                <w:bCs w:val="1"/>
                <w:color w:val="auto"/>
              </w:rPr>
              <w:t>Par</w:t>
            </w:r>
          </w:p>
        </w:tc>
        <w:tc>
          <w:tcPr>
            <w:tcW w:w="140" w:type="dxa"/>
            <w:vAlign w:val="bottom"/>
          </w:tcPr>
          <w:p>
            <w:pPr>
              <w:spacing w:after="0"/>
              <w:rPr>
                <w:sz w:val="9"/>
                <w:szCs w:val="9"/>
                <w:color w:val="auto"/>
              </w:rPr>
            </w:pPr>
          </w:p>
        </w:tc>
        <w:tc>
          <w:tcPr>
            <w:tcW w:w="660" w:type="dxa"/>
            <w:vAlign w:val="bottom"/>
          </w:tcPr>
          <w:p>
            <w:pPr>
              <w:jc w:val="right"/>
              <w:ind w:right="244"/>
              <w:spacing w:after="0"/>
              <w:rPr>
                <w:sz w:val="20"/>
                <w:szCs w:val="20"/>
                <w:color w:val="auto"/>
              </w:rPr>
            </w:pPr>
            <w:r>
              <w:rPr>
                <w:rFonts w:ascii="Arial" w:cs="Arial" w:eastAsia="Arial" w:hAnsi="Arial"/>
                <w:sz w:val="9"/>
                <w:szCs w:val="9"/>
                <w:b w:val="1"/>
                <w:bCs w:val="1"/>
                <w:color w:val="auto"/>
              </w:rPr>
              <w:t>Cost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Cash Equivalents—95.4%</w:t>
            </w:r>
          </w:p>
        </w:tc>
        <w:tc>
          <w:tcPr>
            <w:tcW w:w="2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00" w:type="dxa"/>
            <w:vAlign w:val="bottom"/>
            <w:gridSpan w:val="2"/>
          </w:tcPr>
          <w:p>
            <w:pPr>
              <w:spacing w:after="0"/>
              <w:rPr>
                <w:sz w:val="20"/>
                <w:szCs w:val="20"/>
                <w:color w:val="auto"/>
              </w:rPr>
            </w:pPr>
            <w:r>
              <w:rPr>
                <w:rFonts w:ascii="Arial" w:cs="Arial" w:eastAsia="Arial" w:hAnsi="Arial"/>
                <w:sz w:val="12"/>
                <w:szCs w:val="12"/>
                <w:color w:val="auto"/>
              </w:rPr>
              <w:t>U.S. T</w:t>
            </w:r>
            <w:r>
              <w:rPr>
                <w:rFonts w:ascii="Arial" w:cs="Arial" w:eastAsia="Arial" w:hAnsi="Arial"/>
                <w:sz w:val="9"/>
                <w:szCs w:val="9"/>
                <w:color w:val="auto"/>
              </w:rPr>
              <w:t>REASURY</w:t>
            </w:r>
            <w:r>
              <w:rPr>
                <w:rFonts w:ascii="Arial" w:cs="Arial" w:eastAsia="Arial" w:hAnsi="Arial"/>
                <w:sz w:val="12"/>
                <w:szCs w:val="12"/>
                <w:color w:val="auto"/>
              </w:rPr>
              <w:t xml:space="preserve"> B</w:t>
            </w:r>
            <w:r>
              <w:rPr>
                <w:rFonts w:ascii="Arial" w:cs="Arial" w:eastAsia="Arial" w:hAnsi="Arial"/>
                <w:sz w:val="9"/>
                <w:szCs w:val="9"/>
                <w:color w:val="auto"/>
              </w:rPr>
              <w:t>ILL</w:t>
            </w:r>
          </w:p>
        </w:tc>
        <w:tc>
          <w:tcPr>
            <w:tcW w:w="1100" w:type="dxa"/>
            <w:vAlign w:val="bottom"/>
            <w:gridSpan w:val="3"/>
          </w:tcPr>
          <w:p>
            <w:pPr>
              <w:jc w:val="right"/>
              <w:ind w:right="220"/>
              <w:spacing w:after="0"/>
              <w:rPr>
                <w:sz w:val="20"/>
                <w:szCs w:val="20"/>
                <w:color w:val="auto"/>
              </w:rPr>
            </w:pPr>
            <w:r>
              <w:rPr>
                <w:rFonts w:ascii="Arial" w:cs="Arial" w:eastAsia="Arial" w:hAnsi="Arial"/>
                <w:sz w:val="12"/>
                <w:szCs w:val="12"/>
                <w:color w:val="auto"/>
              </w:rPr>
              <w:t>12/27/2007</w:t>
            </w:r>
          </w:p>
        </w:tc>
        <w:tc>
          <w:tcPr>
            <w:tcW w:w="420" w:type="dxa"/>
            <w:vAlign w:val="bottom"/>
          </w:tcPr>
          <w:p>
            <w:pPr>
              <w:spacing w:after="0"/>
              <w:rPr>
                <w:sz w:val="12"/>
                <w:szCs w:val="1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2"/>
                <w:szCs w:val="12"/>
                <w:color w:val="auto"/>
              </w:rPr>
              <w:t>3.64%</w:t>
            </w:r>
          </w:p>
        </w:tc>
        <w:tc>
          <w:tcPr>
            <w:tcW w:w="380" w:type="dxa"/>
            <w:vAlign w:val="bottom"/>
          </w:tcPr>
          <w:p>
            <w:pPr>
              <w:ind w:left="20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w w:val="92"/>
              </w:rPr>
              <w:t>255,000,000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5"/>
              </w:rPr>
              <w:t>252,759,931</w:t>
            </w:r>
          </w:p>
        </w:tc>
        <w:tc>
          <w:tcPr>
            <w:tcW w:w="360" w:type="dxa"/>
            <w:vAlign w:val="bottom"/>
            <w:gridSpan w:val="2"/>
          </w:tcPr>
          <w:p>
            <w:pPr>
              <w:jc w:val="right"/>
              <w:ind w:right="33"/>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252,703,215</w:t>
            </w:r>
          </w:p>
        </w:tc>
        <w:tc>
          <w:tcPr>
            <w:tcW w:w="0" w:type="dxa"/>
            <w:vAlign w:val="bottom"/>
          </w:tcPr>
          <w:p>
            <w:pPr>
              <w:spacing w:after="0"/>
              <w:rPr>
                <w:sz w:val="1"/>
                <w:szCs w:val="1"/>
                <w:color w:val="auto"/>
              </w:rPr>
            </w:pPr>
          </w:p>
        </w:tc>
      </w:tr>
      <w:tr>
        <w:trPr>
          <w:trHeight w:val="144"/>
        </w:trPr>
        <w:tc>
          <w:tcPr>
            <w:tcW w:w="5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w:t>
            </w:r>
            <w:r>
              <w:rPr>
                <w:rFonts w:ascii="Arial" w:cs="Arial" w:eastAsia="Arial" w:hAnsi="Arial"/>
                <w:sz w:val="9"/>
                <w:szCs w:val="9"/>
                <w:color w:val="auto"/>
              </w:rPr>
              <w:t>ONEY</w:t>
            </w:r>
            <w:r>
              <w:rPr>
                <w:rFonts w:ascii="Arial" w:cs="Arial" w:eastAsia="Arial" w:hAnsi="Arial"/>
                <w:sz w:val="12"/>
                <w:szCs w:val="12"/>
                <w:color w:val="auto"/>
              </w:rPr>
              <w:t xml:space="preserve"> M</w:t>
            </w:r>
            <w:r>
              <w:rPr>
                <w:rFonts w:ascii="Arial" w:cs="Arial" w:eastAsia="Arial" w:hAnsi="Arial"/>
                <w:sz w:val="9"/>
                <w:szCs w:val="9"/>
                <w:color w:val="auto"/>
              </w:rPr>
              <w:t>ARKET</w:t>
            </w:r>
            <w:r>
              <w:rPr>
                <w:rFonts w:ascii="Arial" w:cs="Arial" w:eastAsia="Arial" w:hAnsi="Arial"/>
                <w:sz w:val="12"/>
                <w:szCs w:val="12"/>
                <w:color w:val="auto"/>
              </w:rPr>
              <w:t>—M</w:t>
            </w:r>
            <w:r>
              <w:rPr>
                <w:rFonts w:ascii="Arial" w:cs="Arial" w:eastAsia="Arial" w:hAnsi="Arial"/>
                <w:sz w:val="9"/>
                <w:szCs w:val="9"/>
                <w:color w:val="auto"/>
              </w:rPr>
              <w:t>UTUAL</w:t>
            </w:r>
            <w:r>
              <w:rPr>
                <w:rFonts w:ascii="Arial" w:cs="Arial" w:eastAsia="Arial" w:hAnsi="Arial"/>
                <w:sz w:val="12"/>
                <w:szCs w:val="12"/>
                <w:color w:val="auto"/>
              </w:rPr>
              <w:t xml:space="preserve"> F</w:t>
            </w:r>
            <w:r>
              <w:rPr>
                <w:rFonts w:ascii="Arial" w:cs="Arial" w:eastAsia="Arial" w:hAnsi="Arial"/>
                <w:sz w:val="9"/>
                <w:szCs w:val="9"/>
                <w:color w:val="auto"/>
              </w:rPr>
              <w:t>UNDS</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5,256,420</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5,256,420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5,256,420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Cash Equivalents</w:t>
            </w: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w w:val="92"/>
              </w:rPr>
              <w:t>260,256,420</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5"/>
              </w:rPr>
              <w:t>258,016,351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257,959,635</w:t>
            </w:r>
          </w:p>
        </w:tc>
        <w:tc>
          <w:tcPr>
            <w:tcW w:w="0" w:type="dxa"/>
            <w:vAlign w:val="bottom"/>
          </w:tcPr>
          <w:p>
            <w:pPr>
              <w:spacing w:after="0"/>
              <w:rPr>
                <w:sz w:val="1"/>
                <w:szCs w:val="1"/>
                <w:color w:val="auto"/>
              </w:rPr>
            </w:pPr>
          </w:p>
        </w:tc>
      </w:tr>
      <w:tr>
        <w:trPr>
          <w:trHeight w:val="143"/>
        </w:trPr>
        <w:tc>
          <w:tcPr>
            <w:tcW w:w="5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Investments and Cash Equivalents</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572,898,221</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548,976,243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300" w:type="dxa"/>
            <w:vAlign w:val="bottom"/>
            <w:gridSpan w:val="2"/>
          </w:tcPr>
          <w:p>
            <w:pPr>
              <w:spacing w:after="0"/>
              <w:rPr>
                <w:sz w:val="20"/>
                <w:szCs w:val="20"/>
                <w:color w:val="auto"/>
              </w:rPr>
            </w:pPr>
            <w:r>
              <w:rPr>
                <w:rFonts w:ascii="Arial" w:cs="Arial" w:eastAsia="Arial" w:hAnsi="Arial"/>
                <w:sz w:val="12"/>
                <w:szCs w:val="12"/>
                <w:b w:val="1"/>
                <w:bCs w:val="1"/>
                <w:color w:val="auto"/>
              </w:rPr>
              <w:t>Liabilities in Excess of Other Assets—(103.0%)</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w w:val="98"/>
              </w:rPr>
              <w:t>(278,583,149)</w:t>
            </w:r>
          </w:p>
        </w:tc>
        <w:tc>
          <w:tcPr>
            <w:tcW w:w="0" w:type="dxa"/>
            <w:vAlign w:val="bottom"/>
          </w:tcPr>
          <w:p>
            <w:pPr>
              <w:spacing w:after="0"/>
              <w:rPr>
                <w:sz w:val="1"/>
                <w:szCs w:val="1"/>
                <w:color w:val="auto"/>
              </w:rPr>
            </w:pPr>
          </w:p>
        </w:tc>
      </w:tr>
      <w:tr>
        <w:trPr>
          <w:trHeight w:val="150"/>
        </w:trPr>
        <w:tc>
          <w:tcPr>
            <w:tcW w:w="5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Assets—100.0%</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270,393,094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140" w:type="dxa"/>
            <w:vAlign w:val="bottom"/>
            <w:tcBorders>
              <w:bottom w:val="single" w:sz="8" w:color="auto"/>
            </w:tcBorders>
          </w:tcPr>
          <w:p>
            <w:pPr>
              <w:spacing w:after="0"/>
              <w:rPr>
                <w:sz w:val="7"/>
                <w:szCs w:val="7"/>
                <w:color w:val="auto"/>
              </w:rPr>
            </w:pPr>
          </w:p>
        </w:tc>
        <w:tc>
          <w:tcPr>
            <w:tcW w:w="4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8" w:hanging="328"/>
        <w:spacing w:after="0" w:line="254" w:lineRule="auto"/>
        <w:tabs>
          <w:tab w:leader="none" w:pos="3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ind w:left="328" w:hanging="328"/>
        <w:spacing w:after="0"/>
        <w:tabs>
          <w:tab w:leader="none" w:pos="3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6" w:lineRule="exact"/>
        <w:rPr>
          <w:rFonts w:ascii="Arial" w:cs="Arial" w:eastAsia="Arial" w:hAnsi="Arial"/>
          <w:sz w:val="12"/>
          <w:szCs w:val="12"/>
          <w:color w:val="auto"/>
        </w:rPr>
      </w:pPr>
    </w:p>
    <w:p>
      <w:pPr>
        <w:ind w:left="328" w:hanging="328"/>
        <w:spacing w:after="0"/>
        <w:tabs>
          <w:tab w:leader="none" w:pos="3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 or, “L”).</w:t>
      </w:r>
    </w:p>
    <w:p>
      <w:pPr>
        <w:spacing w:after="0" w:line="6" w:lineRule="exact"/>
        <w:rPr>
          <w:rFonts w:ascii="Arial" w:cs="Arial" w:eastAsia="Arial" w:hAnsi="Arial"/>
          <w:sz w:val="12"/>
          <w:szCs w:val="12"/>
          <w:color w:val="auto"/>
        </w:rPr>
      </w:pPr>
    </w:p>
    <w:p>
      <w:pPr>
        <w:ind w:left="328" w:hanging="328"/>
        <w:spacing w:after="0"/>
        <w:tabs>
          <w:tab w:leader="none" w:pos="3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purchases of securities with delayed draws. These securities do not have a basis point spread above index.</w:t>
      </w:r>
    </w:p>
    <w:p>
      <w:pPr>
        <w:spacing w:after="0" w:line="6" w:lineRule="exact"/>
        <w:rPr>
          <w:rFonts w:ascii="Arial" w:cs="Arial" w:eastAsia="Arial" w:hAnsi="Arial"/>
          <w:sz w:val="12"/>
          <w:szCs w:val="12"/>
          <w:color w:val="auto"/>
        </w:rPr>
      </w:pPr>
    </w:p>
    <w:p>
      <w:pPr>
        <w:ind w:left="328" w:hanging="328"/>
        <w:spacing w:after="0"/>
        <w:tabs>
          <w:tab w:leader="none" w:pos="3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of the Securities Act of 1933. The security may be resold in transactions that are exempt from registration, normally to qualified institutional buyers.</w:t>
      </w:r>
    </w:p>
    <w:p>
      <w:pPr>
        <w:spacing w:after="0" w:line="6" w:lineRule="exact"/>
        <w:rPr>
          <w:sz w:val="20"/>
          <w:szCs w:val="20"/>
          <w:color w:val="auto"/>
        </w:rPr>
      </w:pPr>
    </w:p>
    <w:p>
      <w:pPr>
        <w:ind w:left="8" w:right="8900" w:hanging="8"/>
        <w:spacing w:after="0" w:line="260" w:lineRule="auto"/>
        <w:tabs>
          <w:tab w:leader="none" w:pos="341"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Coupon payable in cash or payment in kind. ** Non-income 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SEE NOTES TO CONSOLIDATED FINANCIAL STATEMENTS.</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308"/>
          </w:cols>
          <w:pgMar w:left="292" w:top="354" w:right="299"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2007</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w:t>
      </w:r>
    </w:p>
    <w:p>
      <w:pPr>
        <w:spacing w:after="0" w:line="62" w:lineRule="exact"/>
        <w:rPr>
          <w:sz w:val="20"/>
          <w:szCs w:val="20"/>
          <w:color w:val="auto"/>
        </w:rPr>
      </w:pPr>
    </w:p>
    <w:p>
      <w:pPr>
        <w:ind w:right="140" w:firstLine="452"/>
        <w:spacing w:after="0" w:line="254" w:lineRule="auto"/>
        <w:rPr>
          <w:sz w:val="20"/>
          <w:szCs w:val="20"/>
          <w:color w:val="auto"/>
        </w:rPr>
      </w:pPr>
      <w:r>
        <w:rPr>
          <w:rFonts w:ascii="Arial" w:cs="Arial" w:eastAsia="Arial" w:hAnsi="Arial"/>
          <w:sz w:val="12"/>
          <w:szCs w:val="12"/>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first lien secured debt and equity investments. As of September 30, 2007 PennantPark Investment had sold and issued 21,068,772 shares of its common stock, with gross proceeds of $316.0 million. Before the completion of its initial public offering on April 24, 2007, PennantPark Investment had limited operations other than the sale and issuance of 80,000 shares of common stock at an aggregate purchase price of $1.2 million to PennantPark Investment Advisers, LLC (the “Investment Adviser” or “PennantPark Investment Advisers”) and the purchase of first lien secured debt.</w:t>
      </w:r>
    </w:p>
    <w:p>
      <w:pPr>
        <w:spacing w:after="0" w:line="98" w:lineRule="exact"/>
        <w:rPr>
          <w:sz w:val="20"/>
          <w:szCs w:val="20"/>
          <w:color w:val="auto"/>
        </w:rPr>
      </w:pPr>
    </w:p>
    <w:p>
      <w:pPr>
        <w:ind w:firstLine="452"/>
        <w:spacing w:after="0" w:line="256" w:lineRule="auto"/>
        <w:rPr>
          <w:sz w:val="20"/>
          <w:szCs w:val="20"/>
          <w:color w:val="auto"/>
        </w:rPr>
      </w:pPr>
      <w:r>
        <w:rPr>
          <w:rFonts w:ascii="Arial" w:cs="Arial" w:eastAsia="Arial" w:hAnsi="Arial"/>
          <w:sz w:val="12"/>
          <w:szCs w:val="12"/>
          <w:color w:val="auto"/>
        </w:rPr>
        <w:t>On April 24, 2007 PennantPark Investment closed its initial public offering, selling 20,000,000 shares of its common stock, resulting in net proceeds of approximately $279.6 million. Also on April 24, PennantPark Investment closed a private placement of common stock pursuant to Regulation D under the Securities Act of 1933. This private placement of 320,000 shares was made to officers, directors, the Investment Adviser and managers of the Investment Adviser, for $15 per share, resulting in net proceeds of approximately $4.8 million. On May 21, the underwriters of the initial public offering exercised their over-allotment option to them under the Underwriting Agreement. The Underwriters elected to purchase 625,000 shares of our common stock, resulting in net proceeds of $8.8 million.</w:t>
      </w:r>
    </w:p>
    <w:p>
      <w:pPr>
        <w:spacing w:after="0" w:line="95" w:lineRule="exact"/>
        <w:rPr>
          <w:sz w:val="20"/>
          <w:szCs w:val="20"/>
          <w:color w:val="auto"/>
        </w:rPr>
      </w:pPr>
    </w:p>
    <w:p>
      <w:pPr>
        <w:ind w:right="180" w:firstLine="452"/>
        <w:spacing w:after="0" w:line="268" w:lineRule="auto"/>
        <w:rPr>
          <w:sz w:val="20"/>
          <w:szCs w:val="20"/>
          <w:color w:val="auto"/>
        </w:rPr>
      </w:pPr>
      <w:r>
        <w:rPr>
          <w:rFonts w:ascii="Arial" w:cs="Arial" w:eastAsia="Arial" w:hAnsi="Arial"/>
          <w:sz w:val="12"/>
          <w:szCs w:val="12"/>
          <w:color w:val="auto"/>
        </w:rPr>
        <w:t>The consolidated financial statements include the accounts of PennantPark Investment and its wholly owned special purpose subsidiary, Pennant SPV Company, LLC (“Pennant SPV”) a Delaware corporation. On April 24, 2007, Pennant SPV transferred all of its assets to PennantPark Investment.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SIGNIFICANT ACCOUNTING POLICIES</w:t>
      </w:r>
    </w:p>
    <w:p>
      <w:pPr>
        <w:spacing w:after="0" w:line="62" w:lineRule="exact"/>
        <w:rPr>
          <w:sz w:val="20"/>
          <w:szCs w:val="20"/>
          <w:color w:val="auto"/>
        </w:rPr>
      </w:pPr>
    </w:p>
    <w:p>
      <w:pPr>
        <w:ind w:right="180" w:firstLine="452"/>
        <w:spacing w:after="0" w:line="314" w:lineRule="auto"/>
        <w:rPr>
          <w:sz w:val="20"/>
          <w:szCs w:val="20"/>
          <w:color w:val="auto"/>
        </w:rPr>
      </w:pPr>
      <w:r>
        <w:rPr>
          <w:rFonts w:ascii="Arial" w:cs="Arial" w:eastAsia="Arial" w:hAnsi="Arial"/>
          <w:sz w:val="11"/>
          <w:szCs w:val="11"/>
          <w:color w:val="auto"/>
        </w:rPr>
        <w:t>The preparation of consolidated financial statements in conformity with U.S. generally accepted accounting principles (“GAAP”) requires management to make estimates and assumptions that affect the reported amount of assets and liabilities at the date of the consolidated financial statements and the reported amounts of income and expenses during the reported period. Actual results could differ from these estimates.</w:t>
      </w:r>
    </w:p>
    <w:p>
      <w:pPr>
        <w:spacing w:after="0" w:line="65" w:lineRule="exact"/>
        <w:rPr>
          <w:sz w:val="20"/>
          <w:szCs w:val="20"/>
          <w:color w:val="auto"/>
        </w:rPr>
      </w:pPr>
    </w:p>
    <w:p>
      <w:pPr>
        <w:ind w:firstLine="452"/>
        <w:spacing w:after="0" w:line="268" w:lineRule="auto"/>
        <w:rPr>
          <w:sz w:val="20"/>
          <w:szCs w:val="20"/>
          <w:color w:val="auto"/>
        </w:rPr>
      </w:pPr>
      <w:r>
        <w:rPr>
          <w:rFonts w:ascii="Arial" w:cs="Arial" w:eastAsia="Arial" w:hAnsi="Arial"/>
          <w:sz w:val="12"/>
          <w:szCs w:val="12"/>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significant accounting policies consistently followed by PennantPark Investment are:</w:t>
      </w:r>
    </w:p>
    <w:p>
      <w:pPr>
        <w:spacing w:after="0" w:line="60" w:lineRule="exact"/>
        <w:rPr>
          <w:sz w:val="20"/>
          <w:szCs w:val="20"/>
          <w:color w:val="auto"/>
        </w:rPr>
      </w:pPr>
    </w:p>
    <w:p>
      <w:pPr>
        <w:ind w:left="900" w:right="60" w:hanging="458"/>
        <w:spacing w:after="0" w:line="283" w:lineRule="auto"/>
        <w:tabs>
          <w:tab w:leader="none" w:pos="900" w:val="left"/>
        </w:tabs>
        <w:numPr>
          <w:ilvl w:val="0"/>
          <w:numId w:val="33"/>
        </w:numPr>
        <w:rPr>
          <w:rFonts w:ascii="Arial" w:cs="Arial" w:eastAsia="Arial" w:hAnsi="Arial"/>
          <w:sz w:val="11"/>
          <w:szCs w:val="11"/>
          <w:color w:val="auto"/>
        </w:rPr>
      </w:pPr>
      <w:r>
        <w:rPr>
          <w:rFonts w:ascii="Arial" w:cs="Arial" w:eastAsia="Arial" w:hAnsi="Arial"/>
          <w:sz w:val="11"/>
          <w:szCs w:val="11"/>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securities with maturities greater than 60 days generally are valued by an independent pricing service or at the bid prices from at least two broker/dealers (if available, otherwise by a principal market maker or a primary market dealer). We expect that there will</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300"/>
          </w:cols>
          <w:pgMar w:left="300" w:top="354" w:right="299"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left="900" w:right="40"/>
        <w:spacing w:after="0" w:line="359" w:lineRule="auto"/>
        <w:rPr>
          <w:sz w:val="20"/>
          <w:szCs w:val="20"/>
          <w:color w:val="auto"/>
        </w:rPr>
      </w:pPr>
      <w:r>
        <w:rPr>
          <w:rFonts w:ascii="Arial" w:cs="Arial" w:eastAsia="Arial" w:hAnsi="Arial"/>
          <w:sz w:val="9"/>
          <w:szCs w:val="9"/>
          <w:color w:val="auto"/>
        </w:rPr>
        <w:t>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may include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9"/>
          <w:szCs w:val="9"/>
          <w:color w:val="auto"/>
        </w:rPr>
        <w:t>With respect to investments for which market quotations are not readily available or are readily available but believed to be inaccurate, our board of directors undertakes a multi-step valuation process each quarter, as described</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below:</w:t>
      </w:r>
    </w:p>
    <w:p>
      <w:pPr>
        <w:spacing w:after="0" w:line="56" w:lineRule="exact"/>
        <w:rPr>
          <w:sz w:val="20"/>
          <w:szCs w:val="20"/>
          <w:color w:val="auto"/>
        </w:rPr>
      </w:pPr>
    </w:p>
    <w:p>
      <w:pPr>
        <w:ind w:left="900" w:hanging="458"/>
        <w:spacing w:after="0"/>
        <w:tabs>
          <w:tab w:leader="none" w:pos="9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Our quarterly valuation process begins with each portfolio company or investment being initially valued by the investment professionals of our Investment Adviser responsible for the portfolio investment;</w:t>
      </w:r>
    </w:p>
    <w:p>
      <w:pPr>
        <w:spacing w:after="0" w:line="71" w:lineRule="exact"/>
        <w:rPr>
          <w:rFonts w:ascii="Arial" w:cs="Arial" w:eastAsia="Arial" w:hAnsi="Arial"/>
          <w:sz w:val="11"/>
          <w:szCs w:val="11"/>
          <w:color w:val="auto"/>
        </w:rPr>
      </w:pPr>
    </w:p>
    <w:p>
      <w:pPr>
        <w:ind w:left="900" w:hanging="458"/>
        <w:spacing w:after="0"/>
        <w:tabs>
          <w:tab w:leader="none" w:pos="9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Preliminary valuation conclusions are then documented and discussed with the management of our Investment Adviser;</w:t>
      </w:r>
    </w:p>
    <w:p>
      <w:pPr>
        <w:spacing w:after="0" w:line="60" w:lineRule="exact"/>
        <w:rPr>
          <w:rFonts w:ascii="Arial" w:cs="Arial" w:eastAsia="Arial" w:hAnsi="Arial"/>
          <w:sz w:val="12"/>
          <w:szCs w:val="12"/>
          <w:color w:val="auto"/>
        </w:rPr>
      </w:pPr>
    </w:p>
    <w:p>
      <w:pPr>
        <w:ind w:left="900" w:hanging="458"/>
        <w:spacing w:after="0" w:line="259" w:lineRule="auto"/>
        <w:tabs>
          <w:tab w:leader="none" w:pos="9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39" w:lineRule="exact"/>
        <w:rPr>
          <w:rFonts w:ascii="Arial" w:cs="Arial" w:eastAsia="Arial" w:hAnsi="Arial"/>
          <w:sz w:val="12"/>
          <w:szCs w:val="12"/>
          <w:color w:val="auto"/>
        </w:rPr>
      </w:pPr>
    </w:p>
    <w:p>
      <w:pPr>
        <w:ind w:left="900" w:hanging="458"/>
        <w:spacing w:after="0" w:line="268" w:lineRule="auto"/>
        <w:tabs>
          <w:tab w:leader="none" w:pos="9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33" w:lineRule="exact"/>
        <w:rPr>
          <w:rFonts w:ascii="Arial" w:cs="Arial" w:eastAsia="Arial" w:hAnsi="Arial"/>
          <w:sz w:val="12"/>
          <w:szCs w:val="12"/>
          <w:color w:val="auto"/>
        </w:rPr>
      </w:pPr>
    </w:p>
    <w:p>
      <w:pPr>
        <w:ind w:left="900" w:right="120" w:hanging="458"/>
        <w:spacing w:after="0" w:line="268" w:lineRule="auto"/>
        <w:tabs>
          <w:tab w:leader="none" w:pos="9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board of directors discusses the valuations and determines the fair value of each investment in our portfolio in good faith based on the input of the Investment Adviser, the respective independent valuation firms and the audit committee.</w:t>
      </w:r>
    </w:p>
    <w:p>
      <w:pPr>
        <w:spacing w:after="0" w:line="88" w:lineRule="exact"/>
        <w:rPr>
          <w:sz w:val="20"/>
          <w:szCs w:val="20"/>
          <w:color w:val="auto"/>
        </w:rPr>
      </w:pPr>
    </w:p>
    <w:p>
      <w:pPr>
        <w:ind w:right="120" w:firstLine="452"/>
        <w:spacing w:after="0" w:line="268" w:lineRule="auto"/>
        <w:rPr>
          <w:sz w:val="20"/>
          <w:szCs w:val="20"/>
          <w:color w:val="auto"/>
        </w:rPr>
      </w:pPr>
      <w:r>
        <w:rPr>
          <w:rFonts w:ascii="Arial" w:cs="Arial" w:eastAsia="Arial" w:hAnsi="Arial"/>
          <w:sz w:val="12"/>
          <w:szCs w:val="12"/>
          <w:color w:val="auto"/>
        </w:rPr>
        <w:t>The types of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34" w:lineRule="exact"/>
        <w:rPr>
          <w:sz w:val="20"/>
          <w:szCs w:val="20"/>
          <w:color w:val="auto"/>
        </w:rPr>
      </w:pPr>
    </w:p>
    <w:p>
      <w:pPr>
        <w:ind w:left="900" w:hanging="458"/>
        <w:spacing w:after="0"/>
        <w:tabs>
          <w:tab w:leader="none" w:pos="9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Investments purchased within 60 days of maturity are valued at cost plus accreted discount, or minus amortized premium, which approximates value.</w:t>
      </w:r>
    </w:p>
    <w:p>
      <w:pPr>
        <w:spacing w:after="0" w:line="60" w:lineRule="exact"/>
        <w:rPr>
          <w:rFonts w:ascii="Arial" w:cs="Arial" w:eastAsia="Arial" w:hAnsi="Arial"/>
          <w:sz w:val="12"/>
          <w:szCs w:val="12"/>
          <w:color w:val="auto"/>
        </w:rPr>
      </w:pPr>
    </w:p>
    <w:p>
      <w:pPr>
        <w:ind w:left="900" w:right="200" w:hanging="458"/>
        <w:spacing w:after="0" w:line="293" w:lineRule="auto"/>
        <w:tabs>
          <w:tab w:leader="none" w:pos="900" w:val="left"/>
        </w:tabs>
        <w:numPr>
          <w:ilvl w:val="0"/>
          <w:numId w:val="35"/>
        </w:numPr>
        <w:rPr>
          <w:rFonts w:ascii="Arial" w:cs="Arial" w:eastAsia="Arial" w:hAnsi="Arial"/>
          <w:sz w:val="11"/>
          <w:szCs w:val="11"/>
          <w:color w:val="auto"/>
        </w:rPr>
      </w:pPr>
      <w:r>
        <w:rPr>
          <w:rFonts w:ascii="Arial" w:cs="Arial" w:eastAsia="Arial" w:hAnsi="Arial"/>
          <w:sz w:val="11"/>
          <w:szCs w:val="11"/>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2" w:lineRule="exact"/>
        <w:rPr>
          <w:rFonts w:ascii="Arial" w:cs="Arial" w:eastAsia="Arial" w:hAnsi="Arial"/>
          <w:sz w:val="11"/>
          <w:szCs w:val="11"/>
          <w:color w:val="auto"/>
        </w:rPr>
      </w:pPr>
    </w:p>
    <w:p>
      <w:pPr>
        <w:ind w:left="900" w:right="120" w:hanging="458"/>
        <w:spacing w:after="0" w:line="268" w:lineRule="auto"/>
        <w:tabs>
          <w:tab w:leader="none" w:pos="9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We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240"/>
          </w:cols>
          <w:pgMar w:left="300" w:top="354" w:right="359"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left="900"/>
        <w:spacing w:after="0" w:line="293" w:lineRule="auto"/>
        <w:rPr>
          <w:sz w:val="20"/>
          <w:szCs w:val="20"/>
          <w:color w:val="auto"/>
        </w:rPr>
      </w:pPr>
      <w:r>
        <w:rPr>
          <w:rFonts w:ascii="Arial" w:cs="Arial" w:eastAsia="Arial" w:hAnsi="Arial"/>
          <w:sz w:val="11"/>
          <w:szCs w:val="11"/>
          <w:color w:val="auto"/>
        </w:rPr>
        <w:t>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32" w:lineRule="exact"/>
        <w:rPr>
          <w:sz w:val="20"/>
          <w:szCs w:val="20"/>
          <w:color w:val="auto"/>
        </w:rPr>
      </w:pPr>
    </w:p>
    <w:p>
      <w:pPr>
        <w:ind w:left="900" w:hanging="458"/>
        <w:spacing w:after="0" w:line="253" w:lineRule="auto"/>
        <w:tabs>
          <w:tab w:leader="none" w:pos="9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Before May 1, 2007 PennantPark Investment was taxed as a corporation under Subchapter C of the Internal Revenue Code of 1986, as amended (the “Code”), and subject to corporate-level federal, state and local taxes. Starting May 1, 2007 PennantPark Investment intends to comply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Federal, state and local taxes of $105,880 were accrued and included in PennantPark Investment’s statement of operations. Based upon PennantPark Investment’s qualification and election to be subject to tax as a RIC as of its next taxable year-end, we do not anticipate any material taxes in the future. The Company will recognize in its financial statements the effect of a tax position when it is more likely than not, based on the technical merits, that the position will be sustained upon examination.</w:t>
      </w:r>
    </w:p>
    <w:p>
      <w:pPr>
        <w:spacing w:after="0" w:line="43" w:lineRule="exact"/>
        <w:rPr>
          <w:rFonts w:ascii="Arial" w:cs="Arial" w:eastAsia="Arial" w:hAnsi="Arial"/>
          <w:sz w:val="12"/>
          <w:szCs w:val="12"/>
          <w:color w:val="auto"/>
        </w:rPr>
      </w:pPr>
    </w:p>
    <w:p>
      <w:pPr>
        <w:ind w:left="900" w:right="120" w:hanging="458"/>
        <w:spacing w:after="0" w:line="268" w:lineRule="auto"/>
        <w:tabs>
          <w:tab w:leader="none" w:pos="9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33" w:lineRule="exact"/>
        <w:rPr>
          <w:rFonts w:ascii="Arial" w:cs="Arial" w:eastAsia="Arial" w:hAnsi="Arial"/>
          <w:sz w:val="12"/>
          <w:szCs w:val="12"/>
          <w:color w:val="auto"/>
        </w:rPr>
      </w:pPr>
    </w:p>
    <w:p>
      <w:pPr>
        <w:ind w:left="900" w:right="40" w:hanging="458"/>
        <w:spacing w:after="0" w:line="365" w:lineRule="auto"/>
        <w:tabs>
          <w:tab w:leader="none" w:pos="900" w:val="left"/>
        </w:tabs>
        <w:numPr>
          <w:ilvl w:val="0"/>
          <w:numId w:val="36"/>
        </w:numPr>
        <w:rPr>
          <w:rFonts w:ascii="Arial" w:cs="Arial" w:eastAsia="Arial" w:hAnsi="Arial"/>
          <w:sz w:val="9"/>
          <w:szCs w:val="9"/>
          <w:color w:val="auto"/>
        </w:rPr>
      </w:pPr>
      <w:r>
        <w:rPr>
          <w:rFonts w:ascii="Arial" w:cs="Arial" w:eastAsia="Arial" w:hAnsi="Arial"/>
          <w:sz w:val="9"/>
          <w:szCs w:val="9"/>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Investment is in the process of reviewing the Standard against its valuation policies to determine future applicability.</w:t>
      </w:r>
    </w:p>
    <w:p>
      <w:pPr>
        <w:ind w:left="900" w:right="140" w:hanging="458"/>
        <w:spacing w:after="0" w:line="287" w:lineRule="auto"/>
        <w:tabs>
          <w:tab w:leader="none" w:pos="900" w:val="left"/>
        </w:tabs>
        <w:numPr>
          <w:ilvl w:val="0"/>
          <w:numId w:val="36"/>
        </w:numPr>
        <w:rPr>
          <w:rFonts w:ascii="Arial" w:cs="Arial" w:eastAsia="Arial" w:hAnsi="Arial"/>
          <w:sz w:val="11"/>
          <w:szCs w:val="11"/>
          <w:color w:val="auto"/>
        </w:rPr>
      </w:pPr>
      <w:r>
        <w:rPr>
          <w:rFonts w:ascii="Arial" w:cs="Arial" w:eastAsia="Arial" w:hAnsi="Arial"/>
          <w:sz w:val="11"/>
          <w:szCs w:val="11"/>
          <w:color w:val="auto"/>
        </w:rPr>
        <w:t>In February 2007, the FASB issued Statement No. 159, The Fair Value Option for Financial Assets and Financial Liabilities—Including an Amendment of FASB Statement No.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November 15, 2007, and interim periods within those fiscal years. The Company does not expect the adoption of this statement to have a significant effect on the Company’s consolidated financial position or its result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AGREEMENTS</w:t>
      </w:r>
    </w:p>
    <w:p>
      <w:pPr>
        <w:spacing w:after="0" w:line="62" w:lineRule="exact"/>
        <w:rPr>
          <w:sz w:val="20"/>
          <w:szCs w:val="20"/>
          <w:color w:val="auto"/>
        </w:rPr>
      </w:pPr>
    </w:p>
    <w:p>
      <w:pPr>
        <w:ind w:right="60" w:firstLine="452"/>
        <w:spacing w:after="0" w:line="259" w:lineRule="auto"/>
        <w:rPr>
          <w:sz w:val="20"/>
          <w:szCs w:val="20"/>
          <w:color w:val="auto"/>
        </w:rPr>
      </w:pPr>
      <w:r>
        <w:rPr>
          <w:rFonts w:ascii="Arial" w:cs="Arial" w:eastAsia="Arial" w:hAnsi="Arial"/>
          <w:sz w:val="12"/>
          <w:szCs w:val="12"/>
          <w:color w:val="auto"/>
        </w:rPr>
        <w:t>PennantPark Investment has entered into an Investment Management Agreement with PennantPark Investment Advisers under which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260"/>
          </w:cols>
          <w:pgMar w:left="300" w:top="354" w:right="339"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20" w:firstLine="452"/>
        <w:spacing w:after="0" w:line="279" w:lineRule="auto"/>
        <w:rPr>
          <w:sz w:val="20"/>
          <w:szCs w:val="20"/>
          <w:color w:val="auto"/>
        </w:rPr>
      </w:pPr>
      <w:r>
        <w:rPr>
          <w:rFonts w:ascii="Arial" w:cs="Arial" w:eastAsia="Arial" w:hAnsi="Arial"/>
          <w:sz w:val="11"/>
          <w:szCs w:val="11"/>
          <w:color w:val="auto"/>
        </w:rPr>
        <w:t>The base management fee is calculated at an annual rate of 2.00% on PennantPark Investment’s gross assets (net of U.S. Treasury Bills (“adjusted gross assets”)) (See Note 9). Although the base management fee is 2.00% of adjusted gross assets, the Investment Adviser has agreed to waive a portion of the base management fee such that the base management fee will equal 1.50% from the consummation of the initial public offering through September 30, 2007; 1.75% from October 1, 2007 through March 31, 2008; and 2.00% thereafter. For the period from the commencement of operations to the consummation of the initial public offering there were no Management Fees. For services rendered under the Investment Management Agreement during the period commencing from the closing of the initial public offering through and including the first six months of operations, the base management fee is payable monthly in arrears. For services rendered under the Investment Management Agreement after that time, the base management fee will be payable quarterly in arrears. For the first quarter of operations, the base management fee was calculated based on the initial value of adjusted gross assets. Subsequently, the base management fee is calculated based on the average value of adjusted gross assets at the end of the two most recently completed calendar quarters, and appropriately adjusted for any share issuances or repurchases during the current calendar quarter. Base investment advisory fees for any partial month or quarter are appropriately pro rated. For the period from the consummation of the initial public offering to September 30, 2007, the Adviser received $1.9 million in base management fee.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incentive fee has two parts, as follows:</w:t>
      </w:r>
    </w:p>
    <w:p>
      <w:pPr>
        <w:spacing w:after="0" w:line="60" w:lineRule="exact"/>
        <w:rPr>
          <w:sz w:val="20"/>
          <w:szCs w:val="20"/>
          <w:color w:val="auto"/>
        </w:rPr>
      </w:pPr>
    </w:p>
    <w:p>
      <w:pPr>
        <w:ind w:firstLine="452"/>
        <w:spacing w:after="0" w:line="279" w:lineRule="auto"/>
        <w:rPr>
          <w:sz w:val="20"/>
          <w:szCs w:val="20"/>
          <w:color w:val="auto"/>
        </w:rPr>
      </w:pPr>
      <w:r>
        <w:rPr>
          <w:rFonts w:ascii="Arial" w:cs="Arial" w:eastAsia="Arial" w:hAnsi="Arial"/>
          <w:sz w:val="11"/>
          <w:szCs w:val="11"/>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30" w:lineRule="exact"/>
        <w:rPr>
          <w:sz w:val="20"/>
          <w:szCs w:val="20"/>
          <w:color w:val="auto"/>
        </w:rPr>
      </w:pPr>
    </w:p>
    <w:p>
      <w:pPr>
        <w:ind w:right="280" w:firstLine="444"/>
        <w:spacing w:after="0" w:line="256" w:lineRule="auto"/>
        <w:tabs>
          <w:tab w:leader="none" w:pos="618" w:val="left"/>
        </w:tabs>
        <w:numPr>
          <w:ilvl w:val="0"/>
          <w:numId w:val="37"/>
        </w:numPr>
        <w:rPr>
          <w:rFonts w:ascii="Arial" w:cs="Arial" w:eastAsia="Arial" w:hAnsi="Arial"/>
          <w:sz w:val="12"/>
          <w:szCs w:val="12"/>
          <w:color w:val="auto"/>
        </w:rPr>
      </w:pPr>
      <w:r>
        <w:rPr>
          <w:rFonts w:ascii="Arial" w:cs="Arial" w:eastAsia="Arial" w:hAnsi="Arial"/>
          <w:sz w:val="12"/>
          <w:szCs w:val="12"/>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95" w:lineRule="exact"/>
        <w:rPr>
          <w:sz w:val="20"/>
          <w:szCs w:val="20"/>
          <w:color w:val="auto"/>
        </w:rPr>
      </w:pPr>
    </w:p>
    <w:p>
      <w:pPr>
        <w:ind w:right="100" w:firstLine="452"/>
        <w:spacing w:after="0" w:line="287" w:lineRule="auto"/>
        <w:rPr>
          <w:sz w:val="20"/>
          <w:szCs w:val="20"/>
          <w:color w:val="auto"/>
        </w:rPr>
      </w:pPr>
      <w:r>
        <w:rPr>
          <w:rFonts w:ascii="Arial" w:cs="Arial" w:eastAsia="Arial" w:hAnsi="Arial"/>
          <w:sz w:val="11"/>
          <w:szCs w:val="11"/>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280"/>
          </w:cols>
          <w:pgMar w:left="300" w:top="354" w:right="319"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For the period from January 11, 2007 (inception) to September 30, 2007, the Adviser did not receive an Incentive Fee.</w:t>
      </w:r>
    </w:p>
    <w:p>
      <w:pPr>
        <w:spacing w:after="0" w:line="114" w:lineRule="exact"/>
        <w:rPr>
          <w:sz w:val="20"/>
          <w:szCs w:val="20"/>
          <w:color w:val="auto"/>
        </w:rPr>
      </w:pPr>
    </w:p>
    <w:p>
      <w:pPr>
        <w:ind w:right="160" w:firstLine="452"/>
        <w:spacing w:after="0" w:line="354" w:lineRule="auto"/>
        <w:rPr>
          <w:sz w:val="20"/>
          <w:szCs w:val="20"/>
          <w:color w:val="auto"/>
        </w:rPr>
      </w:pPr>
      <w:r>
        <w:rPr>
          <w:rFonts w:ascii="Arial" w:cs="Arial" w:eastAsia="Arial" w:hAnsi="Arial"/>
          <w:sz w:val="9"/>
          <w:szCs w:val="9"/>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consolidated statement of operations. For the period from January 11, 2007 (inception) through September 30, 2007, the Investment Adviser was reimbursed approximately $490,000 from the Company, including expenses it incurred on behalf of the Administrator for services described above.</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ORGANIZATIONAL AND OFFERING EXPENSES</w:t>
      </w:r>
    </w:p>
    <w:p>
      <w:pPr>
        <w:spacing w:after="0" w:line="62" w:lineRule="exact"/>
        <w:rPr>
          <w:sz w:val="20"/>
          <w:szCs w:val="20"/>
          <w:color w:val="auto"/>
        </w:rPr>
      </w:pPr>
    </w:p>
    <w:p>
      <w:pPr>
        <w:ind w:firstLine="452"/>
        <w:spacing w:after="0" w:line="268" w:lineRule="auto"/>
        <w:rPr>
          <w:sz w:val="20"/>
          <w:szCs w:val="20"/>
          <w:color w:val="auto"/>
        </w:rPr>
      </w:pPr>
      <w:r>
        <w:rPr>
          <w:rFonts w:ascii="Arial" w:cs="Arial" w:eastAsia="Arial" w:hAnsi="Arial"/>
          <w:sz w:val="12"/>
          <w:szCs w:val="12"/>
          <w:color w:val="auto"/>
        </w:rPr>
        <w:t>A portion of the net proceeds of the Company’s initial public offering was used for organizational, offering and other expenses. Organizational expenses were treated as expenses incurred. Offering costs of $21,309,375 were charged to net assets after the completion of the initial public offering on April 24, 2007.</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NET ASSET VALUE PER SHARE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On September 30, 2007, PennantPark Investment’s total net assets and net asset value per share were $270,393,094 and $12.83,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EARNINGS PER SHARE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information sets forth the computation of basic per share net decrease in net assets resulting from operations:</w:t>
      </w:r>
    </w:p>
    <w:p>
      <w:pPr>
        <w:spacing w:after="0" w:line="138" w:lineRule="exact"/>
        <w:rPr>
          <w:sz w:val="20"/>
          <w:szCs w:val="20"/>
          <w:color w:val="auto"/>
        </w:rPr>
      </w:pPr>
    </w:p>
    <w:p>
      <w:pPr>
        <w:jc w:val="center"/>
        <w:ind w:left="8360"/>
        <w:spacing w:after="0"/>
        <w:rPr>
          <w:sz w:val="20"/>
          <w:szCs w:val="20"/>
          <w:color w:val="auto"/>
        </w:rPr>
      </w:pPr>
      <w:r>
        <w:rPr>
          <w:rFonts w:ascii="Arial" w:cs="Arial" w:eastAsia="Arial" w:hAnsi="Arial"/>
          <w:sz w:val="9"/>
          <w:szCs w:val="9"/>
          <w:b w:val="1"/>
          <w:bCs w:val="1"/>
          <w:color w:val="auto"/>
        </w:rPr>
        <w:t>Period from</w:t>
      </w:r>
    </w:p>
    <w:p>
      <w:pPr>
        <w:spacing w:after="0" w:line="1" w:lineRule="exact"/>
        <w:rPr>
          <w:sz w:val="20"/>
          <w:szCs w:val="20"/>
          <w:color w:val="auto"/>
        </w:rPr>
      </w:pPr>
    </w:p>
    <w:p>
      <w:pPr>
        <w:jc w:val="center"/>
        <w:ind w:left="8360"/>
        <w:spacing w:after="0"/>
        <w:rPr>
          <w:sz w:val="20"/>
          <w:szCs w:val="20"/>
          <w:color w:val="auto"/>
        </w:rPr>
      </w:pPr>
      <w:r>
        <w:rPr>
          <w:rFonts w:ascii="Arial" w:cs="Arial" w:eastAsia="Arial" w:hAnsi="Arial"/>
          <w:sz w:val="9"/>
          <w:szCs w:val="9"/>
          <w:b w:val="1"/>
          <w:bCs w:val="1"/>
          <w:color w:val="auto"/>
        </w:rPr>
        <w:t>January 11,</w:t>
      </w:r>
    </w:p>
    <w:p>
      <w:pPr>
        <w:jc w:val="center"/>
        <w:ind w:left="8360"/>
        <w:spacing w:after="0" w:line="229" w:lineRule="auto"/>
        <w:rPr>
          <w:sz w:val="20"/>
          <w:szCs w:val="20"/>
          <w:color w:val="auto"/>
        </w:rPr>
      </w:pPr>
      <w:r>
        <w:rPr>
          <w:rFonts w:ascii="Arial" w:cs="Arial" w:eastAsia="Arial" w:hAnsi="Arial"/>
          <w:sz w:val="9"/>
          <w:szCs w:val="9"/>
          <w:b w:val="1"/>
          <w:bCs w:val="1"/>
          <w:color w:val="auto"/>
        </w:rPr>
        <w:t>2007</w:t>
      </w:r>
    </w:p>
    <w:p>
      <w:pPr>
        <w:jc w:val="center"/>
        <w:ind w:left="8360"/>
        <w:spacing w:after="0" w:line="230" w:lineRule="auto"/>
        <w:rPr>
          <w:sz w:val="20"/>
          <w:szCs w:val="20"/>
          <w:color w:val="auto"/>
        </w:rPr>
      </w:pPr>
      <w:r>
        <w:rPr>
          <w:rFonts w:ascii="Arial" w:cs="Arial" w:eastAsia="Arial" w:hAnsi="Arial"/>
          <w:sz w:val="9"/>
          <w:szCs w:val="9"/>
          <w:b w:val="1"/>
          <w:bCs w:val="1"/>
          <w:color w:val="auto"/>
        </w:rPr>
        <w:t>(inception)</w:t>
      </w:r>
    </w:p>
    <w:p>
      <w:pPr>
        <w:jc w:val="center"/>
        <w:ind w:left="8360"/>
        <w:spacing w:after="0" w:line="229" w:lineRule="auto"/>
        <w:rPr>
          <w:sz w:val="20"/>
          <w:szCs w:val="20"/>
          <w:color w:val="auto"/>
        </w:rPr>
      </w:pPr>
      <w:r>
        <w:rPr>
          <w:rFonts w:ascii="Arial" w:cs="Arial" w:eastAsia="Arial" w:hAnsi="Arial"/>
          <w:sz w:val="9"/>
          <w:szCs w:val="9"/>
          <w:b w:val="1"/>
          <w:bCs w:val="1"/>
          <w:color w:val="auto"/>
        </w:rPr>
        <w:t>through</w:t>
      </w:r>
    </w:p>
    <w:p>
      <w:pPr>
        <w:jc w:val="center"/>
        <w:ind w:left="8360"/>
        <w:spacing w:after="0" w:line="230" w:lineRule="auto"/>
        <w:rPr>
          <w:sz w:val="20"/>
          <w:szCs w:val="20"/>
          <w:color w:val="auto"/>
        </w:rPr>
      </w:pPr>
      <w:r>
        <w:rPr>
          <w:rFonts w:ascii="Arial" w:cs="Arial" w:eastAsia="Arial" w:hAnsi="Arial"/>
          <w:sz w:val="9"/>
          <w:szCs w:val="9"/>
          <w:b w:val="1"/>
          <w:bCs w:val="1"/>
          <w:color w:val="auto"/>
        </w:rPr>
        <w:t>September 30,</w:t>
      </w:r>
    </w:p>
    <w:p>
      <w:pPr>
        <w:jc w:val="center"/>
        <w:ind w:left="8360"/>
        <w:spacing w:after="0"/>
        <w:rPr>
          <w:sz w:val="20"/>
          <w:szCs w:val="20"/>
          <w:color w:val="auto"/>
        </w:rPr>
      </w:pPr>
      <w:r>
        <w:rPr>
          <w:rFonts w:ascii="Arial" w:cs="Arial" w:eastAsia="Arial" w:hAnsi="Arial"/>
          <w:sz w:val="9"/>
          <w:szCs w:val="9"/>
          <w:b w:val="1"/>
          <w:bCs w:val="1"/>
          <w:color w:val="auto"/>
        </w:rPr>
        <w:t>2007</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4"/>
        </w:trPr>
        <w:tc>
          <w:tcPr>
            <w:tcW w:w="900" w:type="dxa"/>
            <w:vAlign w:val="bottom"/>
          </w:tcPr>
          <w:p>
            <w:pPr>
              <w:spacing w:after="0"/>
              <w:rPr>
                <w:sz w:val="9"/>
                <w:szCs w:val="9"/>
                <w:color w:val="auto"/>
              </w:rPr>
            </w:pPr>
          </w:p>
        </w:tc>
        <w:tc>
          <w:tcPr>
            <w:tcW w:w="6000" w:type="dxa"/>
            <w:vAlign w:val="bottom"/>
            <w:gridSpan w:val="2"/>
            <w:shd w:val="clear" w:color="auto" w:fill="CCEEFF"/>
          </w:tcPr>
          <w:p>
            <w:pPr>
              <w:spacing w:after="0" w:line="114" w:lineRule="exact"/>
              <w:rPr>
                <w:sz w:val="20"/>
                <w:szCs w:val="20"/>
                <w:color w:val="auto"/>
              </w:rPr>
            </w:pPr>
            <w:r>
              <w:rPr>
                <w:rFonts w:ascii="Arial" w:cs="Arial" w:eastAsia="Arial" w:hAnsi="Arial"/>
                <w:sz w:val="12"/>
                <w:szCs w:val="12"/>
                <w:color w:val="auto"/>
              </w:rPr>
              <w:t>Numerator for net decrease in net assets per share resulting from operations:</w:t>
            </w:r>
          </w:p>
        </w:tc>
        <w:tc>
          <w:tcPr>
            <w:tcW w:w="2680" w:type="dxa"/>
            <w:vAlign w:val="bottom"/>
            <w:gridSpan w:val="2"/>
            <w:shd w:val="clear" w:color="auto" w:fill="CCEEFF"/>
          </w:tcPr>
          <w:p>
            <w:pPr>
              <w:jc w:val="right"/>
              <w:ind w:right="180"/>
              <w:spacing w:after="0" w:line="114"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2"/>
                <w:szCs w:val="12"/>
                <w:color w:val="auto"/>
              </w:rPr>
              <w:t>(16,699,251)</w:t>
            </w:r>
          </w:p>
        </w:tc>
      </w:tr>
      <w:tr>
        <w:trPr>
          <w:trHeight w:val="144"/>
        </w:trPr>
        <w:tc>
          <w:tcPr>
            <w:tcW w:w="900" w:type="dxa"/>
            <w:vAlign w:val="bottom"/>
          </w:tcPr>
          <w:p>
            <w:pPr>
              <w:spacing w:after="0"/>
              <w:rPr>
                <w:sz w:val="12"/>
                <w:szCs w:val="12"/>
                <w:color w:val="auto"/>
              </w:rPr>
            </w:pPr>
          </w:p>
        </w:tc>
        <w:tc>
          <w:tcPr>
            <w:tcW w:w="6000" w:type="dxa"/>
            <w:vAlign w:val="bottom"/>
            <w:gridSpan w:val="2"/>
          </w:tcPr>
          <w:p>
            <w:pPr>
              <w:spacing w:after="0"/>
              <w:rPr>
                <w:sz w:val="20"/>
                <w:szCs w:val="20"/>
                <w:color w:val="auto"/>
              </w:rPr>
            </w:pPr>
            <w:r>
              <w:rPr>
                <w:rFonts w:ascii="Arial" w:cs="Arial" w:eastAsia="Arial" w:hAnsi="Arial"/>
                <w:sz w:val="12"/>
                <w:szCs w:val="12"/>
                <w:color w:val="auto"/>
              </w:rPr>
              <w:t>Denominator for basic weighted average shares:*</w:t>
            </w: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20,936,149</w:t>
            </w:r>
          </w:p>
        </w:tc>
        <w:tc>
          <w:tcPr>
            <w:tcW w:w="8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net decrease in net assets per share resulting from operations:</w:t>
            </w:r>
          </w:p>
        </w:tc>
        <w:tc>
          <w:tcPr>
            <w:tcW w:w="2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(0.80)</w:t>
            </w:r>
          </w:p>
        </w:tc>
      </w:tr>
      <w:tr>
        <w:trPr>
          <w:trHeight w:val="72"/>
        </w:trPr>
        <w:tc>
          <w:tcPr>
            <w:tcW w:w="9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7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r>
    </w:tbl>
    <w:p>
      <w:pPr>
        <w:spacing w:after="0" w:line="66" w:lineRule="exact"/>
        <w:rPr>
          <w:sz w:val="20"/>
          <w:szCs w:val="20"/>
          <w:color w:val="auto"/>
        </w:rPr>
      </w:pPr>
    </w:p>
    <w:p>
      <w:pPr>
        <w:spacing w:after="0"/>
        <w:tabs>
          <w:tab w:leader="none" w:pos="200" w:val="left"/>
        </w:tabs>
        <w:rPr>
          <w:sz w:val="20"/>
          <w:szCs w:val="20"/>
          <w:color w:val="auto"/>
        </w:rPr>
      </w:pPr>
      <w:r>
        <w:rPr>
          <w:rFonts w:ascii="Arial" w:cs="Arial" w:eastAsia="Arial" w:hAnsi="Arial"/>
          <w:sz w:val="12"/>
          <w:szCs w:val="12"/>
          <w:color w:val="auto"/>
        </w:rPr>
        <w:t>*</w:t>
        <w:tab/>
        <w:t>Since completion of IPO on April 24, 2007</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300"/>
          </w:cols>
          <w:pgMar w:left="300" w:top="354" w:right="299"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INVESTMENTS</w:t>
      </w:r>
    </w:p>
    <w:p>
      <w:pPr>
        <w:spacing w:after="0" w:line="62" w:lineRule="exact"/>
        <w:rPr>
          <w:sz w:val="20"/>
          <w:szCs w:val="20"/>
          <w:color w:val="auto"/>
        </w:rPr>
      </w:pPr>
    </w:p>
    <w:p>
      <w:pPr>
        <w:ind w:right="260" w:firstLine="452"/>
        <w:spacing w:after="0" w:line="268" w:lineRule="auto"/>
        <w:rPr>
          <w:sz w:val="20"/>
          <w:szCs w:val="20"/>
          <w:color w:val="auto"/>
        </w:rPr>
      </w:pPr>
      <w:r>
        <w:rPr>
          <w:rFonts w:ascii="Arial" w:cs="Arial" w:eastAsia="Arial" w:hAnsi="Arial"/>
          <w:sz w:val="12"/>
          <w:szCs w:val="12"/>
          <w:color w:val="auto"/>
        </w:rPr>
        <w:t>Investments consisted of subordinated debt/corporate notes, common equity, second lien secured debt, and first lien secured debt, as of September 30, 2007. The table below describes investments by industry classification and enumerates the percentage, by market value, of the total portfolio assets (excluding cash equivalents) in such industries as of September 30, 2007.</w:t>
      </w:r>
    </w:p>
    <w:p>
      <w:pPr>
        <w:spacing w:after="0" w:line="107" w:lineRule="exact"/>
        <w:rPr>
          <w:sz w:val="20"/>
          <w:szCs w:val="20"/>
          <w:color w:val="auto"/>
        </w:rPr>
      </w:pPr>
    </w:p>
    <w:tbl>
      <w:tblPr>
        <w:tblLayout w:type="fixed"/>
        <w:tblInd w:w="90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880" w:type="dxa"/>
            <w:vAlign w:val="bottom"/>
            <w:gridSpan w:val="3"/>
          </w:tcPr>
          <w:p>
            <w:pPr>
              <w:jc w:val="center"/>
              <w:ind w:left="1102"/>
              <w:spacing w:after="0"/>
              <w:rPr>
                <w:sz w:val="20"/>
                <w:szCs w:val="20"/>
                <w:color w:val="auto"/>
              </w:rPr>
            </w:pPr>
            <w:r>
              <w:rPr>
                <w:rFonts w:ascii="Arial" w:cs="Arial" w:eastAsia="Arial" w:hAnsi="Arial"/>
                <w:sz w:val="9"/>
                <w:szCs w:val="9"/>
                <w:b w:val="1"/>
                <w:bCs w:val="1"/>
                <w:color w:val="auto"/>
                <w:w w:val="88"/>
              </w:rPr>
              <w:t>Percentage at</w:t>
            </w:r>
          </w:p>
        </w:tc>
        <w:tc>
          <w:tcPr>
            <w:tcW w:w="0" w:type="dxa"/>
            <w:vAlign w:val="bottom"/>
          </w:tcPr>
          <w:p>
            <w:pPr>
              <w:spacing w:after="0"/>
              <w:rPr>
                <w:sz w:val="1"/>
                <w:szCs w:val="1"/>
                <w:color w:val="auto"/>
              </w:rPr>
            </w:pPr>
          </w:p>
        </w:tc>
      </w:tr>
      <w:tr>
        <w:trPr>
          <w:trHeight w:val="99"/>
        </w:trPr>
        <w:tc>
          <w:tcPr>
            <w:tcW w:w="76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Industry Classification</w:t>
            </w:r>
          </w:p>
        </w:tc>
        <w:tc>
          <w:tcPr>
            <w:tcW w:w="1260" w:type="dxa"/>
            <w:vAlign w:val="bottom"/>
          </w:tcPr>
          <w:p>
            <w:pPr>
              <w:spacing w:after="0"/>
              <w:rPr>
                <w:sz w:val="8"/>
                <w:szCs w:val="8"/>
                <w:color w:val="auto"/>
              </w:rPr>
            </w:pPr>
          </w:p>
        </w:tc>
        <w:tc>
          <w:tcPr>
            <w:tcW w:w="62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rPr>
              <w:t>Market</w:t>
            </w:r>
          </w:p>
        </w:tc>
        <w:tc>
          <w:tcPr>
            <w:tcW w:w="0" w:type="dxa"/>
            <w:vAlign w:val="bottom"/>
          </w:tcPr>
          <w:p>
            <w:pPr>
              <w:spacing w:after="0"/>
              <w:rPr>
                <w:sz w:val="1"/>
                <w:szCs w:val="1"/>
                <w:color w:val="auto"/>
              </w:rPr>
            </w:pPr>
          </w:p>
        </w:tc>
      </w:tr>
      <w:tr>
        <w:trPr>
          <w:trHeight w:val="99"/>
        </w:trPr>
        <w:tc>
          <w:tcPr>
            <w:tcW w:w="7620" w:type="dxa"/>
            <w:vAlign w:val="bottom"/>
            <w:gridSpan w:val="2"/>
            <w:vMerge w:val="continue"/>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gridSpan w:val="2"/>
          </w:tcPr>
          <w:p>
            <w:pPr>
              <w:jc w:val="center"/>
              <w:ind w:right="120"/>
              <w:spacing w:after="0" w:line="100" w:lineRule="exact"/>
              <w:rPr>
                <w:sz w:val="20"/>
                <w:szCs w:val="20"/>
                <w:color w:val="auto"/>
              </w:rPr>
            </w:pPr>
            <w:r>
              <w:rPr>
                <w:rFonts w:ascii="Arial" w:cs="Arial" w:eastAsia="Arial" w:hAnsi="Arial"/>
                <w:sz w:val="9"/>
                <w:szCs w:val="9"/>
                <w:b w:val="1"/>
                <w:bCs w:val="1"/>
                <w:color w:val="auto"/>
                <w:w w:val="91"/>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Other Media</w:t>
            </w:r>
          </w:p>
        </w:tc>
        <w:tc>
          <w:tcPr>
            <w:tcW w:w="1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Consumer Products</w:t>
            </w: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Buildings &amp; Real Estate</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Business Services</w:t>
            </w: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Home &amp; Office Furnishings, Housewares, &amp; Durable Consumer Products</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Transportation</w:t>
            </w: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Chemical, Plastics &amp; Rubber</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Leisure, Amusement, Motion Pictures, Entertainment</w:t>
            </w: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Broadcasting &amp; Entertainment</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Cable Television</w:t>
            </w: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Retail Store</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Healthcare, Education &amp; Childcare</w:t>
            </w: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Printing &amp; Publishing</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Containers, Packaging &amp; Glass</w:t>
            </w: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Media</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Telecommunications</w:t>
            </w: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Utilities</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Cargo Transport</w:t>
            </w: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Manufacturing / Basic Industries</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tcPr>
          <w:p>
            <w:pPr>
              <w:spacing w:after="0"/>
              <w:rPr>
                <w:sz w:val="20"/>
                <w:szCs w:val="20"/>
                <w:color w:val="auto"/>
              </w:rPr>
            </w:pPr>
            <w:r>
              <w:rPr>
                <w:rFonts w:ascii="Arial" w:cs="Arial" w:eastAsia="Arial" w:hAnsi="Arial"/>
                <w:sz w:val="12"/>
                <w:szCs w:val="12"/>
                <w:color w:val="auto"/>
              </w:rPr>
              <w:t>Oil &amp; Gas</w:t>
            </w:r>
          </w:p>
        </w:tc>
        <w:tc>
          <w:tcPr>
            <w:tcW w:w="1880" w:type="dxa"/>
            <w:vAlign w:val="bottom"/>
            <w:gridSpan w:val="3"/>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1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Investments</w:t>
            </w:r>
          </w:p>
        </w:tc>
        <w:tc>
          <w:tcPr>
            <w:tcW w:w="1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62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TAXES AND DISTRIBUTIONS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9"/>
          <w:szCs w:val="9"/>
          <w:color w:val="auto"/>
        </w:rPr>
        <w:t>For the period from inception through April 30, 2007, the Company was taxed as a corporation. As such federal, state and local taxes of $105,880 were accrued and included in PennantPark Investment’s statement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Based upon PennantPark Investment’s expected qualification and election to be subject to tax as RIC as of its next taxable year-end, the company does not anticipate paying any corporate level taxes in the future.</w:t>
      </w:r>
    </w:p>
    <w:p>
      <w:pPr>
        <w:spacing w:after="0" w:line="121" w:lineRule="exact"/>
        <w:rPr>
          <w:sz w:val="20"/>
          <w:szCs w:val="20"/>
          <w:color w:val="auto"/>
        </w:rPr>
      </w:pPr>
    </w:p>
    <w:p>
      <w:pPr>
        <w:ind w:right="100" w:firstLine="452"/>
        <w:spacing w:after="0" w:line="259" w:lineRule="auto"/>
        <w:rPr>
          <w:sz w:val="20"/>
          <w:szCs w:val="20"/>
          <w:color w:val="auto"/>
        </w:rPr>
      </w:pPr>
      <w:r>
        <w:rPr>
          <w:rFonts w:ascii="Arial" w:cs="Arial" w:eastAsia="Arial" w:hAnsi="Arial"/>
          <w:sz w:val="12"/>
          <w:szCs w:val="12"/>
          <w:color w:val="auto"/>
        </w:rPr>
        <w:t>As a regulated investment company (“RIC”) under Subchapter M of the Internal Revenue Code, the Company’s income generally will not be subject to taxation to the extent such income is distributed to stockholders. However, certain of the Company’s investments may be owned by wholly owned subsidiaries that are subject to corporate level federal, state, and local income tax in their respective jurisdictions. Deferred tax assets and liabilities are measured using the enacted tax rates expected to apply to the taxable income in the years in which those temporary differences are expected to be recovered or settled.</w:t>
      </w:r>
    </w:p>
    <w:p>
      <w:pPr>
        <w:spacing w:after="0" w:line="93" w:lineRule="exact"/>
        <w:rPr>
          <w:sz w:val="20"/>
          <w:szCs w:val="20"/>
          <w:color w:val="auto"/>
        </w:rPr>
      </w:pPr>
    </w:p>
    <w:p>
      <w:pPr>
        <w:ind w:firstLine="452"/>
        <w:spacing w:after="0" w:line="259" w:lineRule="auto"/>
        <w:rPr>
          <w:sz w:val="20"/>
          <w:szCs w:val="20"/>
          <w:color w:val="auto"/>
        </w:rPr>
      </w:pPr>
      <w:r>
        <w:rPr>
          <w:rFonts w:ascii="Arial" w:cs="Arial" w:eastAsia="Arial" w:hAnsi="Arial"/>
          <w:sz w:val="12"/>
          <w:szCs w:val="12"/>
          <w:color w:val="auto"/>
        </w:rPr>
        <w:t>Since consummation of the initial public offering, through September 30, 2007, the Company has declared distributions totaling $0.36 per share. Each year a statement on Form 1099-DIV shall be issued identifying the source of the distribution (i.e., paid from ordinary income, paid from net capital gains on the sale of securities, and/or a return of paid-in-capital surplus which is a nontaxable distribution). To the extent the Company’s taxable earnings fall below the total amount of its distributions for that fiscal year, a portion of those distributions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260"/>
          </w:cols>
          <w:pgMar w:left="300" w:top="354" w:right="339"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right="100"/>
        <w:spacing w:after="0" w:line="254" w:lineRule="auto"/>
        <w:rPr>
          <w:sz w:val="20"/>
          <w:szCs w:val="20"/>
          <w:color w:val="auto"/>
        </w:rPr>
      </w:pPr>
      <w:r>
        <w:rPr>
          <w:rFonts w:ascii="Arial" w:cs="Arial" w:eastAsia="Arial" w:hAnsi="Arial"/>
          <w:sz w:val="12"/>
          <w:szCs w:val="12"/>
          <w:color w:val="auto"/>
        </w:rPr>
        <w:t>may be deemed a tax return of capital to the Company’s stockholders. For the fiscal years ended September 30, 2007 a portion of the distributions to the Company’s stockholders was deemed a return of capital. The determination of the tax attributes of the Company’s distributions is made annually as of the end of the Company’s fiscal year based upon its taxable income for the full year and distributions paid for the full year, therefore a determination made on a quarterly basis may not be representative of the actual tax attributes of its distributions for a full year. If the Company determined the tax attributes of its distributions for the fiscal year ended September 30, 2007, 99.6% would be from taxable net investment income and 0.4% would be a return of capital for stockholders, however there can be no certainty to stockholders that this determination is representative of what the tax attributes of its 2007 distributions to stockholders will actually be.</w:t>
      </w:r>
    </w:p>
    <w:p>
      <w:pPr>
        <w:spacing w:after="0" w:line="98" w:lineRule="exact"/>
        <w:rPr>
          <w:sz w:val="20"/>
          <w:szCs w:val="20"/>
          <w:color w:val="auto"/>
        </w:rPr>
      </w:pPr>
    </w:p>
    <w:p>
      <w:pPr>
        <w:ind w:firstLine="452"/>
        <w:spacing w:after="0" w:line="287" w:lineRule="auto"/>
        <w:rPr>
          <w:sz w:val="20"/>
          <w:szCs w:val="20"/>
          <w:color w:val="auto"/>
        </w:rPr>
      </w:pPr>
      <w:r>
        <w:rPr>
          <w:rFonts w:ascii="Arial" w:cs="Arial" w:eastAsia="Arial" w:hAnsi="Arial"/>
          <w:sz w:val="11"/>
          <w:szCs w:val="11"/>
          <w:color w:val="auto"/>
        </w:rPr>
        <w:t>During the fiscal year ended September 30, 2007, as a result of permanent book-to-tax differences primarily due to adjustments relating to: federal and state tax expenses, and net earnings derived during the period prior to qualification as a RIC, the Company decreased distributions in excess of net investment income by $72,549, increased accumulated net realized loss by $14,063 and decreased paid-in capital in excess of par value by $58,486. Aggregate stockholders’ equity was not affected by this reclassification. As of September 30, 2007, the cost of investments for federal income tax purposes was $572,898,221 resulting in a gross unrealized appreciation and depreciation of $514,690 and $24,436,668, respectively. The following reconciles net increase in stockholders’ equity resulting from operations to taxable income for the year ended September 30, 2007:</w:t>
      </w:r>
    </w:p>
    <w:p>
      <w:pPr>
        <w:spacing w:after="0" w:line="112" w:lineRule="exact"/>
        <w:rPr>
          <w:sz w:val="20"/>
          <w:szCs w:val="20"/>
          <w:color w:val="auto"/>
        </w:rPr>
      </w:pPr>
    </w:p>
    <w:tbl>
      <w:tblPr>
        <w:tblLayout w:type="fixed"/>
        <w:tblInd w:w="900" w:type="dxa"/>
        <w:tblCellMar>
          <w:top w:w="0" w:type="dxa"/>
          <w:left w:w="0" w:type="dxa"/>
          <w:bottom w:w="0" w:type="dxa"/>
          <w:right w:w="0" w:type="dxa"/>
        </w:tblCellMar>
      </w:tblPr>
      <w:tr>
        <w:trPr>
          <w:trHeight w:val="144"/>
        </w:trPr>
        <w:tc>
          <w:tcPr>
            <w:tcW w:w="8440" w:type="dxa"/>
            <w:vAlign w:val="bottom"/>
            <w:shd w:val="clear" w:color="auto" w:fill="CCEEFF"/>
          </w:tcPr>
          <w:p>
            <w:pPr>
              <w:spacing w:after="0"/>
              <w:rPr>
                <w:sz w:val="20"/>
                <w:szCs w:val="20"/>
                <w:color w:val="auto"/>
              </w:rPr>
            </w:pPr>
            <w:r>
              <w:rPr>
                <w:rFonts w:ascii="Arial" w:cs="Arial" w:eastAsia="Arial" w:hAnsi="Arial"/>
                <w:sz w:val="12"/>
                <w:szCs w:val="12"/>
                <w:color w:val="auto"/>
              </w:rPr>
              <w:t>Net decrease in stockholders’ equity resulting from operations</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(16,699,251)</w:t>
            </w:r>
          </w:p>
        </w:tc>
      </w:tr>
      <w:tr>
        <w:trPr>
          <w:trHeight w:val="144"/>
        </w:trPr>
        <w:tc>
          <w:tcPr>
            <w:tcW w:w="8440" w:type="dxa"/>
            <w:vAlign w:val="bottom"/>
          </w:tcPr>
          <w:p>
            <w:pPr>
              <w:spacing w:after="0"/>
              <w:rPr>
                <w:sz w:val="20"/>
                <w:szCs w:val="20"/>
                <w:color w:val="auto"/>
              </w:rPr>
            </w:pPr>
            <w:r>
              <w:rPr>
                <w:rFonts w:ascii="Arial" w:cs="Arial" w:eastAsia="Arial" w:hAnsi="Arial"/>
                <w:sz w:val="12"/>
                <w:szCs w:val="12"/>
                <w:color w:val="auto"/>
              </w:rPr>
              <w:t>Net unrealized depreciation on investments transactions not taxable</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23,921,978</w:t>
            </w:r>
          </w:p>
        </w:tc>
        <w:tc>
          <w:tcPr>
            <w:tcW w:w="80" w:type="dxa"/>
            <w:vAlign w:val="bottom"/>
          </w:tcPr>
          <w:p>
            <w:pPr>
              <w:spacing w:after="0"/>
              <w:rPr>
                <w:sz w:val="12"/>
                <w:szCs w:val="12"/>
                <w:color w:val="auto"/>
              </w:rPr>
            </w:pPr>
          </w:p>
        </w:tc>
      </w:tr>
      <w:tr>
        <w:trPr>
          <w:trHeight w:val="144"/>
        </w:trPr>
        <w:tc>
          <w:tcPr>
            <w:tcW w:w="8440" w:type="dxa"/>
            <w:vAlign w:val="bottom"/>
            <w:shd w:val="clear" w:color="auto" w:fill="CCEEFF"/>
          </w:tcPr>
          <w:p>
            <w:pPr>
              <w:spacing w:after="0"/>
              <w:rPr>
                <w:sz w:val="20"/>
                <w:szCs w:val="20"/>
                <w:color w:val="auto"/>
              </w:rPr>
            </w:pPr>
            <w:r>
              <w:rPr>
                <w:rFonts w:ascii="Arial" w:cs="Arial" w:eastAsia="Arial" w:hAnsi="Arial"/>
                <w:sz w:val="12"/>
                <w:szCs w:val="12"/>
                <w:color w:val="auto"/>
              </w:rPr>
              <w:t>Net income derived during the period prior to qualification as a RIC</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12,720</w:t>
            </w:r>
          </w:p>
        </w:tc>
        <w:tc>
          <w:tcPr>
            <w:tcW w:w="80" w:type="dxa"/>
            <w:vAlign w:val="bottom"/>
            <w:shd w:val="clear" w:color="auto" w:fill="CCEEFF"/>
          </w:tcPr>
          <w:p>
            <w:pPr>
              <w:spacing w:after="0"/>
              <w:rPr>
                <w:sz w:val="12"/>
                <w:szCs w:val="12"/>
                <w:color w:val="auto"/>
              </w:rPr>
            </w:pPr>
          </w:p>
        </w:tc>
      </w:tr>
      <w:tr>
        <w:trPr>
          <w:trHeight w:val="144"/>
        </w:trPr>
        <w:tc>
          <w:tcPr>
            <w:tcW w:w="8440" w:type="dxa"/>
            <w:vAlign w:val="bottom"/>
          </w:tcPr>
          <w:p>
            <w:pPr>
              <w:spacing w:after="0"/>
              <w:rPr>
                <w:sz w:val="20"/>
                <w:szCs w:val="20"/>
                <w:color w:val="auto"/>
              </w:rPr>
            </w:pPr>
            <w:r>
              <w:rPr>
                <w:rFonts w:ascii="Arial" w:cs="Arial" w:eastAsia="Arial" w:hAnsi="Arial"/>
                <w:sz w:val="12"/>
                <w:szCs w:val="12"/>
                <w:color w:val="auto"/>
              </w:rPr>
              <w:t>Expenses not currently deductible</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201,262</w:t>
            </w:r>
          </w:p>
        </w:tc>
        <w:tc>
          <w:tcPr>
            <w:tcW w:w="80" w:type="dxa"/>
            <w:vAlign w:val="bottom"/>
          </w:tcPr>
          <w:p>
            <w:pPr>
              <w:spacing w:after="0"/>
              <w:rPr>
                <w:sz w:val="12"/>
                <w:szCs w:val="12"/>
                <w:color w:val="auto"/>
              </w:rPr>
            </w:pPr>
          </w:p>
        </w:tc>
      </w:tr>
      <w:tr>
        <w:trPr>
          <w:trHeight w:val="144"/>
        </w:trPr>
        <w:tc>
          <w:tcPr>
            <w:tcW w:w="8440" w:type="dxa"/>
            <w:vAlign w:val="bottom"/>
            <w:shd w:val="clear" w:color="auto" w:fill="CCEEFF"/>
          </w:tcPr>
          <w:p>
            <w:pPr>
              <w:spacing w:after="0"/>
              <w:rPr>
                <w:sz w:val="20"/>
                <w:szCs w:val="20"/>
                <w:color w:val="auto"/>
              </w:rPr>
            </w:pPr>
            <w:r>
              <w:rPr>
                <w:rFonts w:ascii="Arial" w:cs="Arial" w:eastAsia="Arial" w:hAnsi="Arial"/>
                <w:sz w:val="12"/>
                <w:szCs w:val="12"/>
                <w:color w:val="auto"/>
              </w:rPr>
              <w:t>Other deductible expenses</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(5,753)</w:t>
            </w:r>
          </w:p>
        </w:tc>
      </w:tr>
      <w:tr>
        <w:trPr>
          <w:trHeight w:val="149"/>
        </w:trPr>
        <w:tc>
          <w:tcPr>
            <w:tcW w:w="8440" w:type="dxa"/>
            <w:vAlign w:val="bottom"/>
          </w:tcPr>
          <w:p>
            <w:pPr>
              <w:spacing w:after="0"/>
              <w:rPr>
                <w:sz w:val="20"/>
                <w:szCs w:val="20"/>
                <w:color w:val="auto"/>
              </w:rPr>
            </w:pPr>
            <w:r>
              <w:rPr>
                <w:rFonts w:ascii="Arial" w:cs="Arial" w:eastAsia="Arial" w:hAnsi="Arial"/>
                <w:sz w:val="12"/>
                <w:szCs w:val="12"/>
                <w:color w:val="auto"/>
              </w:rPr>
              <w:t>Taxable income before deductions for distributions</w:t>
            </w:r>
          </w:p>
        </w:tc>
        <w:tc>
          <w:tcPr>
            <w:tcW w:w="2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7,430,956</w:t>
            </w:r>
          </w:p>
        </w:tc>
        <w:tc>
          <w:tcPr>
            <w:tcW w:w="80" w:type="dxa"/>
            <w:vAlign w:val="bottom"/>
          </w:tcPr>
          <w:p>
            <w:pPr>
              <w:spacing w:after="0"/>
              <w:rPr>
                <w:sz w:val="12"/>
                <w:szCs w:val="12"/>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CASH EQUIVALENTS</w:t>
      </w:r>
    </w:p>
    <w:p>
      <w:pPr>
        <w:spacing w:after="0" w:line="62" w:lineRule="exact"/>
        <w:rPr>
          <w:sz w:val="20"/>
          <w:szCs w:val="20"/>
          <w:color w:val="auto"/>
        </w:rPr>
      </w:pPr>
    </w:p>
    <w:p>
      <w:pPr>
        <w:ind w:right="80" w:firstLine="452"/>
        <w:spacing w:after="0" w:line="359" w:lineRule="auto"/>
        <w:rPr>
          <w:sz w:val="20"/>
          <w:szCs w:val="20"/>
          <w:color w:val="auto"/>
        </w:rPr>
      </w:pPr>
      <w:r>
        <w:rPr>
          <w:rFonts w:ascii="Arial" w:cs="Arial" w:eastAsia="Arial" w:hAnsi="Arial"/>
          <w:sz w:val="9"/>
          <w:szCs w:val="9"/>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will be deemed cash equivalents and are included in the Schedule of Investments. At the end of each fiscal quarter, PennantPark Investment typically takes proactive steps to preserve investment flexibility in the next quarter, which is dependent upon the composition of its total assets at quarter end. PennantPark Investment may accomplish this in several ways, including purchasing U.S. Treasury Bills and closing out its positions on a net cash basis after quarter-end or by utilizing repurchase agreements or other balance sheet transactions as it deems appropriate for this purpose. These amounts are excluded from adjusted gross assets for purposes of computing the asset base upon which the management fee is determined. U.S. Treasury Bills with maturities greater than 60 days from the time of purchase are marked-to-market consistent with PennantPark Investment’s valuation policy.</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REPURCHASE AGREEMENTS</w:t>
      </w:r>
    </w:p>
    <w:p>
      <w:pPr>
        <w:spacing w:after="0" w:line="62" w:lineRule="exact"/>
        <w:rPr>
          <w:sz w:val="20"/>
          <w:szCs w:val="20"/>
          <w:color w:val="auto"/>
        </w:rPr>
      </w:pPr>
    </w:p>
    <w:p>
      <w:pPr>
        <w:ind w:firstLine="452"/>
        <w:spacing w:after="0" w:line="256" w:lineRule="auto"/>
        <w:rPr>
          <w:sz w:val="20"/>
          <w:szCs w:val="20"/>
          <w:color w:val="auto"/>
        </w:rPr>
      </w:pPr>
      <w:r>
        <w:rPr>
          <w:rFonts w:ascii="Arial" w:cs="Arial" w:eastAsia="Arial" w:hAnsi="Arial"/>
          <w:sz w:val="12"/>
          <w:szCs w:val="12"/>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at September 30, 2007.</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280"/>
          </w:cols>
          <w:pgMar w:left="300" w:top="354" w:right="319" w:bottom="1440" w:gutter="0" w:footer="0" w:header="0"/>
        </w:sectPr>
      </w:pPr>
    </w:p>
    <w:bookmarkStart w:id="64" w:name="page65"/>
    <w:bookmarkEnd w:id="64"/>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FINANCIAL HIGHLIGHTS</w:t>
      </w:r>
    </w:p>
    <w:p>
      <w:pPr>
        <w:spacing w:after="0" w:line="62" w:lineRule="exact"/>
        <w:rPr>
          <w:sz w:val="20"/>
          <w:szCs w:val="20"/>
          <w:color w:val="auto"/>
        </w:rPr>
      </w:pPr>
    </w:p>
    <w:tbl>
      <w:tblPr>
        <w:tblLayout w:type="fixed"/>
        <w:tblInd w:w="448" w:type="dxa"/>
        <w:tblCellMar>
          <w:top w:w="0" w:type="dxa"/>
          <w:left w:w="0" w:type="dxa"/>
          <w:bottom w:w="0" w:type="dxa"/>
          <w:right w:w="0" w:type="dxa"/>
        </w:tblCellMar>
      </w:tblPr>
      <w:tr>
        <w:trPr>
          <w:trHeight w:val="148"/>
        </w:trPr>
        <w:tc>
          <w:tcPr>
            <w:tcW w:w="7520" w:type="dxa"/>
            <w:vAlign w:val="bottom"/>
            <w:gridSpan w:val="2"/>
          </w:tcPr>
          <w:p>
            <w:pPr>
              <w:spacing w:after="0"/>
              <w:rPr>
                <w:sz w:val="20"/>
                <w:szCs w:val="20"/>
                <w:color w:val="auto"/>
              </w:rPr>
            </w:pPr>
            <w:r>
              <w:rPr>
                <w:rFonts w:ascii="Arial" w:cs="Arial" w:eastAsia="Arial" w:hAnsi="Arial"/>
                <w:sz w:val="12"/>
                <w:szCs w:val="12"/>
                <w:color w:val="auto"/>
              </w:rPr>
              <w:t>The following is a schedule of financial highlights for the period from January 11, 2007 (inception) through September 30, 2007:</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60" w:type="dxa"/>
            <w:vAlign w:val="bottom"/>
            <w:vMerge w:val="restart"/>
          </w:tcPr>
          <w:p>
            <w:pPr>
              <w:spacing w:after="0"/>
              <w:rPr>
                <w:sz w:val="11"/>
                <w:szCs w:val="11"/>
                <w:color w:val="auto"/>
              </w:rPr>
            </w:pPr>
          </w:p>
        </w:tc>
        <w:tc>
          <w:tcPr>
            <w:tcW w:w="70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0" w:type="dxa"/>
            <w:vAlign w:val="bottom"/>
            <w:vMerge w:val="continue"/>
          </w:tcPr>
          <w:p>
            <w:pPr>
              <w:spacing w:after="0"/>
              <w:rPr>
                <w:sz w:val="12"/>
                <w:szCs w:val="12"/>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Per Share Data:</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tcPr>
          <w:p>
            <w:pPr>
              <w:spacing w:after="0"/>
              <w:rPr>
                <w:sz w:val="20"/>
                <w:szCs w:val="20"/>
                <w:color w:val="auto"/>
              </w:rPr>
            </w:pPr>
            <w:r>
              <w:rPr>
                <w:rFonts w:ascii="Arial" w:cs="Arial" w:eastAsia="Arial" w:hAnsi="Arial"/>
                <w:sz w:val="12"/>
                <w:szCs w:val="12"/>
                <w:color w:val="auto"/>
              </w:rPr>
              <w:t>Net asset value, beginning of period</w:t>
            </w:r>
          </w:p>
        </w:tc>
        <w:tc>
          <w:tcPr>
            <w:tcW w:w="1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Net investment income</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tcPr>
          <w:p>
            <w:pPr>
              <w:ind w:left="280"/>
              <w:spacing w:after="0"/>
              <w:rPr>
                <w:sz w:val="20"/>
                <w:szCs w:val="20"/>
                <w:color w:val="auto"/>
              </w:rPr>
            </w:pPr>
            <w:r>
              <w:rPr>
                <w:rFonts w:ascii="Arial" w:cs="Arial" w:eastAsia="Arial" w:hAnsi="Arial"/>
                <w:sz w:val="12"/>
                <w:szCs w:val="12"/>
                <w:color w:val="auto"/>
              </w:rPr>
              <w:t>Net realized and unrealized loss</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 w:type="dxa"/>
            <w:vAlign w:val="bottom"/>
            <w:vMerge w:val="continue"/>
          </w:tcPr>
          <w:p>
            <w:pPr>
              <w:spacing w:after="0"/>
              <w:rPr>
                <w:sz w:val="12"/>
                <w:szCs w:val="12"/>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Net decrease in net assets resulting from operations</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(0.80)</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tcPr>
          <w:p>
            <w:pPr>
              <w:spacing w:after="0" w:line="144" w:lineRule="exact"/>
              <w:rPr>
                <w:sz w:val="20"/>
                <w:szCs w:val="20"/>
                <w:color w:val="auto"/>
              </w:rPr>
            </w:pPr>
            <w:r>
              <w:rPr>
                <w:rFonts w:ascii="Arial" w:cs="Arial" w:eastAsia="Arial" w:hAnsi="Arial"/>
                <w:sz w:val="12"/>
                <w:szCs w:val="12"/>
                <w:color w:val="auto"/>
              </w:rPr>
              <w:t>Distributions to stockholders</w:t>
            </w:r>
            <w:r>
              <w:rPr>
                <w:rFonts w:ascii="Arial" w:cs="Arial" w:eastAsia="Arial" w:hAnsi="Arial"/>
                <w:sz w:val="14"/>
                <w:szCs w:val="14"/>
                <w:color w:val="auto"/>
                <w:vertAlign w:val="superscript"/>
              </w:rPr>
              <w:t>(1)</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(0.36)</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Offering costs related to public offerings</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tcPr>
          <w:p>
            <w:pPr>
              <w:spacing w:after="0"/>
              <w:rPr>
                <w:sz w:val="20"/>
                <w:szCs w:val="20"/>
                <w:color w:val="auto"/>
              </w:rPr>
            </w:pPr>
            <w:r>
              <w:rPr>
                <w:rFonts w:ascii="Arial" w:cs="Arial" w:eastAsia="Arial" w:hAnsi="Arial"/>
                <w:sz w:val="12"/>
                <w:szCs w:val="12"/>
                <w:color w:val="auto"/>
              </w:rPr>
              <w:t>Issuance of common stock</w:t>
            </w:r>
          </w:p>
        </w:tc>
        <w:tc>
          <w:tcPr>
            <w:tcW w:w="1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Net asset value, end of period</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ind w:left="460"/>
              <w:spacing w:after="0"/>
              <w:rPr>
                <w:sz w:val="20"/>
                <w:szCs w:val="20"/>
                <w:color w:val="auto"/>
              </w:rPr>
            </w:pPr>
            <w:r>
              <w:rPr>
                <w:rFonts w:ascii="Arial" w:cs="Arial" w:eastAsia="Arial" w:hAnsi="Arial"/>
                <w:sz w:val="12"/>
                <w:szCs w:val="12"/>
                <w:color w:val="auto"/>
              </w:rPr>
              <w:t>Per share market value at end of period</w:t>
            </w:r>
          </w:p>
        </w:tc>
        <w:tc>
          <w:tcPr>
            <w:tcW w:w="1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520" w:type="dxa"/>
            <w:vAlign w:val="bottom"/>
            <w:gridSpan w:val="2"/>
            <w:vMerge w:val="continue"/>
          </w:tcPr>
          <w:p>
            <w:pPr>
              <w:spacing w:after="0"/>
              <w:rPr>
                <w:sz w:val="12"/>
                <w:szCs w:val="12"/>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13.40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0" w:type="dxa"/>
            <w:vAlign w:val="bottom"/>
          </w:tcPr>
          <w:p>
            <w:pPr>
              <w:spacing w:after="0"/>
              <w:rPr>
                <w:sz w:val="12"/>
                <w:szCs w:val="12"/>
                <w:color w:val="auto"/>
              </w:rPr>
            </w:pPr>
          </w:p>
        </w:tc>
        <w:tc>
          <w:tcPr>
            <w:tcW w:w="7060" w:type="dxa"/>
            <w:vAlign w:val="bottom"/>
            <w:shd w:val="clear" w:color="auto" w:fill="CCEEFF"/>
          </w:tcPr>
          <w:p>
            <w:pPr>
              <w:spacing w:after="0" w:line="146" w:lineRule="exact"/>
              <w:rPr>
                <w:sz w:val="20"/>
                <w:szCs w:val="20"/>
                <w:color w:val="auto"/>
              </w:rPr>
            </w:pPr>
            <w:r>
              <w:rPr>
                <w:rFonts w:ascii="Arial" w:cs="Arial" w:eastAsia="Arial" w:hAnsi="Arial"/>
                <w:sz w:val="12"/>
                <w:szCs w:val="12"/>
                <w:color w:val="auto"/>
              </w:rPr>
              <w:t>Total return</w:t>
            </w:r>
            <w:r>
              <w:rPr>
                <w:rFonts w:ascii="Arial" w:cs="Arial" w:eastAsia="Arial" w:hAnsi="Arial"/>
                <w:sz w:val="14"/>
                <w:szCs w:val="14"/>
                <w:color w:val="auto"/>
                <w:vertAlign w:val="superscript"/>
              </w:rPr>
              <w:t>(2)</w:t>
            </w:r>
            <w:r>
              <w:rPr>
                <w:rFonts w:ascii="Arial" w:cs="Arial" w:eastAsia="Arial" w:hAnsi="Arial"/>
                <w:sz w:val="12"/>
                <w:szCs w:val="12"/>
                <w:color w:val="auto"/>
              </w:rPr>
              <w:t>*</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(8.29)%</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7060" w:type="dxa"/>
            <w:vAlign w:val="bottom"/>
          </w:tcPr>
          <w:p>
            <w:pPr>
              <w:spacing w:after="0"/>
              <w:rPr>
                <w:sz w:val="20"/>
                <w:szCs w:val="20"/>
                <w:color w:val="auto"/>
              </w:rPr>
            </w:pPr>
            <w:r>
              <w:rPr>
                <w:rFonts w:ascii="Arial" w:cs="Arial" w:eastAsia="Arial" w:hAnsi="Arial"/>
                <w:sz w:val="12"/>
                <w:szCs w:val="12"/>
                <w:color w:val="auto"/>
              </w:rPr>
              <w:t>Shares outstanding at end of period</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21,068,772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60" w:type="dxa"/>
            <w:vAlign w:val="bottom"/>
            <w:vMerge w:val="restart"/>
          </w:tcPr>
          <w:p>
            <w:pPr>
              <w:spacing w:after="0"/>
              <w:rPr>
                <w:sz w:val="5"/>
                <w:szCs w:val="5"/>
                <w:color w:val="auto"/>
              </w:rPr>
            </w:pPr>
          </w:p>
        </w:tc>
        <w:tc>
          <w:tcPr>
            <w:tcW w:w="70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460" w:type="dxa"/>
            <w:vAlign w:val="bottom"/>
            <w:vMerge w:val="continue"/>
          </w:tcPr>
          <w:p>
            <w:pPr>
              <w:spacing w:after="0"/>
              <w:rPr>
                <w:sz w:val="12"/>
                <w:szCs w:val="12"/>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Ratio/Supplemental Data:</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tcPr>
          <w:p>
            <w:pPr>
              <w:spacing w:after="0"/>
              <w:rPr>
                <w:sz w:val="20"/>
                <w:szCs w:val="20"/>
                <w:color w:val="auto"/>
              </w:rPr>
            </w:pPr>
            <w:r>
              <w:rPr>
                <w:rFonts w:ascii="Arial" w:cs="Arial" w:eastAsia="Arial" w:hAnsi="Arial"/>
                <w:sz w:val="12"/>
                <w:szCs w:val="12"/>
                <w:color w:val="auto"/>
              </w:rPr>
              <w:t>Net assets at end of period</w:t>
            </w:r>
          </w:p>
        </w:tc>
        <w:tc>
          <w:tcPr>
            <w:tcW w:w="1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5"/>
              </w:rPr>
              <w:t>270,393,094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Ratio of net investment income to average net assets</w:t>
            </w:r>
            <w:r>
              <w:rPr>
                <w:rFonts w:ascii="Arial" w:cs="Arial" w:eastAsia="Arial" w:hAnsi="Arial"/>
                <w:sz w:val="14"/>
                <w:szCs w:val="14"/>
                <w:color w:val="auto"/>
                <w:vertAlign w:val="superscript"/>
              </w:rPr>
              <w:t>(3)</w:t>
            </w:r>
            <w:r>
              <w:rPr>
                <w:rFonts w:ascii="Arial" w:cs="Arial" w:eastAsia="Arial" w:hAnsi="Arial"/>
                <w:sz w:val="12"/>
                <w:szCs w:val="12"/>
                <w:color w:val="auto"/>
              </w:rPr>
              <w:t>*</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2.60%</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tcPr>
          <w:p>
            <w:pPr>
              <w:spacing w:after="0" w:line="144" w:lineRule="exact"/>
              <w:rPr>
                <w:sz w:val="20"/>
                <w:szCs w:val="20"/>
                <w:color w:val="auto"/>
              </w:rPr>
            </w:pPr>
            <w:r>
              <w:rPr>
                <w:rFonts w:ascii="Arial" w:cs="Arial" w:eastAsia="Arial" w:hAnsi="Arial"/>
                <w:sz w:val="12"/>
                <w:szCs w:val="12"/>
                <w:color w:val="auto"/>
              </w:rPr>
              <w:t>Ratio of operating expenses before management fee waiver to average net assets</w:t>
            </w:r>
            <w:r>
              <w:rPr>
                <w:rFonts w:ascii="Arial" w:cs="Arial" w:eastAsia="Arial" w:hAnsi="Arial"/>
                <w:sz w:val="14"/>
                <w:szCs w:val="14"/>
                <w:color w:val="auto"/>
                <w:vertAlign w:val="superscript"/>
              </w:rPr>
              <w:t>(3)</w:t>
            </w:r>
            <w:r>
              <w:rPr>
                <w:rFonts w:ascii="Arial" w:cs="Arial" w:eastAsia="Arial" w:hAnsi="Arial"/>
                <w:sz w:val="12"/>
                <w:szCs w:val="12"/>
                <w:color w:val="auto"/>
              </w:rPr>
              <w:t>*</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2.21%</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Ratio of operating expenses after management fee waiver to average net assets</w:t>
            </w:r>
            <w:r>
              <w:rPr>
                <w:rFonts w:ascii="Arial" w:cs="Arial" w:eastAsia="Arial" w:hAnsi="Arial"/>
                <w:sz w:val="14"/>
                <w:szCs w:val="14"/>
                <w:color w:val="auto"/>
                <w:vertAlign w:val="superscript"/>
              </w:rPr>
              <w:t>(3)</w:t>
            </w:r>
            <w:r>
              <w:rPr>
                <w:rFonts w:ascii="Arial" w:cs="Arial" w:eastAsia="Arial" w:hAnsi="Arial"/>
                <w:sz w:val="12"/>
                <w:szCs w:val="12"/>
                <w:color w:val="auto"/>
              </w:rPr>
              <w:t>*</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1.98%</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tcPr>
          <w:p>
            <w:pPr>
              <w:spacing w:after="0" w:line="144" w:lineRule="exact"/>
              <w:rPr>
                <w:sz w:val="20"/>
                <w:szCs w:val="20"/>
                <w:color w:val="auto"/>
              </w:rPr>
            </w:pPr>
            <w:r>
              <w:rPr>
                <w:rFonts w:ascii="Arial" w:cs="Arial" w:eastAsia="Arial" w:hAnsi="Arial"/>
                <w:sz w:val="12"/>
                <w:szCs w:val="12"/>
                <w:color w:val="auto"/>
              </w:rPr>
              <w:t>Ratio of credit facility related expenses to average net assets</w:t>
            </w:r>
            <w:r>
              <w:rPr>
                <w:rFonts w:ascii="Arial" w:cs="Arial" w:eastAsia="Arial" w:hAnsi="Arial"/>
                <w:sz w:val="14"/>
                <w:szCs w:val="14"/>
                <w:color w:val="auto"/>
                <w:vertAlign w:val="superscript"/>
              </w:rPr>
              <w:t>(3)</w:t>
            </w:r>
            <w:r>
              <w:rPr>
                <w:rFonts w:ascii="Arial" w:cs="Arial" w:eastAsia="Arial" w:hAnsi="Arial"/>
                <w:sz w:val="12"/>
                <w:szCs w:val="12"/>
                <w:color w:val="auto"/>
              </w:rPr>
              <w:t>*</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 w:type="dxa"/>
            <w:vAlign w:val="bottom"/>
            <w:vMerge w:val="continue"/>
          </w:tcPr>
          <w:p>
            <w:pPr>
              <w:spacing w:after="0"/>
              <w:rPr>
                <w:sz w:val="12"/>
                <w:szCs w:val="12"/>
                <w:color w:val="auto"/>
              </w:rPr>
            </w:pPr>
          </w:p>
        </w:tc>
        <w:tc>
          <w:tcPr>
            <w:tcW w:w="7060" w:type="dxa"/>
            <w:vAlign w:val="bottom"/>
            <w:shd w:val="clear" w:color="auto" w:fill="CCEEFF"/>
          </w:tcPr>
          <w:p>
            <w:pPr>
              <w:spacing w:after="0" w:line="142" w:lineRule="exact"/>
              <w:rPr>
                <w:sz w:val="20"/>
                <w:szCs w:val="20"/>
                <w:color w:val="auto"/>
              </w:rPr>
            </w:pPr>
            <w:r>
              <w:rPr>
                <w:rFonts w:ascii="Arial" w:cs="Arial" w:eastAsia="Arial" w:hAnsi="Arial"/>
                <w:sz w:val="12"/>
                <w:szCs w:val="12"/>
                <w:color w:val="auto"/>
              </w:rPr>
              <w:t>Ratio of total expenses to average net assets</w:t>
            </w:r>
            <w:r>
              <w:rPr>
                <w:rFonts w:ascii="Arial" w:cs="Arial" w:eastAsia="Arial" w:hAnsi="Arial"/>
                <w:sz w:val="14"/>
                <w:szCs w:val="14"/>
                <w:color w:val="auto"/>
                <w:vertAlign w:val="superscript"/>
              </w:rPr>
              <w:t>(3)</w:t>
            </w:r>
            <w:r>
              <w:rPr>
                <w:rFonts w:ascii="Arial" w:cs="Arial" w:eastAsia="Arial" w:hAnsi="Arial"/>
                <w:sz w:val="12"/>
                <w:szCs w:val="12"/>
                <w:color w:val="auto"/>
              </w:rPr>
              <w:t>*</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2.06%</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tcPr>
          <w:p>
            <w:pPr>
              <w:spacing w:after="0" w:line="144" w:lineRule="exact"/>
              <w:rPr>
                <w:sz w:val="20"/>
                <w:szCs w:val="20"/>
                <w:color w:val="auto"/>
              </w:rPr>
            </w:pPr>
            <w:r>
              <w:rPr>
                <w:rFonts w:ascii="Arial" w:cs="Arial" w:eastAsia="Arial" w:hAnsi="Arial"/>
                <w:sz w:val="12"/>
                <w:szCs w:val="12"/>
                <w:color w:val="auto"/>
              </w:rPr>
              <w:t>Average debt outstanding</w:t>
            </w:r>
            <w:r>
              <w:rPr>
                <w:rFonts w:ascii="Arial" w:cs="Arial" w:eastAsia="Arial" w:hAnsi="Arial"/>
                <w:sz w:val="14"/>
                <w:szCs w:val="14"/>
                <w:color w:val="auto"/>
                <w:vertAlign w:val="superscript"/>
              </w:rPr>
              <w:t>(3)</w:t>
            </w:r>
          </w:p>
        </w:tc>
        <w:tc>
          <w:tcPr>
            <w:tcW w:w="1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817,610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706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Average debt per share</w:t>
            </w:r>
            <w:r>
              <w:rPr>
                <w:rFonts w:ascii="Arial" w:cs="Arial" w:eastAsia="Arial" w:hAnsi="Arial"/>
                <w:sz w:val="14"/>
                <w:szCs w:val="14"/>
                <w:color w:val="auto"/>
                <w:vertAlign w:val="superscript"/>
              </w:rPr>
              <w:t>(3)</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7060" w:type="dxa"/>
            <w:vAlign w:val="bottom"/>
          </w:tcPr>
          <w:p>
            <w:pPr>
              <w:spacing w:after="0"/>
              <w:rPr>
                <w:sz w:val="20"/>
                <w:szCs w:val="20"/>
                <w:color w:val="auto"/>
              </w:rPr>
            </w:pPr>
            <w:r>
              <w:rPr>
                <w:rFonts w:ascii="Arial" w:cs="Arial" w:eastAsia="Arial" w:hAnsi="Arial"/>
                <w:sz w:val="12"/>
                <w:szCs w:val="12"/>
                <w:color w:val="auto"/>
              </w:rPr>
              <w:t>Portfolio turnover ratio*</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3152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1520" cy="5715"/>
                    </a:xfrm>
                    <a:prstGeom prst="rect">
                      <a:avLst/>
                    </a:prstGeom>
                    <a:noFill/>
                  </pic:spPr>
                </pic:pic>
              </a:graphicData>
            </a:graphic>
          </wp:anchor>
        </w:drawing>
      </w:r>
    </w:p>
    <w:p>
      <w:pPr>
        <w:spacing w:after="0" w:line="123" w:lineRule="exact"/>
        <w:rPr>
          <w:sz w:val="20"/>
          <w:szCs w:val="20"/>
          <w:color w:val="auto"/>
        </w:rPr>
      </w:pPr>
    </w:p>
    <w:p>
      <w:pPr>
        <w:ind w:left="448" w:hanging="419"/>
        <w:spacing w:after="0"/>
        <w:tabs>
          <w:tab w:leader="none" w:pos="448" w:val="left"/>
        </w:tabs>
        <w:numPr>
          <w:ilvl w:val="0"/>
          <w:numId w:val="38"/>
        </w:numPr>
        <w:rPr>
          <w:rFonts w:ascii="Arial" w:cs="Arial" w:eastAsia="Arial" w:hAnsi="Arial"/>
          <w:sz w:val="12"/>
          <w:szCs w:val="12"/>
          <w:color w:val="auto"/>
        </w:rPr>
      </w:pPr>
      <w:r>
        <w:rPr>
          <w:rFonts w:ascii="Arial" w:cs="Arial" w:eastAsia="Arial" w:hAnsi="Arial"/>
          <w:sz w:val="12"/>
          <w:szCs w:val="12"/>
          <w:color w:val="auto"/>
        </w:rPr>
        <w:t>Percentage has not been annualized.</w:t>
      </w:r>
    </w:p>
    <w:p>
      <w:pPr>
        <w:spacing w:after="0" w:line="10" w:lineRule="exact"/>
        <w:rPr>
          <w:sz w:val="20"/>
          <w:szCs w:val="20"/>
          <w:color w:val="auto"/>
        </w:rPr>
      </w:pPr>
    </w:p>
    <w:p>
      <w:pPr>
        <w:ind w:left="448" w:right="120" w:hanging="448"/>
        <w:spacing w:after="0" w:line="250" w:lineRule="auto"/>
        <w:tabs>
          <w:tab w:leader="none" w:pos="448" w:val="left"/>
        </w:tabs>
        <w:numPr>
          <w:ilvl w:val="0"/>
          <w:numId w:val="39"/>
        </w:numPr>
        <w:rPr>
          <w:rFonts w:ascii="Arial" w:cs="Arial" w:eastAsia="Arial" w:hAnsi="Arial"/>
          <w:sz w:val="12"/>
          <w:szCs w:val="12"/>
          <w:color w:val="auto"/>
        </w:rPr>
      </w:pPr>
      <w:r>
        <w:rPr>
          <w:rFonts w:ascii="Arial" w:cs="Arial" w:eastAsia="Arial" w:hAnsi="Arial"/>
          <w:sz w:val="12"/>
          <w:szCs w:val="12"/>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48" w:hanging="448"/>
        <w:spacing w:after="0" w:line="250" w:lineRule="auto"/>
        <w:tabs>
          <w:tab w:leader="none" w:pos="448" w:val="left"/>
        </w:tabs>
        <w:numPr>
          <w:ilvl w:val="0"/>
          <w:numId w:val="39"/>
        </w:numPr>
        <w:rPr>
          <w:rFonts w:ascii="Arial" w:cs="Arial" w:eastAsia="Arial" w:hAnsi="Arial"/>
          <w:sz w:val="12"/>
          <w:szCs w:val="12"/>
          <w:color w:val="auto"/>
        </w:rPr>
      </w:pPr>
      <w:r>
        <w:rPr>
          <w:rFonts w:ascii="Arial" w:cs="Arial" w:eastAsia="Arial" w:hAnsi="Arial"/>
          <w:sz w:val="12"/>
          <w:szCs w:val="12"/>
          <w:color w:val="auto"/>
        </w:rPr>
        <w:t>Total return is based on the change in market price per share during the reporting period based on stock issuance price of $15.00. It also takes into account distributions, if any, reinvested in accordance with the Company’s dividend reinvestment plan.</w:t>
      </w:r>
    </w:p>
    <w:p>
      <w:pPr>
        <w:ind w:left="448" w:hanging="448"/>
        <w:spacing w:after="0"/>
        <w:tabs>
          <w:tab w:leader="none" w:pos="448" w:val="left"/>
        </w:tabs>
        <w:numPr>
          <w:ilvl w:val="0"/>
          <w:numId w:val="39"/>
        </w:numPr>
        <w:rPr>
          <w:rFonts w:ascii="Arial" w:cs="Arial" w:eastAsia="Arial" w:hAnsi="Arial"/>
          <w:sz w:val="12"/>
          <w:szCs w:val="12"/>
          <w:color w:val="auto"/>
        </w:rPr>
      </w:pPr>
      <w:r>
        <w:rPr>
          <w:rFonts w:ascii="Arial" w:cs="Arial" w:eastAsia="Arial" w:hAnsi="Arial"/>
          <w:sz w:val="12"/>
          <w:szCs w:val="12"/>
          <w:color w:val="auto"/>
        </w:rPr>
        <w:t>Since completion of initial public offering on April 24, 2007.</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12. CREDIT FACILITY</w:t>
      </w:r>
    </w:p>
    <w:p>
      <w:pPr>
        <w:spacing w:after="0" w:line="62" w:lineRule="exact"/>
        <w:rPr>
          <w:sz w:val="20"/>
          <w:szCs w:val="20"/>
          <w:color w:val="auto"/>
        </w:rPr>
      </w:pPr>
    </w:p>
    <w:p>
      <w:pPr>
        <w:ind w:left="8" w:right="40" w:firstLine="452"/>
        <w:spacing w:after="0" w:line="259" w:lineRule="auto"/>
        <w:rPr>
          <w:sz w:val="20"/>
          <w:szCs w:val="20"/>
          <w:color w:val="auto"/>
        </w:rPr>
      </w:pPr>
      <w:r>
        <w:rPr>
          <w:rFonts w:ascii="Arial" w:cs="Arial" w:eastAsia="Arial" w:hAnsi="Arial"/>
          <w:sz w:val="12"/>
          <w:szCs w:val="12"/>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September 30, there was $10.0 million in outstanding borrowings under the Credit Agreement, with an average interest rate of 6.15%.</w:t>
      </w:r>
    </w:p>
    <w:p>
      <w:pPr>
        <w:spacing w:after="0" w:line="93" w:lineRule="exact"/>
        <w:rPr>
          <w:sz w:val="20"/>
          <w:szCs w:val="20"/>
          <w:color w:val="auto"/>
        </w:rPr>
      </w:pPr>
    </w:p>
    <w:p>
      <w:pPr>
        <w:ind w:left="8" w:right="40" w:firstLine="452"/>
        <w:spacing w:after="0" w:line="314" w:lineRule="auto"/>
        <w:rPr>
          <w:sz w:val="20"/>
          <w:szCs w:val="20"/>
          <w:color w:val="auto"/>
        </w:rPr>
      </w:pPr>
      <w:r>
        <w:rPr>
          <w:rFonts w:ascii="Arial" w:cs="Arial" w:eastAsia="Arial" w:hAnsi="Arial"/>
          <w:sz w:val="11"/>
          <w:szCs w:val="11"/>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56"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228"/>
          </w:cols>
          <w:pgMar w:left="292" w:top="354" w:right="379" w:bottom="1440" w:gutter="0" w:footer="0" w:header="0"/>
        </w:sectPr>
      </w:pPr>
    </w:p>
    <w:bookmarkStart w:id="65" w:name="page66"/>
    <w:bookmarkEnd w:id="65"/>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8" w:lineRule="exact"/>
        <w:rPr>
          <w:sz w:val="20"/>
          <w:szCs w:val="20"/>
          <w:color w:val="auto"/>
        </w:rPr>
      </w:pPr>
    </w:p>
    <w:p>
      <w:pPr>
        <w:ind w:left="8" w:firstLine="452"/>
        <w:spacing w:after="0" w:line="335" w:lineRule="auto"/>
        <w:rPr>
          <w:sz w:val="20"/>
          <w:szCs w:val="20"/>
          <w:color w:val="auto"/>
        </w:rPr>
      </w:pPr>
      <w:r>
        <w:rPr>
          <w:rFonts w:ascii="Arial" w:cs="Arial" w:eastAsia="Arial" w:hAnsi="Arial"/>
          <w:sz w:val="9"/>
          <w:szCs w:val="9"/>
          <w:color w:val="auto"/>
        </w:rPr>
        <w:t>The Credit Agreement contains affirmative and restrictive covenants, including: (a) periodic financial reporting requirements, (b) maintenance of a minimum stockholders’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Agreement, (c) maintenance of a ratio of total assets (less total liabilities other than indebtedness) to total indebtedness, in each case of PennantPark Investment, of not less than 2.0:1.0, (d) maintenance of minimum liquidity standards, (e) limitations on the incurrence of additional indebtedness, (f) 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stockholders as contemplated to maintain Regulated Investment Company status),</w:t>
      </w:r>
    </w:p>
    <w:p>
      <w:pPr>
        <w:spacing w:after="0" w:line="2" w:lineRule="exact"/>
        <w:rPr>
          <w:sz w:val="20"/>
          <w:szCs w:val="20"/>
          <w:color w:val="auto"/>
        </w:rPr>
      </w:pPr>
    </w:p>
    <w:p>
      <w:pPr>
        <w:ind w:left="8" w:right="40" w:hanging="8"/>
        <w:spacing w:after="0" w:line="253" w:lineRule="auto"/>
        <w:tabs>
          <w:tab w:leader="none" w:pos="148" w:val="left"/>
        </w:tabs>
        <w:numPr>
          <w:ilvl w:val="0"/>
          <w:numId w:val="40"/>
        </w:numPr>
        <w:rPr>
          <w:rFonts w:ascii="Arial" w:cs="Arial" w:eastAsia="Arial" w:hAnsi="Arial"/>
          <w:sz w:val="12"/>
          <w:szCs w:val="12"/>
          <w:color w:val="auto"/>
        </w:rPr>
      </w:pPr>
      <w:r>
        <w:rPr>
          <w:rFonts w:ascii="Arial" w:cs="Arial" w:eastAsia="Arial" w:hAnsi="Arial"/>
          <w:sz w:val="12"/>
          <w:szCs w:val="12"/>
          <w:color w:val="auto"/>
        </w:rPr>
        <w:t>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the Credit Agreement (and the incurrence of certain other permitted debt) will be subject to compliance with a borrowing base that will apply different advance rates to different types of assets in PennantPark Investment’s portfolio. See our Credit Agreement, Exhibit 10.5, to this Report (incorporated by reference), for the definitions of capitalized terms used by us relating to the Credit Agreement but not defined in this note. The Credit Agreement will be used to supplement our equity capital to make additional portfolio investments and for other general corporate purposes.</w:t>
      </w:r>
    </w:p>
    <w:p>
      <w:pPr>
        <w:spacing w:after="0" w:line="96" w:lineRule="exact"/>
        <w:rPr>
          <w:sz w:val="20"/>
          <w:szCs w:val="20"/>
          <w:color w:val="auto"/>
        </w:rPr>
      </w:pPr>
    </w:p>
    <w:p>
      <w:pPr>
        <w:ind w:left="8" w:firstLine="452"/>
        <w:spacing w:after="0" w:line="256" w:lineRule="auto"/>
        <w:rPr>
          <w:sz w:val="20"/>
          <w:szCs w:val="20"/>
          <w:color w:val="auto"/>
        </w:rPr>
      </w:pPr>
      <w:r>
        <w:rPr>
          <w:rFonts w:ascii="Arial" w:cs="Arial" w:eastAsia="Arial" w:hAnsi="Arial"/>
          <w:sz w:val="12"/>
          <w:szCs w:val="12"/>
          <w:color w:val="auto"/>
        </w:rPr>
        <w:t>Separately, Pennant SPV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13. COMMITMENTS AND CONTINGENCIES</w:t>
      </w:r>
    </w:p>
    <w:p>
      <w:pPr>
        <w:spacing w:after="0" w:line="62" w:lineRule="exact"/>
        <w:rPr>
          <w:sz w:val="20"/>
          <w:szCs w:val="20"/>
          <w:color w:val="auto"/>
        </w:rPr>
      </w:pPr>
    </w:p>
    <w:p>
      <w:pPr>
        <w:ind w:left="8" w:firstLine="452"/>
        <w:spacing w:after="0" w:line="314" w:lineRule="auto"/>
        <w:rPr>
          <w:sz w:val="20"/>
          <w:szCs w:val="20"/>
          <w:color w:val="auto"/>
        </w:rPr>
      </w:pPr>
      <w:r>
        <w:rPr>
          <w:rFonts w:ascii="Arial" w:cs="Arial" w:eastAsia="Arial" w:hAnsi="Arial"/>
          <w:sz w:val="11"/>
          <w:szCs w:val="11"/>
          <w:color w:val="auto"/>
        </w:rPr>
        <w:t>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65" w:lineRule="exact"/>
        <w:rPr>
          <w:sz w:val="20"/>
          <w:szCs w:val="20"/>
          <w:color w:val="auto"/>
        </w:rPr>
      </w:pPr>
    </w:p>
    <w:p>
      <w:pPr>
        <w:ind w:left="448"/>
        <w:spacing w:after="0"/>
        <w:rPr>
          <w:sz w:val="20"/>
          <w:szCs w:val="20"/>
          <w:color w:val="auto"/>
        </w:rPr>
      </w:pPr>
      <w:r>
        <w:rPr>
          <w:rFonts w:ascii="Arial" w:cs="Arial" w:eastAsia="Arial" w:hAnsi="Arial"/>
          <w:sz w:val="12"/>
          <w:szCs w:val="12"/>
          <w:color w:val="auto"/>
        </w:rPr>
        <w:t>Unfunded debt investments described in the consolidated statement of assets and liabilities represent unfunded delayed draws on investments in first lien secured debt.</w:t>
      </w:r>
    </w:p>
    <w:p>
      <w:pPr>
        <w:spacing w:after="0" w:line="105"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288"/>
          </w:cols>
          <w:pgMar w:left="292" w:top="354" w:right="319" w:bottom="1440" w:gutter="0" w:footer="0" w:header="0"/>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9"/>
          <w:szCs w:val="9"/>
          <w:b w:val="1"/>
          <w:bCs w:val="1"/>
          <w:color w:val="auto"/>
        </w:rPr>
        <w:t>Changes in and Disagreements with Accountants on Accounting and Financial Disclosure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None</w:t>
      </w:r>
    </w:p>
    <w:p>
      <w:pPr>
        <w:spacing w:after="0" w:line="193"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9"/>
          <w:szCs w:val="9"/>
          <w:b w:val="1"/>
          <w:bCs w:val="1"/>
          <w:color w:val="auto"/>
        </w:rPr>
        <w:t>Controls and Procedures</w:t>
      </w:r>
    </w:p>
    <w:p>
      <w:pPr>
        <w:spacing w:after="0" w:line="62" w:lineRule="exact"/>
        <w:rPr>
          <w:sz w:val="20"/>
          <w:szCs w:val="20"/>
          <w:color w:val="auto"/>
        </w:rPr>
      </w:pPr>
    </w:p>
    <w:p>
      <w:pPr>
        <w:ind w:firstLine="452"/>
        <w:spacing w:after="0" w:line="254" w:lineRule="auto"/>
        <w:rPr>
          <w:sz w:val="20"/>
          <w:szCs w:val="20"/>
          <w:color w:val="auto"/>
        </w:rPr>
      </w:pPr>
      <w:r>
        <w:rPr>
          <w:rFonts w:ascii="Arial" w:cs="Arial" w:eastAsia="Arial" w:hAnsi="Arial"/>
          <w:sz w:val="12"/>
          <w:szCs w:val="12"/>
          <w:color w:val="auto"/>
        </w:rPr>
        <w:t>As of September 30, 2007, we, including our Chief Executive Officer and Chief Financial Officer, evaluated the effectiveness of the design and operation of our disclosure controls and procedures (as defined in Rule 13a-15(e) under the Securities Exchange Act of 1934). Based on that evaluation, our management, including the Chief Executive Officer and Chief Financial Officer, concluded that our disclosure controls and procedures were effective in timely alerting management, including the Chief Executive Officer and Chief Financial Officer, of material information about us required to be included in periodic SEC filings.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98" w:lineRule="exact"/>
        <w:rPr>
          <w:sz w:val="20"/>
          <w:szCs w:val="20"/>
          <w:color w:val="auto"/>
        </w:rPr>
      </w:pPr>
    </w:p>
    <w:p>
      <w:pPr>
        <w:ind w:right="180" w:firstLine="452"/>
        <w:spacing w:after="0" w:line="268" w:lineRule="auto"/>
        <w:rPr>
          <w:sz w:val="20"/>
          <w:szCs w:val="20"/>
          <w:color w:val="auto"/>
        </w:rPr>
      </w:pPr>
      <w:r>
        <w:rPr>
          <w:rFonts w:ascii="Arial" w:cs="Arial" w:eastAsia="Arial" w:hAnsi="Arial"/>
          <w:sz w:val="12"/>
          <w:szCs w:val="12"/>
          <w:color w:val="auto"/>
        </w:rPr>
        <w:t>There have been no changes in our internal control over financial reporting (as defined in Rule 13a-15(f) under the Securities Exchange Act of 1934) that occurred during the period ended September 30, 2007 that have materially affected, or are reasonably likely to materially affect, our internal control over financial reporting.</w:t>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1"/>
          <w:szCs w:val="11"/>
          <w:b w:val="1"/>
          <w:bCs w:val="1"/>
          <w:color w:val="auto"/>
        </w:rPr>
        <w:t>Other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Amended Code of Ethics.</w:t>
      </w:r>
    </w:p>
    <w:p>
      <w:pPr>
        <w:spacing w:after="0" w:line="62" w:lineRule="exact"/>
        <w:rPr>
          <w:sz w:val="20"/>
          <w:szCs w:val="20"/>
          <w:color w:val="auto"/>
        </w:rPr>
      </w:pPr>
    </w:p>
    <w:p>
      <w:pPr>
        <w:ind w:firstLine="452"/>
        <w:spacing w:after="0" w:line="259" w:lineRule="auto"/>
        <w:rPr>
          <w:sz w:val="20"/>
          <w:szCs w:val="20"/>
          <w:color w:val="auto"/>
        </w:rPr>
      </w:pPr>
      <w:r>
        <w:rPr>
          <w:rFonts w:ascii="Arial" w:cs="Arial" w:eastAsia="Arial" w:hAnsi="Arial"/>
          <w:sz w:val="12"/>
          <w:szCs w:val="12"/>
          <w:color w:val="auto"/>
        </w:rPr>
        <w:t>On December 12, 2007, we amended the Joint Code of Ethics that applies to PennantPark Investment and our Investment Adviser. The amendments to the Joint Code of Ethics contain certain provisions designed to prevent misuse of material non-public information in violation of federal securities laws, as well as other technical, administrative and non-substantive amendments. A copy of the amended Joint Code of Ethics is attached as Exhibit 14 to this report on Form 10-K.</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Amended Bylaws.</w:t>
      </w:r>
    </w:p>
    <w:p>
      <w:pPr>
        <w:spacing w:after="0" w:line="62" w:lineRule="exact"/>
        <w:rPr>
          <w:sz w:val="20"/>
          <w:szCs w:val="20"/>
          <w:color w:val="auto"/>
        </w:rPr>
      </w:pPr>
    </w:p>
    <w:p>
      <w:pPr>
        <w:ind w:right="540" w:firstLine="452"/>
        <w:spacing w:after="0" w:line="268" w:lineRule="auto"/>
        <w:rPr>
          <w:sz w:val="20"/>
          <w:szCs w:val="20"/>
          <w:color w:val="auto"/>
        </w:rPr>
      </w:pPr>
      <w:r>
        <w:rPr>
          <w:rFonts w:ascii="Arial" w:cs="Arial" w:eastAsia="Arial" w:hAnsi="Arial"/>
          <w:sz w:val="12"/>
          <w:szCs w:val="12"/>
          <w:color w:val="auto"/>
        </w:rPr>
        <w:t>We amended Section 2 of our Amended and Restated Bylaws to change the month in which we will hold our annual stockholders meeting from May to February. We believe that a February annual stockholders meeting is appropriate because of our September 30 fiscal year end. Our Amended and Restated Bylaws are attached as Exhibit 3.2 to this report on Form 10-K.</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300"/>
          </w:cols>
          <w:pgMar w:left="300" w:top="354" w:right="299"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PART III</w:t>
      </w:r>
    </w:p>
    <w:p>
      <w:pPr>
        <w:spacing w:after="0" w:line="116" w:lineRule="exact"/>
        <w:rPr>
          <w:sz w:val="20"/>
          <w:szCs w:val="20"/>
          <w:color w:val="auto"/>
        </w:rPr>
      </w:pPr>
    </w:p>
    <w:p>
      <w:pPr>
        <w:ind w:firstLine="452"/>
        <w:spacing w:after="0" w:line="314" w:lineRule="auto"/>
        <w:rPr>
          <w:sz w:val="20"/>
          <w:szCs w:val="20"/>
          <w:color w:val="auto"/>
        </w:rPr>
      </w:pPr>
      <w:r>
        <w:rPr>
          <w:rFonts w:ascii="Arial" w:cs="Arial" w:eastAsia="Arial" w:hAnsi="Arial"/>
          <w:sz w:val="11"/>
          <w:szCs w:val="11"/>
          <w:color w:val="auto"/>
        </w:rPr>
        <w:t>We will file a definitive Proxy Statement for our 2008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44"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9"/>
          <w:szCs w:val="9"/>
          <w:b w:val="1"/>
          <w:bCs w:val="1"/>
          <w:color w:val="auto"/>
        </w:rPr>
        <w:t>Directors, Executive Officers and Corporate Governance</w:t>
      </w:r>
    </w:p>
    <w:p>
      <w:pPr>
        <w:spacing w:after="0" w:line="62" w:lineRule="exact"/>
        <w:rPr>
          <w:sz w:val="20"/>
          <w:szCs w:val="20"/>
          <w:color w:val="auto"/>
        </w:rPr>
      </w:pPr>
    </w:p>
    <w:p>
      <w:pPr>
        <w:ind w:right="100" w:firstLine="452"/>
        <w:spacing w:after="0" w:line="268" w:lineRule="auto"/>
        <w:rPr>
          <w:sz w:val="20"/>
          <w:szCs w:val="20"/>
          <w:color w:val="auto"/>
        </w:rPr>
      </w:pPr>
      <w:r>
        <w:rPr>
          <w:rFonts w:ascii="Arial" w:cs="Arial" w:eastAsia="Arial" w:hAnsi="Arial"/>
          <w:sz w:val="12"/>
          <w:szCs w:val="12"/>
          <w:color w:val="auto"/>
        </w:rPr>
        <w:t>The information required by Item 10 is hereby incorporated by reference from our definitive Proxy Statement relating to our 2008 Annual Meeting of Stockholders, to be filed with the Securities and Exchange Commission within 120 days following the end of our fiscal year.</w:t>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9"/>
          <w:szCs w:val="9"/>
          <w:b w:val="1"/>
          <w:bCs w:val="1"/>
          <w:color w:val="auto"/>
        </w:rPr>
        <w:t>Executive Compensation</w:t>
      </w:r>
    </w:p>
    <w:p>
      <w:pPr>
        <w:spacing w:after="0" w:line="62" w:lineRule="exact"/>
        <w:rPr>
          <w:sz w:val="20"/>
          <w:szCs w:val="20"/>
          <w:color w:val="auto"/>
        </w:rPr>
      </w:pPr>
    </w:p>
    <w:p>
      <w:pPr>
        <w:ind w:right="100" w:firstLine="452"/>
        <w:spacing w:after="0" w:line="268" w:lineRule="auto"/>
        <w:rPr>
          <w:sz w:val="20"/>
          <w:szCs w:val="20"/>
          <w:color w:val="auto"/>
        </w:rPr>
      </w:pPr>
      <w:r>
        <w:rPr>
          <w:rFonts w:ascii="Arial" w:cs="Arial" w:eastAsia="Arial" w:hAnsi="Arial"/>
          <w:sz w:val="12"/>
          <w:szCs w:val="12"/>
          <w:color w:val="auto"/>
        </w:rPr>
        <w:t>The information required by Item 11 is hereby incorporated by reference from our definitive Proxy Statement relating to our 2008 Annual Meeting of Stockholders, to be filed with the Securities and Exchange Commission within 120 days following the end of our fiscal year.</w:t>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9"/>
          <w:szCs w:val="9"/>
          <w:b w:val="1"/>
          <w:bCs w:val="1"/>
          <w:color w:val="auto"/>
        </w:rPr>
        <w:t>Security Ownership of Certain Beneficial Owners and Management and Related Stockholder Matters</w:t>
      </w:r>
    </w:p>
    <w:p>
      <w:pPr>
        <w:spacing w:after="0" w:line="62" w:lineRule="exact"/>
        <w:rPr>
          <w:sz w:val="20"/>
          <w:szCs w:val="20"/>
          <w:color w:val="auto"/>
        </w:rPr>
      </w:pPr>
    </w:p>
    <w:p>
      <w:pPr>
        <w:ind w:right="100" w:firstLine="452"/>
        <w:spacing w:after="0" w:line="268" w:lineRule="auto"/>
        <w:rPr>
          <w:sz w:val="20"/>
          <w:szCs w:val="20"/>
          <w:color w:val="auto"/>
        </w:rPr>
      </w:pPr>
      <w:r>
        <w:rPr>
          <w:rFonts w:ascii="Arial" w:cs="Arial" w:eastAsia="Arial" w:hAnsi="Arial"/>
          <w:sz w:val="12"/>
          <w:szCs w:val="12"/>
          <w:color w:val="auto"/>
        </w:rPr>
        <w:t>The information required by Item 12 is hereby incorporated by reference from our definitive Proxy Statement relating to our 2008 Annual Meeting of Stockholders, to be filed with the Securities and Exchange Commission within 120 days following the end of our fiscal year.</w:t>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9"/>
          <w:szCs w:val="9"/>
          <w:b w:val="1"/>
          <w:bCs w:val="1"/>
          <w:color w:val="auto"/>
        </w:rPr>
        <w:t>Certain Relationships and Related Transactions, and Director Independence</w:t>
      </w:r>
    </w:p>
    <w:p>
      <w:pPr>
        <w:spacing w:after="0" w:line="62" w:lineRule="exact"/>
        <w:rPr>
          <w:sz w:val="20"/>
          <w:szCs w:val="20"/>
          <w:color w:val="auto"/>
        </w:rPr>
      </w:pPr>
    </w:p>
    <w:p>
      <w:pPr>
        <w:ind w:right="100" w:firstLine="452"/>
        <w:spacing w:after="0" w:line="268" w:lineRule="auto"/>
        <w:rPr>
          <w:sz w:val="20"/>
          <w:szCs w:val="20"/>
          <w:color w:val="auto"/>
        </w:rPr>
      </w:pPr>
      <w:r>
        <w:rPr>
          <w:rFonts w:ascii="Arial" w:cs="Arial" w:eastAsia="Arial" w:hAnsi="Arial"/>
          <w:sz w:val="12"/>
          <w:szCs w:val="12"/>
          <w:color w:val="auto"/>
        </w:rPr>
        <w:t>The information required by Item 13 is hereby incorporated by reference from our definitive Proxy Statement relating to our 2008 Annual Meeting of Stockholders, to be filed with the Securities and Exchange Commission within 120 days following the end of our fiscal year.</w:t>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9"/>
          <w:szCs w:val="9"/>
          <w:b w:val="1"/>
          <w:bCs w:val="1"/>
          <w:color w:val="auto"/>
        </w:rPr>
        <w:t>Principal Accountant Fees and Services</w:t>
      </w:r>
    </w:p>
    <w:p>
      <w:pPr>
        <w:spacing w:after="0" w:line="62" w:lineRule="exact"/>
        <w:rPr>
          <w:sz w:val="20"/>
          <w:szCs w:val="20"/>
          <w:color w:val="auto"/>
        </w:rPr>
      </w:pPr>
    </w:p>
    <w:p>
      <w:pPr>
        <w:ind w:right="100" w:firstLine="452"/>
        <w:spacing w:after="0" w:line="268" w:lineRule="auto"/>
        <w:rPr>
          <w:sz w:val="20"/>
          <w:szCs w:val="20"/>
          <w:color w:val="auto"/>
        </w:rPr>
      </w:pPr>
      <w:r>
        <w:rPr>
          <w:rFonts w:ascii="Arial" w:cs="Arial" w:eastAsia="Arial" w:hAnsi="Arial"/>
          <w:sz w:val="12"/>
          <w:szCs w:val="12"/>
          <w:color w:val="auto"/>
        </w:rPr>
        <w:t>The information required by Item 14 is hereby incorporated by reference from our definitive Proxy Statement relating to our 2008 Annual Meeting of Stockholders, to be filed with the Securities and Exchange Commission within 120 days following the end of our fiscal year.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260"/>
          </w:cols>
          <w:pgMar w:left="300" w:top="354" w:right="339" w:bottom="1440" w:gutter="0" w:footer="0" w:header="0"/>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PART IV</w:t>
      </w:r>
    </w:p>
    <w:p>
      <w:pPr>
        <w:spacing w:after="0" w:line="141"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9"/>
          <w:szCs w:val="9"/>
          <w:b w:val="1"/>
          <w:bCs w:val="1"/>
          <w:color w:val="auto"/>
        </w:rPr>
        <w:t>Exhibits and Financial Statement Schedules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(a)(1) Financial Statements.</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Refer to Item 8 above.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(a)(2) Financial Statement Schedules</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(a)(3) Exhibits</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Unless specifically indicated otherwise, the following exhibits are incorporated by reference to exhibits previously filed with the SEC:</w:t>
      </w:r>
    </w:p>
    <w:p>
      <w:pPr>
        <w:spacing w:after="0" w:line="51"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9"/>
          <w:szCs w:val="9"/>
          <w:color w:val="auto"/>
        </w:rPr>
        <w:t>Articles of Incorporation (Incorporated by reference to the Registrant’s Pre-Effective Amendment No. 1 to the Registration Statement on Form N-2 (File No. 333-140092), filed on March 5, 2007).</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3.2*  Amended and Restated Bylaws.</w:t>
      </w:r>
    </w:p>
    <w:p>
      <w:pPr>
        <w:spacing w:after="0" w:line="51"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2"/>
          <w:szCs w:val="12"/>
          <w:color w:val="auto"/>
        </w:rPr>
        <w:t>4.1</w:t>
      </w:r>
      <w:r>
        <w:rPr>
          <w:sz w:val="20"/>
          <w:szCs w:val="20"/>
          <w:color w:val="auto"/>
        </w:rPr>
        <w:tab/>
      </w:r>
      <w:r>
        <w:rPr>
          <w:rFonts w:ascii="Arial" w:cs="Arial" w:eastAsia="Arial" w:hAnsi="Arial"/>
          <w:sz w:val="9"/>
          <w:szCs w:val="9"/>
          <w:color w:val="auto"/>
        </w:rPr>
        <w:t>Form of Share Certificate (Incorporated by reference to the Registrant’s Exhibit Filing as Pre-Effective Amendment No. 3 to the Registration Statement on Form N-2 (File No. 333-140092), filed on April 5, 2007).</w:t>
      </w:r>
    </w:p>
    <w:p>
      <w:pPr>
        <w:spacing w:after="0" w:line="5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2"/>
          <w:szCs w:val="12"/>
          <w:color w:val="auto"/>
        </w:rPr>
        <w:t>10.1</w:t>
      </w:r>
      <w:r>
        <w:rPr>
          <w:sz w:val="20"/>
          <w:szCs w:val="20"/>
          <w:color w:val="auto"/>
        </w:rPr>
        <w:tab/>
      </w:r>
      <w:r>
        <w:rPr>
          <w:rFonts w:ascii="Arial" w:cs="Arial" w:eastAsia="Arial" w:hAnsi="Arial"/>
          <w:sz w:val="9"/>
          <w:szCs w:val="9"/>
          <w:color w:val="auto"/>
        </w:rPr>
        <w:t>Form of Investment Management Agreement between the Registrant and PennantPark Investment Advisers, LLC (Incorporated by reference to the Registrant’s Pre-Effective Amendment No. 1 to the Registration Statement on For</w:t>
      </w:r>
    </w:p>
    <w:p>
      <w:pPr>
        <w:spacing w:after="0" w:line="5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2"/>
          <w:szCs w:val="12"/>
          <w:color w:val="auto"/>
        </w:rPr>
        <w:t>10.2</w:t>
      </w:r>
      <w:r>
        <w:rPr>
          <w:sz w:val="20"/>
          <w:szCs w:val="20"/>
          <w:color w:val="auto"/>
        </w:rPr>
        <w:tab/>
      </w:r>
      <w:r>
        <w:rPr>
          <w:rFonts w:ascii="Arial" w:cs="Arial" w:eastAsia="Arial" w:hAnsi="Arial"/>
          <w:sz w:val="9"/>
          <w:szCs w:val="9"/>
          <w:color w:val="auto"/>
        </w:rPr>
        <w:t>Form of Custodian Agreement between the Registrant and LaSalle Bank National Association (Incorporated by reference to the Registrant’s Pre-Effective Amendment No. 1 to the Registration Statement on Form N-2 (File No. 33</w:t>
      </w:r>
    </w:p>
    <w:p>
      <w:pPr>
        <w:spacing w:after="0" w:line="5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2"/>
          <w:szCs w:val="12"/>
          <w:color w:val="auto"/>
        </w:rPr>
        <w:t>10.3</w:t>
      </w:r>
      <w:r>
        <w:rPr>
          <w:sz w:val="20"/>
          <w:szCs w:val="20"/>
          <w:color w:val="auto"/>
        </w:rPr>
        <w:tab/>
      </w:r>
      <w:r>
        <w:rPr>
          <w:rFonts w:ascii="Arial" w:cs="Arial" w:eastAsia="Arial" w:hAnsi="Arial"/>
          <w:sz w:val="9"/>
          <w:szCs w:val="9"/>
          <w:color w:val="auto"/>
        </w:rPr>
        <w:t>Form of Administration Agreement between the Registrant and various lenders (Incorporated by reference to the Registrant’s Form 8-K Exhibit 99-2 (File No. 814-00736)), filed on June 28, 2007).</w:t>
      </w:r>
    </w:p>
    <w:p>
      <w:pPr>
        <w:spacing w:after="0" w:line="5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9"/>
          <w:szCs w:val="9"/>
          <w:color w:val="auto"/>
        </w:rPr>
        <w:t>Dividend Reinvestment Plan (Incorporated by reference to the Registrant’s Pre-Effective Amendment No. 1 to the Registration Statement on Form N-2 (File No. 333-140092), filed on March 5, 2007).</w:t>
      </w:r>
    </w:p>
    <w:p>
      <w:pPr>
        <w:spacing w:after="0" w:line="5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2"/>
          <w:szCs w:val="12"/>
          <w:color w:val="auto"/>
        </w:rPr>
        <w:t>10.5</w:t>
      </w:r>
      <w:r>
        <w:rPr>
          <w:sz w:val="20"/>
          <w:szCs w:val="20"/>
          <w:color w:val="auto"/>
        </w:rPr>
        <w:tab/>
      </w:r>
      <w:r>
        <w:rPr>
          <w:rFonts w:ascii="Arial" w:cs="Arial" w:eastAsia="Arial" w:hAnsi="Arial"/>
          <w:sz w:val="9"/>
          <w:szCs w:val="9"/>
          <w:color w:val="auto"/>
        </w:rPr>
        <w:t>Senior Secured Revolving Credit Agreement between Registrant and various lenders (Incorporated by reference to the Report on Form 8-K. Exhibits 99.2 (File No. 814-00736), filed on June 28, 2007).</w:t>
      </w:r>
    </w:p>
    <w:p>
      <w:pPr>
        <w:spacing w:after="0" w:line="51" w:lineRule="exact"/>
        <w:rPr>
          <w:sz w:val="20"/>
          <w:szCs w:val="20"/>
          <w:color w:val="auto"/>
        </w:rPr>
      </w:pPr>
    </w:p>
    <w:p>
      <w:pPr>
        <w:ind w:left="300" w:right="5060" w:firstLine="7"/>
        <w:spacing w:after="0" w:line="328" w:lineRule="auto"/>
        <w:tabs>
          <w:tab w:leader="none" w:pos="650" w:val="left"/>
        </w:tabs>
        <w:numPr>
          <w:ilvl w:val="1"/>
          <w:numId w:val="41"/>
        </w:numPr>
        <w:rPr>
          <w:rFonts w:ascii="Arial" w:cs="Arial" w:eastAsia="Arial" w:hAnsi="Arial"/>
          <w:sz w:val="12"/>
          <w:szCs w:val="12"/>
          <w:color w:val="auto"/>
        </w:rPr>
      </w:pPr>
      <w:r>
        <w:rPr>
          <w:rFonts w:ascii="Arial" w:cs="Arial" w:eastAsia="Arial" w:hAnsi="Arial"/>
          <w:sz w:val="12"/>
          <w:szCs w:val="12"/>
          <w:color w:val="auto"/>
        </w:rPr>
        <w:t>Computation of Per Share Earnings (included in the notes to the unaudited financial statements contained in this Report). 14.1* Code of Ethics of the Registrant</w:t>
      </w:r>
    </w:p>
    <w:p>
      <w:pPr>
        <w:ind w:left="300"/>
        <w:spacing w:after="0"/>
        <w:rPr>
          <w:rFonts w:ascii="Arial" w:cs="Arial" w:eastAsia="Arial" w:hAnsi="Arial"/>
          <w:sz w:val="12"/>
          <w:szCs w:val="12"/>
          <w:color w:val="auto"/>
        </w:rPr>
      </w:pPr>
      <w:r>
        <w:rPr>
          <w:rFonts w:ascii="Arial" w:cs="Arial" w:eastAsia="Arial" w:hAnsi="Arial"/>
          <w:sz w:val="12"/>
          <w:szCs w:val="12"/>
          <w:color w:val="auto"/>
        </w:rPr>
        <w:t>31.1*  Certification of Chief Executive Officer pursuant to Rule 13a-14 of the Securities Exchange Act of 1934, as amended.</w:t>
      </w:r>
    </w:p>
    <w:p>
      <w:pPr>
        <w:spacing w:after="0" w:line="51" w:lineRule="exact"/>
        <w:rPr>
          <w:rFonts w:ascii="Arial" w:cs="Arial" w:eastAsia="Arial" w:hAnsi="Arial"/>
          <w:sz w:val="12"/>
          <w:szCs w:val="12"/>
          <w:color w:val="auto"/>
        </w:rPr>
      </w:pPr>
    </w:p>
    <w:p>
      <w:pPr>
        <w:ind w:left="300"/>
        <w:spacing w:after="0"/>
        <w:rPr>
          <w:rFonts w:ascii="Arial" w:cs="Arial" w:eastAsia="Arial" w:hAnsi="Arial"/>
          <w:sz w:val="12"/>
          <w:szCs w:val="12"/>
          <w:color w:val="auto"/>
        </w:rPr>
      </w:pPr>
      <w:r>
        <w:rPr>
          <w:rFonts w:ascii="Arial" w:cs="Arial" w:eastAsia="Arial" w:hAnsi="Arial"/>
          <w:sz w:val="12"/>
          <w:szCs w:val="12"/>
          <w:color w:val="auto"/>
        </w:rPr>
        <w:t>31.2*  Certification of Chief Financial Officer pursuant to Rule 13a-14 of the Securities Exchange Act of 1934, as amended.</w:t>
      </w:r>
    </w:p>
    <w:p>
      <w:pPr>
        <w:spacing w:after="0" w:line="51" w:lineRule="exact"/>
        <w:rPr>
          <w:rFonts w:ascii="Arial" w:cs="Arial" w:eastAsia="Arial" w:hAnsi="Arial"/>
          <w:sz w:val="12"/>
          <w:szCs w:val="12"/>
          <w:color w:val="auto"/>
        </w:rPr>
      </w:pPr>
    </w:p>
    <w:p>
      <w:pPr>
        <w:ind w:left="300"/>
        <w:spacing w:after="0"/>
        <w:rPr>
          <w:rFonts w:ascii="Arial" w:cs="Arial" w:eastAsia="Arial" w:hAnsi="Arial"/>
          <w:sz w:val="12"/>
          <w:szCs w:val="12"/>
          <w:color w:val="auto"/>
        </w:rPr>
      </w:pPr>
      <w:r>
        <w:rPr>
          <w:rFonts w:ascii="Arial" w:cs="Arial" w:eastAsia="Arial" w:hAnsi="Arial"/>
          <w:sz w:val="12"/>
          <w:szCs w:val="12"/>
          <w:color w:val="auto"/>
        </w:rPr>
        <w:t>32.1*  Certification of Chief Executive Officer pursuant to section 906 of The Sarbanes-Oxley Act of 2002.</w:t>
      </w:r>
    </w:p>
    <w:p>
      <w:pPr>
        <w:spacing w:after="0" w:line="51" w:lineRule="exact"/>
        <w:rPr>
          <w:rFonts w:ascii="Arial" w:cs="Arial" w:eastAsia="Arial" w:hAnsi="Arial"/>
          <w:sz w:val="12"/>
          <w:szCs w:val="12"/>
          <w:color w:val="auto"/>
        </w:rPr>
      </w:pPr>
    </w:p>
    <w:p>
      <w:pPr>
        <w:ind w:left="300"/>
        <w:spacing w:after="0"/>
        <w:rPr>
          <w:rFonts w:ascii="Arial" w:cs="Arial" w:eastAsia="Arial" w:hAnsi="Arial"/>
          <w:sz w:val="12"/>
          <w:szCs w:val="12"/>
          <w:color w:val="auto"/>
        </w:rPr>
      </w:pPr>
      <w:r>
        <w:rPr>
          <w:rFonts w:ascii="Arial" w:cs="Arial" w:eastAsia="Arial" w:hAnsi="Arial"/>
          <w:sz w:val="12"/>
          <w:szCs w:val="12"/>
          <w:color w:val="auto"/>
        </w:rPr>
        <w:t>32.2*  Certification of Chief Financial Officer pursuant to section 906 of The Sarbanes-Oxley Act of 2002.</w:t>
      </w:r>
    </w:p>
    <w:p>
      <w:pPr>
        <w:spacing w:after="0" w:line="51" w:lineRule="exact"/>
        <w:rPr>
          <w:rFonts w:ascii="Arial" w:cs="Arial" w:eastAsia="Arial" w:hAnsi="Arial"/>
          <w:sz w:val="12"/>
          <w:szCs w:val="12"/>
          <w:color w:val="auto"/>
        </w:rPr>
      </w:pPr>
    </w:p>
    <w:p>
      <w:pPr>
        <w:ind w:right="9220" w:firstLine="298"/>
        <w:spacing w:after="0" w:line="469" w:lineRule="auto"/>
        <w:rPr>
          <w:rFonts w:ascii="Arial" w:cs="Arial" w:eastAsia="Arial" w:hAnsi="Arial"/>
          <w:sz w:val="12"/>
          <w:szCs w:val="12"/>
          <w:color w:val="auto"/>
        </w:rPr>
      </w:pPr>
      <w:r>
        <w:rPr>
          <w:rFonts w:ascii="Arial" w:cs="Arial" w:eastAsia="Arial" w:hAnsi="Arial"/>
          <w:sz w:val="12"/>
          <w:szCs w:val="12"/>
          <w:color w:val="auto"/>
        </w:rPr>
        <w:t>99.1* Privacy Policy of the Registrant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-200660</wp:posOffset>
            </wp:positionV>
            <wp:extent cx="73152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1520" cy="571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360"/>
          </w:cols>
          <w:pgMar w:left="300" w:top="354" w:right="239"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6455" cy="2095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1"/>
          <w:szCs w:val="11"/>
          <w:color w:val="auto"/>
        </w:rPr>
        <w:t>Pursuant to the requirements of Section 13(a) or 15(d) of the Securities Exchange Act of 1934, the registrant has duly caused this Report on Form 10-K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3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980" w:type="dxa"/>
            <w:vAlign w:val="bottom"/>
          </w:tcPr>
          <w:p>
            <w:pPr>
              <w:ind w:left="1080"/>
              <w:spacing w:after="0"/>
              <w:rPr>
                <w:sz w:val="20"/>
                <w:szCs w:val="20"/>
                <w:color w:val="auto"/>
              </w:rPr>
            </w:pPr>
            <w:r>
              <w:rPr>
                <w:rFonts w:ascii="Arial" w:cs="Arial" w:eastAsia="Arial" w:hAnsi="Arial"/>
                <w:sz w:val="12"/>
                <w:szCs w:val="12"/>
                <w:color w:val="auto"/>
              </w:rPr>
              <w:t>PENNANTPARK INVESTMENT CORPORATION</w:t>
            </w:r>
          </w:p>
        </w:tc>
      </w:tr>
      <w:tr>
        <w:trPr>
          <w:trHeight w:val="289"/>
        </w:trPr>
        <w:tc>
          <w:tcPr>
            <w:tcW w:w="3380" w:type="dxa"/>
            <w:vAlign w:val="bottom"/>
          </w:tcPr>
          <w:p>
            <w:pPr>
              <w:spacing w:after="0"/>
              <w:rPr>
                <w:sz w:val="20"/>
                <w:szCs w:val="20"/>
                <w:color w:val="auto"/>
              </w:rPr>
            </w:pPr>
            <w:r>
              <w:rPr>
                <w:rFonts w:ascii="Arial" w:cs="Arial" w:eastAsia="Arial" w:hAnsi="Arial"/>
                <w:sz w:val="12"/>
                <w:szCs w:val="12"/>
                <w:color w:val="auto"/>
              </w:rPr>
              <w:t>Date: December 12, 2007</w:t>
            </w:r>
          </w:p>
        </w:tc>
        <w:tc>
          <w:tcPr>
            <w:tcW w:w="2940" w:type="dxa"/>
            <w:vAlign w:val="bottom"/>
          </w:tcPr>
          <w:p>
            <w:pPr>
              <w:ind w:left="2620"/>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color w:val="auto"/>
              </w:rPr>
              <w:t>/s/  A</w:t>
            </w:r>
            <w:r>
              <w:rPr>
                <w:rFonts w:ascii="Arial" w:cs="Arial" w:eastAsia="Arial" w:hAnsi="Arial"/>
                <w:sz w:val="9"/>
                <w:szCs w:val="9"/>
                <w:color w:val="auto"/>
              </w:rPr>
              <w:t>RTHUR</w:t>
            </w:r>
            <w:r>
              <w:rPr>
                <w:rFonts w:ascii="Arial" w:cs="Arial" w:eastAsia="Arial" w:hAnsi="Arial"/>
                <w:sz w:val="12"/>
                <w:szCs w:val="12"/>
                <w:color w:val="auto"/>
              </w:rPr>
              <w:t xml:space="preserve"> H. P</w:t>
            </w:r>
            <w:r>
              <w:rPr>
                <w:rFonts w:ascii="Arial" w:cs="Arial" w:eastAsia="Arial" w:hAnsi="Arial"/>
                <w:sz w:val="9"/>
                <w:szCs w:val="9"/>
                <w:color w:val="auto"/>
              </w:rPr>
              <w:t>ENN</w:t>
            </w:r>
          </w:p>
        </w:tc>
      </w:tr>
      <w:tr>
        <w:trPr>
          <w:trHeight w:val="80"/>
        </w:trPr>
        <w:tc>
          <w:tcPr>
            <w:tcW w:w="3380" w:type="dxa"/>
            <w:vAlign w:val="bottom"/>
          </w:tcPr>
          <w:p>
            <w:pPr>
              <w:spacing w:after="0"/>
              <w:rPr>
                <w:sz w:val="6"/>
                <w:szCs w:val="6"/>
                <w:color w:val="auto"/>
              </w:rPr>
            </w:pPr>
          </w:p>
        </w:tc>
        <w:tc>
          <w:tcPr>
            <w:tcW w:w="2940" w:type="dxa"/>
            <w:vAlign w:val="bottom"/>
          </w:tcPr>
          <w:p>
            <w:pPr>
              <w:spacing w:after="0"/>
              <w:rPr>
                <w:sz w:val="6"/>
                <w:szCs w:val="6"/>
                <w:color w:val="auto"/>
              </w:rPr>
            </w:pPr>
          </w:p>
        </w:tc>
        <w:tc>
          <w:tcPr>
            <w:tcW w:w="4980" w:type="dxa"/>
            <w:vAlign w:val="bottom"/>
          </w:tcPr>
          <w:p>
            <w:pPr>
              <w:jc w:val="center"/>
              <w:ind w:left="50"/>
              <w:spacing w:after="0" w:line="80" w:lineRule="exact"/>
              <w:rPr>
                <w:sz w:val="20"/>
                <w:szCs w:val="20"/>
                <w:color w:val="auto"/>
              </w:rPr>
            </w:pPr>
            <w:r>
              <w:rPr>
                <w:rFonts w:ascii="Arial" w:cs="Arial" w:eastAsia="Arial" w:hAnsi="Arial"/>
                <w:sz w:val="9"/>
                <w:szCs w:val="9"/>
                <w:b w:val="1"/>
                <w:bCs w:val="1"/>
                <w:color w:val="auto"/>
                <w:w w:val="94"/>
              </w:rPr>
              <w:t>Arthur H. Penn</w:t>
            </w:r>
          </w:p>
        </w:tc>
      </w:tr>
      <w:tr>
        <w:trPr>
          <w:trHeight w:val="116"/>
        </w:trPr>
        <w:tc>
          <w:tcPr>
            <w:tcW w:w="33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980" w:type="dxa"/>
            <w:vAlign w:val="bottom"/>
          </w:tcPr>
          <w:p>
            <w:pPr>
              <w:jc w:val="center"/>
              <w:ind w:left="70"/>
              <w:spacing w:after="0"/>
              <w:rPr>
                <w:sz w:val="20"/>
                <w:szCs w:val="20"/>
                <w:color w:val="auto"/>
              </w:rPr>
            </w:pPr>
            <w:r>
              <w:rPr>
                <w:rFonts w:ascii="Arial" w:cs="Arial" w:eastAsia="Arial" w:hAnsi="Arial"/>
                <w:sz w:val="9"/>
                <w:szCs w:val="9"/>
                <w:b w:val="1"/>
                <w:bCs w:val="1"/>
                <w:color w:val="auto"/>
                <w:w w:val="91"/>
              </w:rPr>
              <w:t>Chief Executive Officer</w:t>
            </w:r>
          </w:p>
        </w:tc>
      </w:tr>
      <w:tr>
        <w:trPr>
          <w:trHeight w:val="288"/>
        </w:trPr>
        <w:tc>
          <w:tcPr>
            <w:tcW w:w="3380" w:type="dxa"/>
            <w:vAlign w:val="bottom"/>
          </w:tcPr>
          <w:p>
            <w:pPr>
              <w:spacing w:after="0"/>
              <w:rPr>
                <w:sz w:val="20"/>
                <w:szCs w:val="20"/>
                <w:color w:val="auto"/>
              </w:rPr>
            </w:pPr>
            <w:r>
              <w:rPr>
                <w:rFonts w:ascii="Arial" w:cs="Arial" w:eastAsia="Arial" w:hAnsi="Arial"/>
                <w:sz w:val="12"/>
                <w:szCs w:val="12"/>
                <w:color w:val="auto"/>
              </w:rPr>
              <w:t>Date: December 12, 2007</w:t>
            </w:r>
          </w:p>
        </w:tc>
        <w:tc>
          <w:tcPr>
            <w:tcW w:w="2940" w:type="dxa"/>
            <w:vAlign w:val="bottom"/>
          </w:tcPr>
          <w:p>
            <w:pPr>
              <w:ind w:left="2620"/>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color w:val="auto"/>
              </w:rPr>
              <w:t>/s/  A</w:t>
            </w:r>
            <w:r>
              <w:rPr>
                <w:rFonts w:ascii="Arial" w:cs="Arial" w:eastAsia="Arial" w:hAnsi="Arial"/>
                <w:sz w:val="9"/>
                <w:szCs w:val="9"/>
                <w:color w:val="auto"/>
              </w:rPr>
              <w:t>VIV</w:t>
            </w:r>
            <w:r>
              <w:rPr>
                <w:rFonts w:ascii="Arial" w:cs="Arial" w:eastAsia="Arial" w:hAnsi="Arial"/>
                <w:sz w:val="12"/>
                <w:szCs w:val="12"/>
                <w:color w:val="auto"/>
              </w:rPr>
              <w:t xml:space="preserve"> E</w:t>
            </w:r>
            <w:r>
              <w:rPr>
                <w:rFonts w:ascii="Arial" w:cs="Arial" w:eastAsia="Arial" w:hAnsi="Arial"/>
                <w:sz w:val="9"/>
                <w:szCs w:val="9"/>
                <w:color w:val="auto"/>
              </w:rPr>
              <w:t>FRAT</w:t>
            </w:r>
          </w:p>
        </w:tc>
      </w:tr>
      <w:tr>
        <w:trPr>
          <w:trHeight w:val="80"/>
        </w:trPr>
        <w:tc>
          <w:tcPr>
            <w:tcW w:w="3380" w:type="dxa"/>
            <w:vAlign w:val="bottom"/>
          </w:tcPr>
          <w:p>
            <w:pPr>
              <w:spacing w:after="0"/>
              <w:rPr>
                <w:sz w:val="6"/>
                <w:szCs w:val="6"/>
                <w:color w:val="auto"/>
              </w:rPr>
            </w:pPr>
          </w:p>
        </w:tc>
        <w:tc>
          <w:tcPr>
            <w:tcW w:w="2940" w:type="dxa"/>
            <w:vAlign w:val="bottom"/>
          </w:tcPr>
          <w:p>
            <w:pPr>
              <w:spacing w:after="0"/>
              <w:rPr>
                <w:sz w:val="6"/>
                <w:szCs w:val="6"/>
                <w:color w:val="auto"/>
              </w:rPr>
            </w:pPr>
          </w:p>
        </w:tc>
        <w:tc>
          <w:tcPr>
            <w:tcW w:w="4980" w:type="dxa"/>
            <w:vAlign w:val="bottom"/>
          </w:tcPr>
          <w:p>
            <w:pPr>
              <w:jc w:val="center"/>
              <w:ind w:left="50"/>
              <w:spacing w:after="0" w:line="80" w:lineRule="exact"/>
              <w:rPr>
                <w:sz w:val="20"/>
                <w:szCs w:val="20"/>
                <w:color w:val="auto"/>
              </w:rPr>
            </w:pPr>
            <w:r>
              <w:rPr>
                <w:rFonts w:ascii="Arial" w:cs="Arial" w:eastAsia="Arial" w:hAnsi="Arial"/>
                <w:sz w:val="9"/>
                <w:szCs w:val="9"/>
                <w:b w:val="1"/>
                <w:bCs w:val="1"/>
                <w:color w:val="auto"/>
                <w:w w:val="95"/>
              </w:rPr>
              <w:t>Aviv Efrat</w:t>
            </w:r>
          </w:p>
        </w:tc>
      </w:tr>
      <w:tr>
        <w:trPr>
          <w:trHeight w:val="99"/>
        </w:trPr>
        <w:tc>
          <w:tcPr>
            <w:tcW w:w="33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4980" w:type="dxa"/>
            <w:vAlign w:val="bottom"/>
          </w:tcPr>
          <w:p>
            <w:pPr>
              <w:jc w:val="center"/>
              <w:ind w:left="70"/>
              <w:spacing w:after="0" w:line="99" w:lineRule="exact"/>
              <w:rPr>
                <w:sz w:val="20"/>
                <w:szCs w:val="20"/>
                <w:color w:val="auto"/>
              </w:rPr>
            </w:pPr>
            <w:r>
              <w:rPr>
                <w:rFonts w:ascii="Arial" w:cs="Arial" w:eastAsia="Arial" w:hAnsi="Arial"/>
                <w:sz w:val="9"/>
                <w:szCs w:val="9"/>
                <w:b w:val="1"/>
                <w:bCs w:val="1"/>
                <w:color w:val="auto"/>
                <w:w w:val="94"/>
              </w:rPr>
              <w:t>Chief Financial Officer</w:t>
            </w:r>
          </w:p>
        </w:tc>
      </w:tr>
      <w:tr>
        <w:trPr>
          <w:trHeight w:val="116"/>
        </w:trPr>
        <w:tc>
          <w:tcPr>
            <w:tcW w:w="33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980" w:type="dxa"/>
            <w:vAlign w:val="bottom"/>
          </w:tcPr>
          <w:p>
            <w:pPr>
              <w:jc w:val="center"/>
              <w:ind w:left="50"/>
              <w:spacing w:after="0"/>
              <w:rPr>
                <w:sz w:val="20"/>
                <w:szCs w:val="20"/>
                <w:color w:val="auto"/>
              </w:rPr>
            </w:pPr>
            <w:r>
              <w:rPr>
                <w:rFonts w:ascii="Arial" w:cs="Arial" w:eastAsia="Arial" w:hAnsi="Arial"/>
                <w:sz w:val="9"/>
                <w:szCs w:val="9"/>
                <w:b w:val="1"/>
                <w:bCs w:val="1"/>
                <w:color w:val="auto"/>
                <w:w w:val="91"/>
              </w:rPr>
              <w:t>(Principal Accounting and Financial Officer)</w:t>
            </w:r>
          </w:p>
        </w:tc>
      </w:tr>
      <w:tr>
        <w:trPr>
          <w:trHeight w:val="242"/>
        </w:trPr>
        <w:tc>
          <w:tcPr>
            <w:tcW w:w="3380" w:type="dxa"/>
            <w:vAlign w:val="bottom"/>
          </w:tcPr>
          <w:p>
            <w:pPr>
              <w:spacing w:after="0"/>
              <w:rPr>
                <w:sz w:val="21"/>
                <w:szCs w:val="21"/>
                <w:color w:val="auto"/>
              </w:rPr>
            </w:pPr>
          </w:p>
        </w:tc>
        <w:tc>
          <w:tcPr>
            <w:tcW w:w="2940" w:type="dxa"/>
            <w:vAlign w:val="bottom"/>
          </w:tcPr>
          <w:p>
            <w:pPr>
              <w:jc w:val="right"/>
              <w:ind w:right="562"/>
              <w:spacing w:after="0"/>
              <w:rPr>
                <w:sz w:val="20"/>
                <w:szCs w:val="20"/>
                <w:color w:val="auto"/>
              </w:rPr>
            </w:pPr>
            <w:r>
              <w:rPr>
                <w:rFonts w:ascii="Arial" w:cs="Arial" w:eastAsia="Arial" w:hAnsi="Arial"/>
                <w:sz w:val="12"/>
                <w:szCs w:val="12"/>
                <w:color w:val="auto"/>
              </w:rPr>
              <w:t>68</w:t>
            </w:r>
          </w:p>
        </w:tc>
        <w:tc>
          <w:tcPr>
            <w:tcW w:w="4980" w:type="dxa"/>
            <w:vAlign w:val="bottom"/>
          </w:tcPr>
          <w:p>
            <w:pPr>
              <w:spacing w:after="0"/>
              <w:rPr>
                <w:sz w:val="21"/>
                <w:szCs w:val="21"/>
                <w:color w:val="auto"/>
              </w:rPr>
            </w:pPr>
          </w:p>
        </w:tc>
      </w:tr>
    </w:tbl>
    <w:p>
      <w:pPr>
        <w:sectPr>
          <w:pgSz w:w="11900" w:h="16838" w:orient="portrait"/>
          <w:cols w:equalWidth="0" w:num="1">
            <w:col w:w="11300"/>
          </w:cols>
          <w:pgMar w:left="300" w:top="354" w:right="299" w:bottom="1440" w:gutter="0" w:footer="0" w:header="0"/>
        </w:sectPr>
      </w:pPr>
    </w:p>
    <w:bookmarkStart w:id="70" w:name="page71"/>
    <w:bookmarkEnd w:id="70"/>
    <w:p>
      <w:pPr>
        <w:jc w:val="right"/>
        <w:spacing w:after="0"/>
        <w:rPr>
          <w:sz w:val="20"/>
          <w:szCs w:val="20"/>
          <w:color w:val="auto"/>
        </w:rPr>
      </w:pPr>
      <w:r>
        <w:rPr>
          <w:rFonts w:ascii="Arial" w:cs="Arial" w:eastAsia="Arial" w:hAnsi="Arial"/>
          <w:sz w:val="12"/>
          <w:szCs w:val="12"/>
          <w:b w:val="1"/>
          <w:bCs w:val="1"/>
          <w:color w:val="auto"/>
        </w:rPr>
        <w:t>Exhibit 3.2</w:t>
      </w:r>
    </w:p>
    <w:p>
      <w:pPr>
        <w:spacing w:after="0" w:line="60" w:lineRule="exact"/>
        <w:rPr>
          <w:sz w:val="20"/>
          <w:szCs w:val="20"/>
          <w:color w:val="auto"/>
        </w:rPr>
      </w:pPr>
    </w:p>
    <w:p>
      <w:pPr>
        <w:ind w:left="4340"/>
        <w:spacing w:after="0"/>
        <w:rPr>
          <w:sz w:val="20"/>
          <w:szCs w:val="20"/>
          <w:color w:val="auto"/>
        </w:rPr>
      </w:pPr>
      <w:r>
        <w:rPr>
          <w:rFonts w:ascii="Arial" w:cs="Arial" w:eastAsia="Arial" w:hAnsi="Arial"/>
          <w:sz w:val="12"/>
          <w:szCs w:val="12"/>
          <w:b w:val="1"/>
          <w:bCs w:val="1"/>
          <w:u w:val="single" w:color="auto"/>
          <w:color w:val="auto"/>
        </w:rPr>
        <w:t>PENNANTPARK INVESTMENT CORPORATION</w:t>
      </w:r>
    </w:p>
    <w:p>
      <w:pPr>
        <w:spacing w:after="0" w:line="114" w:lineRule="exact"/>
        <w:rPr>
          <w:sz w:val="20"/>
          <w:szCs w:val="20"/>
          <w:color w:val="auto"/>
        </w:rPr>
      </w:pPr>
    </w:p>
    <w:p>
      <w:pPr>
        <w:ind w:left="4620"/>
        <w:spacing w:after="0"/>
        <w:rPr>
          <w:sz w:val="20"/>
          <w:szCs w:val="20"/>
          <w:color w:val="auto"/>
        </w:rPr>
      </w:pPr>
      <w:r>
        <w:rPr>
          <w:rFonts w:ascii="Arial" w:cs="Arial" w:eastAsia="Arial" w:hAnsi="Arial"/>
          <w:sz w:val="12"/>
          <w:szCs w:val="12"/>
          <w:b w:val="1"/>
          <w:bCs w:val="1"/>
          <w:u w:val="single" w:color="auto"/>
          <w:color w:val="auto"/>
        </w:rPr>
        <w:t>AMENDED AND RESTATED BYLAWS</w:t>
      </w:r>
    </w:p>
    <w:p>
      <w:pPr>
        <w:spacing w:after="0" w:line="114"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ARTICLE I</w:t>
      </w:r>
    </w:p>
    <w:p>
      <w:pPr>
        <w:spacing w:after="0" w:line="114" w:lineRule="exact"/>
        <w:rPr>
          <w:sz w:val="20"/>
          <w:szCs w:val="20"/>
          <w:color w:val="auto"/>
        </w:rPr>
      </w:pPr>
    </w:p>
    <w:p>
      <w:pPr>
        <w:ind w:left="5400"/>
        <w:spacing w:after="0"/>
        <w:rPr>
          <w:sz w:val="20"/>
          <w:szCs w:val="20"/>
          <w:color w:val="auto"/>
        </w:rPr>
      </w:pPr>
      <w:r>
        <w:rPr>
          <w:rFonts w:ascii="Arial" w:cs="Arial" w:eastAsia="Arial" w:hAnsi="Arial"/>
          <w:sz w:val="12"/>
          <w:szCs w:val="12"/>
          <w:b w:val="1"/>
          <w:bCs w:val="1"/>
          <w:color w:val="auto"/>
        </w:rPr>
        <w:t>OFFICES</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PRINCIPAL OFFICE</w:t>
      </w:r>
      <w:r>
        <w:rPr>
          <w:rFonts w:ascii="Arial" w:cs="Arial" w:eastAsia="Arial" w:hAnsi="Arial"/>
          <w:sz w:val="12"/>
          <w:szCs w:val="12"/>
          <w:color w:val="auto"/>
        </w:rPr>
        <w:t>. The principal office of the Corporation in the State of Maryland shall be located at such place as the Board of Directors may designate.</w:t>
      </w:r>
    </w:p>
    <w:p>
      <w:pPr>
        <w:spacing w:after="0" w:line="114" w:lineRule="exact"/>
        <w:rPr>
          <w:sz w:val="20"/>
          <w:szCs w:val="20"/>
          <w:color w:val="auto"/>
        </w:rPr>
      </w:pPr>
    </w:p>
    <w:p>
      <w:pPr>
        <w:ind w:right="200" w:firstLine="904"/>
        <w:spacing w:after="0" w:line="268"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ADDITIONAL OFFICES</w:t>
      </w:r>
      <w:r>
        <w:rPr>
          <w:rFonts w:ascii="Arial" w:cs="Arial" w:eastAsia="Arial" w:hAnsi="Arial"/>
          <w:sz w:val="12"/>
          <w:szCs w:val="12"/>
          <w:color w:val="auto"/>
        </w:rPr>
        <w:t>. The Corporation may have additional offices, including a principal executive office, at such places as the Board of Directors may from time to time determine or the business of the Corporation may require.</w:t>
      </w:r>
    </w:p>
    <w:p>
      <w:pPr>
        <w:spacing w:after="0" w:line="194" w:lineRule="exact"/>
        <w:rPr>
          <w:sz w:val="20"/>
          <w:szCs w:val="20"/>
          <w:color w:val="auto"/>
        </w:rPr>
      </w:pPr>
    </w:p>
    <w:p>
      <w:pPr>
        <w:ind w:left="5320"/>
        <w:spacing w:after="0"/>
        <w:rPr>
          <w:sz w:val="20"/>
          <w:szCs w:val="20"/>
          <w:color w:val="auto"/>
        </w:rPr>
      </w:pPr>
      <w:r>
        <w:rPr>
          <w:rFonts w:ascii="Arial" w:cs="Arial" w:eastAsia="Arial" w:hAnsi="Arial"/>
          <w:sz w:val="12"/>
          <w:szCs w:val="12"/>
          <w:b w:val="1"/>
          <w:bCs w:val="1"/>
          <w:color w:val="auto"/>
        </w:rPr>
        <w:t>ARTICLE II</w:t>
      </w:r>
    </w:p>
    <w:p>
      <w:pPr>
        <w:spacing w:after="0" w:line="114" w:lineRule="exact"/>
        <w:rPr>
          <w:sz w:val="20"/>
          <w:szCs w:val="20"/>
          <w:color w:val="auto"/>
        </w:rPr>
      </w:pPr>
    </w:p>
    <w:p>
      <w:pPr>
        <w:ind w:left="4720"/>
        <w:spacing w:after="0"/>
        <w:rPr>
          <w:sz w:val="20"/>
          <w:szCs w:val="20"/>
          <w:color w:val="auto"/>
        </w:rPr>
      </w:pPr>
      <w:r>
        <w:rPr>
          <w:rFonts w:ascii="Arial" w:cs="Arial" w:eastAsia="Arial" w:hAnsi="Arial"/>
          <w:sz w:val="12"/>
          <w:szCs w:val="12"/>
          <w:b w:val="1"/>
          <w:bCs w:val="1"/>
          <w:color w:val="auto"/>
        </w:rPr>
        <w:t>MEETINGS OF STOCKHOLDERS</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9"/>
          <w:szCs w:val="9"/>
          <w:color w:val="auto"/>
        </w:rPr>
        <w:t xml:space="preserve">Section 1. </w:t>
      </w:r>
      <w:r>
        <w:rPr>
          <w:rFonts w:ascii="Arial" w:cs="Arial" w:eastAsia="Arial" w:hAnsi="Arial"/>
          <w:sz w:val="9"/>
          <w:szCs w:val="9"/>
          <w:u w:val="single" w:color="auto"/>
          <w:color w:val="auto"/>
        </w:rPr>
        <w:t>PLACE</w:t>
      </w:r>
      <w:r>
        <w:rPr>
          <w:rFonts w:ascii="Arial" w:cs="Arial" w:eastAsia="Arial" w:hAnsi="Arial"/>
          <w:sz w:val="9"/>
          <w:szCs w:val="9"/>
          <w:color w:val="auto"/>
        </w:rPr>
        <w:t>. All meetings of stockholders shall be held at the principal executive office of the Corporation or at such other place as shall be set by the Board of Directors and stated in the notice of the meeting.</w:t>
      </w:r>
    </w:p>
    <w:p>
      <w:pPr>
        <w:spacing w:after="0" w:line="149" w:lineRule="exact"/>
        <w:rPr>
          <w:sz w:val="20"/>
          <w:szCs w:val="20"/>
          <w:color w:val="auto"/>
        </w:rPr>
      </w:pPr>
    </w:p>
    <w:p>
      <w:pPr>
        <w:ind w:right="300" w:firstLine="904"/>
        <w:spacing w:after="0" w:line="268"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ANNUAL MEETING</w:t>
      </w:r>
      <w:r>
        <w:rPr>
          <w:rFonts w:ascii="Arial" w:cs="Arial" w:eastAsia="Arial" w:hAnsi="Arial"/>
          <w:sz w:val="12"/>
          <w:szCs w:val="12"/>
          <w:color w:val="auto"/>
        </w:rPr>
        <w:t>. Commencing with the 2008 annual meeting of stockholders of the Corporation, an annual meeting of the stockholders for the election of directors and the transaction of any business within the powers of the Corporation shall be held on a date and at the time set by the Board of Directors during the month of February of each year.</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SPECIAL MEETINGS</w:t>
      </w:r>
      <w:r>
        <w:rPr>
          <w:rFonts w:ascii="Arial" w:cs="Arial" w:eastAsia="Arial" w:hAnsi="Arial"/>
          <w:sz w:val="12"/>
          <w:szCs w:val="12"/>
          <w:color w:val="auto"/>
        </w:rPr>
        <w:t>.</w:t>
      </w:r>
    </w:p>
    <w:p>
      <w:pPr>
        <w:spacing w:after="0" w:line="60" w:lineRule="exact"/>
        <w:rPr>
          <w:sz w:val="20"/>
          <w:szCs w:val="20"/>
          <w:color w:val="auto"/>
        </w:rPr>
      </w:pPr>
    </w:p>
    <w:p>
      <w:pPr>
        <w:ind w:right="240" w:firstLine="896"/>
        <w:spacing w:after="0" w:line="268" w:lineRule="auto"/>
        <w:tabs>
          <w:tab w:leader="none" w:pos="1063" w:val="left"/>
        </w:tabs>
        <w:numPr>
          <w:ilvl w:val="0"/>
          <w:numId w:val="42"/>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 The Chairman of the Board, the president or the Board of Directors may call a special meeting of the stockholders. Subject to subsection (b) of this Section 3, a special meeting of stockholders shall also be called by the secretary of the Corporation upon the written request of stockholders entitled to cast not less than a majority of all the votes entitled to be cast at such meeting.</w:t>
      </w:r>
    </w:p>
    <w:p>
      <w:pPr>
        <w:spacing w:after="0" w:line="87" w:lineRule="exact"/>
        <w:rPr>
          <w:rFonts w:ascii="Arial" w:cs="Arial" w:eastAsia="Arial" w:hAnsi="Arial"/>
          <w:sz w:val="12"/>
          <w:szCs w:val="12"/>
          <w:color w:val="auto"/>
        </w:rPr>
      </w:pPr>
    </w:p>
    <w:p>
      <w:pPr>
        <w:ind w:right="120" w:firstLine="896"/>
        <w:spacing w:after="0" w:line="256" w:lineRule="auto"/>
        <w:tabs>
          <w:tab w:leader="none" w:pos="1070" w:val="left"/>
        </w:tabs>
        <w:numPr>
          <w:ilvl w:val="0"/>
          <w:numId w:val="42"/>
        </w:numPr>
        <w:rPr>
          <w:rFonts w:ascii="Arial" w:cs="Arial" w:eastAsia="Arial" w:hAnsi="Arial"/>
          <w:sz w:val="12"/>
          <w:szCs w:val="12"/>
          <w:color w:val="auto"/>
        </w:rPr>
      </w:pPr>
      <w:r>
        <w:rPr>
          <w:rFonts w:ascii="Arial" w:cs="Arial" w:eastAsia="Arial" w:hAnsi="Arial"/>
          <w:sz w:val="12"/>
          <w:szCs w:val="12"/>
          <w:u w:val="single" w:color="auto"/>
          <w:color w:val="auto"/>
        </w:rPr>
        <w:t>Stockholder Requested Special Meetings</w:t>
      </w:r>
      <w:r>
        <w:rPr>
          <w:rFonts w:ascii="Arial" w:cs="Arial" w:eastAsia="Arial" w:hAnsi="Arial"/>
          <w:sz w:val="12"/>
          <w:szCs w:val="12"/>
          <w:color w:val="auto"/>
        </w:rPr>
        <w:t>.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131" w:right="299" w:bottom="1440" w:gutter="0" w:footer="0" w:header="0"/>
        </w:sectPr>
      </w:pPr>
    </w:p>
    <w:bookmarkStart w:id="71" w:name="page72"/>
    <w:bookmarkEnd w:id="71"/>
    <w:p>
      <w:pPr>
        <w:ind w:right="80"/>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6455" cy="20955"/>
                    </a:xfrm>
                    <a:prstGeom prst="rect">
                      <a:avLst/>
                    </a:prstGeom>
                    <a:noFill/>
                  </pic:spPr>
                </pic:pic>
              </a:graphicData>
            </a:graphic>
          </wp:anchor>
        </w:drawing>
        <w:t>each such stockholder (or such agent) and shall set forth all information relating to each such stockholder that must be disclosed in solicitations of proxies for election of directors in an election contest (even if an election contest is not involved), or is otherwise required, in each case pursuant to Regulation 14A (or any successor provision) under the Securities Exchange Act of 1934, as amended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 close of business on the tenth day after the first date on which the Record Date Request Notice is received by the secretary.</w:t>
      </w:r>
    </w:p>
    <w:p>
      <w:pPr>
        <w:spacing w:after="0" w:line="82" w:lineRule="exact"/>
        <w:rPr>
          <w:sz w:val="20"/>
          <w:szCs w:val="20"/>
          <w:color w:val="auto"/>
        </w:rPr>
      </w:pPr>
    </w:p>
    <w:p>
      <w:pPr>
        <w:ind w:right="20" w:firstLine="1461"/>
        <w:spacing w:after="0" w:line="354" w:lineRule="auto"/>
        <w:tabs>
          <w:tab w:leader="none" w:pos="1635" w:val="left"/>
        </w:tabs>
        <w:numPr>
          <w:ilvl w:val="0"/>
          <w:numId w:val="43"/>
        </w:numPr>
        <w:rPr>
          <w:rFonts w:ascii="Arial" w:cs="Arial" w:eastAsia="Arial" w:hAnsi="Arial"/>
          <w:sz w:val="9"/>
          <w:szCs w:val="9"/>
          <w:color w:val="auto"/>
        </w:rPr>
      </w:pPr>
      <w:r>
        <w:rPr>
          <w:rFonts w:ascii="Arial" w:cs="Arial" w:eastAsia="Arial" w:hAnsi="Arial"/>
          <w:sz w:val="9"/>
          <w:szCs w:val="9"/>
          <w:color w:val="auto"/>
        </w:rPr>
        <w:t>In order for any stockholder to request a special meeting, one or more written requests for a special meeting signed by stockholders of record (or their agents duly authorized in a writing accompanying the request) as of the Request Record Date entitled to cast not less than a majority (the “Special Meeting Percentage”) of all of the votes entitled to be cast at such meeting (the “Special Meeting Request”) shall be delivered to the secretary. In addition, the Special Meeting Request (a) shall set forth the purpose of the meeting and the matters proposed to be acted on at it (which shall be limited to those lawful matters set forth in the Record Date Request Notice received by the secretary), (b) shall bear the date of signature of each such stockholder (or such agent) signing the Special Meeting Request, (c)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by such stockholder beneficially but not of record, (d) shall be sent to the secretary by registered mail, return receipt requested, and (e) shall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spacing w:after="0" w:line="200" w:lineRule="exact"/>
        <w:rPr>
          <w:rFonts w:ascii="Arial" w:cs="Arial" w:eastAsia="Arial" w:hAnsi="Arial"/>
          <w:sz w:val="9"/>
          <w:szCs w:val="9"/>
          <w:color w:val="auto"/>
        </w:rPr>
      </w:pPr>
    </w:p>
    <w:p>
      <w:pPr>
        <w:ind w:firstLine="1461"/>
        <w:spacing w:after="0" w:line="259" w:lineRule="auto"/>
        <w:tabs>
          <w:tab w:leader="none" w:pos="1635"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mailing of any notice of the meeting.</w:t>
      </w:r>
    </w:p>
    <w:p>
      <w:pPr>
        <w:spacing w:after="0" w:line="93" w:lineRule="exact"/>
        <w:rPr>
          <w:rFonts w:ascii="Arial" w:cs="Arial" w:eastAsia="Arial" w:hAnsi="Arial"/>
          <w:sz w:val="12"/>
          <w:szCs w:val="12"/>
          <w:color w:val="auto"/>
        </w:rPr>
      </w:pPr>
    </w:p>
    <w:p>
      <w:pPr>
        <w:ind w:right="100" w:firstLine="1461"/>
        <w:spacing w:after="0" w:line="437" w:lineRule="auto"/>
        <w:tabs>
          <w:tab w:leader="none" w:pos="1635" w:val="left"/>
        </w:tabs>
        <w:numPr>
          <w:ilvl w:val="0"/>
          <w:numId w:val="43"/>
        </w:numPr>
        <w:rPr>
          <w:rFonts w:ascii="Arial" w:cs="Arial" w:eastAsia="Arial" w:hAnsi="Arial"/>
          <w:sz w:val="9"/>
          <w:szCs w:val="9"/>
          <w:color w:val="auto"/>
        </w:rPr>
      </w:pPr>
      <w:r>
        <w:rPr>
          <w:rFonts w:ascii="Arial" w:cs="Arial" w:eastAsia="Arial" w:hAnsi="Arial"/>
          <w:sz w:val="9"/>
          <w:szCs w:val="9"/>
          <w:color w:val="auto"/>
        </w:rPr>
        <w:t>Except as provided in the next sentence, any special meeting shall be held at such place, date and time as may be designated by the Chairman of the Board, the president or the Board of Directors, whoever has called the meeting. In the case of any special meeting called by the secretary upon the request of stockholders (a “Stockholder Requested Meeting”), such meeting shall be held at such place, date and time as may be designated by the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80"/>
          </w:cols>
          <w:pgMar w:left="300" w:top="232" w:right="319" w:bottom="1440" w:gutter="0" w:footer="0" w:header="0"/>
        </w:sectPr>
      </w:pPr>
    </w:p>
    <w:bookmarkStart w:id="72" w:name="page73"/>
    <w:bookmarkEnd w:id="72"/>
    <w:p>
      <w:pPr>
        <w:spacing w:after="0" w:line="27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6455" cy="20955"/>
                    </a:xfrm>
                    <a:prstGeom prst="rect">
                      <a:avLst/>
                    </a:prstGeom>
                    <a:noFill/>
                  </pic:spPr>
                </pic:pic>
              </a:graphicData>
            </a:graphic>
          </wp:anchor>
        </w:drawing>
        <w:t>Board of Directors; provided, however, that the date of any Stockholder Requested Meeting shall be not more than 90 days after the record date for such meeting (the “Meeting Record Date”); and provided further that if the Board of Directors fails to designate, within ten days after the date that a valid Special Meeting Request is actually received by the secretary (the “Delivery Date”), a date and time for a Stockholder Requested Meeting, then such meeting shall be held at 2:00 p.m. local time on the 90th day after the Meeting Record Date or, if such 90th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 Requested Meeting in the event that the requesting stockholders fail to comply with the provisions of paragraph (3) of this Section 3(b).</w:t>
      </w:r>
    </w:p>
    <w:p>
      <w:pPr>
        <w:spacing w:after="0" w:line="84" w:lineRule="exact"/>
        <w:rPr>
          <w:sz w:val="20"/>
          <w:szCs w:val="20"/>
          <w:color w:val="auto"/>
        </w:rPr>
      </w:pPr>
    </w:p>
    <w:p>
      <w:pPr>
        <w:ind w:firstLine="1461"/>
        <w:spacing w:after="0" w:line="254" w:lineRule="auto"/>
        <w:tabs>
          <w:tab w:leader="none" w:pos="1635" w:val="left"/>
        </w:tabs>
        <w:numPr>
          <w:ilvl w:val="0"/>
          <w:numId w:val="44"/>
        </w:numPr>
        <w:rPr>
          <w:rFonts w:ascii="Arial" w:cs="Arial" w:eastAsia="Arial" w:hAnsi="Arial"/>
          <w:sz w:val="12"/>
          <w:szCs w:val="12"/>
          <w:color w:val="auto"/>
        </w:rPr>
      </w:pPr>
      <w:r>
        <w:rPr>
          <w:rFonts w:ascii="Arial" w:cs="Arial" w:eastAsia="Arial" w:hAnsi="Arial"/>
          <w:sz w:val="12"/>
          <w:szCs w:val="12"/>
          <w:color w:val="auto"/>
        </w:rPr>
        <w:t>If written revocations of requests for the special meeting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 notice of any revocation of a request for the special meeting and written notice of the Secretary’s intention to revoke the notice of the meeting, revoke the notice of the meeting at any time before ten days before the commencement of the meeting. Any request for a special meeting received after a revocation by the Secretary of a notice of a meeting shall be considered a request for a new special meeting.</w:t>
      </w:r>
    </w:p>
    <w:p>
      <w:pPr>
        <w:spacing w:after="0" w:line="95" w:lineRule="exact"/>
        <w:rPr>
          <w:rFonts w:ascii="Arial" w:cs="Arial" w:eastAsia="Arial" w:hAnsi="Arial"/>
          <w:sz w:val="12"/>
          <w:szCs w:val="12"/>
          <w:color w:val="auto"/>
        </w:rPr>
      </w:pPr>
    </w:p>
    <w:p>
      <w:pPr>
        <w:ind w:firstLine="1461"/>
        <w:spacing w:after="0" w:line="256" w:lineRule="auto"/>
        <w:tabs>
          <w:tab w:leader="none" w:pos="1635"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at least the Special Meeting Percentage. Nothing contained in this paragraph (6) shall in any way be construed to suggest or imply that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80"/>
          </w:cols>
          <w:pgMar w:left="300" w:top="232" w:right="319" w:bottom="1440" w:gutter="0" w:footer="0" w:header="0"/>
        </w:sectPr>
      </w:pPr>
    </w:p>
    <w:bookmarkStart w:id="73" w:name="page74"/>
    <w:bookmarkEnd w:id="73"/>
    <w:p>
      <w:pPr>
        <w:ind w:right="10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6455" cy="20955"/>
                    </a:xfrm>
                    <a:prstGeom prst="rect">
                      <a:avLst/>
                    </a:prstGeom>
                    <a:noFill/>
                  </pic:spPr>
                </pic:pic>
              </a:graphicData>
            </a:graphic>
          </wp:anchor>
        </w:drawing>
        <w:t>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spacing w:after="0" w:line="88" w:lineRule="exact"/>
        <w:rPr>
          <w:sz w:val="20"/>
          <w:szCs w:val="20"/>
          <w:color w:val="auto"/>
        </w:rPr>
      </w:pPr>
    </w:p>
    <w:p>
      <w:pPr>
        <w:ind w:left="1460"/>
        <w:spacing w:after="0"/>
        <w:rPr>
          <w:sz w:val="20"/>
          <w:szCs w:val="20"/>
          <w:color w:val="auto"/>
        </w:rPr>
      </w:pPr>
      <w:r>
        <w:rPr>
          <w:rFonts w:ascii="Arial" w:cs="Arial" w:eastAsia="Arial" w:hAnsi="Arial"/>
          <w:sz w:val="9"/>
          <w:szCs w:val="9"/>
          <w:color w:val="auto"/>
        </w:rPr>
        <w:t>(7) For purposes of these Bylaws, “Business Day” shall mean any day other than a Saturday, a Sunday or other day on which banking institutions in the State of New York are authorized or obligated by law or</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executive order to close.</w:t>
      </w:r>
    </w:p>
    <w:p>
      <w:pPr>
        <w:spacing w:after="0" w:line="110" w:lineRule="exact"/>
        <w:rPr>
          <w:sz w:val="20"/>
          <w:szCs w:val="20"/>
          <w:color w:val="auto"/>
        </w:rPr>
      </w:pPr>
    </w:p>
    <w:p>
      <w:pPr>
        <w:ind w:right="40" w:firstLine="904"/>
        <w:spacing w:after="0" w:line="287" w:lineRule="auto"/>
        <w:rPr>
          <w:sz w:val="20"/>
          <w:szCs w:val="20"/>
          <w:color w:val="auto"/>
        </w:rPr>
      </w:pPr>
      <w:r>
        <w:rPr>
          <w:rFonts w:ascii="Arial" w:cs="Arial" w:eastAsia="Arial" w:hAnsi="Arial"/>
          <w:sz w:val="11"/>
          <w:szCs w:val="11"/>
          <w:color w:val="auto"/>
        </w:rPr>
        <w:t xml:space="preserve">Section 4. </w:t>
      </w:r>
      <w:r>
        <w:rPr>
          <w:rFonts w:ascii="Arial" w:cs="Arial" w:eastAsia="Arial" w:hAnsi="Arial"/>
          <w:sz w:val="11"/>
          <w:szCs w:val="11"/>
          <w:u w:val="single" w:color="auto"/>
          <w:color w:val="auto"/>
        </w:rPr>
        <w:t>NOTICE OF MEETINGS</w:t>
      </w:r>
      <w:r>
        <w:rPr>
          <w:rFonts w:ascii="Arial" w:cs="Arial" w:eastAsia="Arial" w:hAnsi="Arial"/>
          <w:sz w:val="11"/>
          <w:szCs w:val="11"/>
          <w:color w:val="auto"/>
        </w:rPr>
        <w:t>. Not less than ten nor more than 90 days before each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by presenting it to such stockholder personally, by leaving it at the stockholder’s residence or usual place of business or by any other means permitted by Maryland law. If mailed, such notice shall be deemed to be given when deposited in the United States mail addressed to the stockholder at the stockholder’s address as it appears on the records of the Corporation, with postage thereon prepaid.</w:t>
      </w:r>
    </w:p>
    <w:p>
      <w:pPr>
        <w:spacing w:after="0" w:line="79" w:lineRule="exact"/>
        <w:rPr>
          <w:sz w:val="20"/>
          <w:szCs w:val="20"/>
          <w:color w:val="auto"/>
        </w:rPr>
      </w:pPr>
    </w:p>
    <w:p>
      <w:pPr>
        <w:ind w:right="100" w:firstLine="904"/>
        <w:spacing w:after="0" w:line="268" w:lineRule="auto"/>
        <w:rPr>
          <w:sz w:val="20"/>
          <w:szCs w:val="20"/>
          <w:color w:val="auto"/>
        </w:rPr>
      </w:pPr>
      <w:r>
        <w:rPr>
          <w:rFonts w:ascii="Arial" w:cs="Arial" w:eastAsia="Arial" w:hAnsi="Arial"/>
          <w:sz w:val="12"/>
          <w:szCs w:val="12"/>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pacing w:after="0" w:line="88" w:lineRule="exact"/>
        <w:rPr>
          <w:sz w:val="20"/>
          <w:szCs w:val="20"/>
          <w:color w:val="auto"/>
        </w:rPr>
      </w:pPr>
    </w:p>
    <w:p>
      <w:pPr>
        <w:ind w:firstLine="904"/>
        <w:spacing w:after="0" w:line="279" w:lineRule="auto"/>
        <w:rPr>
          <w:sz w:val="20"/>
          <w:szCs w:val="20"/>
          <w:color w:val="auto"/>
        </w:rPr>
      </w:pPr>
      <w:r>
        <w:rPr>
          <w:rFonts w:ascii="Arial" w:cs="Arial" w:eastAsia="Arial" w:hAnsi="Arial"/>
          <w:sz w:val="11"/>
          <w:szCs w:val="11"/>
          <w:color w:val="auto"/>
        </w:rPr>
        <w:t xml:space="preserve">Section 5. </w:t>
      </w:r>
      <w:r>
        <w:rPr>
          <w:rFonts w:ascii="Arial" w:cs="Arial" w:eastAsia="Arial" w:hAnsi="Arial"/>
          <w:sz w:val="11"/>
          <w:szCs w:val="11"/>
          <w:u w:val="single" w:color="auto"/>
          <w:color w:val="auto"/>
        </w:rPr>
        <w:t>ORGANIZATION AND CONDUCT</w:t>
      </w:r>
      <w:r>
        <w:rPr>
          <w:rFonts w:ascii="Arial" w:cs="Arial" w:eastAsia="Arial" w:hAnsi="Arial"/>
          <w:sz w:val="11"/>
          <w:szCs w:val="11"/>
          <w:color w:val="auto"/>
        </w:rPr>
        <w:t>. Every meeting of stockholders shall be conducted by an individual appointed by the Board of Directors to be chairman of the meeting or, in the absence of such appointment, by the Chairman of the Board, if any, or, in the case of a vacancy in the office or absence of the Chairman of the Board, by one of the following officers present at the meeting: the Vice Chairman of the Board, if any, the president, any Vice president, the secretary, the Treasurer, the Chief Compliance Officer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80"/>
          </w:cols>
          <w:pgMar w:left="300" w:top="232" w:right="319" w:bottom="1440" w:gutter="0" w:footer="0" w:header="0"/>
        </w:sectPr>
      </w:pPr>
    </w:p>
    <w:bookmarkStart w:id="74" w:name="page75"/>
    <w:bookmarkEnd w:id="74"/>
    <w:p>
      <w:pPr>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6455" cy="20955"/>
                    </a:xfrm>
                    <a:prstGeom prst="rect">
                      <a:avLst/>
                    </a:prstGeom>
                    <a:noFill/>
                  </pic:spPr>
                </pic:pic>
              </a:graphicData>
            </a:graphic>
          </wp:anchor>
        </w:drawing>
        <w:t>commencement of the meeting; (b) limiting attendance at the meeting to stockholders of record of the Corporation, their duly authorized proxies and other such individuals as the chairman of the meeting may determine; (c) limiting participation at the meeting on any matter to stockholders of record of the Corporation entitled to vote on such matter, their duly authorized proxies or other such individuals as the chairman of the meeting may determine; (d) limiting the time allotted to questions or comments by participants; (e) determining when the polls should be opened and closed; (f) maintaining order and security at the meeting; (g) removing any stockholder or any other individual who refuses to comply with meeting procedures, rules or guidelines as set forth by the chairman of the meeting; and (h) concluding a meeting or recessing or adjourning the meeting to a later date and time and at a place announced at the meeting. Unless otherwise determined by the chairman of the meeting, meetings of stockholders shall not be required to be held in accordance with the rules of parliamentary procedure.</w:t>
      </w:r>
    </w:p>
    <w:p>
      <w:pPr>
        <w:spacing w:after="0" w:line="82" w:lineRule="exact"/>
        <w:rPr>
          <w:sz w:val="20"/>
          <w:szCs w:val="20"/>
          <w:color w:val="auto"/>
        </w:rPr>
      </w:pPr>
    </w:p>
    <w:p>
      <w:pPr>
        <w:ind w:right="100" w:firstLine="904"/>
        <w:spacing w:after="0" w:line="256" w:lineRule="auto"/>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u w:val="single" w:color="auto"/>
          <w:color w:val="auto"/>
        </w:rPr>
        <w:t>QUORUM</w:t>
      </w:r>
      <w:r>
        <w:rPr>
          <w:rFonts w:ascii="Arial" w:cs="Arial" w:eastAsia="Arial" w:hAnsi="Arial"/>
          <w:sz w:val="12"/>
          <w:szCs w:val="12"/>
          <w:color w:val="auto"/>
        </w:rPr>
        <w:t>. The presence in person or by proxy of the holders of shares of stock of the Corporation entitled to cast a majority of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This section shall not affect any requirement under any statute or the charter of the Corporation for the vote necessary for the adoption of any measure.</w:t>
      </w:r>
    </w:p>
    <w:p>
      <w:pPr>
        <w:spacing w:after="0" w:line="95" w:lineRule="exact"/>
        <w:rPr>
          <w:sz w:val="20"/>
          <w:szCs w:val="20"/>
          <w:color w:val="auto"/>
        </w:rPr>
      </w:pPr>
    </w:p>
    <w:p>
      <w:pPr>
        <w:jc w:val="both"/>
        <w:ind w:right="340" w:firstLine="904"/>
        <w:spacing w:after="0" w:line="259" w:lineRule="auto"/>
        <w:rPr>
          <w:sz w:val="20"/>
          <w:szCs w:val="20"/>
          <w:color w:val="auto"/>
        </w:rPr>
      </w:pPr>
      <w:r>
        <w:rPr>
          <w:rFonts w:ascii="Arial" w:cs="Arial" w:eastAsia="Arial" w:hAnsi="Arial"/>
          <w:sz w:val="12"/>
          <w:szCs w:val="12"/>
          <w:color w:val="auto"/>
        </w:rPr>
        <w:t>If, however, such quorum shall not be present at any meeting of the stockholders, the chairman of the meeting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93" w:lineRule="exact"/>
        <w:rPr>
          <w:sz w:val="20"/>
          <w:szCs w:val="20"/>
          <w:color w:val="auto"/>
        </w:rPr>
      </w:pPr>
    </w:p>
    <w:p>
      <w:pPr>
        <w:ind w:firstLine="904"/>
        <w:spacing w:after="0" w:line="268" w:lineRule="auto"/>
        <w:rPr>
          <w:sz w:val="20"/>
          <w:szCs w:val="20"/>
          <w:color w:val="auto"/>
        </w:rPr>
      </w:pPr>
      <w:r>
        <w:rPr>
          <w:rFonts w:ascii="Arial" w:cs="Arial" w:eastAsia="Arial" w:hAnsi="Arial"/>
          <w:sz w:val="12"/>
          <w:szCs w:val="12"/>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88" w:lineRule="exact"/>
        <w:rPr>
          <w:sz w:val="20"/>
          <w:szCs w:val="20"/>
          <w:color w:val="auto"/>
        </w:rPr>
      </w:pPr>
    </w:p>
    <w:p>
      <w:pPr>
        <w:ind w:right="40" w:firstLine="904"/>
        <w:spacing w:after="0" w:line="256" w:lineRule="auto"/>
        <w:rPr>
          <w:sz w:val="20"/>
          <w:szCs w:val="20"/>
          <w:color w:val="auto"/>
        </w:rPr>
      </w:pPr>
      <w:r>
        <w:rPr>
          <w:rFonts w:ascii="Arial" w:cs="Arial" w:eastAsia="Arial" w:hAnsi="Arial"/>
          <w:sz w:val="12"/>
          <w:szCs w:val="12"/>
          <w:color w:val="auto"/>
        </w:rPr>
        <w:t xml:space="preserve">Section 7. </w:t>
      </w:r>
      <w:r>
        <w:rPr>
          <w:rFonts w:ascii="Arial" w:cs="Arial" w:eastAsia="Arial" w:hAnsi="Arial"/>
          <w:sz w:val="12"/>
          <w:szCs w:val="12"/>
          <w:u w:val="single" w:color="auto"/>
          <w:color w:val="auto"/>
        </w:rPr>
        <w:t>VOTING</w:t>
      </w:r>
      <w:r>
        <w:rPr>
          <w:rFonts w:ascii="Arial" w:cs="Arial" w:eastAsia="Arial" w:hAnsi="Arial"/>
          <w:sz w:val="12"/>
          <w:szCs w:val="12"/>
          <w:color w:val="auto"/>
        </w:rPr>
        <w:t>. Each director shall be elected by the affirmative vote of the holders of a majority of the shares of stock outstanding and entitled to vote thereon.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more than a majority of the votes cast is required by statute or by the charter of the Corporation. Unless otherwise provided in the charter, each outstanding share, regardless of class, shall be entitled to one vote on each matter submitted to a vote at a meeting of stockholders.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80"/>
          </w:cols>
          <w:pgMar w:left="300" w:top="232" w:right="319" w:bottom="1440" w:gutter="0" w:footer="0" w:header="0"/>
        </w:sectPr>
      </w:pPr>
    </w:p>
    <w:bookmarkStart w:id="75" w:name="page76"/>
    <w:bookmarkEnd w:id="75"/>
    <w:p>
      <w:pPr>
        <w:ind w:right="120" w:firstLine="904"/>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6455" cy="20955"/>
                    </a:xfrm>
                    <a:prstGeom prst="rect">
                      <a:avLst/>
                    </a:prstGeom>
                    <a:noFill/>
                  </pic:spPr>
                </pic:pic>
              </a:graphicData>
            </a:graphic>
          </wp:anchor>
        </w:drawing>
        <w:t xml:space="preserve">Section 8. </w:t>
      </w:r>
      <w:r>
        <w:rPr>
          <w:rFonts w:ascii="Arial" w:cs="Arial" w:eastAsia="Arial" w:hAnsi="Arial"/>
          <w:sz w:val="12"/>
          <w:szCs w:val="12"/>
          <w:u w:val="single" w:color="auto"/>
          <w:color w:val="auto"/>
        </w:rPr>
        <w:t>PROXIES</w:t>
      </w:r>
      <w:r>
        <w:rPr>
          <w:rFonts w:ascii="Arial" w:cs="Arial" w:eastAsia="Arial" w:hAnsi="Arial"/>
          <w:sz w:val="12"/>
          <w:szCs w:val="12"/>
          <w:color w:val="auto"/>
        </w:rPr>
        <w:t>. A stockholder may cast the votes entitled to be cast by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93" w:lineRule="exact"/>
        <w:rPr>
          <w:sz w:val="20"/>
          <w:szCs w:val="20"/>
          <w:color w:val="auto"/>
        </w:rPr>
      </w:pPr>
    </w:p>
    <w:p>
      <w:pPr>
        <w:ind w:right="40" w:firstLine="904"/>
        <w:spacing w:after="0" w:line="256" w:lineRule="auto"/>
        <w:rPr>
          <w:sz w:val="20"/>
          <w:szCs w:val="20"/>
          <w:color w:val="auto"/>
        </w:rPr>
      </w:pPr>
      <w:r>
        <w:rPr>
          <w:rFonts w:ascii="Arial" w:cs="Arial" w:eastAsia="Arial" w:hAnsi="Arial"/>
          <w:sz w:val="12"/>
          <w:szCs w:val="12"/>
          <w:color w:val="auto"/>
        </w:rPr>
        <w:t xml:space="preserve">Section 9. </w:t>
      </w:r>
      <w:r>
        <w:rPr>
          <w:rFonts w:ascii="Arial" w:cs="Arial" w:eastAsia="Arial" w:hAnsi="Arial"/>
          <w:sz w:val="12"/>
          <w:szCs w:val="12"/>
          <w:u w:val="single" w:color="auto"/>
          <w:color w:val="auto"/>
        </w:rPr>
        <w:t>VOTING OF STOCK BY CERTAIN HOLDERS</w:t>
      </w:r>
      <w:r>
        <w:rPr>
          <w:rFonts w:ascii="Arial" w:cs="Arial" w:eastAsia="Arial" w:hAnsi="Arial"/>
          <w:sz w:val="12"/>
          <w:szCs w:val="12"/>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95" w:lineRule="exact"/>
        <w:rPr>
          <w:sz w:val="20"/>
          <w:szCs w:val="20"/>
          <w:color w:val="auto"/>
        </w:rPr>
      </w:pPr>
    </w:p>
    <w:p>
      <w:pPr>
        <w:ind w:right="140" w:firstLine="904"/>
        <w:spacing w:after="0" w:line="268" w:lineRule="auto"/>
        <w:rPr>
          <w:sz w:val="20"/>
          <w:szCs w:val="20"/>
          <w:color w:val="auto"/>
        </w:rPr>
      </w:pPr>
      <w:r>
        <w:rPr>
          <w:rFonts w:ascii="Arial" w:cs="Arial" w:eastAsia="Arial" w:hAnsi="Arial"/>
          <w:sz w:val="12"/>
          <w:szCs w:val="12"/>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88" w:lineRule="exact"/>
        <w:rPr>
          <w:sz w:val="20"/>
          <w:szCs w:val="20"/>
          <w:color w:val="auto"/>
        </w:rPr>
      </w:pPr>
    </w:p>
    <w:p>
      <w:pPr>
        <w:ind w:right="100" w:firstLine="904"/>
        <w:spacing w:after="0" w:line="268" w:lineRule="auto"/>
        <w:rPr>
          <w:sz w:val="20"/>
          <w:szCs w:val="20"/>
          <w:color w:val="auto"/>
        </w:rPr>
      </w:pPr>
      <w:r>
        <w:rPr>
          <w:rFonts w:ascii="Arial" w:cs="Arial" w:eastAsia="Arial" w:hAnsi="Arial"/>
          <w:sz w:val="12"/>
          <w:szCs w:val="12"/>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w:t>
      </w:r>
    </w:p>
    <w:p>
      <w:pPr>
        <w:spacing w:after="0" w:line="88" w:lineRule="exact"/>
        <w:rPr>
          <w:sz w:val="20"/>
          <w:szCs w:val="20"/>
          <w:color w:val="auto"/>
        </w:rPr>
      </w:pPr>
    </w:p>
    <w:p>
      <w:pPr>
        <w:ind w:right="20" w:firstLine="904"/>
        <w:spacing w:after="0" w:line="256" w:lineRule="auto"/>
        <w:rPr>
          <w:sz w:val="20"/>
          <w:szCs w:val="20"/>
          <w:color w:val="auto"/>
        </w:rPr>
      </w:pPr>
      <w:r>
        <w:rPr>
          <w:rFonts w:ascii="Arial" w:cs="Arial" w:eastAsia="Arial" w:hAnsi="Arial"/>
          <w:sz w:val="12"/>
          <w:szCs w:val="12"/>
          <w:color w:val="auto"/>
        </w:rPr>
        <w:t>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95" w:lineRule="exact"/>
        <w:rPr>
          <w:sz w:val="20"/>
          <w:szCs w:val="20"/>
          <w:color w:val="auto"/>
        </w:rPr>
      </w:pPr>
    </w:p>
    <w:p>
      <w:pPr>
        <w:ind w:firstLine="904"/>
        <w:spacing w:after="0" w:line="256" w:lineRule="auto"/>
        <w:rPr>
          <w:sz w:val="20"/>
          <w:szCs w:val="20"/>
          <w:color w:val="auto"/>
        </w:rPr>
      </w:pPr>
      <w:r>
        <w:rPr>
          <w:rFonts w:ascii="Arial" w:cs="Arial" w:eastAsia="Arial" w:hAnsi="Arial"/>
          <w:sz w:val="12"/>
          <w:szCs w:val="12"/>
          <w:color w:val="auto"/>
        </w:rPr>
        <w:t xml:space="preserve">Section 10. </w:t>
      </w:r>
      <w:r>
        <w:rPr>
          <w:rFonts w:ascii="Arial" w:cs="Arial" w:eastAsia="Arial" w:hAnsi="Arial"/>
          <w:sz w:val="12"/>
          <w:szCs w:val="12"/>
          <w:u w:val="single" w:color="auto"/>
          <w:color w:val="auto"/>
        </w:rPr>
        <w:t>INSPECTORS</w:t>
      </w:r>
      <w:r>
        <w:rPr>
          <w:rFonts w:ascii="Arial" w:cs="Arial" w:eastAsia="Arial" w:hAnsi="Arial"/>
          <w:sz w:val="12"/>
          <w:szCs w:val="12"/>
          <w:color w:val="auto"/>
        </w:rPr>
        <w:t>.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 act, the vacancy may be filled by appointment made by the Board of Directors in advance of the meeting or at the meeting by the chairman of the meeting. The inspectors, if any, shall determine the number of shares outstanding and the voting power of each, the shares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232" w:right="299" w:bottom="1440" w:gutter="0" w:footer="0" w:header="0"/>
        </w:sectPr>
      </w:pPr>
    </w:p>
    <w:bookmarkStart w:id="76" w:name="page77"/>
    <w:bookmarkEnd w:id="76"/>
    <w:p>
      <w:pPr>
        <w:ind w:right="100"/>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6455" cy="20955"/>
                    </a:xfrm>
                    <a:prstGeom prst="rect">
                      <a:avLst/>
                    </a:prstGeom>
                    <a:noFill/>
                  </pic:spPr>
                </pic:pic>
              </a:graphicData>
            </a:graphic>
          </wp:anchor>
        </w:drawing>
        <w:t>represented at the meeting, the existence of a quorum, the validity and effect of proxies, and shall receive votes, ballots or consents, hear and determine all challenges and questions arising in connection with the right to vote, count and tabulate all votes, ballots or consents, and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Section 11. ADVANCE NOTICE OF STOCKHOLDER NOMINEES FOR DIRECTOR AND OTHER STOCKHOLDER PROPOSALS.</w:t>
      </w:r>
    </w:p>
    <w:p>
      <w:pPr>
        <w:spacing w:after="0" w:line="60" w:lineRule="exact"/>
        <w:rPr>
          <w:sz w:val="20"/>
          <w:szCs w:val="20"/>
          <w:color w:val="auto"/>
        </w:rPr>
      </w:pPr>
    </w:p>
    <w:p>
      <w:pPr>
        <w:jc w:val="both"/>
        <w:ind w:right="220" w:firstLine="896"/>
        <w:spacing w:after="0" w:line="293" w:lineRule="auto"/>
        <w:tabs>
          <w:tab w:leader="none" w:pos="1063" w:val="left"/>
        </w:tabs>
        <w:numPr>
          <w:ilvl w:val="0"/>
          <w:numId w:val="45"/>
        </w:numPr>
        <w:rPr>
          <w:rFonts w:ascii="Arial" w:cs="Arial" w:eastAsia="Arial" w:hAnsi="Arial"/>
          <w:sz w:val="11"/>
          <w:szCs w:val="11"/>
          <w:color w:val="auto"/>
        </w:rPr>
      </w:pPr>
      <w:r>
        <w:rPr>
          <w:rFonts w:ascii="Arial" w:cs="Arial" w:eastAsia="Arial" w:hAnsi="Arial"/>
          <w:sz w:val="11"/>
          <w:szCs w:val="11"/>
          <w:u w:val="single" w:color="auto"/>
          <w:color w:val="auto"/>
        </w:rPr>
        <w:t>Annual Meetings of Stockholders</w:t>
      </w:r>
      <w:r>
        <w:rPr>
          <w:rFonts w:ascii="Arial" w:cs="Arial" w:eastAsia="Arial" w:hAnsi="Arial"/>
          <w:sz w:val="11"/>
          <w:szCs w:val="11"/>
          <w:color w:val="auto"/>
        </w:rPr>
        <w:t>. (1) 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11(a) and at the time of the annual meeting, who is entitled to vote at the meeting and who has complied with this Section 11(a).</w:t>
      </w:r>
    </w:p>
    <w:p>
      <w:pPr>
        <w:spacing w:after="0" w:line="76" w:lineRule="exact"/>
        <w:rPr>
          <w:rFonts w:ascii="Arial" w:cs="Arial" w:eastAsia="Arial" w:hAnsi="Arial"/>
          <w:sz w:val="11"/>
          <w:szCs w:val="11"/>
          <w:color w:val="auto"/>
        </w:rPr>
      </w:pPr>
    </w:p>
    <w:p>
      <w:pPr>
        <w:ind w:firstLine="1461"/>
        <w:spacing w:after="0" w:line="277" w:lineRule="auto"/>
        <w:tabs>
          <w:tab w:leader="none" w:pos="1635" w:val="left"/>
        </w:tabs>
        <w:numPr>
          <w:ilvl w:val="1"/>
          <w:numId w:val="45"/>
        </w:numPr>
        <w:rPr>
          <w:rFonts w:ascii="Arial" w:cs="Arial" w:eastAsia="Arial" w:hAnsi="Arial"/>
          <w:sz w:val="11"/>
          <w:szCs w:val="11"/>
          <w:color w:val="auto"/>
        </w:rPr>
      </w:pPr>
      <w:r>
        <w:rPr>
          <w:rFonts w:ascii="Arial" w:cs="Arial" w:eastAsia="Arial" w:hAnsi="Arial"/>
          <w:sz w:val="11"/>
          <w:szCs w:val="11"/>
          <w:color w:val="auto"/>
        </w:rPr>
        <w:t>For nominations or other business to be properly brought before an annual meeting by a stockholder pursuant to clause (iii) of paragraph (a)(1) of this Section 11, the stockholder must have given timely notice thereof in writing to the secretary of the Corporation and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earlier than the 150th day prior to the first anniversary of the date of mailing of the notice for the preceding year’s annual meeting nor later than 5:00 p.m., Eastern Time, on the 120th day prior to the first anniversary of the date of mailing of the notice for the preceding year’s annual meeting; provided, however, that in the event that the date of the annual meeting is advanced or delayed by more than 30 days from the first anniversary of the date of the preceding year’s annual meeting, notice by the stockholder to be timely must be so delivered not earlier than the 150th day prior to the date of such annual meeting and not later than 5:00 p.m., Eastern Time, on the later of the 120th day prior to the date of such annual meeting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 Such stockholder’s notice shall set forth (i) as to each individual whom the stockholder proposes to nominate for election or reelection as a director, (A) the name, age, business address and residence address of such individual, (B) the class, series and number of any shares of stock of the Corporation that are beneficially owned by such individual, (C) the date such shares were acquired and the investment intent of such acquisition, (D) whether such stockholder believes any such individual is, or is not, an “interested person” of the Corporation, as defined in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80"/>
          </w:cols>
          <w:pgMar w:left="300" w:top="232" w:right="319" w:bottom="1440" w:gutter="0" w:footer="0" w:header="0"/>
        </w:sectPr>
      </w:pPr>
    </w:p>
    <w:bookmarkStart w:id="77" w:name="page78"/>
    <w:bookmarkEnd w:id="77"/>
    <w:p>
      <w:pPr>
        <w:ind w:right="20"/>
        <w:spacing w:after="0" w:line="27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6455" cy="20955"/>
                    </a:xfrm>
                    <a:prstGeom prst="rect">
                      <a:avLst/>
                    </a:prstGeom>
                    <a:noFill/>
                  </pic:spPr>
                </pic:pic>
              </a:graphicData>
            </a:graphic>
          </wp:anchor>
        </w:drawing>
        <w:t>Investment Company Act of 1940, as amended, and the rules promulgated thereunder (the “Investment Company Act”) and information regarding such individual that is sufficient, in the discretion of the Board of Directors or any committee thereof or any authorized officer of the Corporation, to make such determination and (E) all other information relating to such individual that is required to be disclosed in solicitations of proxies for election of directors in an election contest (even if an election contest is not involved), or is otherwise required, in each case pursuant to Regulation 14A (or any successor provision) under the Exchange Act and the rules thereunder (including such individual’s written consent to being named in the proxy statement as a nominee and to serving as a director if elected); (ii) as to any other business that the stockholder proposes to bring before the meeting, a description of such business, the reasons for proposing such business at the meeting and any material interest in such business of such stockholder and any Stockholder Associated Person (as defined below), individually or in the aggregate, including any anticipated benefit to the stockholder and the Stockholder Associated Person therefrom; (iii) as to the stockholder giving the notice and any Stockholder Associated Person, the class, series and number of all shares of stock of the Corporation which are owned by such stockholder and by such Stockholder Associated Person, if any, and the nominee holder for, and number of, shares owned beneficially but not of record by such stockholder and by any such Stockholder Associated Person; (iv) as to the stockholder giving the notice and any Stockholder Associated Person covered by clauses (ii) or (iii) of this paragraph (2) of this Section 11(a), the name and address of such stockholder, as they appear on the Corporation’s stock ledger and current name and address, if different, and of such Stockholder Associated Person; and (v) to the extent known by the stockholder giving the notice, the name and address of any other stockholder supporting the nominee for election or reelection as a director or the proposal of other business on the date of such stockholder’s notice.</w:t>
      </w:r>
    </w:p>
    <w:p>
      <w:pPr>
        <w:spacing w:after="0" w:line="88" w:lineRule="exact"/>
        <w:rPr>
          <w:sz w:val="20"/>
          <w:szCs w:val="20"/>
          <w:color w:val="auto"/>
        </w:rPr>
      </w:pPr>
    </w:p>
    <w:p>
      <w:pPr>
        <w:ind w:firstLine="1461"/>
        <w:spacing w:after="0" w:line="256" w:lineRule="auto"/>
        <w:tabs>
          <w:tab w:leader="none" w:pos="1635" w:val="left"/>
        </w:tabs>
        <w:numPr>
          <w:ilvl w:val="1"/>
          <w:numId w:val="46"/>
        </w:numPr>
        <w:rPr>
          <w:rFonts w:ascii="Arial" w:cs="Arial" w:eastAsia="Arial" w:hAnsi="Arial"/>
          <w:sz w:val="12"/>
          <w:szCs w:val="12"/>
          <w:color w:val="auto"/>
        </w:rPr>
      </w:pPr>
      <w:r>
        <w:rPr>
          <w:rFonts w:ascii="Arial" w:cs="Arial" w:eastAsia="Arial" w:hAnsi="Arial"/>
          <w:sz w:val="12"/>
          <w:szCs w:val="12"/>
          <w:color w:val="auto"/>
        </w:rPr>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mailing of the notice of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95" w:lineRule="exact"/>
        <w:rPr>
          <w:rFonts w:ascii="Arial" w:cs="Arial" w:eastAsia="Arial" w:hAnsi="Arial"/>
          <w:sz w:val="12"/>
          <w:szCs w:val="12"/>
          <w:color w:val="auto"/>
        </w:rPr>
      </w:pPr>
    </w:p>
    <w:p>
      <w:pPr>
        <w:ind w:right="480" w:firstLine="1461"/>
        <w:spacing w:after="0" w:line="437" w:lineRule="auto"/>
        <w:tabs>
          <w:tab w:leader="none" w:pos="1635" w:val="left"/>
        </w:tabs>
        <w:numPr>
          <w:ilvl w:val="1"/>
          <w:numId w:val="46"/>
        </w:numPr>
        <w:rPr>
          <w:rFonts w:ascii="Arial" w:cs="Arial" w:eastAsia="Arial" w:hAnsi="Arial"/>
          <w:sz w:val="9"/>
          <w:szCs w:val="9"/>
          <w:color w:val="auto"/>
        </w:rPr>
      </w:pPr>
      <w:r>
        <w:rPr>
          <w:rFonts w:ascii="Arial" w:cs="Arial" w:eastAsia="Arial" w:hAnsi="Arial"/>
          <w:sz w:val="9"/>
          <w:szCs w:val="9"/>
          <w:color w:val="auto"/>
        </w:rPr>
        <w:t>For purposes of this Section 11, “Stockholder Associated Person” of any stockholder shall mean (i) any person controlling,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9" w:lineRule="exact"/>
        <w:rPr>
          <w:rFonts w:ascii="Arial" w:cs="Arial" w:eastAsia="Arial" w:hAnsi="Arial"/>
          <w:sz w:val="9"/>
          <w:szCs w:val="9"/>
          <w:color w:val="auto"/>
        </w:rPr>
      </w:pPr>
    </w:p>
    <w:p>
      <w:pPr>
        <w:ind w:right="20" w:firstLine="896"/>
        <w:spacing w:after="0" w:line="268" w:lineRule="auto"/>
        <w:tabs>
          <w:tab w:leader="none" w:pos="1070" w:val="left"/>
        </w:tabs>
        <w:numPr>
          <w:ilvl w:val="0"/>
          <w:numId w:val="47"/>
        </w:numPr>
        <w:rPr>
          <w:rFonts w:ascii="Arial" w:cs="Arial" w:eastAsia="Arial" w:hAnsi="Arial"/>
          <w:sz w:val="12"/>
          <w:szCs w:val="12"/>
          <w:color w:val="auto"/>
        </w:rPr>
      </w:pPr>
      <w:r>
        <w:rPr>
          <w:rFonts w:ascii="Arial" w:cs="Arial" w:eastAsia="Arial" w:hAnsi="Arial"/>
          <w:sz w:val="12"/>
          <w:szCs w:val="12"/>
          <w:u w:val="single" w:color="auto"/>
          <w:color w:val="auto"/>
        </w:rPr>
        <w:t>Special Meetings of Stockholders</w:t>
      </w:r>
      <w:r>
        <w:rPr>
          <w:rFonts w:ascii="Arial" w:cs="Arial" w:eastAsia="Arial" w:hAnsi="Arial"/>
          <w:sz w:val="12"/>
          <w:szCs w:val="12"/>
          <w:color w:val="auto"/>
        </w:rPr>
        <w:t>. Only such business shall be conducted at a special meeting of stockholders as shall have been brought before the meeting pursuant to the Corporation’s notice of meeting. Nominations of individuals for election to the Board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232" w:right="299" w:bottom="1440" w:gutter="0" w:footer="0" w:header="0"/>
        </w:sectPr>
      </w:pPr>
    </w:p>
    <w:bookmarkStart w:id="78" w:name="page79"/>
    <w:bookmarkEnd w:id="78"/>
    <w:p>
      <w:pPr>
        <w:spacing w:after="0" w:line="28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6455" cy="20955"/>
                    </a:xfrm>
                    <a:prstGeom prst="rect">
                      <a:avLst/>
                    </a:prstGeom>
                    <a:noFill/>
                  </pic:spPr>
                </pic:pic>
              </a:graphicData>
            </a:graphic>
          </wp:anchor>
        </w:drawing>
        <w:t>Directors may be made at a special meeting of stockholders at which directors are to be elected (i) pursuant to the Corporation’s notice of meeting, (ii) by or at the direction of the Board of Directors or (iii) provided that the Board of Directors has determined that directors shall be elected at such special meeting, by any stockholder of the Corporation who is a stockholder of record both at the time of giving of notice provided for in this Section 11 and at the time of the special meeting, who is entitled to vote at the meeting and who complied with the notice procedures set forth in this Section 11. In the event the Corporation calls a special meeting of stockholders for the purpose of electing one or more individuals to the Board of Directors, any such stockholder may nominate an individual or individuals (as the case may be) for election as a director as specified in the Corporation’s notice of meeting, if the stockholder’s notice required by paragraph (2) of this Section 11(a) shall be delivered to the secretary at the principal executive office of the Corporation not earlier than the 150th day prior to such special meeting and not later than 5:00 p.m., Eastern Time, on the later of the 120th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83" w:lineRule="exact"/>
        <w:rPr>
          <w:sz w:val="20"/>
          <w:szCs w:val="20"/>
          <w:color w:val="auto"/>
        </w:rPr>
      </w:pPr>
    </w:p>
    <w:p>
      <w:pPr>
        <w:ind w:firstLine="896"/>
        <w:spacing w:after="0" w:line="287" w:lineRule="auto"/>
        <w:tabs>
          <w:tab w:leader="none" w:pos="1063" w:val="left"/>
        </w:tabs>
        <w:numPr>
          <w:ilvl w:val="0"/>
          <w:numId w:val="48"/>
        </w:numPr>
        <w:rPr>
          <w:rFonts w:ascii="Arial" w:cs="Arial" w:eastAsia="Arial" w:hAnsi="Arial"/>
          <w:sz w:val="11"/>
          <w:szCs w:val="11"/>
          <w:color w:val="auto"/>
        </w:rPr>
      </w:pPr>
      <w:r>
        <w:rPr>
          <w:rFonts w:ascii="Arial" w:cs="Arial" w:eastAsia="Arial" w:hAnsi="Arial"/>
          <w:sz w:val="11"/>
          <w:szCs w:val="11"/>
          <w:u w:val="single" w:color="auto"/>
          <w:color w:val="auto"/>
        </w:rPr>
        <w:t>General</w:t>
      </w:r>
      <w:r>
        <w:rPr>
          <w:rFonts w:ascii="Arial" w:cs="Arial" w:eastAsia="Arial" w:hAnsi="Arial"/>
          <w:sz w:val="11"/>
          <w:szCs w:val="11"/>
          <w:color w:val="auto"/>
        </w:rPr>
        <w:t>. (1) Upon written request by the secretary or the Board of Directors or any committee thereof, any stockholder proposing a nominee for election as a director or any proposal for other business at a meeting of stockholders shall provide, within five Business Days of delivery of such request (or such other period as may be specified in such request), written verification, satisfactory, in the discretion of the Board of Directors or any committee thereof or any authorized officer of the Corporation, to demonstrate the accuracy of any information submitted by the stockholder pursuant to this Section 11. If a stockholder fails to provide such written verification within such period, the information as to which written verification was requested may be deemed not to have been provided in accordance with this Section 11.</w:t>
      </w:r>
    </w:p>
    <w:p>
      <w:pPr>
        <w:spacing w:after="0" w:line="78" w:lineRule="exact"/>
        <w:rPr>
          <w:rFonts w:ascii="Arial" w:cs="Arial" w:eastAsia="Arial" w:hAnsi="Arial"/>
          <w:sz w:val="11"/>
          <w:szCs w:val="11"/>
          <w:color w:val="auto"/>
        </w:rPr>
      </w:pPr>
    </w:p>
    <w:p>
      <w:pPr>
        <w:ind w:right="20" w:firstLine="1461"/>
        <w:spacing w:after="0" w:line="259" w:lineRule="auto"/>
        <w:tabs>
          <w:tab w:leader="none" w:pos="1635" w:val="left"/>
        </w:tabs>
        <w:numPr>
          <w:ilvl w:val="1"/>
          <w:numId w:val="48"/>
        </w:numPr>
        <w:rPr>
          <w:rFonts w:ascii="Arial" w:cs="Arial" w:eastAsia="Arial" w:hAnsi="Arial"/>
          <w:sz w:val="12"/>
          <w:szCs w:val="12"/>
          <w:color w:val="auto"/>
        </w:rPr>
      </w:pPr>
      <w:r>
        <w:rPr>
          <w:rFonts w:ascii="Arial" w:cs="Arial" w:eastAsia="Arial" w:hAnsi="Arial"/>
          <w:sz w:val="12"/>
          <w:szCs w:val="12"/>
          <w:color w:val="auto"/>
        </w:rPr>
        <w:t>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w:t>
      </w:r>
    </w:p>
    <w:p>
      <w:pPr>
        <w:spacing w:after="0" w:line="93" w:lineRule="exact"/>
        <w:rPr>
          <w:rFonts w:ascii="Arial" w:cs="Arial" w:eastAsia="Arial" w:hAnsi="Arial"/>
          <w:sz w:val="12"/>
          <w:szCs w:val="12"/>
          <w:color w:val="auto"/>
        </w:rPr>
      </w:pPr>
    </w:p>
    <w:p>
      <w:pPr>
        <w:ind w:right="100" w:firstLine="1461"/>
        <w:spacing w:after="0" w:line="259" w:lineRule="auto"/>
        <w:tabs>
          <w:tab w:leader="none" w:pos="1635" w:val="left"/>
        </w:tabs>
        <w:numPr>
          <w:ilvl w:val="1"/>
          <w:numId w:val="48"/>
        </w:numPr>
        <w:rPr>
          <w:rFonts w:ascii="Arial" w:cs="Arial" w:eastAsia="Arial" w:hAnsi="Arial"/>
          <w:sz w:val="12"/>
          <w:szCs w:val="12"/>
          <w:color w:val="auto"/>
        </w:rPr>
      </w:pPr>
      <w:r>
        <w:rPr>
          <w:rFonts w:ascii="Arial" w:cs="Arial" w:eastAsia="Arial" w:hAnsi="Arial"/>
          <w:sz w:val="12"/>
          <w:szCs w:val="12"/>
          <w:color w:val="auto"/>
        </w:rPr>
        <w:t>For purposes of this Section 11, (a) the “date of mailing of the notice” shall mean the date of the proxy statement for the solicitation of proxies for election of directors and (b) “public announcement” shall mean disclosure (i) in a press release reported by the Dow Jones News Service, Associated Press, Business Wire, PR Newswire or comparable news service or (ii) in a document publicly filed by the Corporation with the Securities and Exchange Commission pursuant to the Exchange Act or the Investment Company Act.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280"/>
          </w:cols>
          <w:pgMar w:left="300" w:top="232" w:right="319" w:bottom="1440" w:gutter="0" w:footer="0" w:header="0"/>
        </w:sectPr>
      </w:pPr>
    </w:p>
    <w:bookmarkStart w:id="79" w:name="page80"/>
    <w:bookmarkEnd w:id="79"/>
    <w:p>
      <w:pPr>
        <w:ind w:right="40" w:firstLine="1461"/>
        <w:spacing w:after="0" w:line="259" w:lineRule="auto"/>
        <w:tabs>
          <w:tab w:leader="none" w:pos="1635" w:val="left"/>
        </w:tabs>
        <w:numPr>
          <w:ilvl w:val="0"/>
          <w:numId w:val="4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6455" cy="20955"/>
                    </a:xfrm>
                    <a:prstGeom prst="rect">
                      <a:avLst/>
                    </a:prstGeom>
                    <a:noFill/>
                  </pic:spPr>
                </pic:pic>
              </a:graphicData>
            </a:graphic>
          </wp:anchor>
        </w:drawing>
        <w:t>Notwithstanding the foregoing provisions of this Section 11, a stockholder shall also comply with all applicable requirements of state law and of the Exchange Act and the rules and regulations thereunder with respect to the matters set forth in this Section 11. Nothing in this Section 11 shall be deemed to affect any right of a stockholder to request inclusion of a proposal in, nor the right of the Corporation to omit a proposal from, the Corporation’s proxy statement pursuant to Rule 14a-8 (or any successor provision) under the Exchange Act.</w:t>
      </w:r>
    </w:p>
    <w:p>
      <w:pPr>
        <w:spacing w:after="0" w:line="93" w:lineRule="exact"/>
        <w:rPr>
          <w:sz w:val="20"/>
          <w:szCs w:val="20"/>
          <w:color w:val="auto"/>
        </w:rPr>
      </w:pPr>
    </w:p>
    <w:p>
      <w:pPr>
        <w:ind w:left="900"/>
        <w:spacing w:after="0"/>
        <w:rPr>
          <w:sz w:val="20"/>
          <w:szCs w:val="20"/>
          <w:color w:val="auto"/>
        </w:rPr>
      </w:pPr>
      <w:r>
        <w:rPr>
          <w:rFonts w:ascii="Arial" w:cs="Arial" w:eastAsia="Arial" w:hAnsi="Arial"/>
          <w:sz w:val="12"/>
          <w:szCs w:val="12"/>
          <w:color w:val="auto"/>
        </w:rPr>
        <w:t xml:space="preserve">Section 12. </w:t>
      </w:r>
      <w:r>
        <w:rPr>
          <w:rFonts w:ascii="Arial" w:cs="Arial" w:eastAsia="Arial" w:hAnsi="Arial"/>
          <w:sz w:val="12"/>
          <w:szCs w:val="12"/>
          <w:u w:val="single" w:color="auto"/>
          <w:color w:val="auto"/>
        </w:rPr>
        <w:t>VOTING BY BALLOT</w:t>
      </w:r>
      <w:r>
        <w:rPr>
          <w:rFonts w:ascii="Arial" w:cs="Arial" w:eastAsia="Arial" w:hAnsi="Arial"/>
          <w:sz w:val="12"/>
          <w:szCs w:val="12"/>
          <w:color w:val="auto"/>
        </w:rPr>
        <w:t>. Voting on any question or in any election may be viva voce unless the presiding officer shall order or any stockholder shall demand that voting be by ballot.</w:t>
      </w:r>
    </w:p>
    <w:p>
      <w:pPr>
        <w:spacing w:after="0" w:line="114" w:lineRule="exact"/>
        <w:rPr>
          <w:sz w:val="20"/>
          <w:szCs w:val="20"/>
          <w:color w:val="auto"/>
        </w:rPr>
      </w:pPr>
    </w:p>
    <w:p>
      <w:pPr>
        <w:jc w:val="both"/>
        <w:ind w:firstLine="904"/>
        <w:spacing w:after="0" w:line="259" w:lineRule="auto"/>
        <w:rPr>
          <w:sz w:val="20"/>
          <w:szCs w:val="20"/>
          <w:color w:val="auto"/>
        </w:rPr>
      </w:pPr>
      <w:r>
        <w:rPr>
          <w:rFonts w:ascii="Arial" w:cs="Arial" w:eastAsia="Arial" w:hAnsi="Arial"/>
          <w:sz w:val="12"/>
          <w:szCs w:val="12"/>
          <w:color w:val="auto"/>
        </w:rPr>
        <w:t xml:space="preserve">Section 13. </w:t>
      </w:r>
      <w:r>
        <w:rPr>
          <w:rFonts w:ascii="Arial" w:cs="Arial" w:eastAsia="Arial" w:hAnsi="Arial"/>
          <w:sz w:val="12"/>
          <w:szCs w:val="12"/>
          <w:u w:val="single" w:color="auto"/>
          <w:color w:val="auto"/>
        </w:rPr>
        <w:t>CONTROL SHARE ACQUISITION ACT</w:t>
      </w:r>
      <w:r>
        <w:rPr>
          <w:rFonts w:ascii="Arial" w:cs="Arial" w:eastAsia="Arial" w:hAnsi="Arial"/>
          <w:sz w:val="12"/>
          <w:szCs w:val="12"/>
          <w:color w:val="auto"/>
        </w:rPr>
        <w:t>. Notwithstanding any other provision of the charter of the Corporation or these Bylaws, Title 3, Subtitle 7 of the Maryland General Corporation Law (the “MGCL”), or any successor statute, shall not apply to any acquisition by any person of shares of stock of the Corporation.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199" w:lineRule="exact"/>
        <w:rPr>
          <w:sz w:val="20"/>
          <w:szCs w:val="20"/>
          <w:color w:val="auto"/>
        </w:rPr>
      </w:pPr>
    </w:p>
    <w:p>
      <w:pPr>
        <w:ind w:left="5300"/>
        <w:spacing w:after="0"/>
        <w:rPr>
          <w:sz w:val="20"/>
          <w:szCs w:val="20"/>
          <w:color w:val="auto"/>
        </w:rPr>
      </w:pPr>
      <w:r>
        <w:rPr>
          <w:rFonts w:ascii="Arial" w:cs="Arial" w:eastAsia="Arial" w:hAnsi="Arial"/>
          <w:sz w:val="12"/>
          <w:szCs w:val="12"/>
          <w:b w:val="1"/>
          <w:bCs w:val="1"/>
          <w:color w:val="auto"/>
        </w:rPr>
        <w:t>ARTICLE III</w:t>
      </w:r>
    </w:p>
    <w:p>
      <w:pPr>
        <w:spacing w:after="0" w:line="114" w:lineRule="exact"/>
        <w:rPr>
          <w:sz w:val="20"/>
          <w:szCs w:val="20"/>
          <w:color w:val="auto"/>
        </w:rPr>
      </w:pPr>
    </w:p>
    <w:p>
      <w:pPr>
        <w:ind w:left="5300"/>
        <w:spacing w:after="0"/>
        <w:rPr>
          <w:sz w:val="20"/>
          <w:szCs w:val="20"/>
          <w:color w:val="auto"/>
        </w:rPr>
      </w:pPr>
      <w:r>
        <w:rPr>
          <w:rFonts w:ascii="Arial" w:cs="Arial" w:eastAsia="Arial" w:hAnsi="Arial"/>
          <w:sz w:val="12"/>
          <w:szCs w:val="12"/>
          <w:b w:val="1"/>
          <w:bCs w:val="1"/>
          <w:color w:val="auto"/>
        </w:rPr>
        <w:t>DIRECTORS</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GENERAL POWERS</w:t>
      </w:r>
      <w:r>
        <w:rPr>
          <w:rFonts w:ascii="Arial" w:cs="Arial" w:eastAsia="Arial" w:hAnsi="Arial"/>
          <w:sz w:val="12"/>
          <w:szCs w:val="12"/>
          <w:color w:val="auto"/>
        </w:rPr>
        <w:t>. The business and affairs of the Corporation shall be managed under the direction of its Board of Directors.</w:t>
      </w:r>
    </w:p>
    <w:p>
      <w:pPr>
        <w:spacing w:after="0" w:line="114" w:lineRule="exact"/>
        <w:rPr>
          <w:sz w:val="20"/>
          <w:szCs w:val="20"/>
          <w:color w:val="auto"/>
        </w:rPr>
      </w:pPr>
    </w:p>
    <w:p>
      <w:pPr>
        <w:ind w:right="220" w:firstLine="904"/>
        <w:spacing w:after="0" w:line="437" w:lineRule="auto"/>
        <w:rPr>
          <w:sz w:val="20"/>
          <w:szCs w:val="20"/>
          <w:color w:val="auto"/>
        </w:rPr>
      </w:pPr>
      <w:r>
        <w:rPr>
          <w:rFonts w:ascii="Arial" w:cs="Arial" w:eastAsia="Arial" w:hAnsi="Arial"/>
          <w:sz w:val="9"/>
          <w:szCs w:val="9"/>
          <w:color w:val="auto"/>
        </w:rPr>
        <w:t xml:space="preserve">Section 2. </w:t>
      </w:r>
      <w:r>
        <w:rPr>
          <w:rFonts w:ascii="Arial" w:cs="Arial" w:eastAsia="Arial" w:hAnsi="Arial"/>
          <w:sz w:val="9"/>
          <w:szCs w:val="9"/>
          <w:u w:val="single" w:color="auto"/>
          <w:color w:val="auto"/>
        </w:rPr>
        <w:t>NUMBER, TENURE AND QUALIFICATIONS</w:t>
      </w:r>
      <w:r>
        <w:rPr>
          <w:rFonts w:ascii="Arial" w:cs="Arial" w:eastAsia="Arial" w:hAnsi="Arial"/>
          <w:sz w:val="9"/>
          <w:szCs w:val="9"/>
          <w:color w:val="auto"/>
        </w:rPr>
        <w:t>. At any regular meeting or at any special meeting called for that purpose, a majority of the entire Board of Directors may establish, increase or decrease the number of directors, provided that the number thereof shall never be less than four nor more than eight, and further provided that the tenure of office of a director shall not be affected by any decrease in the number of directors.</w:t>
      </w:r>
    </w:p>
    <w:p>
      <w:pPr>
        <w:spacing w:after="0" w:line="19" w:lineRule="exact"/>
        <w:rPr>
          <w:sz w:val="20"/>
          <w:szCs w:val="20"/>
          <w:color w:val="auto"/>
        </w:rPr>
      </w:pPr>
    </w:p>
    <w:p>
      <w:pPr>
        <w:ind w:firstLine="904"/>
        <w:spacing w:after="0" w:line="293" w:lineRule="auto"/>
        <w:rPr>
          <w:sz w:val="20"/>
          <w:szCs w:val="20"/>
          <w:color w:val="auto"/>
        </w:rPr>
      </w:pPr>
      <w:r>
        <w:rPr>
          <w:rFonts w:ascii="Arial" w:cs="Arial" w:eastAsia="Arial" w:hAnsi="Arial"/>
          <w:sz w:val="11"/>
          <w:szCs w:val="11"/>
          <w:color w:val="auto"/>
        </w:rPr>
        <w:t xml:space="preserve">Section 3. </w:t>
      </w:r>
      <w:r>
        <w:rPr>
          <w:rFonts w:ascii="Arial" w:cs="Arial" w:eastAsia="Arial" w:hAnsi="Arial"/>
          <w:sz w:val="11"/>
          <w:szCs w:val="11"/>
          <w:u w:val="single" w:color="auto"/>
          <w:color w:val="auto"/>
        </w:rPr>
        <w:t>ANNUAL AND REGULAR MEETINGS</w:t>
      </w:r>
      <w:r>
        <w:rPr>
          <w:rFonts w:ascii="Arial" w:cs="Arial" w:eastAsia="Arial" w:hAnsi="Arial"/>
          <w:sz w:val="11"/>
          <w:szCs w:val="11"/>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pacing w:after="0" w:line="77" w:lineRule="exact"/>
        <w:rPr>
          <w:sz w:val="20"/>
          <w:szCs w:val="20"/>
          <w:color w:val="auto"/>
        </w:rPr>
      </w:pPr>
    </w:p>
    <w:p>
      <w:pPr>
        <w:ind w:firstLine="904"/>
        <w:spacing w:after="0" w:line="268"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SPECIAL MEETINGS</w:t>
      </w:r>
      <w:r>
        <w:rPr>
          <w:rFonts w:ascii="Arial" w:cs="Arial" w:eastAsia="Arial" w:hAnsi="Arial"/>
          <w:sz w:val="12"/>
          <w:szCs w:val="12"/>
          <w:color w:val="auto"/>
        </w:rPr>
        <w:t>. Special meetings of the Board of Directors may be called by or at the request of the chairman of the Board of Directors, the president or by a majority of the directors then in office. The person or persons authorized to call special meetings of the Board of Directors may fix any place as the place for holding any special meeting of the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00"/>
          </w:cols>
          <w:pgMar w:left="300" w:top="232" w:right="399" w:bottom="1440" w:gutter="0" w:footer="0" w:header="0"/>
        </w:sectPr>
      </w:pPr>
    </w:p>
    <w:bookmarkStart w:id="80" w:name="page81"/>
    <w:bookmarkEnd w:id="80"/>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6455" cy="20955"/>
                    </a:xfrm>
                    <a:prstGeom prst="rect">
                      <a:avLst/>
                    </a:prstGeom>
                    <a:noFill/>
                  </pic:spPr>
                </pic:pic>
              </a:graphicData>
            </a:graphic>
          </wp:anchor>
        </w:drawing>
        <w:t>Board of Directors called by them. The Board of Directors may provide, by resolution, the time and place for the holding of special meetings of the Board of Directors without notice other than such resolution.</w:t>
      </w:r>
    </w:p>
    <w:p>
      <w:pPr>
        <w:spacing w:after="0" w:line="114" w:lineRule="exact"/>
        <w:rPr>
          <w:sz w:val="20"/>
          <w:szCs w:val="20"/>
          <w:color w:val="auto"/>
        </w:rPr>
      </w:pPr>
    </w:p>
    <w:p>
      <w:pPr>
        <w:ind w:firstLine="904"/>
        <w:spacing w:after="0" w:line="280" w:lineRule="auto"/>
        <w:rPr>
          <w:sz w:val="20"/>
          <w:szCs w:val="20"/>
          <w:color w:val="auto"/>
        </w:rPr>
      </w:pPr>
      <w:r>
        <w:rPr>
          <w:rFonts w:ascii="Arial" w:cs="Arial" w:eastAsia="Arial" w:hAnsi="Arial"/>
          <w:sz w:val="11"/>
          <w:szCs w:val="11"/>
          <w:color w:val="auto"/>
        </w:rPr>
        <w:t xml:space="preserve">Section 5. </w:t>
      </w:r>
      <w:r>
        <w:rPr>
          <w:rFonts w:ascii="Arial" w:cs="Arial" w:eastAsia="Arial" w:hAnsi="Arial"/>
          <w:sz w:val="11"/>
          <w:szCs w:val="11"/>
          <w:u w:val="single" w:color="auto"/>
          <w:color w:val="auto"/>
        </w:rPr>
        <w:t>NOTICE</w:t>
      </w:r>
      <w:r>
        <w:rPr>
          <w:rFonts w:ascii="Arial" w:cs="Arial" w:eastAsia="Arial" w:hAnsi="Arial"/>
          <w:sz w:val="11"/>
          <w:szCs w:val="11"/>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83" w:lineRule="exact"/>
        <w:rPr>
          <w:sz w:val="20"/>
          <w:szCs w:val="20"/>
          <w:color w:val="auto"/>
        </w:rPr>
      </w:pPr>
    </w:p>
    <w:p>
      <w:pPr>
        <w:ind w:right="40" w:firstLine="904"/>
        <w:spacing w:after="0" w:line="259" w:lineRule="auto"/>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u w:val="single" w:color="auto"/>
          <w:color w:val="auto"/>
        </w:rPr>
        <w:t>QUORUM</w:t>
      </w:r>
      <w:r>
        <w:rPr>
          <w:rFonts w:ascii="Arial" w:cs="Arial" w:eastAsia="Arial" w:hAnsi="Arial"/>
          <w:sz w:val="12"/>
          <w:szCs w:val="12"/>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applicable law, the charter of the Corporation or these Bylaws, the vote of a majority of a particular group of directors is required for action, a quorum must also include a majority of such group.</w:t>
      </w:r>
    </w:p>
    <w:p>
      <w:pPr>
        <w:spacing w:after="0" w:line="93" w:lineRule="exact"/>
        <w:rPr>
          <w:sz w:val="20"/>
          <w:szCs w:val="20"/>
          <w:color w:val="auto"/>
        </w:rPr>
      </w:pPr>
    </w:p>
    <w:p>
      <w:pPr>
        <w:ind w:left="900"/>
        <w:spacing w:after="0"/>
        <w:rPr>
          <w:sz w:val="20"/>
          <w:szCs w:val="20"/>
          <w:color w:val="auto"/>
        </w:rPr>
      </w:pPr>
      <w:r>
        <w:rPr>
          <w:rFonts w:ascii="Arial" w:cs="Arial" w:eastAsia="Arial" w:hAnsi="Arial"/>
          <w:sz w:val="11"/>
          <w:szCs w:val="11"/>
          <w:color w:val="auto"/>
        </w:rPr>
        <w:t>The directors present at a meeting which has been duly called and convened may continue to transact business until adjournment, notwithstanding the withdrawal of enough directors to leave less than a quorum.</w:t>
      </w:r>
    </w:p>
    <w:p>
      <w:pPr>
        <w:spacing w:after="0" w:line="126" w:lineRule="exact"/>
        <w:rPr>
          <w:sz w:val="20"/>
          <w:szCs w:val="20"/>
          <w:color w:val="auto"/>
        </w:rPr>
      </w:pPr>
    </w:p>
    <w:p>
      <w:pPr>
        <w:ind w:firstLine="904"/>
        <w:spacing w:after="0" w:line="293" w:lineRule="auto"/>
        <w:rPr>
          <w:sz w:val="20"/>
          <w:szCs w:val="20"/>
          <w:color w:val="auto"/>
        </w:rPr>
      </w:pPr>
      <w:r>
        <w:rPr>
          <w:rFonts w:ascii="Arial" w:cs="Arial" w:eastAsia="Arial" w:hAnsi="Arial"/>
          <w:sz w:val="11"/>
          <w:szCs w:val="11"/>
          <w:color w:val="auto"/>
        </w:rPr>
        <w:t xml:space="preserve">Section 7. </w:t>
      </w:r>
      <w:r>
        <w:rPr>
          <w:rFonts w:ascii="Arial" w:cs="Arial" w:eastAsia="Arial" w:hAnsi="Arial"/>
          <w:sz w:val="11"/>
          <w:szCs w:val="11"/>
          <w:u w:val="single" w:color="auto"/>
          <w:color w:val="auto"/>
        </w:rPr>
        <w:t>VOTING</w:t>
      </w:r>
      <w:r>
        <w:rPr>
          <w:rFonts w:ascii="Arial" w:cs="Arial" w:eastAsia="Arial" w:hAnsi="Arial"/>
          <w:sz w:val="11"/>
          <w:szCs w:val="11"/>
          <w:color w:val="auto"/>
        </w:rPr>
        <w:t>. The action of the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that number of the directors necessary to constitute a quorum at such meeting shall be the action of the Board of Directors, unless the concurrence of a greater proportion is required for such action by applicable statute or the charter.</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2"/>
          <w:szCs w:val="12"/>
          <w:color w:val="auto"/>
        </w:rPr>
        <w:t xml:space="preserve">Section 8. </w:t>
      </w:r>
      <w:r>
        <w:rPr>
          <w:rFonts w:ascii="Arial" w:cs="Arial" w:eastAsia="Arial" w:hAnsi="Arial"/>
          <w:sz w:val="12"/>
          <w:szCs w:val="12"/>
          <w:u w:val="single" w:color="auto"/>
          <w:color w:val="auto"/>
        </w:rPr>
        <w:t>ORGANIZATION</w:t>
      </w:r>
      <w:r>
        <w:rPr>
          <w:rFonts w:ascii="Arial" w:cs="Arial" w:eastAsia="Arial" w:hAnsi="Arial"/>
          <w:sz w:val="12"/>
          <w:szCs w:val="12"/>
          <w:color w:val="auto"/>
        </w:rPr>
        <w:t>. At each meeting of the Board of Directors, the chairman of the board or, in the absence of the chairman, the vice chairman of the board, if any,</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60"/>
          </w:cols>
          <w:pgMar w:left="300" w:top="232" w:right="339" w:bottom="1440" w:gutter="0" w:footer="0" w:header="0"/>
        </w:sectPr>
      </w:pPr>
    </w:p>
    <w:bookmarkStart w:id="81" w:name="page82"/>
    <w:bookmarkEnd w:id="81"/>
    <w:p>
      <w:pPr>
        <w:ind w:right="20"/>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6455" cy="20955"/>
                    </a:xfrm>
                    <a:prstGeom prst="rect">
                      <a:avLst/>
                    </a:prstGeom>
                    <a:noFill/>
                  </pic:spPr>
                </pic:pic>
              </a:graphicData>
            </a:graphic>
          </wp:anchor>
        </w:drawing>
        <w:t>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93" w:lineRule="exact"/>
        <w:rPr>
          <w:sz w:val="20"/>
          <w:szCs w:val="20"/>
          <w:color w:val="auto"/>
        </w:rPr>
      </w:pPr>
    </w:p>
    <w:p>
      <w:pPr>
        <w:ind w:right="40" w:firstLine="904"/>
        <w:spacing w:after="0" w:line="259" w:lineRule="auto"/>
        <w:rPr>
          <w:sz w:val="20"/>
          <w:szCs w:val="20"/>
          <w:color w:val="auto"/>
        </w:rPr>
      </w:pPr>
      <w:r>
        <w:rPr>
          <w:rFonts w:ascii="Arial" w:cs="Arial" w:eastAsia="Arial" w:hAnsi="Arial"/>
          <w:sz w:val="12"/>
          <w:szCs w:val="12"/>
          <w:color w:val="auto"/>
        </w:rPr>
        <w:t xml:space="preserve">Section 9. </w:t>
      </w:r>
      <w:r>
        <w:rPr>
          <w:rFonts w:ascii="Arial" w:cs="Arial" w:eastAsia="Arial" w:hAnsi="Arial"/>
          <w:sz w:val="12"/>
          <w:szCs w:val="12"/>
          <w:u w:val="single" w:color="auto"/>
          <w:color w:val="auto"/>
        </w:rPr>
        <w:t>TELEPHONE MEETINGS</w:t>
      </w:r>
      <w:r>
        <w:rPr>
          <w:rFonts w:ascii="Arial" w:cs="Arial" w:eastAsia="Arial" w:hAnsi="Arial"/>
          <w:sz w:val="12"/>
          <w:szCs w:val="12"/>
          <w:color w:val="auto"/>
        </w:rPr>
        <w:t>. Directors may participate in a meeting by means of a conference telephone or similar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spacing w:after="0" w:line="93" w:lineRule="exact"/>
        <w:rPr>
          <w:sz w:val="20"/>
          <w:szCs w:val="20"/>
          <w:color w:val="auto"/>
        </w:rPr>
      </w:pPr>
    </w:p>
    <w:p>
      <w:pPr>
        <w:ind w:right="60" w:firstLine="904"/>
        <w:spacing w:after="0" w:line="259" w:lineRule="auto"/>
        <w:rPr>
          <w:sz w:val="20"/>
          <w:szCs w:val="20"/>
          <w:color w:val="auto"/>
        </w:rPr>
      </w:pPr>
      <w:r>
        <w:rPr>
          <w:rFonts w:ascii="Arial" w:cs="Arial" w:eastAsia="Arial" w:hAnsi="Arial"/>
          <w:sz w:val="12"/>
          <w:szCs w:val="12"/>
          <w:color w:val="auto"/>
        </w:rPr>
        <w:t xml:space="preserve">Section 10. </w:t>
      </w:r>
      <w:r>
        <w:rPr>
          <w:rFonts w:ascii="Arial" w:cs="Arial" w:eastAsia="Arial" w:hAnsi="Arial"/>
          <w:sz w:val="12"/>
          <w:szCs w:val="12"/>
          <w:u w:val="single" w:color="auto"/>
          <w:color w:val="auto"/>
        </w:rPr>
        <w:t>WRITTEN CONSENT BY DIRECTORS</w:t>
      </w:r>
      <w:r>
        <w:rPr>
          <w:rFonts w:ascii="Arial" w:cs="Arial" w:eastAsia="Arial" w:hAnsi="Arial"/>
          <w:sz w:val="12"/>
          <w:szCs w:val="12"/>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 provided however, this Section 10 does not apply to any action of the directors pursuant to the Investment Company Act, that requires the vote of the directors to be cast in person at a meeting.</w:t>
      </w:r>
    </w:p>
    <w:p>
      <w:pPr>
        <w:spacing w:after="0" w:line="93" w:lineRule="exact"/>
        <w:rPr>
          <w:sz w:val="20"/>
          <w:szCs w:val="20"/>
          <w:color w:val="auto"/>
        </w:rPr>
      </w:pPr>
    </w:p>
    <w:p>
      <w:pPr>
        <w:ind w:firstLine="904"/>
        <w:spacing w:after="0" w:line="256" w:lineRule="auto"/>
        <w:rPr>
          <w:sz w:val="20"/>
          <w:szCs w:val="20"/>
          <w:color w:val="auto"/>
        </w:rPr>
      </w:pPr>
      <w:r>
        <w:rPr>
          <w:rFonts w:ascii="Arial" w:cs="Arial" w:eastAsia="Arial" w:hAnsi="Arial"/>
          <w:sz w:val="12"/>
          <w:szCs w:val="12"/>
          <w:color w:val="auto"/>
        </w:rPr>
        <w:t xml:space="preserve">Section 11. </w:t>
      </w:r>
      <w:r>
        <w:rPr>
          <w:rFonts w:ascii="Arial" w:cs="Arial" w:eastAsia="Arial" w:hAnsi="Arial"/>
          <w:sz w:val="12"/>
          <w:szCs w:val="12"/>
          <w:u w:val="single" w:color="auto"/>
          <w:color w:val="auto"/>
        </w:rPr>
        <w:t>VACANCIES</w:t>
      </w:r>
      <w:r>
        <w:rPr>
          <w:rFonts w:ascii="Arial" w:cs="Arial" w:eastAsia="Arial" w:hAnsi="Arial"/>
          <w:sz w:val="12"/>
          <w:szCs w:val="12"/>
          <w:color w:val="auto"/>
        </w:rPr>
        <w:t>. If for any reason any or all the directors cease to be directors, such event shall not terminate the Corporation or affect these Bylaws or the powers of the remaining directors hereunder, if any. Pursuant to the Corporation’s election in Article IV of the charter, subject to applicable requirements of the Investment Company Act, except as may be provided by the Board of Directors in setting the terms of any class or series of preferred stock, (a) any vacancy on the Board of Directors may be filled only by a majority of the remaining directors, even if the remaining directors do not constitute a quorum and (b) any director elected to fill a vacancy shall serve for the remainder of the full term of the class in which the vacancy occurred and until a successor is elected and qualifies.</w:t>
      </w:r>
    </w:p>
    <w:p>
      <w:pPr>
        <w:spacing w:after="0" w:line="95" w:lineRule="exact"/>
        <w:rPr>
          <w:sz w:val="20"/>
          <w:szCs w:val="20"/>
          <w:color w:val="auto"/>
        </w:rPr>
      </w:pPr>
    </w:p>
    <w:p>
      <w:pPr>
        <w:jc w:val="both"/>
        <w:ind w:firstLine="904"/>
        <w:spacing w:after="0" w:line="287" w:lineRule="auto"/>
        <w:rPr>
          <w:sz w:val="20"/>
          <w:szCs w:val="20"/>
          <w:color w:val="auto"/>
        </w:rPr>
      </w:pPr>
      <w:r>
        <w:rPr>
          <w:rFonts w:ascii="Arial" w:cs="Arial" w:eastAsia="Arial" w:hAnsi="Arial"/>
          <w:sz w:val="11"/>
          <w:szCs w:val="11"/>
          <w:color w:val="auto"/>
        </w:rPr>
        <w:t xml:space="preserve">Section 12. </w:t>
      </w:r>
      <w:r>
        <w:rPr>
          <w:rFonts w:ascii="Arial" w:cs="Arial" w:eastAsia="Arial" w:hAnsi="Arial"/>
          <w:sz w:val="11"/>
          <w:szCs w:val="11"/>
          <w:u w:val="single" w:color="auto"/>
          <w:color w:val="auto"/>
        </w:rPr>
        <w:t>COMPENSATION</w:t>
      </w:r>
      <w:r>
        <w:rPr>
          <w:rFonts w:ascii="Arial" w:cs="Arial" w:eastAsia="Arial" w:hAnsi="Arial"/>
          <w:sz w:val="11"/>
          <w:szCs w:val="11"/>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w:t>
      </w:r>
    </w:p>
    <w:p>
      <w:pPr>
        <w:spacing w:after="0" w:line="79" w:lineRule="exact"/>
        <w:rPr>
          <w:sz w:val="20"/>
          <w:szCs w:val="20"/>
          <w:color w:val="auto"/>
        </w:rPr>
      </w:pPr>
    </w:p>
    <w:p>
      <w:pPr>
        <w:ind w:right="40" w:firstLine="904"/>
        <w:spacing w:after="0" w:line="268" w:lineRule="auto"/>
        <w:rPr>
          <w:sz w:val="20"/>
          <w:szCs w:val="20"/>
          <w:color w:val="auto"/>
        </w:rPr>
      </w:pPr>
      <w:r>
        <w:rPr>
          <w:rFonts w:ascii="Arial" w:cs="Arial" w:eastAsia="Arial" w:hAnsi="Arial"/>
          <w:sz w:val="12"/>
          <w:szCs w:val="12"/>
          <w:color w:val="auto"/>
        </w:rPr>
        <w:t xml:space="preserve">Section 13. </w:t>
      </w:r>
      <w:r>
        <w:rPr>
          <w:rFonts w:ascii="Arial" w:cs="Arial" w:eastAsia="Arial" w:hAnsi="Arial"/>
          <w:sz w:val="12"/>
          <w:szCs w:val="12"/>
          <w:u w:val="single" w:color="auto"/>
          <w:color w:val="auto"/>
        </w:rPr>
        <w:t>LOSS OF DEPOSITS</w:t>
      </w:r>
      <w:r>
        <w:rPr>
          <w:rFonts w:ascii="Arial" w:cs="Arial" w:eastAsia="Arial" w:hAnsi="Arial"/>
          <w:sz w:val="12"/>
          <w:szCs w:val="12"/>
          <w:color w:val="auto"/>
        </w:rPr>
        <w:t>. No director shall be liable for any loss which may occur by reason of the failure of the bank, trust company, savings and loan association, or other institution with whom moneys or stock have been deposited.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80"/>
          </w:cols>
          <w:pgMar w:left="300" w:top="232" w:right="319" w:bottom="1440" w:gutter="0" w:footer="0" w:header="0"/>
        </w:sectPr>
      </w:pPr>
    </w:p>
    <w:bookmarkStart w:id="82" w:name="page83"/>
    <w:bookmarkEnd w:id="82"/>
    <w:p>
      <w:pPr>
        <w:ind w:left="9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6455" cy="20955"/>
                    </a:xfrm>
                    <a:prstGeom prst="rect">
                      <a:avLst/>
                    </a:prstGeom>
                    <a:noFill/>
                  </pic:spPr>
                </pic:pic>
              </a:graphicData>
            </a:graphic>
          </wp:anchor>
        </w:drawing>
        <w:t xml:space="preserve">Section 14. </w:t>
      </w:r>
      <w:r>
        <w:rPr>
          <w:rFonts w:ascii="Arial" w:cs="Arial" w:eastAsia="Arial" w:hAnsi="Arial"/>
          <w:sz w:val="12"/>
          <w:szCs w:val="12"/>
          <w:u w:val="single" w:color="auto"/>
          <w:color w:val="auto"/>
        </w:rPr>
        <w:t>SURETY BONDS</w:t>
      </w:r>
      <w:r>
        <w:rPr>
          <w:rFonts w:ascii="Arial" w:cs="Arial" w:eastAsia="Arial" w:hAnsi="Arial"/>
          <w:sz w:val="12"/>
          <w:szCs w:val="12"/>
          <w:color w:val="auto"/>
        </w:rPr>
        <w:t>. Unless required by law, no director shall be obligated to give any bond or surety or other security for the performance of any of his or her duties.</w:t>
      </w:r>
    </w:p>
    <w:p>
      <w:pPr>
        <w:spacing w:after="0" w:line="114" w:lineRule="exact"/>
        <w:rPr>
          <w:sz w:val="20"/>
          <w:szCs w:val="20"/>
          <w:color w:val="auto"/>
        </w:rPr>
      </w:pPr>
    </w:p>
    <w:p>
      <w:pPr>
        <w:ind w:right="40" w:firstLine="904"/>
        <w:spacing w:after="0" w:line="293" w:lineRule="auto"/>
        <w:rPr>
          <w:sz w:val="20"/>
          <w:szCs w:val="20"/>
          <w:color w:val="auto"/>
        </w:rPr>
      </w:pPr>
      <w:r>
        <w:rPr>
          <w:rFonts w:ascii="Arial" w:cs="Arial" w:eastAsia="Arial" w:hAnsi="Arial"/>
          <w:sz w:val="11"/>
          <w:szCs w:val="11"/>
          <w:color w:val="auto"/>
        </w:rPr>
        <w:t xml:space="preserve">Section 15. </w:t>
      </w:r>
      <w:r>
        <w:rPr>
          <w:rFonts w:ascii="Arial" w:cs="Arial" w:eastAsia="Arial" w:hAnsi="Arial"/>
          <w:sz w:val="11"/>
          <w:szCs w:val="11"/>
          <w:u w:val="single" w:color="auto"/>
          <w:color w:val="auto"/>
        </w:rPr>
        <w:t>RELIANCE</w:t>
      </w:r>
      <w:r>
        <w:rPr>
          <w:rFonts w:ascii="Arial" w:cs="Arial" w:eastAsia="Arial" w:hAnsi="Arial"/>
          <w:sz w:val="11"/>
          <w:szCs w:val="11"/>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IV</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COMMITTEES</w:t>
      </w:r>
    </w:p>
    <w:p>
      <w:pPr>
        <w:spacing w:after="0" w:line="116" w:lineRule="exact"/>
        <w:rPr>
          <w:sz w:val="20"/>
          <w:szCs w:val="20"/>
          <w:color w:val="auto"/>
        </w:rPr>
      </w:pPr>
    </w:p>
    <w:p>
      <w:pPr>
        <w:ind w:right="100" w:firstLine="904"/>
        <w:spacing w:after="0" w:line="268"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NUMBER, TENURE AND QUALIFICATIONS</w:t>
      </w:r>
      <w:r>
        <w:rPr>
          <w:rFonts w:ascii="Arial" w:cs="Arial" w:eastAsia="Arial" w:hAnsi="Arial"/>
          <w:sz w:val="12"/>
          <w:szCs w:val="12"/>
          <w:color w:val="auto"/>
        </w:rPr>
        <w:t>. The Board of Directors may appoint from among its members an Executive Committee, an Audit Committee, a Nominating Committee and other committees, composed of one or more directors, to serve at the pleasure of the Board of Directors.</w:t>
      </w:r>
    </w:p>
    <w:p>
      <w:pPr>
        <w:spacing w:after="0" w:line="88" w:lineRule="exact"/>
        <w:rPr>
          <w:sz w:val="20"/>
          <w:szCs w:val="20"/>
          <w:color w:val="auto"/>
        </w:rPr>
      </w:pPr>
    </w:p>
    <w:p>
      <w:pPr>
        <w:ind w:left="900"/>
        <w:spacing w:after="0"/>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POWERS</w:t>
      </w:r>
      <w:r>
        <w:rPr>
          <w:rFonts w:ascii="Arial" w:cs="Arial" w:eastAsia="Arial" w:hAnsi="Arial"/>
          <w:sz w:val="12"/>
          <w:szCs w:val="12"/>
          <w:color w:val="auto"/>
        </w:rPr>
        <w:t>. The Board of Directors may delegate to committees appointed under Section 1 of this Article any of the powers of the Board of Directors, except as prohibited by law.</w:t>
      </w:r>
    </w:p>
    <w:p>
      <w:pPr>
        <w:spacing w:after="0" w:line="114" w:lineRule="exact"/>
        <w:rPr>
          <w:sz w:val="20"/>
          <w:szCs w:val="20"/>
          <w:color w:val="auto"/>
        </w:rPr>
      </w:pPr>
    </w:p>
    <w:p>
      <w:pPr>
        <w:ind w:right="40" w:firstLine="904"/>
        <w:spacing w:after="0" w:line="254" w:lineRule="auto"/>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MEETINGS</w:t>
      </w:r>
      <w:r>
        <w:rPr>
          <w:rFonts w:ascii="Arial" w:cs="Arial" w:eastAsia="Arial" w:hAnsi="Arial"/>
          <w:sz w:val="12"/>
          <w:szCs w:val="12"/>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98" w:lineRule="exact"/>
        <w:rPr>
          <w:sz w:val="20"/>
          <w:szCs w:val="20"/>
          <w:color w:val="auto"/>
        </w:rPr>
      </w:pPr>
    </w:p>
    <w:p>
      <w:pPr>
        <w:ind w:firstLine="904"/>
        <w:spacing w:after="0" w:line="268"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TELEPHONE MEETINGS</w:t>
      </w:r>
      <w:r>
        <w:rPr>
          <w:rFonts w:ascii="Arial" w:cs="Arial" w:eastAsia="Arial" w:hAnsi="Arial"/>
          <w:sz w:val="12"/>
          <w:szCs w:val="12"/>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88" w:lineRule="exact"/>
        <w:rPr>
          <w:sz w:val="20"/>
          <w:szCs w:val="20"/>
          <w:color w:val="auto"/>
        </w:rPr>
      </w:pPr>
    </w:p>
    <w:p>
      <w:pPr>
        <w:ind w:left="900"/>
        <w:spacing w:after="0"/>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WRITTEN CONSENT BY COMMITTEES</w:t>
      </w:r>
      <w:r>
        <w:rPr>
          <w:rFonts w:ascii="Arial" w:cs="Arial" w:eastAsia="Arial" w:hAnsi="Arial"/>
          <w:sz w:val="12"/>
          <w:szCs w:val="12"/>
          <w:color w:val="auto"/>
        </w:rPr>
        <w:t>. Any action required or permitted to be taken at any meeting of a committee of the Board of Directors may be taken</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60"/>
          </w:cols>
          <w:pgMar w:left="300" w:top="232" w:right="339" w:bottom="1440" w:gutter="0" w:footer="0" w:header="0"/>
        </w:sectPr>
      </w:pPr>
    </w:p>
    <w:bookmarkStart w:id="83" w:name="page84"/>
    <w:bookmarkEnd w:id="83"/>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6455" cy="20955"/>
                    </a:xfrm>
                    <a:prstGeom prst="rect">
                      <a:avLst/>
                    </a:prstGeom>
                    <a:noFill/>
                  </pic:spPr>
                </pic:pic>
              </a:graphicData>
            </a:graphic>
          </wp:anchor>
        </w:drawing>
        <w:t>without a meeting, if a consent in writing or by electronic transmission to such action is given by each member of the committee and is filed with the minutes of proceedings of such committee.</w:t>
      </w:r>
    </w:p>
    <w:p>
      <w:pPr>
        <w:spacing w:after="0" w:line="114" w:lineRule="exact"/>
        <w:rPr>
          <w:sz w:val="20"/>
          <w:szCs w:val="20"/>
          <w:color w:val="auto"/>
        </w:rPr>
      </w:pPr>
    </w:p>
    <w:p>
      <w:pPr>
        <w:ind w:right="300" w:firstLine="904"/>
        <w:spacing w:after="0" w:line="437" w:lineRule="auto"/>
        <w:rPr>
          <w:sz w:val="20"/>
          <w:szCs w:val="20"/>
          <w:color w:val="auto"/>
        </w:rPr>
      </w:pPr>
      <w:r>
        <w:rPr>
          <w:rFonts w:ascii="Arial" w:cs="Arial" w:eastAsia="Arial" w:hAnsi="Arial"/>
          <w:sz w:val="9"/>
          <w:szCs w:val="9"/>
          <w:color w:val="auto"/>
        </w:rPr>
        <w:t xml:space="preserve">Section 6. </w:t>
      </w:r>
      <w:r>
        <w:rPr>
          <w:rFonts w:ascii="Arial" w:cs="Arial" w:eastAsia="Arial" w:hAnsi="Arial"/>
          <w:sz w:val="9"/>
          <w:szCs w:val="9"/>
          <w:u w:val="single" w:color="auto"/>
          <w:color w:val="auto"/>
        </w:rPr>
        <w:t>VACANCIES</w:t>
      </w:r>
      <w:r>
        <w:rPr>
          <w:rFonts w:ascii="Arial" w:cs="Arial" w:eastAsia="Arial" w:hAnsi="Arial"/>
          <w:sz w:val="9"/>
          <w:szCs w:val="9"/>
          <w:color w:val="auto"/>
        </w:rPr>
        <w:t>. Subject to the provisions hereof, the Board of Directors shall have the power at any time to change the membership of any committee, to fill all vacancies, to designate alternate members to replace any absent or disqualified member or to dissolve any such committee. Subject to the power of the Board of Directors, the members of the committee shall have the power to fill any vacancies on the committee.</w:t>
      </w:r>
    </w:p>
    <w:p>
      <w:pPr>
        <w:spacing w:after="0" w:line="125" w:lineRule="exact"/>
        <w:rPr>
          <w:sz w:val="20"/>
          <w:szCs w:val="20"/>
          <w:color w:val="auto"/>
        </w:rPr>
      </w:pPr>
    </w:p>
    <w:p>
      <w:pPr>
        <w:ind w:left="5320"/>
        <w:spacing w:after="0"/>
        <w:rPr>
          <w:sz w:val="20"/>
          <w:szCs w:val="20"/>
          <w:color w:val="auto"/>
        </w:rPr>
      </w:pPr>
      <w:r>
        <w:rPr>
          <w:rFonts w:ascii="Arial" w:cs="Arial" w:eastAsia="Arial" w:hAnsi="Arial"/>
          <w:sz w:val="12"/>
          <w:szCs w:val="12"/>
          <w:b w:val="1"/>
          <w:bCs w:val="1"/>
          <w:color w:val="auto"/>
        </w:rPr>
        <w:t>ARTICLE V</w:t>
      </w:r>
    </w:p>
    <w:p>
      <w:pPr>
        <w:spacing w:after="0" w:line="114"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OFFICERS</w:t>
      </w:r>
    </w:p>
    <w:p>
      <w:pPr>
        <w:spacing w:after="0" w:line="116" w:lineRule="exact"/>
        <w:rPr>
          <w:sz w:val="20"/>
          <w:szCs w:val="20"/>
          <w:color w:val="auto"/>
        </w:rPr>
      </w:pPr>
    </w:p>
    <w:p>
      <w:pPr>
        <w:ind w:firstLine="904"/>
        <w:spacing w:after="0" w:line="281" w:lineRule="auto"/>
        <w:rPr>
          <w:sz w:val="20"/>
          <w:szCs w:val="20"/>
          <w:color w:val="auto"/>
        </w:rPr>
      </w:pPr>
      <w:r>
        <w:rPr>
          <w:rFonts w:ascii="Arial" w:cs="Arial" w:eastAsia="Arial" w:hAnsi="Arial"/>
          <w:sz w:val="11"/>
          <w:szCs w:val="11"/>
          <w:color w:val="auto"/>
        </w:rPr>
        <w:t xml:space="preserve">Section 1. </w:t>
      </w:r>
      <w:r>
        <w:rPr>
          <w:rFonts w:ascii="Arial" w:cs="Arial" w:eastAsia="Arial" w:hAnsi="Arial"/>
          <w:sz w:val="11"/>
          <w:szCs w:val="11"/>
          <w:u w:val="single" w:color="auto"/>
          <w:color w:val="auto"/>
        </w:rPr>
        <w:t>GENERAL PROVISIONS</w:t>
      </w:r>
      <w:r>
        <w:rPr>
          <w:rFonts w:ascii="Arial" w:cs="Arial" w:eastAsia="Arial" w:hAnsi="Arial"/>
          <w:sz w:val="11"/>
          <w:szCs w:val="11"/>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it shall deem necessary or desirable. The Board of Directors may designate a Chairman of the Board and a Vice Chairman of the Board, who shall not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hold office until his or her successor is elected and qualifies or until death,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83" w:lineRule="exact"/>
        <w:rPr>
          <w:sz w:val="20"/>
          <w:szCs w:val="20"/>
          <w:color w:val="auto"/>
        </w:rPr>
      </w:pPr>
    </w:p>
    <w:p>
      <w:pPr>
        <w:ind w:right="160" w:firstLine="904"/>
        <w:spacing w:after="0" w:line="287" w:lineRule="auto"/>
        <w:rPr>
          <w:sz w:val="20"/>
          <w:szCs w:val="20"/>
          <w:color w:val="auto"/>
        </w:rPr>
      </w:pPr>
      <w:r>
        <w:rPr>
          <w:rFonts w:ascii="Arial" w:cs="Arial" w:eastAsia="Arial" w:hAnsi="Arial"/>
          <w:sz w:val="11"/>
          <w:szCs w:val="11"/>
          <w:color w:val="auto"/>
        </w:rPr>
        <w:t xml:space="preserve">Section 2. </w:t>
      </w:r>
      <w:r>
        <w:rPr>
          <w:rFonts w:ascii="Arial" w:cs="Arial" w:eastAsia="Arial" w:hAnsi="Arial"/>
          <w:sz w:val="11"/>
          <w:szCs w:val="11"/>
          <w:u w:val="single" w:color="auto"/>
          <w:color w:val="auto"/>
        </w:rPr>
        <w:t>REMOVAL AND RESIGNATION</w:t>
      </w:r>
      <w:r>
        <w:rPr>
          <w:rFonts w:ascii="Arial" w:cs="Arial" w:eastAsia="Arial" w:hAnsi="Arial"/>
          <w:sz w:val="11"/>
          <w:szCs w:val="11"/>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VACANCIES</w:t>
      </w:r>
      <w:r>
        <w:rPr>
          <w:rFonts w:ascii="Arial" w:cs="Arial" w:eastAsia="Arial" w:hAnsi="Arial"/>
          <w:sz w:val="12"/>
          <w:szCs w:val="12"/>
          <w:color w:val="auto"/>
        </w:rPr>
        <w:t>. A vacancy in any office may be filled by the Board of Directors for the balance of the term.</w:t>
      </w:r>
    </w:p>
    <w:p>
      <w:pPr>
        <w:spacing w:after="0" w:line="114" w:lineRule="exact"/>
        <w:rPr>
          <w:sz w:val="20"/>
          <w:szCs w:val="20"/>
          <w:color w:val="auto"/>
        </w:rPr>
      </w:pPr>
    </w:p>
    <w:p>
      <w:pPr>
        <w:ind w:left="900"/>
        <w:spacing w:after="0"/>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CHIEF EXECUTIVE OFFICER</w:t>
      </w:r>
      <w:r>
        <w:rPr>
          <w:rFonts w:ascii="Arial" w:cs="Arial" w:eastAsia="Arial" w:hAnsi="Arial"/>
          <w:sz w:val="12"/>
          <w:szCs w:val="12"/>
          <w:color w:val="auto"/>
        </w:rPr>
        <w:t>. The Board of Directors may designate a chief executive officer. In the absence of such designation, the president shall be the</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240"/>
          </w:cols>
          <w:pgMar w:left="300" w:top="232" w:right="359" w:bottom="1440" w:gutter="0" w:footer="0" w:header="0"/>
        </w:sectPr>
      </w:pPr>
    </w:p>
    <w:bookmarkStart w:id="84" w:name="page85"/>
    <w:bookmarkEnd w:id="84"/>
    <w:p>
      <w:pPr>
        <w:ind w:left="8" w:right="100"/>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6455" cy="20955"/>
                    </a:xfrm>
                    <a:prstGeom prst="rect">
                      <a:avLst/>
                    </a:prstGeom>
                    <a:noFill/>
                  </pic:spPr>
                </pic:pic>
              </a:graphicData>
            </a:graphic>
          </wp:anchor>
        </w:drawing>
        <w:t>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pacing w:after="0" w:line="95" w:lineRule="exact"/>
        <w:rPr>
          <w:sz w:val="20"/>
          <w:szCs w:val="20"/>
          <w:color w:val="auto"/>
        </w:rPr>
      </w:pPr>
    </w:p>
    <w:p>
      <w:pPr>
        <w:ind w:left="8" w:right="60" w:firstLine="904"/>
        <w:spacing w:after="0" w:line="268" w:lineRule="auto"/>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CHIEF OPERATING OFFICER</w:t>
      </w:r>
      <w:r>
        <w:rPr>
          <w:rFonts w:ascii="Arial" w:cs="Arial" w:eastAsia="Arial" w:hAnsi="Arial"/>
          <w:sz w:val="12"/>
          <w:szCs w:val="12"/>
          <w:color w:val="auto"/>
        </w:rPr>
        <w:t>. The Board of Directors may designate a chief operating officer. The chief operating officer shall have the responsibilities and duties as set forth by the Board of Directors or the chief executive officer.</w:t>
      </w:r>
    </w:p>
    <w:p>
      <w:pPr>
        <w:spacing w:after="0" w:line="88" w:lineRule="exact"/>
        <w:rPr>
          <w:sz w:val="20"/>
          <w:szCs w:val="20"/>
          <w:color w:val="auto"/>
        </w:rPr>
      </w:pPr>
    </w:p>
    <w:p>
      <w:pPr>
        <w:ind w:left="8" w:right="140" w:firstLine="904"/>
        <w:spacing w:after="0" w:line="268" w:lineRule="auto"/>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u w:val="single" w:color="auto"/>
          <w:color w:val="auto"/>
        </w:rPr>
        <w:t>CHIEF FINANCIAL OFFICER</w:t>
      </w:r>
      <w:r>
        <w:rPr>
          <w:rFonts w:ascii="Arial" w:cs="Arial" w:eastAsia="Arial" w:hAnsi="Arial"/>
          <w:sz w:val="12"/>
          <w:szCs w:val="12"/>
          <w:color w:val="auto"/>
        </w:rPr>
        <w:t>. The Board of Directors may designate a chief financial officer. The chief financial officer shall have the responsibilities and duties as set forth by the Board of Directors or the chief executive officer.</w:t>
      </w:r>
    </w:p>
    <w:p>
      <w:pPr>
        <w:spacing w:after="0" w:line="88" w:lineRule="exact"/>
        <w:rPr>
          <w:sz w:val="20"/>
          <w:szCs w:val="20"/>
          <w:color w:val="auto"/>
        </w:rPr>
      </w:pPr>
    </w:p>
    <w:p>
      <w:pPr>
        <w:ind w:left="8" w:right="20" w:firstLine="904"/>
        <w:spacing w:after="0" w:line="293" w:lineRule="auto"/>
        <w:rPr>
          <w:sz w:val="20"/>
          <w:szCs w:val="20"/>
          <w:color w:val="auto"/>
        </w:rPr>
      </w:pPr>
      <w:r>
        <w:rPr>
          <w:rFonts w:ascii="Arial" w:cs="Arial" w:eastAsia="Arial" w:hAnsi="Arial"/>
          <w:sz w:val="11"/>
          <w:szCs w:val="11"/>
          <w:color w:val="auto"/>
        </w:rPr>
        <w:t xml:space="preserve">Section 7. </w:t>
      </w:r>
      <w:r>
        <w:rPr>
          <w:rFonts w:ascii="Arial" w:cs="Arial" w:eastAsia="Arial" w:hAnsi="Arial"/>
          <w:sz w:val="11"/>
          <w:szCs w:val="11"/>
          <w:u w:val="single" w:color="auto"/>
          <w:color w:val="auto"/>
        </w:rPr>
        <w:t>PRESIDENT</w:t>
      </w:r>
      <w:r>
        <w:rPr>
          <w:rFonts w:ascii="Arial" w:cs="Arial" w:eastAsia="Arial" w:hAnsi="Arial"/>
          <w:sz w:val="11"/>
          <w:szCs w:val="11"/>
          <w:color w:val="auto"/>
        </w:rPr>
        <w:t>. In the absence of a designation of a chief executive officer by the Board of Directors, the president shall be the chief executive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77" w:lineRule="exact"/>
        <w:rPr>
          <w:sz w:val="20"/>
          <w:szCs w:val="20"/>
          <w:color w:val="auto"/>
        </w:rPr>
      </w:pPr>
    </w:p>
    <w:p>
      <w:pPr>
        <w:ind w:left="8" w:right="20" w:firstLine="904"/>
        <w:spacing w:after="0" w:line="256" w:lineRule="auto"/>
        <w:rPr>
          <w:sz w:val="20"/>
          <w:szCs w:val="20"/>
          <w:color w:val="auto"/>
        </w:rPr>
      </w:pPr>
      <w:r>
        <w:rPr>
          <w:rFonts w:ascii="Arial" w:cs="Arial" w:eastAsia="Arial" w:hAnsi="Arial"/>
          <w:sz w:val="12"/>
          <w:szCs w:val="12"/>
          <w:color w:val="auto"/>
        </w:rPr>
        <w:t xml:space="preserve">Section 8. </w:t>
      </w:r>
      <w:r>
        <w:rPr>
          <w:rFonts w:ascii="Arial" w:cs="Arial" w:eastAsia="Arial" w:hAnsi="Arial"/>
          <w:sz w:val="12"/>
          <w:szCs w:val="12"/>
          <w:u w:val="single" w:color="auto"/>
          <w:color w:val="auto"/>
        </w:rPr>
        <w:t>VICE PRESIDENTS</w:t>
      </w:r>
      <w:r>
        <w:rPr>
          <w:rFonts w:ascii="Arial" w:cs="Arial" w:eastAsia="Arial" w:hAnsi="Arial"/>
          <w:sz w:val="12"/>
          <w:szCs w:val="12"/>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95" w:lineRule="exact"/>
        <w:rPr>
          <w:sz w:val="20"/>
          <w:szCs w:val="20"/>
          <w:color w:val="auto"/>
        </w:rPr>
      </w:pPr>
    </w:p>
    <w:p>
      <w:pPr>
        <w:ind w:left="908"/>
        <w:spacing w:after="0"/>
        <w:rPr>
          <w:sz w:val="20"/>
          <w:szCs w:val="20"/>
          <w:color w:val="auto"/>
        </w:rPr>
      </w:pPr>
      <w:r>
        <w:rPr>
          <w:rFonts w:ascii="Arial" w:cs="Arial" w:eastAsia="Arial" w:hAnsi="Arial"/>
          <w:sz w:val="9"/>
          <w:szCs w:val="9"/>
          <w:color w:val="auto"/>
        </w:rPr>
        <w:t xml:space="preserve">Section 9. </w:t>
      </w:r>
      <w:r>
        <w:rPr>
          <w:rFonts w:ascii="Arial" w:cs="Arial" w:eastAsia="Arial" w:hAnsi="Arial"/>
          <w:sz w:val="9"/>
          <w:szCs w:val="9"/>
          <w:u w:val="single" w:color="auto"/>
          <w:color w:val="auto"/>
        </w:rPr>
        <w:t>SECRETARY</w:t>
      </w:r>
      <w:r>
        <w:rPr>
          <w:rFonts w:ascii="Arial" w:cs="Arial" w:eastAsia="Arial" w:hAnsi="Arial"/>
          <w:sz w:val="9"/>
          <w:szCs w:val="9"/>
          <w:color w:val="auto"/>
        </w:rPr>
        <w:t>. The secretary shall (a) keep the minutes of the proceedings of the stockholders, the Board of Directors and committees of the Board of Directors in one or more books provided for that purpose;</w:t>
      </w:r>
    </w:p>
    <w:p>
      <w:pPr>
        <w:spacing w:after="0" w:line="45" w:lineRule="exact"/>
        <w:rPr>
          <w:sz w:val="20"/>
          <w:szCs w:val="20"/>
          <w:color w:val="auto"/>
        </w:rPr>
      </w:pPr>
    </w:p>
    <w:p>
      <w:pPr>
        <w:ind w:left="8" w:hanging="8"/>
        <w:spacing w:after="0" w:line="255" w:lineRule="auto"/>
        <w:tabs>
          <w:tab w:leader="none" w:pos="174" w:val="left"/>
        </w:tabs>
        <w:numPr>
          <w:ilvl w:val="0"/>
          <w:numId w:val="50"/>
        </w:numPr>
        <w:rPr>
          <w:rFonts w:ascii="Arial" w:cs="Arial" w:eastAsia="Arial" w:hAnsi="Arial"/>
          <w:sz w:val="12"/>
          <w:szCs w:val="12"/>
          <w:color w:val="auto"/>
        </w:rPr>
      </w:pPr>
      <w:r>
        <w:rPr>
          <w:rFonts w:ascii="Arial" w:cs="Arial" w:eastAsia="Arial" w:hAnsi="Arial"/>
          <w:sz w:val="12"/>
          <w:szCs w:val="12"/>
          <w:color w:val="auto"/>
        </w:rPr>
        <w:t>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8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288"/>
          </w:cols>
          <w:pgMar w:left="292" w:top="232" w:right="319" w:bottom="1440" w:gutter="0" w:footer="0" w:header="0"/>
        </w:sectPr>
      </w:pPr>
    </w:p>
    <w:bookmarkStart w:id="85" w:name="page86"/>
    <w:bookmarkEnd w:id="85"/>
    <w:p>
      <w:pPr>
        <w:ind w:firstLine="904"/>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6455" cy="20955"/>
                    </a:xfrm>
                    <a:prstGeom prst="rect">
                      <a:avLst/>
                    </a:prstGeom>
                    <a:noFill/>
                  </pic:spPr>
                </pic:pic>
              </a:graphicData>
            </a:graphic>
          </wp:anchor>
        </w:drawing>
        <w:t xml:space="preserve">Section 10. </w:t>
      </w:r>
      <w:r>
        <w:rPr>
          <w:rFonts w:ascii="Arial" w:cs="Arial" w:eastAsia="Arial" w:hAnsi="Arial"/>
          <w:sz w:val="12"/>
          <w:szCs w:val="12"/>
          <w:u w:val="single" w:color="auto"/>
          <w:color w:val="auto"/>
        </w:rPr>
        <w:t>TREASURER</w:t>
      </w:r>
      <w:r>
        <w:rPr>
          <w:rFonts w:ascii="Arial" w:cs="Arial" w:eastAsia="Arial" w:hAnsi="Arial"/>
          <w:sz w:val="12"/>
          <w:szCs w:val="12"/>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93" w:lineRule="exact"/>
        <w:rPr>
          <w:sz w:val="20"/>
          <w:szCs w:val="20"/>
          <w:color w:val="auto"/>
        </w:rPr>
      </w:pPr>
    </w:p>
    <w:p>
      <w:pPr>
        <w:ind w:right="40" w:firstLine="904"/>
        <w:spacing w:after="0" w:line="268" w:lineRule="auto"/>
        <w:rPr>
          <w:sz w:val="20"/>
          <w:szCs w:val="20"/>
          <w:color w:val="auto"/>
        </w:rPr>
      </w:pPr>
      <w:r>
        <w:rPr>
          <w:rFonts w:ascii="Arial" w:cs="Arial" w:eastAsia="Arial" w:hAnsi="Arial"/>
          <w:sz w:val="12"/>
          <w:szCs w:val="12"/>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88" w:lineRule="exact"/>
        <w:rPr>
          <w:sz w:val="20"/>
          <w:szCs w:val="20"/>
          <w:color w:val="auto"/>
        </w:rPr>
      </w:pPr>
    </w:p>
    <w:p>
      <w:pPr>
        <w:jc w:val="both"/>
        <w:ind w:right="100" w:firstLine="904"/>
        <w:spacing w:after="0" w:line="259" w:lineRule="auto"/>
        <w:rPr>
          <w:sz w:val="20"/>
          <w:szCs w:val="20"/>
          <w:color w:val="auto"/>
        </w:rPr>
      </w:pPr>
      <w:r>
        <w:rPr>
          <w:rFonts w:ascii="Arial" w:cs="Arial" w:eastAsia="Arial" w:hAnsi="Arial"/>
          <w:sz w:val="12"/>
          <w:szCs w:val="12"/>
          <w:color w:val="auto"/>
        </w:rPr>
        <w:t>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93" w:lineRule="exact"/>
        <w:rPr>
          <w:sz w:val="20"/>
          <w:szCs w:val="20"/>
          <w:color w:val="auto"/>
        </w:rPr>
      </w:pPr>
    </w:p>
    <w:p>
      <w:pPr>
        <w:ind w:right="100" w:firstLine="904"/>
        <w:spacing w:after="0" w:line="259" w:lineRule="auto"/>
        <w:rPr>
          <w:sz w:val="20"/>
          <w:szCs w:val="20"/>
          <w:color w:val="auto"/>
        </w:rPr>
      </w:pPr>
      <w:r>
        <w:rPr>
          <w:rFonts w:ascii="Arial" w:cs="Arial" w:eastAsia="Arial" w:hAnsi="Arial"/>
          <w:sz w:val="12"/>
          <w:szCs w:val="12"/>
          <w:color w:val="auto"/>
        </w:rPr>
        <w:t xml:space="preserve">Section 11. </w:t>
      </w:r>
      <w:r>
        <w:rPr>
          <w:rFonts w:ascii="Arial" w:cs="Arial" w:eastAsia="Arial" w:hAnsi="Arial"/>
          <w:sz w:val="12"/>
          <w:szCs w:val="12"/>
          <w:u w:val="single" w:color="auto"/>
          <w:color w:val="auto"/>
        </w:rPr>
        <w:t>ASSISTANT SECRETARIES AND ASSISTANT TREASURERS</w:t>
      </w:r>
      <w:r>
        <w:rPr>
          <w:rFonts w:ascii="Arial" w:cs="Arial" w:eastAsia="Arial" w:hAnsi="Arial"/>
          <w:sz w:val="12"/>
          <w:szCs w:val="12"/>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VI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CONTRACTS, LOANS, CHECKS AND DEPOSITS</w:t>
      </w:r>
    </w:p>
    <w:p>
      <w:pPr>
        <w:spacing w:after="0" w:line="116" w:lineRule="exact"/>
        <w:rPr>
          <w:sz w:val="20"/>
          <w:szCs w:val="20"/>
          <w:color w:val="auto"/>
        </w:rPr>
      </w:pPr>
    </w:p>
    <w:p>
      <w:pPr>
        <w:jc w:val="both"/>
        <w:ind w:right="120" w:firstLine="904"/>
        <w:spacing w:after="0" w:line="293" w:lineRule="auto"/>
        <w:rPr>
          <w:sz w:val="20"/>
          <w:szCs w:val="20"/>
          <w:color w:val="auto"/>
        </w:rPr>
      </w:pPr>
      <w:r>
        <w:rPr>
          <w:rFonts w:ascii="Arial" w:cs="Arial" w:eastAsia="Arial" w:hAnsi="Arial"/>
          <w:sz w:val="11"/>
          <w:szCs w:val="11"/>
          <w:color w:val="auto"/>
        </w:rPr>
        <w:t xml:space="preserve">Section 1. </w:t>
      </w:r>
      <w:r>
        <w:rPr>
          <w:rFonts w:ascii="Arial" w:cs="Arial" w:eastAsia="Arial" w:hAnsi="Arial"/>
          <w:sz w:val="11"/>
          <w:szCs w:val="11"/>
          <w:u w:val="single" w:color="auto"/>
          <w:color w:val="auto"/>
        </w:rPr>
        <w:t>CONTRACTS</w:t>
      </w:r>
      <w:r>
        <w:rPr>
          <w:rFonts w:ascii="Arial" w:cs="Arial" w:eastAsia="Arial" w:hAnsi="Arial"/>
          <w:sz w:val="11"/>
          <w:szCs w:val="11"/>
          <w:color w:val="auto"/>
        </w:rPr>
        <w:t>. The Board of Directors, the Executive Committee or another committee of the Board of Directors within the scope of its delegated authority,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or the Executive Committee or such other committee and executed by an authorized person.</w:t>
      </w:r>
    </w:p>
    <w:p>
      <w:pPr>
        <w:spacing w:after="0" w:line="77" w:lineRule="exact"/>
        <w:rPr>
          <w:sz w:val="20"/>
          <w:szCs w:val="20"/>
          <w:color w:val="auto"/>
        </w:rPr>
      </w:pPr>
    </w:p>
    <w:p>
      <w:pPr>
        <w:jc w:val="both"/>
        <w:ind w:right="100" w:firstLine="904"/>
        <w:spacing w:after="0" w:line="268"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CHECKS AND DRAFTS</w:t>
      </w:r>
      <w:r>
        <w:rPr>
          <w:rFonts w:ascii="Arial" w:cs="Arial" w:eastAsia="Arial" w:hAnsi="Arial"/>
          <w:sz w:val="12"/>
          <w:szCs w:val="12"/>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280"/>
          </w:cols>
          <w:pgMar w:left="300" w:top="232" w:right="319" w:bottom="1440" w:gutter="0" w:footer="0" w:header="0"/>
        </w:sectPr>
      </w:pPr>
    </w:p>
    <w:bookmarkStart w:id="86" w:name="page87"/>
    <w:bookmarkEnd w:id="86"/>
    <w:p>
      <w:pPr>
        <w:ind w:right="400" w:firstLine="904"/>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6455" cy="20955"/>
                    </a:xfrm>
                    <a:prstGeom prst="rect">
                      <a:avLst/>
                    </a:prstGeom>
                    <a:noFill/>
                  </pic:spPr>
                </pic:pic>
              </a:graphicData>
            </a:graphic>
          </wp:anchor>
        </w:drawing>
        <w:t xml:space="preserve">Section 3. </w:t>
      </w:r>
      <w:r>
        <w:rPr>
          <w:rFonts w:ascii="Arial" w:cs="Arial" w:eastAsia="Arial" w:hAnsi="Arial"/>
          <w:sz w:val="12"/>
          <w:szCs w:val="12"/>
          <w:u w:val="single" w:color="auto"/>
          <w:color w:val="auto"/>
        </w:rPr>
        <w:t>DEPOSITS</w:t>
      </w:r>
      <w:r>
        <w:rPr>
          <w:rFonts w:ascii="Arial" w:cs="Arial" w:eastAsia="Arial" w:hAnsi="Arial"/>
          <w:sz w:val="12"/>
          <w:szCs w:val="12"/>
          <w:color w:val="auto"/>
        </w:rPr>
        <w:t>. All funds of the Corporation not otherwise employed shall be deposited from time to time to the credit of the Corporation in such banks, trust companies or other depositories as the Board of Directors may designate.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VII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STOCK</w:t>
      </w:r>
    </w:p>
    <w:p>
      <w:pPr>
        <w:spacing w:after="0" w:line="116" w:lineRule="exact"/>
        <w:rPr>
          <w:sz w:val="20"/>
          <w:szCs w:val="20"/>
          <w:color w:val="auto"/>
        </w:rPr>
      </w:pPr>
    </w:p>
    <w:p>
      <w:pPr>
        <w:ind w:right="120" w:firstLine="904"/>
        <w:spacing w:after="0" w:line="256"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CERTIFICATES; REQUIRED INFORMATION</w:t>
      </w:r>
      <w:r>
        <w:rPr>
          <w:rFonts w:ascii="Arial" w:cs="Arial" w:eastAsia="Arial" w:hAnsi="Arial"/>
          <w:sz w:val="12"/>
          <w:szCs w:val="12"/>
          <w:color w:val="auto"/>
        </w:rPr>
        <w:t>. Except as may be otherwise provided by the Board of Directors, stockholders of the Corporation are not entitled to certificates representing the shares of stock held by them. In the event that the Corporation issues shares of stock represented by certificates, such certificates shall be signed by the officers of the Corporation in the manner permitted by the MGCL and contain the statements and information required by the MGCL. In the event that the Corporation issues shares of stock without certificates, the Corporation shall provide to record holders of such shares a written statement of the information required (if any) by the MGCL to be included on stock certificates.</w:t>
      </w:r>
    </w:p>
    <w:p>
      <w:pPr>
        <w:spacing w:after="0" w:line="95" w:lineRule="exact"/>
        <w:rPr>
          <w:sz w:val="20"/>
          <w:szCs w:val="20"/>
          <w:color w:val="auto"/>
        </w:rPr>
      </w:pPr>
    </w:p>
    <w:p>
      <w:pPr>
        <w:ind w:right="140" w:firstLine="904"/>
        <w:spacing w:after="0" w:line="259"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TRANSFERS WHEN CERTIFICATES ISSUED</w:t>
      </w:r>
      <w:r>
        <w:rPr>
          <w:rFonts w:ascii="Arial" w:cs="Arial" w:eastAsia="Arial" w:hAnsi="Arial"/>
          <w:sz w:val="12"/>
          <w:szCs w:val="12"/>
          <w:color w:val="auto"/>
        </w:rPr>
        <w:t>. Subject to any determination of the Board of Directors pursuant to Section 1 of this Article,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w:t>
      </w:r>
    </w:p>
    <w:p>
      <w:pPr>
        <w:spacing w:after="0" w:line="93" w:lineRule="exact"/>
        <w:rPr>
          <w:sz w:val="20"/>
          <w:szCs w:val="20"/>
          <w:color w:val="auto"/>
        </w:rPr>
      </w:pPr>
    </w:p>
    <w:p>
      <w:pPr>
        <w:ind w:firstLine="904"/>
        <w:spacing w:after="0" w:line="268" w:lineRule="auto"/>
        <w:rPr>
          <w:sz w:val="20"/>
          <w:szCs w:val="20"/>
          <w:color w:val="auto"/>
        </w:rPr>
      </w:pPr>
      <w:r>
        <w:rPr>
          <w:rFonts w:ascii="Arial" w:cs="Arial" w:eastAsia="Arial" w:hAnsi="Arial"/>
          <w:sz w:val="12"/>
          <w:szCs w:val="12"/>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88" w:lineRule="exact"/>
        <w:rPr>
          <w:sz w:val="20"/>
          <w:szCs w:val="20"/>
          <w:color w:val="auto"/>
        </w:rPr>
      </w:pPr>
    </w:p>
    <w:p>
      <w:pPr>
        <w:ind w:left="900"/>
        <w:spacing w:after="0"/>
        <w:rPr>
          <w:sz w:val="20"/>
          <w:szCs w:val="20"/>
          <w:color w:val="auto"/>
        </w:rPr>
      </w:pPr>
      <w:r>
        <w:rPr>
          <w:rFonts w:ascii="Arial" w:cs="Arial" w:eastAsia="Arial" w:hAnsi="Arial"/>
          <w:sz w:val="12"/>
          <w:szCs w:val="12"/>
          <w:color w:val="auto"/>
        </w:rPr>
        <w:t>Notwithstanding the foregoing, transfers of shares of any class of stock will be subject in all respects to the charter of the Corporation and all of the terms and conditions contained therein.</w:t>
      </w:r>
    </w:p>
    <w:p>
      <w:pPr>
        <w:spacing w:after="0" w:line="114" w:lineRule="exact"/>
        <w:rPr>
          <w:sz w:val="20"/>
          <w:szCs w:val="20"/>
          <w:color w:val="auto"/>
        </w:rPr>
      </w:pPr>
    </w:p>
    <w:p>
      <w:pPr>
        <w:ind w:right="20" w:firstLine="904"/>
        <w:spacing w:after="0" w:line="254" w:lineRule="auto"/>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REPLACEMENT CERTIFICATE</w:t>
      </w:r>
      <w:r>
        <w:rPr>
          <w:rFonts w:ascii="Arial" w:cs="Arial" w:eastAsia="Arial" w:hAnsi="Arial"/>
          <w:sz w:val="12"/>
          <w:szCs w:val="12"/>
          <w:color w:val="auto"/>
        </w:rPr>
        <w:t>. Subject to any determination of the Board of Directors pursuant to Section 1 of this Article, the president, the secretary, the treasurer or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or she shall require and/or to give bond, with sufficient surety, to the Corporation to indemnify it against any loss or claim which may arise as a result of the issuance of a new certificate.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280"/>
          </w:cols>
          <w:pgMar w:left="300" w:top="232" w:right="319" w:bottom="1440" w:gutter="0" w:footer="0" w:header="0"/>
        </w:sectPr>
      </w:pPr>
    </w:p>
    <w:bookmarkStart w:id="87" w:name="page88"/>
    <w:bookmarkEnd w:id="87"/>
    <w:p>
      <w:pPr>
        <w:ind w:right="140" w:firstLine="904"/>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6455" cy="20955"/>
                    </a:xfrm>
                    <a:prstGeom prst="rect">
                      <a:avLst/>
                    </a:prstGeom>
                    <a:noFill/>
                  </pic:spPr>
                </pic:pic>
              </a:graphicData>
            </a:graphic>
          </wp:anchor>
        </w:drawing>
        <w:t xml:space="preserve">Section 4. </w:t>
      </w:r>
      <w:r>
        <w:rPr>
          <w:rFonts w:ascii="Arial" w:cs="Arial" w:eastAsia="Arial" w:hAnsi="Arial"/>
          <w:sz w:val="12"/>
          <w:szCs w:val="12"/>
          <w:u w:val="single" w:color="auto"/>
          <w:color w:val="auto"/>
        </w:rPr>
        <w:t>CLOSING OF TRANSFER BOOKS OR FIXING OF RECORD DATE</w:t>
      </w:r>
      <w:r>
        <w:rPr>
          <w:rFonts w:ascii="Arial" w:cs="Arial" w:eastAsia="Arial" w:hAnsi="Arial"/>
          <w:sz w:val="12"/>
          <w:szCs w:val="12"/>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95" w:lineRule="exact"/>
        <w:rPr>
          <w:sz w:val="20"/>
          <w:szCs w:val="20"/>
          <w:color w:val="auto"/>
        </w:rPr>
      </w:pPr>
    </w:p>
    <w:p>
      <w:pPr>
        <w:ind w:right="400" w:firstLine="904"/>
        <w:spacing w:after="0" w:line="268" w:lineRule="auto"/>
        <w:rPr>
          <w:sz w:val="20"/>
          <w:szCs w:val="20"/>
          <w:color w:val="auto"/>
        </w:rPr>
      </w:pPr>
      <w:r>
        <w:rPr>
          <w:rFonts w:ascii="Arial" w:cs="Arial" w:eastAsia="Arial" w:hAnsi="Arial"/>
          <w:sz w:val="12"/>
          <w:szCs w:val="12"/>
          <w:color w:val="auto"/>
        </w:rPr>
        <w:t>In lieu of fixing a record date, the Board of Directors may provide that the stock transfer books shall be closed for a stated period but not longer than 20 days. If the stock transfer books are closed for the purpose of determining stockholders entitled to notice of or to vote at a meeting of stockholders, such books shall be closed for at least ten days before the date of such meeting.</w:t>
      </w:r>
    </w:p>
    <w:p>
      <w:pPr>
        <w:spacing w:after="0" w:line="88" w:lineRule="exact"/>
        <w:rPr>
          <w:sz w:val="20"/>
          <w:szCs w:val="20"/>
          <w:color w:val="auto"/>
        </w:rPr>
      </w:pPr>
    </w:p>
    <w:p>
      <w:pPr>
        <w:ind w:firstLine="904"/>
        <w:spacing w:after="0" w:line="293" w:lineRule="auto"/>
        <w:rPr>
          <w:sz w:val="20"/>
          <w:szCs w:val="20"/>
          <w:color w:val="auto"/>
        </w:rPr>
      </w:pPr>
      <w:r>
        <w:rPr>
          <w:rFonts w:ascii="Arial" w:cs="Arial" w:eastAsia="Arial" w:hAnsi="Arial"/>
          <w:sz w:val="11"/>
          <w:szCs w:val="11"/>
          <w:color w:val="auto"/>
        </w:rPr>
        <w:t>If no record date is fixed and the stock transfer books are not closed for the determination of stockholders,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directors, declaring the dividend or allotment of rights, is adopted.</w:t>
      </w:r>
    </w:p>
    <w:p>
      <w:pPr>
        <w:spacing w:after="0" w:line="77" w:lineRule="exact"/>
        <w:rPr>
          <w:sz w:val="20"/>
          <w:szCs w:val="20"/>
          <w:color w:val="auto"/>
        </w:rPr>
      </w:pPr>
    </w:p>
    <w:p>
      <w:pPr>
        <w:ind w:firstLine="904"/>
        <w:spacing w:after="0" w:line="259" w:lineRule="auto"/>
        <w:rPr>
          <w:sz w:val="20"/>
          <w:szCs w:val="20"/>
          <w:color w:val="auto"/>
        </w:rPr>
      </w:pPr>
      <w:r>
        <w:rPr>
          <w:rFonts w:ascii="Arial" w:cs="Arial" w:eastAsia="Arial" w:hAnsi="Arial"/>
          <w:sz w:val="12"/>
          <w:szCs w:val="12"/>
          <w:color w:val="auto"/>
        </w:rPr>
        <w:t>When a determination of stockholders entitled to vote at any meeting of stockholders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93" w:lineRule="exact"/>
        <w:rPr>
          <w:sz w:val="20"/>
          <w:szCs w:val="20"/>
          <w:color w:val="auto"/>
        </w:rPr>
      </w:pPr>
    </w:p>
    <w:p>
      <w:pPr>
        <w:ind w:right="40" w:firstLine="904"/>
        <w:spacing w:after="0" w:line="268" w:lineRule="auto"/>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STOCK LEDGER</w:t>
      </w:r>
      <w:r>
        <w:rPr>
          <w:rFonts w:ascii="Arial" w:cs="Arial" w:eastAsia="Arial" w:hAnsi="Arial"/>
          <w:sz w:val="12"/>
          <w:szCs w:val="12"/>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88" w:lineRule="exact"/>
        <w:rPr>
          <w:sz w:val="20"/>
          <w:szCs w:val="20"/>
          <w:color w:val="auto"/>
        </w:rPr>
      </w:pPr>
    </w:p>
    <w:p>
      <w:pPr>
        <w:ind w:right="60" w:firstLine="904"/>
        <w:spacing w:after="0" w:line="385" w:lineRule="auto"/>
        <w:rPr>
          <w:sz w:val="20"/>
          <w:szCs w:val="20"/>
          <w:color w:val="auto"/>
        </w:rPr>
      </w:pPr>
      <w:r>
        <w:rPr>
          <w:rFonts w:ascii="Arial" w:cs="Arial" w:eastAsia="Arial" w:hAnsi="Arial"/>
          <w:sz w:val="9"/>
          <w:szCs w:val="9"/>
          <w:color w:val="auto"/>
        </w:rPr>
        <w:t xml:space="preserve">Section 6. </w:t>
      </w:r>
      <w:r>
        <w:rPr>
          <w:rFonts w:ascii="Arial" w:cs="Arial" w:eastAsia="Arial" w:hAnsi="Arial"/>
          <w:sz w:val="9"/>
          <w:szCs w:val="9"/>
          <w:u w:val="single" w:color="auto"/>
          <w:color w:val="auto"/>
        </w:rPr>
        <w:t>FRACTIONAL STOCK; ISSUANCE OF UNITS</w:t>
      </w:r>
      <w:r>
        <w:rPr>
          <w:rFonts w:ascii="Arial" w:cs="Arial" w:eastAsia="Arial" w:hAnsi="Arial"/>
          <w:sz w:val="9"/>
          <w:szCs w:val="9"/>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280"/>
          </w:cols>
          <w:pgMar w:left="300" w:top="232" w:right="319" w:bottom="1440" w:gutter="0" w:footer="0" w:header="0"/>
        </w:sectPr>
      </w:pPr>
    </w:p>
    <w:bookmarkStart w:id="88" w:name="page89"/>
    <w:bookmarkEnd w:id="88"/>
    <w:p>
      <w:pPr>
        <w:ind w:left="52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6455" cy="20955"/>
                    </a:xfrm>
                    <a:prstGeom prst="rect">
                      <a:avLst/>
                    </a:prstGeom>
                    <a:noFill/>
                  </pic:spPr>
                </pic:pic>
              </a:graphicData>
            </a:graphic>
          </wp:anchor>
        </w:drawing>
        <w:t>ARTICLE VIII</w:t>
      </w:r>
    </w:p>
    <w:p>
      <w:pPr>
        <w:spacing w:after="0" w:line="114" w:lineRule="exact"/>
        <w:rPr>
          <w:sz w:val="20"/>
          <w:szCs w:val="20"/>
          <w:color w:val="auto"/>
        </w:rPr>
      </w:pPr>
    </w:p>
    <w:p>
      <w:pPr>
        <w:ind w:left="5060"/>
        <w:spacing w:after="0"/>
        <w:rPr>
          <w:sz w:val="20"/>
          <w:szCs w:val="20"/>
          <w:color w:val="auto"/>
        </w:rPr>
      </w:pPr>
      <w:r>
        <w:rPr>
          <w:rFonts w:ascii="Arial" w:cs="Arial" w:eastAsia="Arial" w:hAnsi="Arial"/>
          <w:sz w:val="12"/>
          <w:szCs w:val="12"/>
          <w:b w:val="1"/>
          <w:bCs w:val="1"/>
          <w:color w:val="auto"/>
        </w:rPr>
        <w:t>ACCOUNTING YEAR</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12"/>
          <w:szCs w:val="12"/>
          <w:color w:val="auto"/>
        </w:rPr>
        <w:t>The Board of Directors shall have the power, from time to time, to fix the fiscal year of the Corporation by a duly adopted resolution.</w:t>
      </w: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ARTICLE IX</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DISTRIBUTIONS</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9"/>
          <w:szCs w:val="9"/>
          <w:color w:val="auto"/>
        </w:rPr>
        <w:t xml:space="preserve">Section 1. </w:t>
      </w:r>
      <w:r>
        <w:rPr>
          <w:rFonts w:ascii="Arial" w:cs="Arial" w:eastAsia="Arial" w:hAnsi="Arial"/>
          <w:sz w:val="9"/>
          <w:szCs w:val="9"/>
          <w:u w:val="single" w:color="auto"/>
          <w:color w:val="auto"/>
        </w:rPr>
        <w:t>AUTHORIZATION</w:t>
      </w:r>
      <w:r>
        <w:rPr>
          <w:rFonts w:ascii="Arial" w:cs="Arial" w:eastAsia="Arial" w:hAnsi="Arial"/>
          <w:sz w:val="9"/>
          <w:szCs w:val="9"/>
          <w:color w:val="auto"/>
        </w:rPr>
        <w:t>. Dividends and other distributions upon the stock of the Corporation may be authorized by the Board of Directors, subject to the provisions of law and the charter of the Corporation.</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Dividends and other distributions may be paid in cash, property or stock of the Corporation, subject to the provisions of law and the charter.</w:t>
      </w:r>
    </w:p>
    <w:p>
      <w:pPr>
        <w:spacing w:after="0" w:line="110" w:lineRule="exact"/>
        <w:rPr>
          <w:sz w:val="20"/>
          <w:szCs w:val="20"/>
          <w:color w:val="auto"/>
        </w:rPr>
      </w:pPr>
    </w:p>
    <w:p>
      <w:pPr>
        <w:jc w:val="both"/>
        <w:ind w:firstLine="904"/>
        <w:spacing w:after="0" w:line="293" w:lineRule="auto"/>
        <w:rPr>
          <w:sz w:val="20"/>
          <w:szCs w:val="20"/>
          <w:color w:val="auto"/>
        </w:rPr>
      </w:pPr>
      <w:r>
        <w:rPr>
          <w:rFonts w:ascii="Arial" w:cs="Arial" w:eastAsia="Arial" w:hAnsi="Arial"/>
          <w:sz w:val="11"/>
          <w:szCs w:val="11"/>
          <w:color w:val="auto"/>
        </w:rPr>
        <w:t xml:space="preserve">Section 2. </w:t>
      </w:r>
      <w:r>
        <w:rPr>
          <w:rFonts w:ascii="Arial" w:cs="Arial" w:eastAsia="Arial" w:hAnsi="Arial"/>
          <w:sz w:val="11"/>
          <w:szCs w:val="11"/>
          <w:u w:val="single" w:color="auto"/>
          <w:color w:val="auto"/>
        </w:rPr>
        <w:t>CONTINGENCIES</w:t>
      </w:r>
      <w:r>
        <w:rPr>
          <w:rFonts w:ascii="Arial" w:cs="Arial" w:eastAsia="Arial" w:hAnsi="Arial"/>
          <w:sz w:val="11"/>
          <w:szCs w:val="11"/>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or other distributions, for repairing or maintaining any property of the Corporation or for such other purpose as the Board of Directors shall determine to be in the best interest of the Corporation, and the Board of Directors may modify or abolish any such reserve.</w:t>
      </w:r>
    </w:p>
    <w:p>
      <w:pPr>
        <w:spacing w:after="0" w:line="183"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ARTICLE X</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SEAL</w:t>
      </w:r>
    </w:p>
    <w:p>
      <w:pPr>
        <w:spacing w:after="0" w:line="116" w:lineRule="exact"/>
        <w:rPr>
          <w:sz w:val="20"/>
          <w:szCs w:val="20"/>
          <w:color w:val="auto"/>
        </w:rPr>
      </w:pPr>
    </w:p>
    <w:p>
      <w:pPr>
        <w:ind w:right="280" w:firstLine="904"/>
        <w:spacing w:after="0" w:line="268"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SEAL</w:t>
      </w:r>
      <w:r>
        <w:rPr>
          <w:rFonts w:ascii="Arial" w:cs="Arial" w:eastAsia="Arial" w:hAnsi="Arial"/>
          <w:sz w:val="12"/>
          <w:szCs w:val="12"/>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88" w:lineRule="exact"/>
        <w:rPr>
          <w:sz w:val="20"/>
          <w:szCs w:val="20"/>
          <w:color w:val="auto"/>
        </w:rPr>
      </w:pPr>
    </w:p>
    <w:p>
      <w:pPr>
        <w:ind w:right="20" w:firstLine="904"/>
        <w:spacing w:after="0" w:line="268"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AFFIXING SEAL</w:t>
      </w:r>
      <w:r>
        <w:rPr>
          <w:rFonts w:ascii="Arial" w:cs="Arial" w:eastAsia="Arial" w:hAnsi="Arial"/>
          <w:sz w:val="12"/>
          <w:szCs w:val="12"/>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ARTICLE XI</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INDEMNIFICATION AND ADVANCE OF EXPENSES</w:t>
      </w:r>
    </w:p>
    <w:p>
      <w:pPr>
        <w:spacing w:after="0" w:line="116" w:lineRule="exact"/>
        <w:rPr>
          <w:sz w:val="20"/>
          <w:szCs w:val="20"/>
          <w:color w:val="auto"/>
        </w:rPr>
      </w:pPr>
    </w:p>
    <w:p>
      <w:pPr>
        <w:ind w:right="180" w:firstLine="904"/>
        <w:spacing w:after="0" w:line="268" w:lineRule="auto"/>
        <w:rPr>
          <w:sz w:val="20"/>
          <w:szCs w:val="20"/>
          <w:color w:val="auto"/>
        </w:rPr>
      </w:pPr>
      <w:r>
        <w:rPr>
          <w:rFonts w:ascii="Arial" w:cs="Arial" w:eastAsia="Arial" w:hAnsi="Arial"/>
          <w:sz w:val="12"/>
          <w:szCs w:val="12"/>
          <w:color w:val="auto"/>
        </w:rPr>
        <w:t>To the maximum extent permitted by Maryland law and the Investment Company Act, in effect from time to time, the Corporation shall indemnify and, without requiring a preliminary determination of the ultimate entitlement to indemnification, shall pay or reimburse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060"/>
          </w:cols>
          <w:pgMar w:left="300" w:top="230" w:right="539" w:bottom="1440" w:gutter="0" w:footer="0" w:header="0"/>
        </w:sectPr>
      </w:pPr>
    </w:p>
    <w:bookmarkStart w:id="89" w:name="page90"/>
    <w:bookmarkEnd w:id="89"/>
    <w:p>
      <w:pPr>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6455" cy="20955"/>
                    </a:xfrm>
                    <a:prstGeom prst="rect">
                      <a:avLst/>
                    </a:prstGeom>
                    <a:noFill/>
                  </pic:spPr>
                </pic:pic>
              </a:graphicData>
            </a:graphic>
          </wp:anchor>
        </w:drawing>
        <w:t>reasonable expenses in advance of final disposition of a proceeding to (a) any individual who is a present or former director or officer of the Corporation and who is made or threatened to be made a party to the proceeding by reason of his or her service in that capacity or (b) any individual who, while a director or officer of the Corporation and at the request of the Corporation, serves or has served as a director, officer, partner or trustee of such corporation, real estate investment trust, partnership, joint venture, trust, employee benefit plan or other enterprise and who is made or threatened to be made a party to the proceeding by reason of his or her service in that capacity. The Corporation may, with the approval of its Board of Directors or any duly authorized committee thereof, provide such indemnification and advance for expenses to a person who served a predecessor of the Corporation in any of the capacities described in (a) or (b) above and to any employee or agent of the Corporation or a predecessor of the Corporation. The indemnification and payment of expenses provided in these Bylaws shall not be deemed exclusive of or limit in any way other rights to which any person seeking indemnification or payment of expenses may be or may become entitled under any bylaw, regulation, insurance, agreement or otherwise.</w:t>
      </w:r>
    </w:p>
    <w:p>
      <w:pPr>
        <w:spacing w:after="0" w:line="83" w:lineRule="exact"/>
        <w:rPr>
          <w:sz w:val="20"/>
          <w:szCs w:val="20"/>
          <w:color w:val="auto"/>
        </w:rPr>
      </w:pPr>
    </w:p>
    <w:p>
      <w:pPr>
        <w:ind w:right="120" w:firstLine="904"/>
        <w:spacing w:after="0" w:line="268" w:lineRule="auto"/>
        <w:rPr>
          <w:sz w:val="20"/>
          <w:szCs w:val="20"/>
          <w:color w:val="auto"/>
        </w:rPr>
      </w:pPr>
      <w:r>
        <w:rPr>
          <w:rFonts w:ascii="Arial" w:cs="Arial" w:eastAsia="Arial" w:hAnsi="Arial"/>
          <w:sz w:val="12"/>
          <w:szCs w:val="12"/>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XII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WAIVER OF NOTICE</w:t>
      </w:r>
    </w:p>
    <w:p>
      <w:pPr>
        <w:spacing w:after="0" w:line="116" w:lineRule="exact"/>
        <w:rPr>
          <w:sz w:val="20"/>
          <w:szCs w:val="20"/>
          <w:color w:val="auto"/>
        </w:rPr>
      </w:pPr>
    </w:p>
    <w:p>
      <w:pPr>
        <w:ind w:right="160" w:firstLine="904"/>
        <w:spacing w:after="0" w:line="256" w:lineRule="auto"/>
        <w:rPr>
          <w:sz w:val="20"/>
          <w:szCs w:val="20"/>
          <w:color w:val="auto"/>
        </w:rPr>
      </w:pPr>
      <w:r>
        <w:rPr>
          <w:rFonts w:ascii="Arial" w:cs="Arial" w:eastAsia="Arial" w:hAnsi="Arial"/>
          <w:sz w:val="12"/>
          <w:szCs w:val="12"/>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XIII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INSPECTION OF RECORDS</w:t>
      </w:r>
    </w:p>
    <w:p>
      <w:pPr>
        <w:spacing w:after="0" w:line="116" w:lineRule="exact"/>
        <w:rPr>
          <w:sz w:val="20"/>
          <w:szCs w:val="20"/>
          <w:color w:val="auto"/>
        </w:rPr>
      </w:pPr>
    </w:p>
    <w:p>
      <w:pPr>
        <w:ind w:right="140" w:firstLine="904"/>
        <w:spacing w:after="0" w:line="268" w:lineRule="auto"/>
        <w:rPr>
          <w:sz w:val="20"/>
          <w:szCs w:val="20"/>
          <w:color w:val="auto"/>
        </w:rPr>
      </w:pPr>
      <w:r>
        <w:rPr>
          <w:rFonts w:ascii="Arial" w:cs="Arial" w:eastAsia="Arial" w:hAnsi="Arial"/>
          <w:sz w:val="12"/>
          <w:szCs w:val="12"/>
          <w:color w:val="auto"/>
        </w:rPr>
        <w:t>A stockholder that is otherwise eligible under applicable law to inspect the Corporation’s books of account, stock ledger, or other specified documents of the Corporation shall have no right to make such inspection if the Board of Directors determines that such stockholder has an improper purpose for requesting such inspection.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280"/>
          </w:cols>
          <w:pgMar w:left="300" w:top="232" w:right="319" w:bottom="1440" w:gutter="0" w:footer="0" w:header="0"/>
        </w:sectPr>
      </w:pPr>
    </w:p>
    <w:bookmarkStart w:id="90" w:name="page91"/>
    <w:bookmarkEnd w:id="90"/>
    <w:p>
      <w:pPr>
        <w:jc w:val="center"/>
        <w:ind w:right="-19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6455" cy="20955"/>
                    </a:xfrm>
                    <a:prstGeom prst="rect">
                      <a:avLst/>
                    </a:prstGeom>
                    <a:noFill/>
                  </pic:spPr>
                </pic:pic>
              </a:graphicData>
            </a:graphic>
          </wp:anchor>
        </w:drawing>
        <w:t>ARTICLE XIV</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INVESTMENT COMPANY ACT</w:t>
      </w:r>
    </w:p>
    <w:p>
      <w:pPr>
        <w:spacing w:after="0" w:line="116" w:lineRule="exact"/>
        <w:rPr>
          <w:sz w:val="20"/>
          <w:szCs w:val="20"/>
          <w:color w:val="auto"/>
        </w:rPr>
      </w:pPr>
    </w:p>
    <w:p>
      <w:pPr>
        <w:ind w:firstLine="904"/>
        <w:spacing w:after="0" w:line="268" w:lineRule="auto"/>
        <w:rPr>
          <w:sz w:val="20"/>
          <w:szCs w:val="20"/>
          <w:color w:val="auto"/>
        </w:rPr>
      </w:pPr>
      <w:r>
        <w:rPr>
          <w:rFonts w:ascii="Arial" w:cs="Arial" w:eastAsia="Arial" w:hAnsi="Arial"/>
          <w:sz w:val="12"/>
          <w:szCs w:val="12"/>
          <w:color w:val="auto"/>
        </w:rPr>
        <w:t>If and to the extent that any provision of the MGCL, including, without limitation, Subtitle 6 and, if then applicable, Subtitle 7, of Title 3 of the MGCL, or any provision of the charter or these Bylaws conflicts with any provision of the Investment Company Act, the applicable provision of the Investment Company Act shall control.</w:t>
      </w:r>
    </w:p>
    <w:p>
      <w:pPr>
        <w:spacing w:after="0" w:line="194" w:lineRule="exact"/>
        <w:rPr>
          <w:sz w:val="20"/>
          <w:szCs w:val="20"/>
          <w:color w:val="auto"/>
        </w:rPr>
      </w:pPr>
    </w:p>
    <w:p>
      <w:pPr>
        <w:ind w:left="5280"/>
        <w:spacing w:after="0"/>
        <w:rPr>
          <w:sz w:val="20"/>
          <w:szCs w:val="20"/>
          <w:color w:val="auto"/>
        </w:rPr>
      </w:pPr>
      <w:r>
        <w:rPr>
          <w:rFonts w:ascii="Arial" w:cs="Arial" w:eastAsia="Arial" w:hAnsi="Arial"/>
          <w:sz w:val="12"/>
          <w:szCs w:val="12"/>
          <w:b w:val="1"/>
          <w:bCs w:val="1"/>
          <w:color w:val="auto"/>
        </w:rPr>
        <w:t>ARTICLE XV</w:t>
      </w:r>
    </w:p>
    <w:p>
      <w:pPr>
        <w:spacing w:after="0" w:line="114" w:lineRule="exact"/>
        <w:rPr>
          <w:sz w:val="20"/>
          <w:szCs w:val="20"/>
          <w:color w:val="auto"/>
        </w:rPr>
      </w:pPr>
    </w:p>
    <w:p>
      <w:pPr>
        <w:ind w:left="4900"/>
        <w:spacing w:after="0"/>
        <w:rPr>
          <w:sz w:val="20"/>
          <w:szCs w:val="20"/>
          <w:color w:val="auto"/>
        </w:rPr>
      </w:pPr>
      <w:r>
        <w:rPr>
          <w:rFonts w:ascii="Arial" w:cs="Arial" w:eastAsia="Arial" w:hAnsi="Arial"/>
          <w:sz w:val="12"/>
          <w:szCs w:val="12"/>
          <w:b w:val="1"/>
          <w:bCs w:val="1"/>
          <w:color w:val="auto"/>
        </w:rPr>
        <w:t>AMENDMENT OF BYLAWS</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12"/>
          <w:szCs w:val="12"/>
          <w:color w:val="auto"/>
        </w:rPr>
        <w:t>The Board of Directors shall have the exclusive power to adopt, alter or repeal any provision of these Bylaws and to make new Bylaws.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080"/>
          </w:cols>
          <w:pgMar w:left="300" w:top="230" w:right="519" w:bottom="1440" w:gutter="0" w:footer="0" w:header="0"/>
        </w:sectPr>
      </w:pPr>
    </w:p>
    <w:bookmarkStart w:id="91" w:name="page92"/>
    <w:bookmarkEnd w:id="91"/>
    <w:p>
      <w:pPr>
        <w:jc w:val="right"/>
        <w:spacing w:after="0"/>
        <w:rPr>
          <w:sz w:val="20"/>
          <w:szCs w:val="20"/>
          <w:color w:val="auto"/>
        </w:rPr>
      </w:pPr>
      <w:r>
        <w:rPr>
          <w:rFonts w:ascii="Arial" w:cs="Arial" w:eastAsia="Arial" w:hAnsi="Arial"/>
          <w:sz w:val="12"/>
          <w:szCs w:val="12"/>
          <w:b w:val="1"/>
          <w:bCs w:val="1"/>
          <w:color w:val="auto"/>
        </w:rPr>
        <w:t>Exhibit 14.1</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JOINT CODE OF ETHICS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ADVISERS, LLC</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I Statement of General Fiduciary Principles</w:t>
      </w:r>
    </w:p>
    <w:p>
      <w:pPr>
        <w:spacing w:after="0" w:line="62" w:lineRule="exact"/>
        <w:rPr>
          <w:sz w:val="20"/>
          <w:szCs w:val="20"/>
          <w:color w:val="auto"/>
        </w:rPr>
      </w:pPr>
    </w:p>
    <w:p>
      <w:pPr>
        <w:ind w:right="100" w:firstLine="904"/>
        <w:spacing w:after="0" w:line="283" w:lineRule="auto"/>
        <w:rPr>
          <w:sz w:val="20"/>
          <w:szCs w:val="20"/>
          <w:color w:val="auto"/>
        </w:rPr>
      </w:pPr>
      <w:r>
        <w:rPr>
          <w:rFonts w:ascii="Arial" w:cs="Arial" w:eastAsia="Arial" w:hAnsi="Arial"/>
          <w:sz w:val="11"/>
          <w:szCs w:val="11"/>
          <w:color w:val="auto"/>
        </w:rPr>
        <w:t>This Joint Code of Ethics (the “Code”) has been adopted by each of PennantPark Investment Corporation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 may abuse their fiduciary duty to the Corporation,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82" w:lineRule="exact"/>
        <w:rPr>
          <w:sz w:val="20"/>
          <w:szCs w:val="20"/>
          <w:color w:val="auto"/>
        </w:rPr>
      </w:pPr>
    </w:p>
    <w:p>
      <w:pPr>
        <w:ind w:right="80" w:firstLine="904"/>
        <w:spacing w:after="0" w:line="368" w:lineRule="auto"/>
        <w:rPr>
          <w:sz w:val="20"/>
          <w:szCs w:val="20"/>
          <w:color w:val="auto"/>
        </w:rPr>
      </w:pPr>
      <w:r>
        <w:rPr>
          <w:rFonts w:ascii="Arial" w:cs="Arial" w:eastAsia="Arial" w:hAnsi="Arial"/>
          <w:sz w:val="9"/>
          <w:szCs w:val="9"/>
          <w:color w:val="auto"/>
        </w:rPr>
        <w:t>The Code is based on the principle that the directors and officers of the Corporation, and the managers, partners, officers and employees of the Adviser, who provide services to the Corporation, owe a fiduciary duty to the Corporation to conduct their personal securities transactions in a manner that does not interfere with the Corporation’s transactions or otherwise take unfair advantage of their relationship with the Corporation. All directors, managers, partners, officers and employees of the Corporation,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49" w:lineRule="exact"/>
        <w:rPr>
          <w:sz w:val="20"/>
          <w:szCs w:val="20"/>
          <w:color w:val="auto"/>
        </w:rPr>
      </w:pPr>
    </w:p>
    <w:p>
      <w:pPr>
        <w:jc w:val="both"/>
        <w:ind w:right="200" w:firstLine="904"/>
        <w:spacing w:after="0" w:line="259" w:lineRule="auto"/>
        <w:rPr>
          <w:sz w:val="20"/>
          <w:szCs w:val="20"/>
          <w:color w:val="auto"/>
        </w:rPr>
      </w:pPr>
      <w:r>
        <w:rPr>
          <w:rFonts w:ascii="Arial" w:cs="Arial" w:eastAsia="Arial" w:hAnsi="Arial"/>
          <w:sz w:val="12"/>
          <w:szCs w:val="12"/>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93" w:lineRule="exact"/>
        <w:rPr>
          <w:sz w:val="20"/>
          <w:szCs w:val="20"/>
          <w:color w:val="auto"/>
        </w:rPr>
      </w:pPr>
    </w:p>
    <w:p>
      <w:pPr>
        <w:ind w:left="900"/>
        <w:spacing w:after="0"/>
        <w:rPr>
          <w:sz w:val="20"/>
          <w:szCs w:val="20"/>
          <w:color w:val="auto"/>
        </w:rPr>
      </w:pPr>
      <w:r>
        <w:rPr>
          <w:rFonts w:ascii="Arial" w:cs="Arial" w:eastAsia="Arial" w:hAnsi="Arial"/>
          <w:sz w:val="12"/>
          <w:szCs w:val="12"/>
          <w:color w:val="auto"/>
        </w:rPr>
        <w:t>All Covered Personnel must read and retain this Code.</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II Definitions</w:t>
      </w:r>
    </w:p>
    <w:p>
      <w:pPr>
        <w:spacing w:after="0" w:line="62" w:lineRule="exact"/>
        <w:rPr>
          <w:sz w:val="20"/>
          <w:szCs w:val="20"/>
          <w:color w:val="auto"/>
        </w:rPr>
      </w:pPr>
    </w:p>
    <w:p>
      <w:pPr>
        <w:ind w:left="5620" w:right="4120" w:hanging="5178"/>
        <w:spacing w:after="0" w:line="440" w:lineRule="auto"/>
        <w:tabs>
          <w:tab w:leader="none" w:pos="897" w:val="left"/>
        </w:tabs>
        <w:numPr>
          <w:ilvl w:val="0"/>
          <w:numId w:val="51"/>
        </w:numPr>
        <w:rPr>
          <w:rFonts w:ascii="Arial" w:cs="Arial" w:eastAsia="Arial" w:hAnsi="Arial"/>
          <w:sz w:val="12"/>
          <w:szCs w:val="12"/>
          <w:color w:val="auto"/>
        </w:rPr>
      </w:pPr>
      <w:r>
        <w:rPr>
          <w:rFonts w:ascii="Arial" w:cs="Arial" w:eastAsia="Arial" w:hAnsi="Arial"/>
          <w:sz w:val="12"/>
          <w:szCs w:val="12"/>
          <w:color w:val="auto"/>
        </w:rPr>
        <w:t>“Access Person” means any director, officer, general partner or Advisory Person (as defined below) of the Corporation or the Adviser. 1</w:t>
      </w:r>
    </w:p>
    <w:p>
      <w:pPr>
        <w:sectPr>
          <w:pgSz w:w="11900" w:h="16838" w:orient="portrait"/>
          <w:cols w:equalWidth="0" w:num="1">
            <w:col w:w="11300"/>
          </w:cols>
          <w:pgMar w:left="300" w:top="131" w:right="299" w:bottom="1440" w:gutter="0" w:footer="0" w:header="0"/>
        </w:sectPr>
      </w:pPr>
    </w:p>
    <w:bookmarkStart w:id="92" w:name="page93"/>
    <w:bookmarkEnd w:id="92"/>
    <w:p>
      <w:pPr>
        <w:jc w:val="both"/>
        <w:ind w:left="460" w:right="100" w:hanging="458"/>
        <w:spacing w:after="0" w:line="256" w:lineRule="auto"/>
        <w:tabs>
          <w:tab w:leader="none" w:pos="460" w:val="left"/>
        </w:tabs>
        <w:numPr>
          <w:ilvl w:val="0"/>
          <w:numId w:val="5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6455" cy="20955"/>
                    </a:xfrm>
                    <a:prstGeom prst="rect">
                      <a:avLst/>
                    </a:prstGeom>
                    <a:noFill/>
                  </pic:spPr>
                </pic:pic>
              </a:graphicData>
            </a:graphic>
          </wp:anchor>
        </w:drawing>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41" w:lineRule="exact"/>
        <w:rPr>
          <w:rFonts w:ascii="Arial" w:cs="Arial" w:eastAsia="Arial" w:hAnsi="Arial"/>
          <w:sz w:val="12"/>
          <w:szCs w:val="12"/>
          <w:color w:val="auto"/>
        </w:rPr>
      </w:pPr>
    </w:p>
    <w:p>
      <w:pPr>
        <w:ind w:left="460" w:right="280" w:hanging="458"/>
        <w:spacing w:after="0" w:line="268" w:lineRule="auto"/>
        <w:tabs>
          <w:tab w:leader="none" w:pos="4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33" w:lineRule="exact"/>
        <w:rPr>
          <w:rFonts w:ascii="Arial" w:cs="Arial" w:eastAsia="Arial" w:hAnsi="Arial"/>
          <w:sz w:val="12"/>
          <w:szCs w:val="12"/>
          <w:color w:val="auto"/>
        </w:rPr>
      </w:pPr>
    </w:p>
    <w:p>
      <w:pPr>
        <w:ind w:left="460" w:right="160" w:hanging="458"/>
        <w:spacing w:after="0" w:line="314" w:lineRule="auto"/>
        <w:tabs>
          <w:tab w:leader="none" w:pos="460" w:val="left"/>
        </w:tabs>
        <w:numPr>
          <w:ilvl w:val="0"/>
          <w:numId w:val="52"/>
        </w:numPr>
        <w:rPr>
          <w:rFonts w:ascii="Arial" w:cs="Arial" w:eastAsia="Arial" w:hAnsi="Arial"/>
          <w:sz w:val="11"/>
          <w:szCs w:val="11"/>
          <w:color w:val="auto"/>
        </w:rPr>
      </w:pPr>
      <w:r>
        <w:rPr>
          <w:rFonts w:ascii="Arial" w:cs="Arial" w:eastAsia="Arial" w:hAnsi="Arial"/>
          <w:sz w:val="11"/>
          <w:szCs w:val="11"/>
          <w:color w:val="auto"/>
        </w:rPr>
        <w:t>“Chief Compliance Officer” means the Chief Compliance Officer of the Corporation (who also may serve as the compliance officer of the Adviser and/or one or more affiliates of the Adviser). Corporation shall initially have no Chief Compliance Officer. Prior to the completion of the Corporation’s initial public offering, the Corporation will appoint a Chief Compliance Officer or appoint a company to act in that capacity.</w:t>
      </w:r>
    </w:p>
    <w:p>
      <w:pPr>
        <w:spacing w:after="0" w:line="11" w:lineRule="exact"/>
        <w:rPr>
          <w:rFonts w:ascii="Arial" w:cs="Arial" w:eastAsia="Arial" w:hAnsi="Arial"/>
          <w:sz w:val="11"/>
          <w:szCs w:val="11"/>
          <w:color w:val="auto"/>
        </w:rPr>
      </w:pPr>
    </w:p>
    <w:p>
      <w:pPr>
        <w:ind w:left="460" w:hanging="458"/>
        <w:spacing w:after="0"/>
        <w:tabs>
          <w:tab w:leader="none" w:pos="4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“Control” shall have the same meaning as that set forth in Section 2(a)(9) of the Act.</w:t>
      </w:r>
    </w:p>
    <w:p>
      <w:pPr>
        <w:spacing w:after="0" w:line="60" w:lineRule="exact"/>
        <w:rPr>
          <w:rFonts w:ascii="Arial" w:cs="Arial" w:eastAsia="Arial" w:hAnsi="Arial"/>
          <w:sz w:val="12"/>
          <w:szCs w:val="12"/>
          <w:color w:val="auto"/>
        </w:rPr>
      </w:pPr>
    </w:p>
    <w:p>
      <w:pPr>
        <w:ind w:left="460" w:hanging="458"/>
        <w:spacing w:after="0" w:line="283" w:lineRule="auto"/>
        <w:tabs>
          <w:tab w:leader="none" w:pos="460" w:val="left"/>
        </w:tabs>
        <w:numPr>
          <w:ilvl w:val="0"/>
          <w:numId w:val="52"/>
        </w:numPr>
        <w:rPr>
          <w:rFonts w:ascii="Arial" w:cs="Arial" w:eastAsia="Arial" w:hAnsi="Arial"/>
          <w:sz w:val="11"/>
          <w:szCs w:val="11"/>
          <w:color w:val="auto"/>
        </w:rPr>
      </w:pPr>
      <w:r>
        <w:rPr>
          <w:rFonts w:ascii="Arial" w:cs="Arial" w:eastAsia="Arial" w:hAnsi="Arial"/>
          <w:sz w:val="11"/>
          <w:szCs w:val="11"/>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28" w:lineRule="exact"/>
        <w:rPr>
          <w:rFonts w:ascii="Arial" w:cs="Arial" w:eastAsia="Arial" w:hAnsi="Arial"/>
          <w:sz w:val="11"/>
          <w:szCs w:val="11"/>
          <w:color w:val="auto"/>
        </w:rPr>
      </w:pPr>
    </w:p>
    <w:p>
      <w:pPr>
        <w:ind w:left="460" w:right="240"/>
        <w:spacing w:after="0" w:line="268" w:lineRule="auto"/>
        <w:rPr>
          <w:rFonts w:ascii="Arial" w:cs="Arial" w:eastAsia="Arial" w:hAnsi="Arial"/>
          <w:sz w:val="11"/>
          <w:szCs w:val="11"/>
          <w:color w:val="auto"/>
        </w:rPr>
      </w:pPr>
      <w:r>
        <w:rPr>
          <w:rFonts w:ascii="Arial" w:cs="Arial" w:eastAsia="Arial" w:hAnsi="Arial"/>
          <w:sz w:val="12"/>
          <w:szCs w:val="12"/>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840"/>
          </w:cols>
          <w:pgMar w:left="740" w:top="232" w:right="319" w:bottom="1440" w:gutter="0" w:footer="0" w:header="0"/>
        </w:sectPr>
      </w:pPr>
    </w:p>
    <w:bookmarkStart w:id="93" w:name="page94"/>
    <w:bookmarkEnd w:id="93"/>
    <w:p>
      <w:pPr>
        <w:ind w:left="900"/>
        <w:spacing w:after="0" w:line="25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6455" cy="20955"/>
                    </a:xfrm>
                    <a:prstGeom prst="rect">
                      <a:avLst/>
                    </a:prstGeom>
                    <a:noFill/>
                  </pic:spPr>
                </pic:pic>
              </a:graphicData>
            </a:graphic>
          </wp:anchor>
        </w:drawing>
        <w:t>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44" w:lineRule="exact"/>
        <w:rPr>
          <w:sz w:val="20"/>
          <w:szCs w:val="20"/>
          <w:color w:val="auto"/>
        </w:rPr>
      </w:pPr>
    </w:p>
    <w:p>
      <w:pPr>
        <w:ind w:left="900" w:hanging="458"/>
        <w:spacing w:after="0"/>
        <w:tabs>
          <w:tab w:leader="none" w:pos="90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“Independent Director” means a director of the Corporation who is not an “interested person” of the Corporation within the meaning of Section 2(a)(19) of the Act.</w:t>
      </w:r>
    </w:p>
    <w:p>
      <w:pPr>
        <w:spacing w:after="0" w:line="60" w:lineRule="exact"/>
        <w:rPr>
          <w:rFonts w:ascii="Arial" w:cs="Arial" w:eastAsia="Arial" w:hAnsi="Arial"/>
          <w:sz w:val="12"/>
          <w:szCs w:val="12"/>
          <w:color w:val="auto"/>
        </w:rPr>
      </w:pPr>
    </w:p>
    <w:p>
      <w:pPr>
        <w:ind w:left="900" w:right="100" w:hanging="458"/>
        <w:spacing w:after="0" w:line="268" w:lineRule="auto"/>
        <w:tabs>
          <w:tab w:leader="none" w:pos="90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33" w:lineRule="exact"/>
        <w:rPr>
          <w:rFonts w:ascii="Arial" w:cs="Arial" w:eastAsia="Arial" w:hAnsi="Arial"/>
          <w:sz w:val="12"/>
          <w:szCs w:val="12"/>
          <w:color w:val="auto"/>
        </w:rPr>
      </w:pPr>
    </w:p>
    <w:p>
      <w:pPr>
        <w:ind w:left="900" w:hanging="458"/>
        <w:spacing w:after="0"/>
        <w:tabs>
          <w:tab w:leader="none" w:pos="900" w:val="left"/>
        </w:tabs>
        <w:numPr>
          <w:ilvl w:val="0"/>
          <w:numId w:val="53"/>
        </w:numPr>
        <w:rPr>
          <w:rFonts w:ascii="Arial" w:cs="Arial" w:eastAsia="Arial" w:hAnsi="Arial"/>
          <w:sz w:val="12"/>
          <w:szCs w:val="12"/>
          <w:color w:val="auto"/>
        </w:rPr>
      </w:pPr>
      <w:r>
        <w:rPr>
          <w:rFonts w:ascii="Arial" w:cs="Arial" w:eastAsia="Arial" w:hAnsi="Arial"/>
          <w:sz w:val="12"/>
          <w:szCs w:val="12"/>
          <w:color w:val="auto"/>
        </w:rPr>
        <w:t>“Limited Offering” means an offering that is exempt from registration under the 1933 Act pursuant to Section 4(2) or Section 4(6) thereof or pursuant to Rule 504, Rule 505, or Rule 506 thereunder.</w:t>
      </w:r>
    </w:p>
    <w:p>
      <w:pPr>
        <w:spacing w:after="0" w:line="60" w:lineRule="exact"/>
        <w:rPr>
          <w:rFonts w:ascii="Arial" w:cs="Arial" w:eastAsia="Arial" w:hAnsi="Arial"/>
          <w:sz w:val="12"/>
          <w:szCs w:val="12"/>
          <w:color w:val="auto"/>
        </w:rPr>
      </w:pPr>
    </w:p>
    <w:p>
      <w:pPr>
        <w:ind w:left="900" w:right="320" w:hanging="458"/>
        <w:spacing w:after="0" w:line="396" w:lineRule="auto"/>
        <w:tabs>
          <w:tab w:leader="none" w:pos="900" w:val="left"/>
        </w:tabs>
        <w:numPr>
          <w:ilvl w:val="0"/>
          <w:numId w:val="53"/>
        </w:numPr>
        <w:rPr>
          <w:rFonts w:ascii="Arial" w:cs="Arial" w:eastAsia="Arial" w:hAnsi="Arial"/>
          <w:sz w:val="9"/>
          <w:szCs w:val="9"/>
          <w:color w:val="auto"/>
        </w:rPr>
      </w:pPr>
      <w:r>
        <w:rPr>
          <w:rFonts w:ascii="Arial" w:cs="Arial" w:eastAsia="Arial" w:hAnsi="Arial"/>
          <w:sz w:val="9"/>
          <w:szCs w:val="9"/>
          <w:color w:val="auto"/>
        </w:rPr>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ind w:left="900" w:hanging="458"/>
        <w:spacing w:after="0"/>
        <w:tabs>
          <w:tab w:leader="none" w:pos="900" w:val="left"/>
        </w:tabs>
        <w:numPr>
          <w:ilvl w:val="0"/>
          <w:numId w:val="53"/>
        </w:numPr>
        <w:rPr>
          <w:rFonts w:ascii="Arial" w:cs="Arial" w:eastAsia="Arial" w:hAnsi="Arial"/>
          <w:sz w:val="12"/>
          <w:szCs w:val="12"/>
          <w:color w:val="auto"/>
        </w:rPr>
      </w:pPr>
      <w:r>
        <w:rPr>
          <w:rFonts w:ascii="Arial" w:cs="Arial" w:eastAsia="Arial" w:hAnsi="Arial"/>
          <w:sz w:val="12"/>
          <w:szCs w:val="12"/>
          <w:color w:val="auto"/>
        </w:rPr>
        <w:t>“17j-1 Organization” means the Corporation or the Adviser, as the context requires.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III Objective and General Prohibitions</w:t>
      </w:r>
    </w:p>
    <w:p>
      <w:pPr>
        <w:spacing w:after="0" w:line="62" w:lineRule="exact"/>
        <w:rPr>
          <w:sz w:val="20"/>
          <w:szCs w:val="20"/>
          <w:color w:val="auto"/>
        </w:rPr>
      </w:pPr>
    </w:p>
    <w:p>
      <w:pPr>
        <w:jc w:val="both"/>
        <w:ind w:right="140" w:firstLine="904"/>
        <w:spacing w:after="0" w:line="259" w:lineRule="auto"/>
        <w:rPr>
          <w:sz w:val="20"/>
          <w:szCs w:val="20"/>
          <w:color w:val="auto"/>
        </w:rPr>
      </w:pPr>
      <w:r>
        <w:rPr>
          <w:rFonts w:ascii="Arial" w:cs="Arial" w:eastAsia="Arial" w:hAnsi="Arial"/>
          <w:sz w:val="12"/>
          <w:szCs w:val="12"/>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80"/>
          </w:cols>
          <w:pgMar w:left="300" w:top="232" w:right="319" w:bottom="1440" w:gutter="0" w:footer="0" w:header="0"/>
        </w:sectPr>
      </w:pPr>
    </w:p>
    <w:bookmarkStart w:id="94" w:name="page95"/>
    <w:bookmarkEnd w:id="94"/>
    <w:p>
      <w:pPr>
        <w:jc w:val="both"/>
        <w:ind w:firstLine="904"/>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6455" cy="20955"/>
                    </a:xfrm>
                    <a:prstGeom prst="rect">
                      <a:avLst/>
                    </a:prstGeom>
                    <a:noFill/>
                  </pic:spPr>
                </pic:pic>
              </a:graphicData>
            </a:graphic>
          </wp:anchor>
        </w:drawing>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39" w:lineRule="exact"/>
        <w:rPr>
          <w:sz w:val="20"/>
          <w:szCs w:val="20"/>
          <w:color w:val="auto"/>
        </w:rPr>
      </w:pPr>
    </w:p>
    <w:p>
      <w:pPr>
        <w:ind w:left="1460" w:hanging="568"/>
        <w:spacing w:after="0"/>
        <w:tabs>
          <w:tab w:leader="none" w:pos="14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employ any device, scheme or artifice to defraud the Corporation;</w:t>
      </w:r>
    </w:p>
    <w:p>
      <w:pPr>
        <w:spacing w:after="0" w:line="60" w:lineRule="exact"/>
        <w:rPr>
          <w:rFonts w:ascii="Arial" w:cs="Arial" w:eastAsia="Arial" w:hAnsi="Arial"/>
          <w:sz w:val="12"/>
          <w:szCs w:val="12"/>
          <w:color w:val="auto"/>
        </w:rPr>
      </w:pPr>
    </w:p>
    <w:p>
      <w:pPr>
        <w:ind w:left="1460" w:right="40" w:hanging="568"/>
        <w:spacing w:after="0" w:line="268" w:lineRule="auto"/>
        <w:tabs>
          <w:tab w:leader="none" w:pos="14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33" w:lineRule="exact"/>
        <w:rPr>
          <w:rFonts w:ascii="Arial" w:cs="Arial" w:eastAsia="Arial" w:hAnsi="Arial"/>
          <w:sz w:val="12"/>
          <w:szCs w:val="12"/>
          <w:color w:val="auto"/>
        </w:rPr>
      </w:pPr>
    </w:p>
    <w:p>
      <w:pPr>
        <w:ind w:left="1460" w:hanging="568"/>
        <w:spacing w:after="0"/>
        <w:tabs>
          <w:tab w:leader="none" w:pos="14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engage in any act, practice or course of business that operates or would operate as a fraud or deceit upon the Corporation; or</w:t>
      </w:r>
    </w:p>
    <w:p>
      <w:pPr>
        <w:spacing w:after="0" w:line="60" w:lineRule="exact"/>
        <w:rPr>
          <w:rFonts w:ascii="Arial" w:cs="Arial" w:eastAsia="Arial" w:hAnsi="Arial"/>
          <w:sz w:val="12"/>
          <w:szCs w:val="12"/>
          <w:color w:val="auto"/>
        </w:rPr>
      </w:pPr>
    </w:p>
    <w:p>
      <w:pPr>
        <w:ind w:left="1460" w:hanging="568"/>
        <w:spacing w:after="0"/>
        <w:tabs>
          <w:tab w:leader="none" w:pos="14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engage in any manipulative practice with respect to the Corporation.</w:t>
      </w:r>
    </w:p>
    <w:p>
      <w:pPr>
        <w:spacing w:after="0" w:line="114" w:lineRule="exact"/>
        <w:rPr>
          <w:sz w:val="20"/>
          <w:szCs w:val="20"/>
          <w:color w:val="auto"/>
        </w:rPr>
      </w:pPr>
    </w:p>
    <w:p>
      <w:pPr>
        <w:ind w:right="260" w:firstLine="904"/>
        <w:spacing w:after="0" w:line="268" w:lineRule="auto"/>
        <w:rPr>
          <w:sz w:val="20"/>
          <w:szCs w:val="20"/>
          <w:color w:val="auto"/>
        </w:rPr>
      </w:pPr>
      <w:r>
        <w:rPr>
          <w:rFonts w:ascii="Arial" w:cs="Arial" w:eastAsia="Arial" w:hAnsi="Arial"/>
          <w:sz w:val="12"/>
          <w:szCs w:val="12"/>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IV Prohibited Transactions</w:t>
      </w:r>
    </w:p>
    <w:p>
      <w:pPr>
        <w:spacing w:after="0" w:line="62" w:lineRule="exact"/>
        <w:rPr>
          <w:sz w:val="20"/>
          <w:szCs w:val="20"/>
          <w:color w:val="auto"/>
        </w:rPr>
      </w:pPr>
    </w:p>
    <w:p>
      <w:pPr>
        <w:ind w:left="900" w:right="160" w:hanging="458"/>
        <w:spacing w:after="0" w:line="287" w:lineRule="auto"/>
        <w:tabs>
          <w:tab w:leader="none" w:pos="900" w:val="left"/>
        </w:tabs>
        <w:numPr>
          <w:ilvl w:val="0"/>
          <w:numId w:val="55"/>
        </w:numPr>
        <w:rPr>
          <w:rFonts w:ascii="Arial" w:cs="Arial" w:eastAsia="Arial" w:hAnsi="Arial"/>
          <w:sz w:val="11"/>
          <w:szCs w:val="11"/>
          <w:color w:val="auto"/>
        </w:rPr>
      </w:pPr>
      <w:r>
        <w:rPr>
          <w:rFonts w:ascii="Arial" w:cs="Arial" w:eastAsia="Arial" w:hAnsi="Arial"/>
          <w:sz w:val="11"/>
          <w:szCs w:val="11"/>
          <w:color w:val="auto"/>
        </w:rPr>
        <w:t>An Access Person may not purchase or otherwise acquire direct or indirect Beneficial Ownership of any Covered Security, and may not sell or otherwise dispose of any Covered Security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24" w:lineRule="exact"/>
        <w:rPr>
          <w:rFonts w:ascii="Arial" w:cs="Arial" w:eastAsia="Arial" w:hAnsi="Arial"/>
          <w:sz w:val="11"/>
          <w:szCs w:val="11"/>
          <w:color w:val="auto"/>
        </w:rPr>
      </w:pPr>
    </w:p>
    <w:p>
      <w:pPr>
        <w:jc w:val="both"/>
        <w:ind w:left="900" w:right="100" w:hanging="458"/>
        <w:spacing w:after="0" w:line="259" w:lineRule="auto"/>
        <w:tabs>
          <w:tab w:leader="none" w:pos="9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39" w:lineRule="exact"/>
        <w:rPr>
          <w:rFonts w:ascii="Arial" w:cs="Arial" w:eastAsia="Arial" w:hAnsi="Arial"/>
          <w:sz w:val="12"/>
          <w:szCs w:val="12"/>
          <w:color w:val="auto"/>
        </w:rPr>
      </w:pPr>
    </w:p>
    <w:p>
      <w:pPr>
        <w:ind w:left="900" w:hanging="458"/>
        <w:spacing w:after="0"/>
        <w:tabs>
          <w:tab w:leader="none" w:pos="9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No Access Person shall recommend any transaction in any Covered Securities by the Corporation without having disclosed to the Chief Compliance Officer his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60"/>
          </w:cols>
          <w:pgMar w:left="300" w:top="232" w:right="339" w:bottom="1440" w:gutter="0" w:footer="0" w:header="0"/>
        </w:sectPr>
      </w:pPr>
    </w:p>
    <w:bookmarkStart w:id="95" w:name="page96"/>
    <w:bookmarkEnd w:id="95"/>
    <w:p>
      <w:pPr>
        <w:ind w:left="900"/>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6455" cy="20955"/>
                    </a:xfrm>
                    <a:prstGeom prst="rect">
                      <a:avLst/>
                    </a:prstGeom>
                    <a:noFill/>
                  </pic:spPr>
                </pic:pic>
              </a:graphicData>
            </a:graphic>
          </wp:anchor>
        </w:drawing>
        <w:t>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V Reports by Access Persons</w:t>
      </w:r>
    </w:p>
    <w:p>
      <w:pPr>
        <w:spacing w:after="0" w:line="62" w:lineRule="exact"/>
        <w:rPr>
          <w:sz w:val="20"/>
          <w:szCs w:val="20"/>
          <w:color w:val="auto"/>
        </w:rPr>
      </w:pPr>
    </w:p>
    <w:p>
      <w:pPr>
        <w:ind w:left="900" w:hanging="458"/>
        <w:spacing w:after="0"/>
        <w:tabs>
          <w:tab w:leader="none" w:pos="9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Personal Securities Holdings Reports.</w:t>
      </w:r>
    </w:p>
    <w:p>
      <w:pPr>
        <w:spacing w:after="0" w:line="60" w:lineRule="exact"/>
        <w:rPr>
          <w:sz w:val="20"/>
          <w:szCs w:val="20"/>
          <w:color w:val="auto"/>
        </w:rPr>
      </w:pPr>
    </w:p>
    <w:p>
      <w:pPr>
        <w:ind w:firstLine="904"/>
        <w:spacing w:after="0" w:line="254" w:lineRule="auto"/>
        <w:rPr>
          <w:sz w:val="20"/>
          <w:szCs w:val="20"/>
          <w:color w:val="auto"/>
        </w:rPr>
      </w:pPr>
      <w:r>
        <w:rPr>
          <w:rFonts w:ascii="Arial" w:cs="Arial" w:eastAsia="Arial" w:hAnsi="Arial"/>
          <w:sz w:val="12"/>
          <w:szCs w:val="12"/>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179" w:lineRule="exact"/>
        <w:rPr>
          <w:sz w:val="20"/>
          <w:szCs w:val="20"/>
          <w:color w:val="auto"/>
        </w:rPr>
      </w:pPr>
    </w:p>
    <w:p>
      <w:pPr>
        <w:ind w:left="900" w:hanging="458"/>
        <w:spacing w:after="0"/>
        <w:tabs>
          <w:tab w:leader="none" w:pos="9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Quarterly Transaction Reports.</w:t>
      </w:r>
    </w:p>
    <w:p>
      <w:pPr>
        <w:spacing w:after="0" w:line="60" w:lineRule="exact"/>
        <w:rPr>
          <w:sz w:val="20"/>
          <w:szCs w:val="20"/>
          <w:color w:val="auto"/>
        </w:rPr>
      </w:pPr>
    </w:p>
    <w:p>
      <w:pPr>
        <w:ind w:right="180" w:firstLine="904"/>
        <w:spacing w:after="0" w:line="268" w:lineRule="auto"/>
        <w:rPr>
          <w:sz w:val="20"/>
          <w:szCs w:val="20"/>
          <w:color w:val="auto"/>
        </w:rPr>
      </w:pPr>
      <w:r>
        <w:rPr>
          <w:rFonts w:ascii="Arial" w:cs="Arial" w:eastAsia="Arial" w:hAnsi="Arial"/>
          <w:sz w:val="12"/>
          <w:szCs w:val="12"/>
          <w:color w:val="auto"/>
        </w:rPr>
        <w:t>Within 10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88" w:lineRule="exact"/>
        <w:rPr>
          <w:sz w:val="20"/>
          <w:szCs w:val="20"/>
          <w:color w:val="auto"/>
        </w:rPr>
      </w:pPr>
    </w:p>
    <w:p>
      <w:pPr>
        <w:ind w:left="900"/>
        <w:spacing w:after="0"/>
        <w:rPr>
          <w:sz w:val="20"/>
          <w:szCs w:val="20"/>
          <w:color w:val="auto"/>
        </w:rPr>
      </w:pPr>
      <w:r>
        <w:rPr>
          <w:rFonts w:ascii="Arial" w:cs="Arial" w:eastAsia="Arial" w:hAnsi="Arial"/>
          <w:sz w:val="11"/>
          <w:szCs w:val="11"/>
          <w:color w:val="auto"/>
        </w:rPr>
        <w:t>A Quarterly Securities Transaction Report shall be in the form of Schedule B or such other form approved by the Chief Compliance Officer and must contain the following information with respect to each reportable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transaction:</w:t>
      </w:r>
    </w:p>
    <w:p>
      <w:pPr>
        <w:spacing w:after="0" w:line="56" w:lineRule="exact"/>
        <w:rPr>
          <w:sz w:val="20"/>
          <w:szCs w:val="20"/>
          <w:color w:val="auto"/>
        </w:rPr>
      </w:pPr>
    </w:p>
    <w:p>
      <w:pPr>
        <w:ind w:left="1060" w:hanging="164"/>
        <w:spacing w:after="0"/>
        <w:tabs>
          <w:tab w:leader="none" w:pos="10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Date and nature of the transaction (purchase, sale or any other type of acquisition or disposition);</w:t>
      </w:r>
    </w:p>
    <w:p>
      <w:pPr>
        <w:spacing w:after="0" w:line="114" w:lineRule="exact"/>
        <w:rPr>
          <w:rFonts w:ascii="Arial" w:cs="Arial" w:eastAsia="Arial" w:hAnsi="Arial"/>
          <w:sz w:val="12"/>
          <w:szCs w:val="12"/>
          <w:color w:val="auto"/>
        </w:rPr>
      </w:pPr>
    </w:p>
    <w:p>
      <w:pPr>
        <w:ind w:left="1060" w:hanging="164"/>
        <w:spacing w:after="0"/>
        <w:tabs>
          <w:tab w:leader="none" w:pos="1060" w:val="left"/>
        </w:tabs>
        <w:numPr>
          <w:ilvl w:val="0"/>
          <w:numId w:val="58"/>
        </w:numPr>
        <w:rPr>
          <w:rFonts w:ascii="Arial" w:cs="Arial" w:eastAsia="Arial" w:hAnsi="Arial"/>
          <w:sz w:val="11"/>
          <w:szCs w:val="11"/>
          <w:color w:val="auto"/>
        </w:rPr>
      </w:pPr>
      <w:r>
        <w:rPr>
          <w:rFonts w:ascii="Arial" w:cs="Arial" w:eastAsia="Arial" w:hAnsi="Arial"/>
          <w:sz w:val="11"/>
          <w:szCs w:val="11"/>
          <w:color w:val="auto"/>
        </w:rPr>
        <w:t>Title, interest rate and maturity date (if applicable), number of shares and principal amount of each Covered Security involved and the price of the Covered Security at which the transaction was effected;</w:t>
      </w:r>
    </w:p>
    <w:p>
      <w:pPr>
        <w:spacing w:after="0" w:line="125" w:lineRule="exact"/>
        <w:rPr>
          <w:rFonts w:ascii="Arial" w:cs="Arial" w:eastAsia="Arial" w:hAnsi="Arial"/>
          <w:sz w:val="11"/>
          <w:szCs w:val="11"/>
          <w:color w:val="auto"/>
        </w:rPr>
      </w:pPr>
    </w:p>
    <w:p>
      <w:pPr>
        <w:ind w:left="1060" w:hanging="164"/>
        <w:spacing w:after="0"/>
        <w:tabs>
          <w:tab w:leader="none" w:pos="10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Name of the broker, dealer or bank with or through whom the transaction was effected;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80"/>
          </w:cols>
          <w:pgMar w:left="300" w:top="232" w:right="319" w:bottom="1440" w:gutter="0" w:footer="0" w:header="0"/>
        </w:sectPr>
      </w:pPr>
    </w:p>
    <w:bookmarkStart w:id="96" w:name="page97"/>
    <w:bookmarkEnd w:id="96"/>
    <w:p>
      <w:pPr>
        <w:ind w:left="9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6455" cy="20955"/>
                    </a:xfrm>
                    <a:prstGeom prst="rect">
                      <a:avLst/>
                    </a:prstGeom>
                    <a:noFill/>
                  </pic:spPr>
                </pic:pic>
              </a:graphicData>
            </a:graphic>
          </wp:anchor>
        </w:drawing>
        <w:t>(4) The date the report is submitted by the Access Person.</w:t>
      </w:r>
    </w:p>
    <w:p>
      <w:pPr>
        <w:spacing w:after="0" w:line="195" w:lineRule="exact"/>
        <w:rPr>
          <w:sz w:val="20"/>
          <w:szCs w:val="20"/>
          <w:color w:val="auto"/>
        </w:rPr>
      </w:pPr>
    </w:p>
    <w:p>
      <w:pPr>
        <w:ind w:left="900" w:hanging="458"/>
        <w:spacing w:after="0"/>
        <w:tabs>
          <w:tab w:leader="none" w:pos="9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Independent Directors.</w:t>
      </w:r>
    </w:p>
    <w:p>
      <w:pPr>
        <w:spacing w:after="0" w:line="60" w:lineRule="exact"/>
        <w:rPr>
          <w:rFonts w:ascii="Arial" w:cs="Arial" w:eastAsia="Arial" w:hAnsi="Arial"/>
          <w:sz w:val="12"/>
          <w:szCs w:val="12"/>
          <w:color w:val="auto"/>
        </w:rPr>
      </w:pPr>
    </w:p>
    <w:p>
      <w:pPr>
        <w:ind w:left="900"/>
        <w:spacing w:after="0"/>
        <w:rPr>
          <w:rFonts w:ascii="Arial" w:cs="Arial" w:eastAsia="Arial" w:hAnsi="Arial"/>
          <w:sz w:val="12"/>
          <w:szCs w:val="12"/>
          <w:color w:val="auto"/>
        </w:rPr>
      </w:pPr>
      <w:r>
        <w:rPr>
          <w:rFonts w:ascii="Arial" w:cs="Arial" w:eastAsia="Arial" w:hAnsi="Arial"/>
          <w:sz w:val="9"/>
          <w:szCs w:val="9"/>
          <w:color w:val="auto"/>
        </w:rPr>
        <w:t>Notwithstanding the reporting requirements set forth in this Section V, an Independent Director who would be required to make a report under this Section V solely by reason of being a director of the Corporation is not</w:t>
      </w:r>
    </w:p>
    <w:p>
      <w:pPr>
        <w:spacing w:after="0" w:line="45"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60" w:lineRule="exact"/>
        <w:rPr>
          <w:sz w:val="20"/>
          <w:szCs w:val="20"/>
          <w:color w:val="auto"/>
        </w:rPr>
      </w:pPr>
    </w:p>
    <w:p>
      <w:pPr>
        <w:ind w:left="900" w:hanging="458"/>
        <w:spacing w:after="0"/>
        <w:tabs>
          <w:tab w:leader="none" w:pos="90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Access Persons of the Adviser.</w:t>
      </w:r>
    </w:p>
    <w:p>
      <w:pPr>
        <w:spacing w:after="0" w:line="60" w:lineRule="exact"/>
        <w:rPr>
          <w:sz w:val="20"/>
          <w:szCs w:val="20"/>
          <w:color w:val="auto"/>
        </w:rPr>
      </w:pPr>
    </w:p>
    <w:p>
      <w:pPr>
        <w:ind w:firstLine="904"/>
        <w:spacing w:after="0" w:line="268" w:lineRule="auto"/>
        <w:rPr>
          <w:sz w:val="20"/>
          <w:szCs w:val="20"/>
          <w:color w:val="auto"/>
        </w:rPr>
      </w:pPr>
      <w:r>
        <w:rPr>
          <w:rFonts w:ascii="Arial" w:cs="Arial" w:eastAsia="Arial" w:hAnsi="Arial"/>
          <w:sz w:val="12"/>
          <w:szCs w:val="12"/>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69" w:lineRule="exact"/>
        <w:rPr>
          <w:sz w:val="20"/>
          <w:szCs w:val="20"/>
          <w:color w:val="auto"/>
        </w:rPr>
      </w:pPr>
    </w:p>
    <w:p>
      <w:pPr>
        <w:ind w:left="900" w:hanging="458"/>
        <w:spacing w:after="0"/>
        <w:tabs>
          <w:tab w:leader="none" w:pos="9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Brokerage Accounts and Statements.</w:t>
      </w:r>
    </w:p>
    <w:p>
      <w:pPr>
        <w:spacing w:after="0" w:line="60" w:lineRule="exact"/>
        <w:rPr>
          <w:rFonts w:ascii="Arial" w:cs="Arial" w:eastAsia="Arial" w:hAnsi="Arial"/>
          <w:sz w:val="12"/>
          <w:szCs w:val="12"/>
          <w:color w:val="auto"/>
        </w:rPr>
      </w:pPr>
    </w:p>
    <w:p>
      <w:pPr>
        <w:ind w:left="900"/>
        <w:spacing w:after="0"/>
        <w:rPr>
          <w:rFonts w:ascii="Arial" w:cs="Arial" w:eastAsia="Arial" w:hAnsi="Arial"/>
          <w:sz w:val="12"/>
          <w:szCs w:val="12"/>
          <w:color w:val="auto"/>
        </w:rPr>
      </w:pPr>
      <w:r>
        <w:rPr>
          <w:rFonts w:ascii="Arial" w:cs="Arial" w:eastAsia="Arial" w:hAnsi="Arial"/>
          <w:sz w:val="12"/>
          <w:szCs w:val="12"/>
          <w:color w:val="auto"/>
        </w:rPr>
        <w:t>Access Persons, except Independent Directors, shall:</w:t>
      </w:r>
    </w:p>
    <w:p>
      <w:pPr>
        <w:spacing w:after="0" w:line="60" w:lineRule="exact"/>
        <w:rPr>
          <w:rFonts w:ascii="Arial" w:cs="Arial" w:eastAsia="Arial" w:hAnsi="Arial"/>
          <w:sz w:val="12"/>
          <w:szCs w:val="12"/>
          <w:color w:val="auto"/>
        </w:rPr>
      </w:pPr>
    </w:p>
    <w:p>
      <w:pPr>
        <w:ind w:right="80" w:firstLine="896"/>
        <w:spacing w:after="0" w:line="437" w:lineRule="auto"/>
        <w:tabs>
          <w:tab w:leader="none" w:pos="1070" w:val="left"/>
        </w:tabs>
        <w:numPr>
          <w:ilvl w:val="1"/>
          <w:numId w:val="61"/>
        </w:numPr>
        <w:rPr>
          <w:rFonts w:ascii="Arial" w:cs="Arial" w:eastAsia="Arial" w:hAnsi="Arial"/>
          <w:sz w:val="9"/>
          <w:szCs w:val="9"/>
          <w:color w:val="auto"/>
        </w:rPr>
      </w:pPr>
      <w:r>
        <w:rPr>
          <w:rFonts w:ascii="Arial" w:cs="Arial" w:eastAsia="Arial" w:hAnsi="Arial"/>
          <w:sz w:val="9"/>
          <w:szCs w:val="9"/>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9" w:lineRule="exact"/>
        <w:rPr>
          <w:rFonts w:ascii="Arial" w:cs="Arial" w:eastAsia="Arial" w:hAnsi="Arial"/>
          <w:sz w:val="9"/>
          <w:szCs w:val="9"/>
          <w:color w:val="auto"/>
        </w:rPr>
      </w:pPr>
    </w:p>
    <w:p>
      <w:pPr>
        <w:ind w:left="1060" w:hanging="164"/>
        <w:spacing w:after="0"/>
        <w:tabs>
          <w:tab w:leader="none" w:pos="1060" w:val="left"/>
        </w:tabs>
        <w:numPr>
          <w:ilvl w:val="1"/>
          <w:numId w:val="61"/>
        </w:numPr>
        <w:rPr>
          <w:rFonts w:ascii="Arial" w:cs="Arial" w:eastAsia="Arial" w:hAnsi="Arial"/>
          <w:sz w:val="12"/>
          <w:szCs w:val="12"/>
          <w:color w:val="auto"/>
        </w:rPr>
      </w:pPr>
      <w:r>
        <w:rPr>
          <w:rFonts w:ascii="Arial" w:cs="Arial" w:eastAsia="Arial" w:hAnsi="Arial"/>
          <w:sz w:val="12"/>
          <w:szCs w:val="12"/>
          <w:color w:val="auto"/>
        </w:rPr>
        <w:t>instruct the brokers, dealers or banks with whom they maintain such an account to provide duplicate account statements to the Chief Compliance Officer.</w:t>
      </w:r>
    </w:p>
    <w:p>
      <w:pPr>
        <w:spacing w:after="0" w:line="114" w:lineRule="exact"/>
        <w:rPr>
          <w:rFonts w:ascii="Arial" w:cs="Arial" w:eastAsia="Arial" w:hAnsi="Arial"/>
          <w:sz w:val="12"/>
          <w:szCs w:val="12"/>
          <w:color w:val="auto"/>
        </w:rPr>
      </w:pPr>
    </w:p>
    <w:p>
      <w:pPr>
        <w:ind w:left="1060" w:hanging="164"/>
        <w:spacing w:after="0"/>
        <w:tabs>
          <w:tab w:leader="none" w:pos="1060" w:val="left"/>
        </w:tabs>
        <w:numPr>
          <w:ilvl w:val="1"/>
          <w:numId w:val="61"/>
        </w:numPr>
        <w:rPr>
          <w:rFonts w:ascii="Arial" w:cs="Arial" w:eastAsia="Arial" w:hAnsi="Arial"/>
          <w:sz w:val="12"/>
          <w:szCs w:val="12"/>
          <w:color w:val="auto"/>
        </w:rPr>
      </w:pPr>
      <w:r>
        <w:rPr>
          <w:rFonts w:ascii="Arial" w:cs="Arial" w:eastAsia="Arial" w:hAnsi="Arial"/>
          <w:sz w:val="12"/>
          <w:szCs w:val="12"/>
          <w:color w:val="auto"/>
        </w:rPr>
        <w:t>on an annual basis, certify that they have complied with the requirements of (1) and (2) above.</w:t>
      </w:r>
    </w:p>
    <w:p>
      <w:pPr>
        <w:spacing w:after="0" w:line="195" w:lineRule="exact"/>
        <w:rPr>
          <w:rFonts w:ascii="Arial" w:cs="Arial" w:eastAsia="Arial" w:hAnsi="Arial"/>
          <w:sz w:val="12"/>
          <w:szCs w:val="12"/>
          <w:color w:val="auto"/>
        </w:rPr>
      </w:pPr>
    </w:p>
    <w:p>
      <w:pPr>
        <w:ind w:left="900" w:hanging="458"/>
        <w:spacing w:after="0"/>
        <w:tabs>
          <w:tab w:leader="none" w:pos="9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Form of Reports.</w:t>
      </w:r>
    </w:p>
    <w:p>
      <w:pPr>
        <w:spacing w:after="0" w:line="60" w:lineRule="exact"/>
        <w:rPr>
          <w:sz w:val="20"/>
          <w:szCs w:val="20"/>
          <w:color w:val="auto"/>
        </w:rPr>
      </w:pPr>
    </w:p>
    <w:p>
      <w:pPr>
        <w:ind w:right="20" w:firstLine="904"/>
        <w:spacing w:after="0" w:line="268" w:lineRule="auto"/>
        <w:rPr>
          <w:sz w:val="20"/>
          <w:szCs w:val="20"/>
          <w:color w:val="auto"/>
        </w:rPr>
      </w:pPr>
      <w:r>
        <w:rPr>
          <w:rFonts w:ascii="Arial" w:cs="Arial" w:eastAsia="Arial" w:hAnsi="Arial"/>
          <w:sz w:val="12"/>
          <w:szCs w:val="12"/>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140"/>
          </w:cols>
          <w:pgMar w:left="300" w:top="232" w:right="459" w:bottom="1440" w:gutter="0" w:footer="0" w:header="0"/>
        </w:sectPr>
      </w:pPr>
    </w:p>
    <w:bookmarkStart w:id="97" w:name="page98"/>
    <w:bookmarkEnd w:id="97"/>
    <w:p>
      <w:pPr>
        <w:ind w:left="900" w:hanging="458"/>
        <w:spacing w:after="0"/>
        <w:tabs>
          <w:tab w:leader="none" w:pos="900" w:val="left"/>
        </w:tabs>
        <w:numPr>
          <w:ilvl w:val="0"/>
          <w:numId w:val="6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6455" cy="20955"/>
                    </a:xfrm>
                    <a:prstGeom prst="rect">
                      <a:avLst/>
                    </a:prstGeom>
                    <a:noFill/>
                  </pic:spPr>
                </pic:pic>
              </a:graphicData>
            </a:graphic>
          </wp:anchor>
        </w:drawing>
        <w:t>Responsibility to Report.</w:t>
      </w:r>
    </w:p>
    <w:p>
      <w:pPr>
        <w:spacing w:after="0" w:line="60" w:lineRule="exact"/>
        <w:rPr>
          <w:sz w:val="20"/>
          <w:szCs w:val="20"/>
          <w:color w:val="auto"/>
        </w:rPr>
      </w:pPr>
    </w:p>
    <w:p>
      <w:pPr>
        <w:ind w:right="20" w:firstLine="904"/>
        <w:spacing w:after="0" w:line="437" w:lineRule="auto"/>
        <w:rPr>
          <w:sz w:val="20"/>
          <w:szCs w:val="20"/>
          <w:color w:val="auto"/>
        </w:rPr>
      </w:pPr>
      <w:r>
        <w:rPr>
          <w:rFonts w:ascii="Arial" w:cs="Arial" w:eastAsia="Arial" w:hAnsi="Arial"/>
          <w:sz w:val="9"/>
          <w:szCs w:val="9"/>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00" w:lineRule="exact"/>
        <w:rPr>
          <w:sz w:val="20"/>
          <w:szCs w:val="20"/>
          <w:color w:val="auto"/>
        </w:rPr>
      </w:pPr>
    </w:p>
    <w:p>
      <w:pPr>
        <w:ind w:left="900" w:hanging="458"/>
        <w:spacing w:after="0"/>
        <w:tabs>
          <w:tab w:leader="none" w:pos="9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Where to File Reports.</w:t>
      </w:r>
    </w:p>
    <w:p>
      <w:pPr>
        <w:spacing w:after="0" w:line="60" w:lineRule="exact"/>
        <w:rPr>
          <w:rFonts w:ascii="Arial" w:cs="Arial" w:eastAsia="Arial" w:hAnsi="Arial"/>
          <w:sz w:val="12"/>
          <w:szCs w:val="12"/>
          <w:color w:val="auto"/>
        </w:rPr>
      </w:pPr>
    </w:p>
    <w:p>
      <w:pPr>
        <w:ind w:left="900"/>
        <w:spacing w:after="0"/>
        <w:rPr>
          <w:rFonts w:ascii="Arial" w:cs="Arial" w:eastAsia="Arial" w:hAnsi="Arial"/>
          <w:sz w:val="12"/>
          <w:szCs w:val="12"/>
          <w:color w:val="auto"/>
        </w:rPr>
      </w:pPr>
      <w:r>
        <w:rPr>
          <w:rFonts w:ascii="Arial" w:cs="Arial" w:eastAsia="Arial" w:hAnsi="Arial"/>
          <w:sz w:val="12"/>
          <w:szCs w:val="12"/>
          <w:color w:val="auto"/>
        </w:rPr>
        <w:t>All Quarterly Securities Transaction Reports and Personal Securities Holdings Reports must be filed with the Chief Compliance Officer.</w:t>
      </w:r>
    </w:p>
    <w:p>
      <w:pPr>
        <w:spacing w:after="0" w:line="195" w:lineRule="exact"/>
        <w:rPr>
          <w:rFonts w:ascii="Arial" w:cs="Arial" w:eastAsia="Arial" w:hAnsi="Arial"/>
          <w:sz w:val="12"/>
          <w:szCs w:val="12"/>
          <w:color w:val="auto"/>
        </w:rPr>
      </w:pPr>
    </w:p>
    <w:p>
      <w:pPr>
        <w:ind w:left="900" w:hanging="458"/>
        <w:spacing w:after="0"/>
        <w:tabs>
          <w:tab w:leader="none" w:pos="9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Disclaimers.</w:t>
      </w:r>
    </w:p>
    <w:p>
      <w:pPr>
        <w:spacing w:after="0" w:line="60" w:lineRule="exact"/>
        <w:rPr>
          <w:sz w:val="20"/>
          <w:szCs w:val="20"/>
          <w:color w:val="auto"/>
        </w:rPr>
      </w:pPr>
    </w:p>
    <w:p>
      <w:pPr>
        <w:ind w:firstLine="904"/>
        <w:spacing w:after="0" w:line="268" w:lineRule="auto"/>
        <w:rPr>
          <w:sz w:val="20"/>
          <w:szCs w:val="20"/>
          <w:color w:val="auto"/>
        </w:rPr>
      </w:pPr>
      <w:r>
        <w:rPr>
          <w:rFonts w:ascii="Arial" w:cs="Arial" w:eastAsia="Arial" w:hAnsi="Arial"/>
          <w:sz w:val="12"/>
          <w:szCs w:val="12"/>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VI Additional Prohibitions</w:t>
      </w:r>
    </w:p>
    <w:p>
      <w:pPr>
        <w:spacing w:after="0" w:line="62" w:lineRule="exact"/>
        <w:rPr>
          <w:sz w:val="20"/>
          <w:szCs w:val="20"/>
          <w:color w:val="auto"/>
        </w:rPr>
      </w:pPr>
    </w:p>
    <w:p>
      <w:pPr>
        <w:ind w:left="900" w:hanging="458"/>
        <w:spacing w:after="0"/>
        <w:tabs>
          <w:tab w:leader="none" w:pos="900" w:val="left"/>
        </w:tabs>
        <w:numPr>
          <w:ilvl w:val="0"/>
          <w:numId w:val="64"/>
        </w:numPr>
        <w:rPr>
          <w:rFonts w:ascii="Arial" w:cs="Arial" w:eastAsia="Arial" w:hAnsi="Arial"/>
          <w:sz w:val="12"/>
          <w:szCs w:val="12"/>
          <w:color w:val="auto"/>
        </w:rPr>
      </w:pPr>
      <w:r>
        <w:rPr>
          <w:rFonts w:ascii="Arial" w:cs="Arial" w:eastAsia="Arial" w:hAnsi="Arial"/>
          <w:sz w:val="12"/>
          <w:szCs w:val="12"/>
          <w:color w:val="auto"/>
        </w:rPr>
        <w:t>Confidentiality of the Corporation’s Transactions.</w:t>
      </w:r>
    </w:p>
    <w:p>
      <w:pPr>
        <w:spacing w:after="0" w:line="60" w:lineRule="exact"/>
        <w:rPr>
          <w:sz w:val="20"/>
          <w:szCs w:val="20"/>
          <w:color w:val="auto"/>
        </w:rPr>
      </w:pPr>
    </w:p>
    <w:p>
      <w:pPr>
        <w:ind w:right="160" w:firstLine="904"/>
        <w:spacing w:after="0" w:line="259" w:lineRule="auto"/>
        <w:rPr>
          <w:sz w:val="20"/>
          <w:szCs w:val="20"/>
          <w:color w:val="auto"/>
        </w:rPr>
      </w:pPr>
      <w:r>
        <w:rPr>
          <w:rFonts w:ascii="Arial" w:cs="Arial" w:eastAsia="Arial" w:hAnsi="Arial"/>
          <w:sz w:val="12"/>
          <w:szCs w:val="12"/>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74" w:lineRule="exact"/>
        <w:rPr>
          <w:sz w:val="20"/>
          <w:szCs w:val="20"/>
          <w:color w:val="auto"/>
        </w:rPr>
      </w:pPr>
    </w:p>
    <w:p>
      <w:pPr>
        <w:ind w:left="900" w:hanging="458"/>
        <w:spacing w:after="0"/>
        <w:tabs>
          <w:tab w:leader="none" w:pos="9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Outside Business Activities and Directorships.</w:t>
      </w:r>
    </w:p>
    <w:p>
      <w:pPr>
        <w:spacing w:after="0" w:line="60" w:lineRule="exact"/>
        <w:rPr>
          <w:sz w:val="20"/>
          <w:szCs w:val="20"/>
          <w:color w:val="auto"/>
        </w:rPr>
      </w:pPr>
    </w:p>
    <w:p>
      <w:pPr>
        <w:ind w:right="120" w:firstLine="904"/>
        <w:spacing w:after="0" w:line="268" w:lineRule="auto"/>
        <w:rPr>
          <w:sz w:val="20"/>
          <w:szCs w:val="20"/>
          <w:color w:val="auto"/>
        </w:rPr>
      </w:pPr>
      <w:r>
        <w:rPr>
          <w:rFonts w:ascii="Arial" w:cs="Arial" w:eastAsia="Arial" w:hAnsi="Arial"/>
          <w:sz w:val="12"/>
          <w:szCs w:val="12"/>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169" w:lineRule="exact"/>
        <w:rPr>
          <w:sz w:val="20"/>
          <w:szCs w:val="20"/>
          <w:color w:val="auto"/>
        </w:rPr>
      </w:pPr>
    </w:p>
    <w:p>
      <w:pPr>
        <w:ind w:left="900" w:hanging="458"/>
        <w:spacing w:after="0"/>
        <w:tabs>
          <w:tab w:leader="none" w:pos="900" w:val="left"/>
        </w:tabs>
        <w:numPr>
          <w:ilvl w:val="0"/>
          <w:numId w:val="66"/>
        </w:numPr>
        <w:rPr>
          <w:rFonts w:ascii="Arial" w:cs="Arial" w:eastAsia="Arial" w:hAnsi="Arial"/>
          <w:sz w:val="12"/>
          <w:szCs w:val="12"/>
          <w:color w:val="auto"/>
        </w:rPr>
      </w:pPr>
      <w:r>
        <w:rPr>
          <w:rFonts w:ascii="Arial" w:cs="Arial" w:eastAsia="Arial" w:hAnsi="Arial"/>
          <w:sz w:val="12"/>
          <w:szCs w:val="12"/>
          <w:color w:val="auto"/>
        </w:rPr>
        <w:t>Gratuities.</w:t>
      </w:r>
    </w:p>
    <w:p>
      <w:pPr>
        <w:spacing w:after="0" w:line="60" w:lineRule="exact"/>
        <w:rPr>
          <w:sz w:val="20"/>
          <w:szCs w:val="20"/>
          <w:color w:val="auto"/>
        </w:rPr>
      </w:pPr>
    </w:p>
    <w:p>
      <w:pPr>
        <w:ind w:right="180" w:firstLine="904"/>
        <w:spacing w:after="0" w:line="268" w:lineRule="auto"/>
        <w:rPr>
          <w:sz w:val="20"/>
          <w:szCs w:val="20"/>
          <w:color w:val="auto"/>
        </w:rPr>
      </w:pPr>
      <w:r>
        <w:rPr>
          <w:rFonts w:ascii="Arial" w:cs="Arial" w:eastAsia="Arial" w:hAnsi="Arial"/>
          <w:sz w:val="12"/>
          <w:szCs w:val="12"/>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80"/>
          </w:cols>
          <w:pgMar w:left="300" w:top="232" w:right="319" w:bottom="1440" w:gutter="0" w:footer="0" w:header="0"/>
        </w:sectPr>
      </w:pPr>
    </w:p>
    <w:bookmarkStart w:id="98" w:name="page99"/>
    <w:bookmarkEnd w:id="98"/>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6455" cy="20955"/>
                    </a:xfrm>
                    <a:prstGeom prst="rect">
                      <a:avLst/>
                    </a:prstGeom>
                    <a:noFill/>
                  </pic:spPr>
                </pic:pic>
              </a:graphicData>
            </a:graphic>
          </wp:anchor>
        </w:drawing>
        <w:t>Section VII Prohibition Against Insider Trading</w:t>
      </w:r>
    </w:p>
    <w:p>
      <w:pPr>
        <w:spacing w:after="0" w:line="62" w:lineRule="exact"/>
        <w:rPr>
          <w:sz w:val="20"/>
          <w:szCs w:val="20"/>
          <w:color w:val="auto"/>
        </w:rPr>
      </w:pPr>
    </w:p>
    <w:p>
      <w:pPr>
        <w:ind w:firstLine="904"/>
        <w:spacing w:after="0" w:line="365" w:lineRule="auto"/>
        <w:rPr>
          <w:sz w:val="20"/>
          <w:szCs w:val="20"/>
          <w:color w:val="auto"/>
        </w:rPr>
      </w:pPr>
      <w:r>
        <w:rPr>
          <w:rFonts w:ascii="Arial" w:cs="Arial" w:eastAsia="Arial" w:hAnsi="Arial"/>
          <w:sz w:val="9"/>
          <w:szCs w:val="9"/>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ind w:left="900" w:right="180" w:hanging="458"/>
        <w:spacing w:after="0" w:line="268" w:lineRule="auto"/>
        <w:tabs>
          <w:tab w:leader="none" w:pos="900" w:val="left"/>
        </w:tabs>
        <w:numPr>
          <w:ilvl w:val="0"/>
          <w:numId w:val="67"/>
        </w:numPr>
        <w:rPr>
          <w:rFonts w:ascii="Arial" w:cs="Arial" w:eastAsia="Arial" w:hAnsi="Arial"/>
          <w:sz w:val="12"/>
          <w:szCs w:val="12"/>
          <w:color w:val="auto"/>
        </w:rPr>
      </w:pPr>
      <w:r>
        <w:rPr>
          <w:rFonts w:ascii="Arial" w:cs="Arial" w:eastAsia="Arial" w:hAnsi="Arial"/>
          <w:sz w:val="12"/>
          <w:szCs w:val="12"/>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33" w:lineRule="exact"/>
        <w:rPr>
          <w:rFonts w:ascii="Arial" w:cs="Arial" w:eastAsia="Arial" w:hAnsi="Arial"/>
          <w:sz w:val="12"/>
          <w:szCs w:val="12"/>
          <w:color w:val="auto"/>
        </w:rPr>
      </w:pPr>
    </w:p>
    <w:p>
      <w:pPr>
        <w:ind w:left="900" w:right="60" w:hanging="458"/>
        <w:spacing w:after="0" w:line="254" w:lineRule="auto"/>
        <w:tabs>
          <w:tab w:leader="none" w:pos="900" w:val="left"/>
        </w:tabs>
        <w:numPr>
          <w:ilvl w:val="0"/>
          <w:numId w:val="67"/>
        </w:numPr>
        <w:rPr>
          <w:rFonts w:ascii="Arial" w:cs="Arial" w:eastAsia="Arial" w:hAnsi="Arial"/>
          <w:sz w:val="12"/>
          <w:szCs w:val="12"/>
          <w:color w:val="auto"/>
        </w:rPr>
      </w:pPr>
      <w:r>
        <w:rPr>
          <w:rFonts w:ascii="Arial" w:cs="Arial" w:eastAsia="Arial" w:hAnsi="Arial"/>
          <w:sz w:val="12"/>
          <w:szCs w:val="12"/>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41" w:lineRule="exact"/>
        <w:rPr>
          <w:rFonts w:ascii="Arial" w:cs="Arial" w:eastAsia="Arial" w:hAnsi="Arial"/>
          <w:sz w:val="12"/>
          <w:szCs w:val="12"/>
          <w:color w:val="auto"/>
        </w:rPr>
      </w:pPr>
    </w:p>
    <w:p>
      <w:pPr>
        <w:jc w:val="both"/>
        <w:ind w:left="900" w:right="80" w:hanging="458"/>
        <w:spacing w:after="0" w:line="396" w:lineRule="auto"/>
        <w:tabs>
          <w:tab w:leader="none" w:pos="900" w:val="left"/>
        </w:tabs>
        <w:numPr>
          <w:ilvl w:val="0"/>
          <w:numId w:val="67"/>
        </w:numPr>
        <w:rPr>
          <w:rFonts w:ascii="Arial" w:cs="Arial" w:eastAsia="Arial" w:hAnsi="Arial"/>
          <w:sz w:val="9"/>
          <w:szCs w:val="9"/>
          <w:color w:val="auto"/>
        </w:rPr>
      </w:pPr>
      <w:r>
        <w:rPr>
          <w:rFonts w:ascii="Arial" w:cs="Arial" w:eastAsia="Arial" w:hAnsi="Arial"/>
          <w:sz w:val="9"/>
          <w:szCs w:val="9"/>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9"/>
          <w:szCs w:val="9"/>
          <w:i w:val="1"/>
          <w:iCs w:val="1"/>
          <w:color w:val="auto"/>
        </w:rPr>
        <w:t>The Wall Street Journal</w:t>
      </w:r>
      <w:r>
        <w:rPr>
          <w:rFonts w:ascii="Arial" w:cs="Arial" w:eastAsia="Arial" w:hAnsi="Arial"/>
          <w:sz w:val="9"/>
          <w:szCs w:val="9"/>
          <w:color w:val="auto"/>
        </w:rPr>
        <w:t xml:space="preserve"> or some other publication of general circulation, and after sufficient time has passed so that the information has been disseminated widely.</w:t>
      </w:r>
    </w:p>
    <w:p>
      <w:pPr>
        <w:ind w:left="900" w:right="140" w:hanging="458"/>
        <w:spacing w:after="0" w:line="268" w:lineRule="auto"/>
        <w:tabs>
          <w:tab w:leader="none" w:pos="900" w:val="left"/>
        </w:tabs>
        <w:numPr>
          <w:ilvl w:val="0"/>
          <w:numId w:val="67"/>
        </w:numPr>
        <w:rPr>
          <w:rFonts w:ascii="Arial" w:cs="Arial" w:eastAsia="Arial" w:hAnsi="Arial"/>
          <w:sz w:val="12"/>
          <w:szCs w:val="12"/>
          <w:color w:val="auto"/>
        </w:rPr>
      </w:pPr>
      <w:r>
        <w:rPr>
          <w:rFonts w:ascii="Arial" w:cs="Arial" w:eastAsia="Arial" w:hAnsi="Arial"/>
          <w:sz w:val="12"/>
          <w:szCs w:val="12"/>
          <w:color w:val="auto"/>
        </w:rPr>
        <w:t>An Advisory Person, before executing any trade for himself or herself, or others, including the Corporation or other accounts managed by the Adviser or by a stockholder of the Adviser, or any affiliate of the stockholder (“Client Accounts”),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280"/>
          </w:cols>
          <w:pgMar w:left="300" w:top="230" w:right="319" w:bottom="1440" w:gutter="0" w:footer="0" w:header="0"/>
        </w:sectPr>
      </w:pPr>
    </w:p>
    <w:bookmarkStart w:id="99" w:name="page100"/>
    <w:bookmarkEnd w:id="99"/>
    <w:p>
      <w:pPr>
        <w:ind w:left="90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6455" cy="20955"/>
                    </a:xfrm>
                    <a:prstGeom prst="rect">
                      <a:avLst/>
                    </a:prstGeom>
                    <a:noFill/>
                  </pic:spPr>
                </pic:pic>
              </a:graphicData>
            </a:graphic>
          </wp:anchor>
        </w:drawing>
        <w:t>must determine whether he or she has material, non-public information. Any Advisory Person who believes he or she is in possession of material, non-public information must take the following steps:</w:t>
      </w:r>
    </w:p>
    <w:p>
      <w:pPr>
        <w:spacing w:after="0" w:line="72" w:lineRule="exact"/>
        <w:rPr>
          <w:sz w:val="20"/>
          <w:szCs w:val="20"/>
          <w:color w:val="auto"/>
        </w:rPr>
      </w:pPr>
    </w:p>
    <w:p>
      <w:pPr>
        <w:ind w:left="1460" w:hanging="568"/>
        <w:spacing w:after="0"/>
        <w:tabs>
          <w:tab w:leader="none" w:pos="14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Report the information and proposed trade immediately to the Chief Compliance Officer.</w:t>
      </w:r>
    </w:p>
    <w:p>
      <w:pPr>
        <w:spacing w:after="0" w:line="60" w:lineRule="exact"/>
        <w:rPr>
          <w:rFonts w:ascii="Arial" w:cs="Arial" w:eastAsia="Arial" w:hAnsi="Arial"/>
          <w:sz w:val="12"/>
          <w:szCs w:val="12"/>
          <w:color w:val="auto"/>
        </w:rPr>
      </w:pPr>
    </w:p>
    <w:p>
      <w:pPr>
        <w:ind w:left="1460" w:hanging="568"/>
        <w:spacing w:after="0"/>
        <w:tabs>
          <w:tab w:leader="none" w:pos="14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Do not purchase or sell the securities on behalf of anyone, including Client Accounts.</w:t>
      </w:r>
    </w:p>
    <w:p>
      <w:pPr>
        <w:spacing w:after="0" w:line="60" w:lineRule="exact"/>
        <w:rPr>
          <w:rFonts w:ascii="Arial" w:cs="Arial" w:eastAsia="Arial" w:hAnsi="Arial"/>
          <w:sz w:val="12"/>
          <w:szCs w:val="12"/>
          <w:color w:val="auto"/>
        </w:rPr>
      </w:pPr>
    </w:p>
    <w:p>
      <w:pPr>
        <w:ind w:left="1460" w:hanging="568"/>
        <w:spacing w:after="0"/>
        <w:tabs>
          <w:tab w:leader="none" w:pos="14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Do not communicate the information to any person, other than to the Chief Compliance Officer.</w:t>
      </w:r>
    </w:p>
    <w:p>
      <w:pPr>
        <w:spacing w:after="0" w:line="114"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34" w:lineRule="exact"/>
        <w:rPr>
          <w:sz w:val="20"/>
          <w:szCs w:val="20"/>
          <w:color w:val="auto"/>
        </w:rPr>
      </w:pPr>
    </w:p>
    <w:p>
      <w:pPr>
        <w:ind w:left="900" w:hanging="458"/>
        <w:spacing w:after="0" w:line="254" w:lineRule="auto"/>
        <w:tabs>
          <w:tab w:leader="none" w:pos="90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41" w:lineRule="exact"/>
        <w:rPr>
          <w:rFonts w:ascii="Arial" w:cs="Arial" w:eastAsia="Arial" w:hAnsi="Arial"/>
          <w:sz w:val="12"/>
          <w:szCs w:val="12"/>
          <w:color w:val="auto"/>
        </w:rPr>
      </w:pPr>
    </w:p>
    <w:p>
      <w:pPr>
        <w:ind w:left="900" w:right="80" w:hanging="458"/>
        <w:spacing w:after="0" w:line="254" w:lineRule="auto"/>
        <w:tabs>
          <w:tab w:leader="none" w:pos="900" w:val="left"/>
        </w:tabs>
        <w:numPr>
          <w:ilvl w:val="0"/>
          <w:numId w:val="69"/>
        </w:numPr>
        <w:rPr>
          <w:rFonts w:ascii="Arial" w:cs="Arial" w:eastAsia="Arial" w:hAnsi="Arial"/>
          <w:sz w:val="12"/>
          <w:szCs w:val="12"/>
          <w:color w:val="auto"/>
        </w:rPr>
      </w:pPr>
      <w:r>
        <w:rPr>
          <w:rFonts w:ascii="Arial" w:cs="Arial" w:eastAsia="Arial" w:hAnsi="Arial"/>
          <w:sz w:val="12"/>
          <w:szCs w:val="12"/>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232" w:right="299"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6455" cy="20955"/>
                    </a:xfrm>
                    <a:prstGeom prst="rect">
                      <a:avLst/>
                    </a:prstGeom>
                    <a:noFill/>
                  </pic:spPr>
                </pic:pic>
              </a:graphicData>
            </a:graphic>
          </wp:anchor>
        </w:drawing>
        <w:t>Section VIII Annual Certification</w:t>
      </w:r>
    </w:p>
    <w:p>
      <w:pPr>
        <w:spacing w:after="0" w:line="62" w:lineRule="exact"/>
        <w:rPr>
          <w:sz w:val="20"/>
          <w:szCs w:val="20"/>
          <w:color w:val="auto"/>
        </w:rPr>
      </w:pPr>
    </w:p>
    <w:p>
      <w:pPr>
        <w:ind w:left="900" w:hanging="458"/>
        <w:spacing w:after="0"/>
        <w:tabs>
          <w:tab w:leader="none" w:pos="90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Access Persons.</w:t>
      </w:r>
    </w:p>
    <w:p>
      <w:pPr>
        <w:spacing w:after="0" w:line="60" w:lineRule="exact"/>
        <w:rPr>
          <w:sz w:val="20"/>
          <w:szCs w:val="20"/>
          <w:color w:val="auto"/>
        </w:rPr>
      </w:pPr>
    </w:p>
    <w:p>
      <w:pPr>
        <w:ind w:firstLine="904"/>
        <w:spacing w:after="0" w:line="268" w:lineRule="auto"/>
        <w:rPr>
          <w:sz w:val="20"/>
          <w:szCs w:val="20"/>
          <w:color w:val="auto"/>
        </w:rPr>
      </w:pPr>
      <w:r>
        <w:rPr>
          <w:rFonts w:ascii="Arial" w:cs="Arial" w:eastAsia="Arial" w:hAnsi="Arial"/>
          <w:sz w:val="12"/>
          <w:szCs w:val="12"/>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169" w:lineRule="exact"/>
        <w:rPr>
          <w:sz w:val="20"/>
          <w:szCs w:val="20"/>
          <w:color w:val="auto"/>
        </w:rPr>
      </w:pPr>
    </w:p>
    <w:p>
      <w:pPr>
        <w:ind w:left="900" w:hanging="458"/>
        <w:spacing w:after="0"/>
        <w:tabs>
          <w:tab w:leader="none" w:pos="900" w:val="left"/>
        </w:tabs>
        <w:numPr>
          <w:ilvl w:val="0"/>
          <w:numId w:val="71"/>
        </w:numPr>
        <w:rPr>
          <w:rFonts w:ascii="Arial" w:cs="Arial" w:eastAsia="Arial" w:hAnsi="Arial"/>
          <w:sz w:val="12"/>
          <w:szCs w:val="12"/>
          <w:color w:val="auto"/>
        </w:rPr>
      </w:pPr>
      <w:r>
        <w:rPr>
          <w:rFonts w:ascii="Arial" w:cs="Arial" w:eastAsia="Arial" w:hAnsi="Arial"/>
          <w:sz w:val="12"/>
          <w:szCs w:val="12"/>
          <w:color w:val="auto"/>
        </w:rPr>
        <w:t>Board Review.</w:t>
      </w:r>
    </w:p>
    <w:p>
      <w:pPr>
        <w:spacing w:after="0" w:line="60" w:lineRule="exact"/>
        <w:rPr>
          <w:sz w:val="20"/>
          <w:szCs w:val="20"/>
          <w:color w:val="auto"/>
        </w:rPr>
      </w:pPr>
    </w:p>
    <w:p>
      <w:pPr>
        <w:jc w:val="both"/>
        <w:ind w:right="60" w:firstLine="904"/>
        <w:spacing w:after="0" w:line="259" w:lineRule="auto"/>
        <w:rPr>
          <w:sz w:val="20"/>
          <w:szCs w:val="20"/>
          <w:color w:val="auto"/>
        </w:rPr>
      </w:pPr>
      <w:r>
        <w:rPr>
          <w:rFonts w:ascii="Arial" w:cs="Arial" w:eastAsia="Arial" w:hAnsi="Arial"/>
          <w:sz w:val="12"/>
          <w:szCs w:val="12"/>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IX Sanctions</w:t>
      </w:r>
    </w:p>
    <w:p>
      <w:pPr>
        <w:spacing w:after="0" w:line="62" w:lineRule="exact"/>
        <w:rPr>
          <w:sz w:val="20"/>
          <w:szCs w:val="20"/>
          <w:color w:val="auto"/>
        </w:rPr>
      </w:pPr>
    </w:p>
    <w:p>
      <w:pPr>
        <w:ind w:right="40" w:firstLine="904"/>
        <w:spacing w:after="0" w:line="287" w:lineRule="auto"/>
        <w:rPr>
          <w:sz w:val="20"/>
          <w:szCs w:val="20"/>
          <w:color w:val="auto"/>
        </w:rPr>
      </w:pPr>
      <w:r>
        <w:rPr>
          <w:rFonts w:ascii="Arial" w:cs="Arial" w:eastAsia="Arial" w:hAnsi="Arial"/>
          <w:sz w:val="11"/>
          <w:szCs w:val="11"/>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X Administration and Construction</w:t>
      </w:r>
    </w:p>
    <w:p>
      <w:pPr>
        <w:spacing w:after="0" w:line="62" w:lineRule="exact"/>
        <w:rPr>
          <w:sz w:val="20"/>
          <w:szCs w:val="20"/>
          <w:color w:val="auto"/>
        </w:rPr>
      </w:pPr>
    </w:p>
    <w:p>
      <w:pPr>
        <w:ind w:left="900" w:hanging="458"/>
        <w:spacing w:after="0"/>
        <w:tabs>
          <w:tab w:leader="none" w:pos="90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administration of this Code shall be the responsibility of the Chief Compliance Officer.</w:t>
      </w:r>
    </w:p>
    <w:p>
      <w:pPr>
        <w:spacing w:after="0" w:line="60" w:lineRule="exact"/>
        <w:rPr>
          <w:rFonts w:ascii="Arial" w:cs="Arial" w:eastAsia="Arial" w:hAnsi="Arial"/>
          <w:sz w:val="12"/>
          <w:szCs w:val="12"/>
          <w:color w:val="auto"/>
        </w:rPr>
      </w:pPr>
    </w:p>
    <w:p>
      <w:pPr>
        <w:ind w:left="900" w:hanging="458"/>
        <w:spacing w:after="0"/>
        <w:tabs>
          <w:tab w:leader="none" w:pos="90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duties of the Chief Compliance Officer are as follows:</w:t>
      </w:r>
    </w:p>
    <w:p>
      <w:pPr>
        <w:spacing w:after="0" w:line="60" w:lineRule="exact"/>
        <w:rPr>
          <w:rFonts w:ascii="Arial" w:cs="Arial" w:eastAsia="Arial" w:hAnsi="Arial"/>
          <w:sz w:val="12"/>
          <w:szCs w:val="12"/>
          <w:color w:val="auto"/>
        </w:rPr>
      </w:pPr>
    </w:p>
    <w:p>
      <w:pPr>
        <w:ind w:left="900"/>
        <w:spacing w:after="0"/>
        <w:rPr>
          <w:rFonts w:ascii="Arial" w:cs="Arial" w:eastAsia="Arial" w:hAnsi="Arial"/>
          <w:sz w:val="12"/>
          <w:szCs w:val="12"/>
          <w:color w:val="auto"/>
        </w:rPr>
      </w:pPr>
      <w:r>
        <w:rPr>
          <w:rFonts w:ascii="Arial" w:cs="Arial" w:eastAsia="Arial" w:hAnsi="Arial"/>
          <w:sz w:val="12"/>
          <w:szCs w:val="12"/>
          <w:color w:val="auto"/>
        </w:rPr>
        <w:t>(1) Continuous maintenance of a current list of the names of all Access Persons with an appropriate description of their title or employment, including a notation of 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80"/>
          </w:cols>
          <w:pgMar w:left="300" w:top="230" w:right="319"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6455" cy="20955"/>
                    </a:xfrm>
                    <a:prstGeom prst="rect">
                      <a:avLst/>
                    </a:prstGeom>
                    <a:noFill/>
                  </pic:spPr>
                </pic:pic>
              </a:graphicData>
            </a:graphic>
          </wp:anchor>
        </w:drawing>
        <w:t>directorships held by Access Persons who are officers or employees of the Adviser or of any company that controls the Adviser, and informing all Access Persons of their reporting obligations hereunder;</w:t>
      </w:r>
    </w:p>
    <w:p>
      <w:pPr>
        <w:spacing w:after="0" w:line="114" w:lineRule="exact"/>
        <w:rPr>
          <w:sz w:val="20"/>
          <w:szCs w:val="20"/>
          <w:color w:val="auto"/>
        </w:rPr>
      </w:pPr>
    </w:p>
    <w:p>
      <w:pPr>
        <w:ind w:left="900"/>
        <w:spacing w:after="0"/>
        <w:rPr>
          <w:sz w:val="20"/>
          <w:szCs w:val="20"/>
          <w:color w:val="auto"/>
        </w:rPr>
      </w:pPr>
      <w:r>
        <w:rPr>
          <w:rFonts w:ascii="Arial" w:cs="Arial" w:eastAsia="Arial" w:hAnsi="Arial"/>
          <w:sz w:val="9"/>
          <w:szCs w:val="9"/>
          <w:color w:val="auto"/>
        </w:rPr>
        <w:t>(2) On an annual basis, providing all Covered Personnel a copy of this Code and informing such persons of their duties and obligations hereunder including any supplemental training that may be required from time to</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time;</w:t>
      </w:r>
    </w:p>
    <w:p>
      <w:pPr>
        <w:spacing w:after="0" w:line="110" w:lineRule="exact"/>
        <w:rPr>
          <w:sz w:val="20"/>
          <w:szCs w:val="20"/>
          <w:color w:val="auto"/>
        </w:rPr>
      </w:pPr>
    </w:p>
    <w:p>
      <w:pPr>
        <w:ind w:left="1060" w:hanging="164"/>
        <w:spacing w:after="0"/>
        <w:tabs>
          <w:tab w:leader="none" w:pos="1060" w:val="left"/>
        </w:tabs>
        <w:numPr>
          <w:ilvl w:val="1"/>
          <w:numId w:val="73"/>
        </w:numPr>
        <w:rPr>
          <w:rFonts w:ascii="Arial" w:cs="Arial" w:eastAsia="Arial" w:hAnsi="Arial"/>
          <w:sz w:val="12"/>
          <w:szCs w:val="12"/>
          <w:color w:val="auto"/>
        </w:rPr>
      </w:pPr>
      <w:r>
        <w:rPr>
          <w:rFonts w:ascii="Arial" w:cs="Arial" w:eastAsia="Arial" w:hAnsi="Arial"/>
          <w:sz w:val="12"/>
          <w:szCs w:val="12"/>
          <w:color w:val="auto"/>
        </w:rPr>
        <w:t>Maintaining or supervising the maintenance of all records and reports required by this Code;</w:t>
      </w:r>
    </w:p>
    <w:p>
      <w:pPr>
        <w:spacing w:after="0" w:line="114" w:lineRule="exact"/>
        <w:rPr>
          <w:rFonts w:ascii="Arial" w:cs="Arial" w:eastAsia="Arial" w:hAnsi="Arial"/>
          <w:sz w:val="12"/>
          <w:szCs w:val="12"/>
          <w:color w:val="auto"/>
        </w:rPr>
      </w:pPr>
    </w:p>
    <w:p>
      <w:pPr>
        <w:ind w:right="200" w:firstLine="896"/>
        <w:spacing w:after="0" w:line="268" w:lineRule="auto"/>
        <w:tabs>
          <w:tab w:leader="none" w:pos="1070" w:val="left"/>
        </w:tabs>
        <w:numPr>
          <w:ilvl w:val="1"/>
          <w:numId w:val="73"/>
        </w:numPr>
        <w:rPr>
          <w:rFonts w:ascii="Arial" w:cs="Arial" w:eastAsia="Arial" w:hAnsi="Arial"/>
          <w:sz w:val="12"/>
          <w:szCs w:val="12"/>
          <w:color w:val="auto"/>
        </w:rPr>
      </w:pPr>
      <w:r>
        <w:rPr>
          <w:rFonts w:ascii="Arial" w:cs="Arial" w:eastAsia="Arial" w:hAnsi="Arial"/>
          <w:sz w:val="12"/>
          <w:szCs w:val="12"/>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87" w:lineRule="exact"/>
        <w:rPr>
          <w:rFonts w:ascii="Arial" w:cs="Arial" w:eastAsia="Arial" w:hAnsi="Arial"/>
          <w:sz w:val="12"/>
          <w:szCs w:val="12"/>
          <w:color w:val="auto"/>
        </w:rPr>
      </w:pPr>
    </w:p>
    <w:p>
      <w:pPr>
        <w:ind w:left="1060" w:hanging="164"/>
        <w:spacing w:after="0"/>
        <w:tabs>
          <w:tab w:leader="none" w:pos="1060" w:val="left"/>
        </w:tabs>
        <w:numPr>
          <w:ilvl w:val="1"/>
          <w:numId w:val="73"/>
        </w:numPr>
        <w:rPr>
          <w:rFonts w:ascii="Arial" w:cs="Arial" w:eastAsia="Arial" w:hAnsi="Arial"/>
          <w:sz w:val="12"/>
          <w:szCs w:val="12"/>
          <w:color w:val="auto"/>
        </w:rPr>
      </w:pPr>
      <w:r>
        <w:rPr>
          <w:rFonts w:ascii="Arial" w:cs="Arial" w:eastAsia="Arial" w:hAnsi="Arial"/>
          <w:sz w:val="12"/>
          <w:szCs w:val="12"/>
          <w:color w:val="auto"/>
        </w:rPr>
        <w:t>Issuance either personally or with the assistance of counsel as may be appropriate, of any interpretation of this Code that may appear consistent with the objectives of Rule 17j-1 and this Code;</w:t>
      </w:r>
    </w:p>
    <w:p>
      <w:pPr>
        <w:spacing w:after="0" w:line="114" w:lineRule="exact"/>
        <w:rPr>
          <w:rFonts w:ascii="Arial" w:cs="Arial" w:eastAsia="Arial" w:hAnsi="Arial"/>
          <w:sz w:val="12"/>
          <w:szCs w:val="12"/>
          <w:color w:val="auto"/>
        </w:rPr>
      </w:pPr>
    </w:p>
    <w:p>
      <w:pPr>
        <w:ind w:left="1060" w:hanging="164"/>
        <w:spacing w:after="0"/>
        <w:tabs>
          <w:tab w:leader="none" w:pos="1060" w:val="left"/>
        </w:tabs>
        <w:numPr>
          <w:ilvl w:val="1"/>
          <w:numId w:val="73"/>
        </w:numPr>
        <w:rPr>
          <w:rFonts w:ascii="Arial" w:cs="Arial" w:eastAsia="Arial" w:hAnsi="Arial"/>
          <w:sz w:val="11"/>
          <w:szCs w:val="11"/>
          <w:color w:val="auto"/>
        </w:rPr>
      </w:pPr>
      <w:r>
        <w:rPr>
          <w:rFonts w:ascii="Arial" w:cs="Arial" w:eastAsia="Arial" w:hAnsi="Arial"/>
          <w:sz w:val="11"/>
          <w:szCs w:val="11"/>
          <w:color w:val="auto"/>
        </w:rPr>
        <w:t>Conduct such inspections or investigations as shall reasonably be required to detect and report, with recommendations, any apparent violations of this Code to the board of directors of the Corporation;</w:t>
      </w:r>
    </w:p>
    <w:p>
      <w:pPr>
        <w:spacing w:after="0" w:line="125" w:lineRule="exact"/>
        <w:rPr>
          <w:rFonts w:ascii="Arial" w:cs="Arial" w:eastAsia="Arial" w:hAnsi="Arial"/>
          <w:sz w:val="11"/>
          <w:szCs w:val="11"/>
          <w:color w:val="auto"/>
        </w:rPr>
      </w:pPr>
    </w:p>
    <w:p>
      <w:pPr>
        <w:ind w:firstLine="896"/>
        <w:spacing w:after="0" w:line="268" w:lineRule="auto"/>
        <w:tabs>
          <w:tab w:leader="none" w:pos="1070" w:val="left"/>
        </w:tabs>
        <w:numPr>
          <w:ilvl w:val="1"/>
          <w:numId w:val="73"/>
        </w:numPr>
        <w:rPr>
          <w:rFonts w:ascii="Arial" w:cs="Arial" w:eastAsia="Arial" w:hAnsi="Arial"/>
          <w:sz w:val="12"/>
          <w:szCs w:val="12"/>
          <w:color w:val="auto"/>
        </w:rPr>
      </w:pPr>
      <w:r>
        <w:rPr>
          <w:rFonts w:ascii="Arial" w:cs="Arial" w:eastAsia="Arial" w:hAnsi="Arial"/>
          <w:sz w:val="12"/>
          <w:szCs w:val="12"/>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33" w:lineRule="exact"/>
        <w:rPr>
          <w:rFonts w:ascii="Arial" w:cs="Arial" w:eastAsia="Arial" w:hAnsi="Arial"/>
          <w:sz w:val="12"/>
          <w:szCs w:val="12"/>
          <w:color w:val="auto"/>
        </w:rPr>
      </w:pPr>
    </w:p>
    <w:p>
      <w:pPr>
        <w:ind w:left="900" w:hanging="458"/>
        <w:spacing w:after="0"/>
        <w:tabs>
          <w:tab w:leader="none" w:pos="90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Chief Financial Officer shall maintain and cause to be maintained in an easily accessible place at the principal place of business of the 17j-1 Organization, the following records:</w:t>
      </w:r>
    </w:p>
    <w:p>
      <w:pPr>
        <w:spacing w:after="0" w:line="60" w:lineRule="exact"/>
        <w:rPr>
          <w:rFonts w:ascii="Arial" w:cs="Arial" w:eastAsia="Arial" w:hAnsi="Arial"/>
          <w:sz w:val="12"/>
          <w:szCs w:val="12"/>
          <w:color w:val="auto"/>
        </w:rPr>
      </w:pPr>
    </w:p>
    <w:p>
      <w:pPr>
        <w:ind w:left="1060" w:hanging="164"/>
        <w:spacing w:after="0"/>
        <w:tabs>
          <w:tab w:leader="none" w:pos="1060" w:val="left"/>
        </w:tabs>
        <w:numPr>
          <w:ilvl w:val="1"/>
          <w:numId w:val="74"/>
        </w:numPr>
        <w:rPr>
          <w:rFonts w:ascii="Arial" w:cs="Arial" w:eastAsia="Arial" w:hAnsi="Arial"/>
          <w:sz w:val="11"/>
          <w:szCs w:val="11"/>
          <w:color w:val="auto"/>
        </w:rPr>
      </w:pPr>
      <w:r>
        <w:rPr>
          <w:rFonts w:ascii="Arial" w:cs="Arial" w:eastAsia="Arial" w:hAnsi="Arial"/>
          <w:sz w:val="11"/>
          <w:szCs w:val="11"/>
          <w:color w:val="auto"/>
        </w:rPr>
        <w:t>A copy of all codes of ethics adopted by the Corporation or the Adviser and its affiliates, as the case may be, pursuant to Rule 17j-1 that have been in effect at any time during the past five (5) years;</w:t>
      </w:r>
    </w:p>
    <w:p>
      <w:pPr>
        <w:spacing w:after="0" w:line="125" w:lineRule="exact"/>
        <w:rPr>
          <w:rFonts w:ascii="Arial" w:cs="Arial" w:eastAsia="Arial" w:hAnsi="Arial"/>
          <w:sz w:val="11"/>
          <w:szCs w:val="11"/>
          <w:color w:val="auto"/>
        </w:rPr>
      </w:pPr>
    </w:p>
    <w:p>
      <w:pPr>
        <w:ind w:left="1060" w:hanging="164"/>
        <w:spacing w:after="0"/>
        <w:tabs>
          <w:tab w:leader="none" w:pos="1060" w:val="left"/>
        </w:tabs>
        <w:numPr>
          <w:ilvl w:val="1"/>
          <w:numId w:val="74"/>
        </w:numPr>
        <w:rPr>
          <w:rFonts w:ascii="Arial" w:cs="Arial" w:eastAsia="Arial" w:hAnsi="Arial"/>
          <w:sz w:val="12"/>
          <w:szCs w:val="12"/>
          <w:color w:val="auto"/>
        </w:rPr>
      </w:pPr>
      <w:r>
        <w:rPr>
          <w:rFonts w:ascii="Arial" w:cs="Arial" w:eastAsia="Arial" w:hAnsi="Arial"/>
          <w:sz w:val="12"/>
          <w:szCs w:val="12"/>
          <w:color w:val="auto"/>
        </w:rPr>
        <w:t>A record of each violation of such codes of ethics and of any action taken as a result of such violation for at least five (5) years after the end of the fiscal year in which the violation occurs;</w:t>
      </w:r>
    </w:p>
    <w:p>
      <w:pPr>
        <w:spacing w:after="0" w:line="114" w:lineRule="exact"/>
        <w:rPr>
          <w:rFonts w:ascii="Arial" w:cs="Arial" w:eastAsia="Arial" w:hAnsi="Arial"/>
          <w:sz w:val="12"/>
          <w:szCs w:val="12"/>
          <w:color w:val="auto"/>
        </w:rPr>
      </w:pPr>
    </w:p>
    <w:p>
      <w:pPr>
        <w:ind w:left="1060" w:hanging="164"/>
        <w:spacing w:after="0"/>
        <w:tabs>
          <w:tab w:leader="none" w:pos="1060" w:val="left"/>
        </w:tabs>
        <w:numPr>
          <w:ilvl w:val="1"/>
          <w:numId w:val="74"/>
        </w:numPr>
        <w:rPr>
          <w:rFonts w:ascii="Arial" w:cs="Arial" w:eastAsia="Arial" w:hAnsi="Arial"/>
          <w:sz w:val="9"/>
          <w:szCs w:val="9"/>
          <w:color w:val="auto"/>
        </w:rPr>
      </w:pPr>
      <w:r>
        <w:rPr>
          <w:rFonts w:ascii="Arial" w:cs="Arial" w:eastAsia="Arial" w:hAnsi="Arial"/>
          <w:sz w:val="9"/>
          <w:szCs w:val="9"/>
          <w:color w:val="auto"/>
        </w:rPr>
        <w:t>A copy of each report made by an Access Person for at least two (2) years after the end of the fiscal year in which the report is made, and for an additional three (3) years in a place that need not be easily accessible;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232" w:right="299" w:bottom="1440" w:gutter="0" w:footer="0" w:header="0"/>
        </w:sectPr>
      </w:pPr>
    </w:p>
    <w:bookmarkStart w:id="102" w:name="page103"/>
    <w:bookmarkEnd w:id="102"/>
    <w:p>
      <w:pPr>
        <w:ind w:right="220" w:firstLine="896"/>
        <w:spacing w:after="0" w:line="268" w:lineRule="auto"/>
        <w:tabs>
          <w:tab w:leader="none" w:pos="1070" w:val="left"/>
        </w:tabs>
        <w:numPr>
          <w:ilvl w:val="1"/>
          <w:numId w:val="7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645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6455" cy="20955"/>
                    </a:xfrm>
                    <a:prstGeom prst="rect">
                      <a:avLst/>
                    </a:prstGeom>
                    <a:noFill/>
                  </pic:spPr>
                </pic:pic>
              </a:graphicData>
            </a:graphic>
          </wp:anchor>
        </w:drawing>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87" w:lineRule="exact"/>
        <w:rPr>
          <w:rFonts w:ascii="Arial" w:cs="Arial" w:eastAsia="Arial" w:hAnsi="Arial"/>
          <w:sz w:val="12"/>
          <w:szCs w:val="12"/>
          <w:color w:val="auto"/>
        </w:rPr>
      </w:pPr>
    </w:p>
    <w:p>
      <w:pPr>
        <w:ind w:left="1060" w:hanging="164"/>
        <w:spacing w:after="0"/>
        <w:tabs>
          <w:tab w:leader="none" w:pos="1060" w:val="left"/>
        </w:tabs>
        <w:numPr>
          <w:ilvl w:val="1"/>
          <w:numId w:val="75"/>
        </w:numPr>
        <w:rPr>
          <w:rFonts w:ascii="Arial" w:cs="Arial" w:eastAsia="Arial" w:hAnsi="Arial"/>
          <w:sz w:val="11"/>
          <w:szCs w:val="11"/>
          <w:color w:val="auto"/>
        </w:rPr>
      </w:pPr>
      <w:r>
        <w:rPr>
          <w:rFonts w:ascii="Arial" w:cs="Arial" w:eastAsia="Arial" w:hAnsi="Arial"/>
          <w:sz w:val="11"/>
          <w:szCs w:val="11"/>
          <w:color w:val="auto"/>
        </w:rPr>
        <w:t>A list of all persons who are, or within the past five (5) years have been, required to make reports pursuant to the Rule and this Code of Ethics, or who are or were responsible for reviewing such reports;</w:t>
      </w:r>
    </w:p>
    <w:p>
      <w:pPr>
        <w:spacing w:after="0" w:line="125" w:lineRule="exact"/>
        <w:rPr>
          <w:rFonts w:ascii="Arial" w:cs="Arial" w:eastAsia="Arial" w:hAnsi="Arial"/>
          <w:sz w:val="11"/>
          <w:szCs w:val="11"/>
          <w:color w:val="auto"/>
        </w:rPr>
      </w:pPr>
    </w:p>
    <w:p>
      <w:pPr>
        <w:ind w:left="1060" w:hanging="164"/>
        <w:spacing w:after="0"/>
        <w:tabs>
          <w:tab w:leader="none" w:pos="1060" w:val="left"/>
        </w:tabs>
        <w:numPr>
          <w:ilvl w:val="1"/>
          <w:numId w:val="75"/>
        </w:numPr>
        <w:rPr>
          <w:rFonts w:ascii="Arial" w:cs="Arial" w:eastAsia="Arial" w:hAnsi="Arial"/>
          <w:sz w:val="11"/>
          <w:szCs w:val="11"/>
          <w:color w:val="auto"/>
        </w:rPr>
      </w:pPr>
      <w:r>
        <w:rPr>
          <w:rFonts w:ascii="Arial" w:cs="Arial" w:eastAsia="Arial" w:hAnsi="Arial"/>
          <w:sz w:val="11"/>
          <w:szCs w:val="11"/>
          <w:color w:val="auto"/>
        </w:rPr>
        <w:t>A copy of each report required by Section VII (B) for at least two (2) years after the end of the fiscal year in which it is made, and for an additional three (3) years in a place that need not be easily accessible; and</w:t>
      </w:r>
    </w:p>
    <w:p>
      <w:pPr>
        <w:spacing w:after="0" w:line="125" w:lineRule="exact"/>
        <w:rPr>
          <w:rFonts w:ascii="Arial" w:cs="Arial" w:eastAsia="Arial" w:hAnsi="Arial"/>
          <w:sz w:val="11"/>
          <w:szCs w:val="11"/>
          <w:color w:val="auto"/>
        </w:rPr>
      </w:pPr>
    </w:p>
    <w:p>
      <w:pPr>
        <w:ind w:firstLine="896"/>
        <w:spacing w:after="0" w:line="268" w:lineRule="auto"/>
        <w:tabs>
          <w:tab w:leader="none" w:pos="1070" w:val="left"/>
        </w:tabs>
        <w:numPr>
          <w:ilvl w:val="1"/>
          <w:numId w:val="75"/>
        </w:numPr>
        <w:rPr>
          <w:rFonts w:ascii="Arial" w:cs="Arial" w:eastAsia="Arial" w:hAnsi="Arial"/>
          <w:sz w:val="12"/>
          <w:szCs w:val="12"/>
          <w:color w:val="auto"/>
        </w:rPr>
      </w:pPr>
      <w:r>
        <w:rPr>
          <w:rFonts w:ascii="Arial" w:cs="Arial" w:eastAsia="Arial" w:hAnsi="Arial"/>
          <w:sz w:val="12"/>
          <w:szCs w:val="12"/>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33" w:lineRule="exact"/>
        <w:rPr>
          <w:rFonts w:ascii="Arial" w:cs="Arial" w:eastAsia="Arial" w:hAnsi="Arial"/>
          <w:sz w:val="12"/>
          <w:szCs w:val="12"/>
          <w:color w:val="auto"/>
        </w:rPr>
      </w:pPr>
    </w:p>
    <w:p>
      <w:pPr>
        <w:ind w:left="900" w:hanging="458"/>
        <w:spacing w:after="0"/>
        <w:tabs>
          <w:tab w:leader="none" w:pos="9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This Code may not be amended or modified except in a written form that is specifically approved by majority vote of the Independent Directors.</w:t>
      </w:r>
    </w:p>
    <w:p>
      <w:pPr>
        <w:spacing w:after="0" w:line="114" w:lineRule="exact"/>
        <w:rPr>
          <w:rFonts w:ascii="Arial" w:cs="Arial" w:eastAsia="Arial" w:hAnsi="Arial"/>
          <w:sz w:val="12"/>
          <w:szCs w:val="12"/>
          <w:color w:val="auto"/>
        </w:rPr>
      </w:pPr>
    </w:p>
    <w:p>
      <w:pPr>
        <w:ind w:left="900"/>
        <w:spacing w:after="0"/>
        <w:rPr>
          <w:rFonts w:ascii="Arial" w:cs="Arial" w:eastAsia="Arial" w:hAnsi="Arial"/>
          <w:sz w:val="12"/>
          <w:szCs w:val="12"/>
          <w:color w:val="auto"/>
        </w:rPr>
      </w:pPr>
      <w:r>
        <w:rPr>
          <w:rFonts w:ascii="Arial" w:cs="Arial" w:eastAsia="Arial" w:hAnsi="Arial"/>
          <w:sz w:val="12"/>
          <w:szCs w:val="12"/>
          <w:color w:val="auto"/>
        </w:rPr>
        <w:t>This Joint Code of Ethics was adopted and approved by the Board of Directors of the Corporation, including a majority of the Independent Directors, at a meeting on December 12, 2007.</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80"/>
          </w:cols>
          <w:pgMar w:left="300" w:top="232" w:right="3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2"/>
          <w:szCs w:val="12"/>
          <w:b w:val="1"/>
          <w:bCs w:val="1"/>
          <w:color w:val="auto"/>
        </w:rPr>
        <w:t>EXHIBIT 31.1</w:t>
      </w:r>
    </w:p>
    <w:p>
      <w:pPr>
        <w:spacing w:after="0" w:line="114" w:lineRule="exact"/>
        <w:rPr>
          <w:sz w:val="20"/>
          <w:szCs w:val="20"/>
          <w:color w:val="auto"/>
        </w:rPr>
      </w:pPr>
    </w:p>
    <w:p>
      <w:pPr>
        <w:ind w:left="4240"/>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I, Arthur H. Penn, Chief Executive Officer of PennantPark Investment Corporation, certify that:</w:t>
      </w:r>
    </w:p>
    <w:p>
      <w:pPr>
        <w:spacing w:after="0" w:line="60" w:lineRule="exact"/>
        <w:rPr>
          <w:sz w:val="20"/>
          <w:szCs w:val="20"/>
          <w:color w:val="auto"/>
        </w:rPr>
      </w:pPr>
    </w:p>
    <w:p>
      <w:pPr>
        <w:ind w:left="560" w:hanging="116"/>
        <w:spacing w:after="0"/>
        <w:tabs>
          <w:tab w:leader="none" w:pos="560" w:val="left"/>
        </w:tabs>
        <w:numPr>
          <w:ilvl w:val="0"/>
          <w:numId w:val="77"/>
        </w:numPr>
        <w:rPr>
          <w:rFonts w:ascii="Arial" w:cs="Arial" w:eastAsia="Arial" w:hAnsi="Arial"/>
          <w:sz w:val="12"/>
          <w:szCs w:val="12"/>
          <w:color w:val="auto"/>
        </w:rPr>
      </w:pPr>
      <w:r>
        <w:rPr>
          <w:rFonts w:ascii="Arial" w:cs="Arial" w:eastAsia="Arial" w:hAnsi="Arial"/>
          <w:sz w:val="12"/>
          <w:szCs w:val="12"/>
          <w:color w:val="auto"/>
        </w:rPr>
        <w:t>I have reviewed this Report on Form 10-K of PennantPark Investment Corporation;</w:t>
      </w:r>
    </w:p>
    <w:p>
      <w:pPr>
        <w:spacing w:after="0" w:line="114" w:lineRule="exact"/>
        <w:rPr>
          <w:rFonts w:ascii="Arial" w:cs="Arial" w:eastAsia="Arial" w:hAnsi="Arial"/>
          <w:sz w:val="12"/>
          <w:szCs w:val="12"/>
          <w:color w:val="auto"/>
        </w:rPr>
      </w:pPr>
    </w:p>
    <w:p>
      <w:pPr>
        <w:ind w:right="60" w:firstLine="444"/>
        <w:spacing w:after="0" w:line="268" w:lineRule="auto"/>
        <w:tabs>
          <w:tab w:leader="none" w:pos="569" w:val="left"/>
        </w:tabs>
        <w:numPr>
          <w:ilvl w:val="0"/>
          <w:numId w:val="7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2"/>
          <w:szCs w:val="12"/>
          <w:color w:val="auto"/>
        </w:rPr>
      </w:pPr>
    </w:p>
    <w:p>
      <w:pPr>
        <w:ind w:right="180" w:firstLine="444"/>
        <w:spacing w:after="0" w:line="268" w:lineRule="auto"/>
        <w:tabs>
          <w:tab w:leader="none" w:pos="569" w:val="left"/>
        </w:tabs>
        <w:numPr>
          <w:ilvl w:val="0"/>
          <w:numId w:val="7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7" w:lineRule="exact"/>
        <w:rPr>
          <w:rFonts w:ascii="Arial" w:cs="Arial" w:eastAsia="Arial" w:hAnsi="Arial"/>
          <w:sz w:val="12"/>
          <w:szCs w:val="12"/>
          <w:color w:val="auto"/>
        </w:rPr>
      </w:pPr>
    </w:p>
    <w:p>
      <w:pPr>
        <w:ind w:left="560" w:hanging="116"/>
        <w:spacing w:after="0"/>
        <w:tabs>
          <w:tab w:leader="none" w:pos="560" w:val="left"/>
        </w:tabs>
        <w:numPr>
          <w:ilvl w:val="0"/>
          <w:numId w:val="77"/>
        </w:numPr>
        <w:rPr>
          <w:rFonts w:ascii="Arial" w:cs="Arial" w:eastAsia="Arial" w:hAnsi="Arial"/>
          <w:sz w:val="11"/>
          <w:szCs w:val="11"/>
          <w:color w:val="auto"/>
        </w:rPr>
      </w:pPr>
      <w:r>
        <w:rPr>
          <w:rFonts w:ascii="Arial" w:cs="Arial" w:eastAsia="Arial" w:hAnsi="Arial"/>
          <w:sz w:val="11"/>
          <w:szCs w:val="11"/>
          <w:color w:val="auto"/>
        </w:rPr>
        <w:t>The company’s other certifying officer and I are responsible for establishing and maintaining disclosure controls and procedures (as defined in Exchange Act Rules 13a-15(e) and 15d-15(e)) for the company and have:</w:t>
      </w:r>
    </w:p>
    <w:p>
      <w:pPr>
        <w:spacing w:after="0" w:line="71" w:lineRule="exact"/>
        <w:rPr>
          <w:rFonts w:ascii="Arial" w:cs="Arial" w:eastAsia="Arial" w:hAnsi="Arial"/>
          <w:sz w:val="11"/>
          <w:szCs w:val="11"/>
          <w:color w:val="auto"/>
        </w:rPr>
      </w:pPr>
    </w:p>
    <w:p>
      <w:pPr>
        <w:ind w:left="440" w:right="360" w:firstLine="438"/>
        <w:spacing w:after="0" w:line="268" w:lineRule="auto"/>
        <w:tabs>
          <w:tab w:leader="none" w:pos="994" w:val="left"/>
        </w:tabs>
        <w:numPr>
          <w:ilvl w:val="1"/>
          <w:numId w:val="7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3" w:lineRule="exact"/>
        <w:rPr>
          <w:rFonts w:ascii="Arial" w:cs="Arial" w:eastAsia="Arial" w:hAnsi="Arial"/>
          <w:sz w:val="12"/>
          <w:szCs w:val="12"/>
          <w:color w:val="auto"/>
        </w:rPr>
      </w:pPr>
    </w:p>
    <w:p>
      <w:pPr>
        <w:ind w:left="440" w:right="100" w:firstLine="438"/>
        <w:spacing w:after="0" w:line="268" w:lineRule="auto"/>
        <w:tabs>
          <w:tab w:leader="none" w:pos="1001" w:val="left"/>
        </w:tabs>
        <w:numPr>
          <w:ilvl w:val="1"/>
          <w:numId w:val="77"/>
        </w:numPr>
        <w:rPr>
          <w:rFonts w:ascii="Arial" w:cs="Arial" w:eastAsia="Arial" w:hAnsi="Arial"/>
          <w:sz w:val="12"/>
          <w:szCs w:val="12"/>
          <w:color w:val="auto"/>
        </w:rPr>
      </w:pPr>
      <w:r>
        <w:rPr>
          <w:rFonts w:ascii="Arial" w:cs="Arial" w:eastAsia="Arial" w:hAnsi="Arial"/>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Arial" w:cs="Arial" w:eastAsia="Arial" w:hAnsi="Arial"/>
          <w:sz w:val="12"/>
          <w:szCs w:val="12"/>
          <w:color w:val="auto"/>
        </w:rPr>
      </w:pPr>
    </w:p>
    <w:p>
      <w:pPr>
        <w:ind w:left="440" w:right="40" w:firstLine="438"/>
        <w:spacing w:after="0" w:line="268" w:lineRule="auto"/>
        <w:tabs>
          <w:tab w:leader="none" w:pos="994" w:val="left"/>
        </w:tabs>
        <w:numPr>
          <w:ilvl w:val="1"/>
          <w:numId w:val="77"/>
        </w:numPr>
        <w:rPr>
          <w:rFonts w:ascii="Arial" w:cs="Arial" w:eastAsia="Arial" w:hAnsi="Arial"/>
          <w:sz w:val="12"/>
          <w:szCs w:val="12"/>
          <w:color w:val="auto"/>
        </w:rPr>
      </w:pPr>
      <w:r>
        <w:rPr>
          <w:rFonts w:ascii="Arial" w:cs="Arial" w:eastAsia="Arial" w:hAnsi="Arial"/>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rFonts w:ascii="Arial" w:cs="Arial" w:eastAsia="Arial" w:hAnsi="Arial"/>
          <w:sz w:val="12"/>
          <w:szCs w:val="12"/>
          <w:color w:val="auto"/>
        </w:rPr>
      </w:pPr>
    </w:p>
    <w:p>
      <w:pPr>
        <w:ind w:right="80" w:firstLine="444"/>
        <w:spacing w:after="0" w:line="268" w:lineRule="auto"/>
        <w:tabs>
          <w:tab w:leader="none" w:pos="569"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3" w:lineRule="exact"/>
        <w:rPr>
          <w:rFonts w:ascii="Arial" w:cs="Arial" w:eastAsia="Arial" w:hAnsi="Arial"/>
          <w:sz w:val="12"/>
          <w:szCs w:val="12"/>
          <w:color w:val="auto"/>
        </w:rPr>
      </w:pPr>
    </w:p>
    <w:p>
      <w:pPr>
        <w:ind w:left="440" w:right="480" w:firstLine="438"/>
        <w:spacing w:after="0" w:line="268" w:lineRule="auto"/>
        <w:tabs>
          <w:tab w:leader="none" w:pos="994" w:val="left"/>
        </w:tabs>
        <w:numPr>
          <w:ilvl w:val="1"/>
          <w:numId w:val="7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3" w:lineRule="exact"/>
        <w:rPr>
          <w:rFonts w:ascii="Arial" w:cs="Arial" w:eastAsia="Arial" w:hAnsi="Arial"/>
          <w:sz w:val="12"/>
          <w:szCs w:val="12"/>
          <w:color w:val="auto"/>
        </w:rPr>
      </w:pPr>
    </w:p>
    <w:p>
      <w:pPr>
        <w:ind w:left="1000" w:hanging="122"/>
        <w:spacing w:after="0"/>
        <w:tabs>
          <w:tab w:leader="none" w:pos="1000" w:val="left"/>
        </w:tabs>
        <w:numPr>
          <w:ilvl w:val="1"/>
          <w:numId w:val="7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Dated: December 12, 2007.</w:t>
      </w:r>
    </w:p>
    <w:p>
      <w:pPr>
        <w:spacing w:after="0" w:line="150" w:lineRule="exact"/>
        <w:rPr>
          <w:sz w:val="20"/>
          <w:szCs w:val="20"/>
          <w:color w:val="auto"/>
        </w:rPr>
      </w:pPr>
    </w:p>
    <w:p>
      <w:pPr>
        <w:jc w:val="center"/>
        <w:ind w:right="6800"/>
        <w:spacing w:after="0"/>
        <w:tabs>
          <w:tab w:leader="none" w:pos="10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A</w:t>
      </w:r>
      <w:r>
        <w:rPr>
          <w:rFonts w:ascii="Arial" w:cs="Arial" w:eastAsia="Arial" w:hAnsi="Arial"/>
          <w:sz w:val="8"/>
          <w:szCs w:val="8"/>
          <w:color w:val="auto"/>
        </w:rPr>
        <w:t>RTHUR</w:t>
      </w:r>
      <w:r>
        <w:rPr>
          <w:rFonts w:ascii="Arial" w:cs="Arial" w:eastAsia="Arial" w:hAnsi="Arial"/>
          <w:sz w:val="11"/>
          <w:szCs w:val="11"/>
          <w:color w:val="auto"/>
        </w:rPr>
        <w:t xml:space="preserve"> H. P</w:t>
      </w:r>
      <w:r>
        <w:rPr>
          <w:rFonts w:ascii="Arial" w:cs="Arial" w:eastAsia="Arial" w:hAnsi="Arial"/>
          <w:sz w:val="8"/>
          <w:szCs w:val="8"/>
          <w:color w:val="auto"/>
        </w:rPr>
        <w:t>ENN</w:t>
      </w:r>
    </w:p>
    <w:p>
      <w:pPr>
        <w:spacing w:after="0" w:line="12" w:lineRule="exact"/>
        <w:rPr>
          <w:sz w:val="20"/>
          <w:szCs w:val="20"/>
          <w:color w:val="auto"/>
        </w:rPr>
      </w:pPr>
    </w:p>
    <w:p>
      <w:pPr>
        <w:jc w:val="center"/>
        <w:ind w:right="6780"/>
        <w:spacing w:after="0"/>
        <w:rPr>
          <w:sz w:val="20"/>
          <w:szCs w:val="20"/>
          <w:color w:val="auto"/>
        </w:rPr>
      </w:pPr>
      <w:r>
        <w:rPr>
          <w:rFonts w:ascii="Arial" w:cs="Arial" w:eastAsia="Arial" w:hAnsi="Arial"/>
          <w:sz w:val="9"/>
          <w:szCs w:val="9"/>
          <w:b w:val="1"/>
          <w:bCs w:val="1"/>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286893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jc w:val="center"/>
        <w:ind w:right="6780"/>
        <w:spacing w:after="0"/>
        <w:rPr>
          <w:sz w:val="20"/>
          <w:szCs w:val="20"/>
          <w:color w:val="auto"/>
        </w:rPr>
      </w:pPr>
      <w:r>
        <w:rPr>
          <w:rFonts w:ascii="Arial" w:cs="Arial" w:eastAsia="Arial" w:hAnsi="Arial"/>
          <w:sz w:val="9"/>
          <w:szCs w:val="9"/>
          <w:b w:val="1"/>
          <w:bCs w:val="1"/>
          <w:color w:val="auto"/>
        </w:rPr>
        <w:t>Chief Executive Officer</w:t>
      </w:r>
    </w:p>
    <w:p>
      <w:pPr>
        <w:sectPr>
          <w:pgSz w:w="11900" w:h="16838" w:orient="portrait"/>
          <w:cols w:equalWidth="0" w:num="1">
            <w:col w:w="11300"/>
          </w:cols>
          <w:pgMar w:left="300" w:top="131" w:right="2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2"/>
          <w:szCs w:val="12"/>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I, Aviv Efrat, Chief Financial Officer of PennantPark Investment Corporation, certify that:</w:t>
      </w:r>
    </w:p>
    <w:p>
      <w:pPr>
        <w:spacing w:after="0" w:line="60" w:lineRule="exact"/>
        <w:rPr>
          <w:sz w:val="20"/>
          <w:szCs w:val="20"/>
          <w:color w:val="auto"/>
        </w:rPr>
      </w:pPr>
    </w:p>
    <w:p>
      <w:pPr>
        <w:ind w:left="560" w:hanging="116"/>
        <w:spacing w:after="0"/>
        <w:tabs>
          <w:tab w:leader="none" w:pos="5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I have reviewed this Report on Form 10-K of PennantPark Investment Corporation;</w:t>
      </w:r>
    </w:p>
    <w:p>
      <w:pPr>
        <w:spacing w:after="0" w:line="114" w:lineRule="exact"/>
        <w:rPr>
          <w:rFonts w:ascii="Arial" w:cs="Arial" w:eastAsia="Arial" w:hAnsi="Arial"/>
          <w:sz w:val="12"/>
          <w:szCs w:val="12"/>
          <w:color w:val="auto"/>
        </w:rPr>
      </w:pPr>
    </w:p>
    <w:p>
      <w:pPr>
        <w:ind w:right="60" w:firstLine="444"/>
        <w:spacing w:after="0" w:line="268" w:lineRule="auto"/>
        <w:tabs>
          <w:tab w:leader="none" w:pos="569" w:val="left"/>
        </w:tabs>
        <w:numPr>
          <w:ilvl w:val="0"/>
          <w:numId w:val="7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2"/>
          <w:szCs w:val="12"/>
          <w:color w:val="auto"/>
        </w:rPr>
      </w:pPr>
    </w:p>
    <w:p>
      <w:pPr>
        <w:ind w:right="180" w:firstLine="444"/>
        <w:spacing w:after="0" w:line="268" w:lineRule="auto"/>
        <w:tabs>
          <w:tab w:leader="none" w:pos="569" w:val="left"/>
        </w:tabs>
        <w:numPr>
          <w:ilvl w:val="0"/>
          <w:numId w:val="7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7" w:lineRule="exact"/>
        <w:rPr>
          <w:rFonts w:ascii="Arial" w:cs="Arial" w:eastAsia="Arial" w:hAnsi="Arial"/>
          <w:sz w:val="12"/>
          <w:szCs w:val="12"/>
          <w:color w:val="auto"/>
        </w:rPr>
      </w:pPr>
    </w:p>
    <w:p>
      <w:pPr>
        <w:ind w:left="560" w:hanging="116"/>
        <w:spacing w:after="0"/>
        <w:tabs>
          <w:tab w:leader="none" w:pos="560" w:val="left"/>
        </w:tabs>
        <w:numPr>
          <w:ilvl w:val="0"/>
          <w:numId w:val="78"/>
        </w:numPr>
        <w:rPr>
          <w:rFonts w:ascii="Arial" w:cs="Arial" w:eastAsia="Arial" w:hAnsi="Arial"/>
          <w:sz w:val="11"/>
          <w:szCs w:val="11"/>
          <w:color w:val="auto"/>
        </w:rPr>
      </w:pPr>
      <w:r>
        <w:rPr>
          <w:rFonts w:ascii="Arial" w:cs="Arial" w:eastAsia="Arial" w:hAnsi="Arial"/>
          <w:sz w:val="11"/>
          <w:szCs w:val="11"/>
          <w:color w:val="auto"/>
        </w:rPr>
        <w:t>The company’s other certifying officer and I are responsible for establishing and maintaining disclosure controls and procedures (as defined in Exchange Act Rules 13a-15(e) and 15d-15(e)) for the company and have:</w:t>
      </w:r>
    </w:p>
    <w:p>
      <w:pPr>
        <w:spacing w:after="0" w:line="71" w:lineRule="exact"/>
        <w:rPr>
          <w:rFonts w:ascii="Arial" w:cs="Arial" w:eastAsia="Arial" w:hAnsi="Arial"/>
          <w:sz w:val="11"/>
          <w:szCs w:val="11"/>
          <w:color w:val="auto"/>
        </w:rPr>
      </w:pPr>
    </w:p>
    <w:p>
      <w:pPr>
        <w:ind w:left="440" w:right="360" w:firstLine="438"/>
        <w:spacing w:after="0" w:line="268" w:lineRule="auto"/>
        <w:tabs>
          <w:tab w:leader="none" w:pos="994" w:val="left"/>
        </w:tabs>
        <w:numPr>
          <w:ilvl w:val="1"/>
          <w:numId w:val="7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3" w:lineRule="exact"/>
        <w:rPr>
          <w:rFonts w:ascii="Arial" w:cs="Arial" w:eastAsia="Arial" w:hAnsi="Arial"/>
          <w:sz w:val="12"/>
          <w:szCs w:val="12"/>
          <w:color w:val="auto"/>
        </w:rPr>
      </w:pPr>
    </w:p>
    <w:p>
      <w:pPr>
        <w:ind w:left="440" w:right="100" w:firstLine="438"/>
        <w:spacing w:after="0" w:line="268" w:lineRule="auto"/>
        <w:tabs>
          <w:tab w:leader="none" w:pos="1001" w:val="left"/>
        </w:tabs>
        <w:numPr>
          <w:ilvl w:val="1"/>
          <w:numId w:val="78"/>
        </w:numPr>
        <w:rPr>
          <w:rFonts w:ascii="Arial" w:cs="Arial" w:eastAsia="Arial" w:hAnsi="Arial"/>
          <w:sz w:val="12"/>
          <w:szCs w:val="12"/>
          <w:color w:val="auto"/>
        </w:rPr>
      </w:pPr>
      <w:r>
        <w:rPr>
          <w:rFonts w:ascii="Arial" w:cs="Arial" w:eastAsia="Arial" w:hAnsi="Arial"/>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Arial" w:cs="Arial" w:eastAsia="Arial" w:hAnsi="Arial"/>
          <w:sz w:val="12"/>
          <w:szCs w:val="12"/>
          <w:color w:val="auto"/>
        </w:rPr>
      </w:pPr>
    </w:p>
    <w:p>
      <w:pPr>
        <w:ind w:left="440" w:right="40" w:firstLine="438"/>
        <w:spacing w:after="0" w:line="268" w:lineRule="auto"/>
        <w:tabs>
          <w:tab w:leader="none" w:pos="994" w:val="left"/>
        </w:tabs>
        <w:numPr>
          <w:ilvl w:val="1"/>
          <w:numId w:val="78"/>
        </w:numPr>
        <w:rPr>
          <w:rFonts w:ascii="Arial" w:cs="Arial" w:eastAsia="Arial" w:hAnsi="Arial"/>
          <w:sz w:val="12"/>
          <w:szCs w:val="12"/>
          <w:color w:val="auto"/>
        </w:rPr>
      </w:pPr>
      <w:r>
        <w:rPr>
          <w:rFonts w:ascii="Arial" w:cs="Arial" w:eastAsia="Arial" w:hAnsi="Arial"/>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rFonts w:ascii="Arial" w:cs="Arial" w:eastAsia="Arial" w:hAnsi="Arial"/>
          <w:sz w:val="12"/>
          <w:szCs w:val="12"/>
          <w:color w:val="auto"/>
        </w:rPr>
      </w:pPr>
    </w:p>
    <w:p>
      <w:pPr>
        <w:ind w:right="80" w:firstLine="444"/>
        <w:spacing w:after="0" w:line="268" w:lineRule="auto"/>
        <w:tabs>
          <w:tab w:leader="none" w:pos="569"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3" w:lineRule="exact"/>
        <w:rPr>
          <w:rFonts w:ascii="Arial" w:cs="Arial" w:eastAsia="Arial" w:hAnsi="Arial"/>
          <w:sz w:val="12"/>
          <w:szCs w:val="12"/>
          <w:color w:val="auto"/>
        </w:rPr>
      </w:pPr>
    </w:p>
    <w:p>
      <w:pPr>
        <w:ind w:left="440" w:right="480" w:firstLine="438"/>
        <w:spacing w:after="0" w:line="268" w:lineRule="auto"/>
        <w:tabs>
          <w:tab w:leader="none" w:pos="994" w:val="left"/>
        </w:tabs>
        <w:numPr>
          <w:ilvl w:val="1"/>
          <w:numId w:val="7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3" w:lineRule="exact"/>
        <w:rPr>
          <w:rFonts w:ascii="Arial" w:cs="Arial" w:eastAsia="Arial" w:hAnsi="Arial"/>
          <w:sz w:val="12"/>
          <w:szCs w:val="12"/>
          <w:color w:val="auto"/>
        </w:rPr>
      </w:pPr>
    </w:p>
    <w:p>
      <w:pPr>
        <w:ind w:left="1000" w:hanging="122"/>
        <w:spacing w:after="0"/>
        <w:tabs>
          <w:tab w:leader="none" w:pos="1000" w:val="left"/>
        </w:tabs>
        <w:numPr>
          <w:ilvl w:val="1"/>
          <w:numId w:val="7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Dated: December 12, 2007.</w:t>
      </w:r>
    </w:p>
    <w:p>
      <w:pPr>
        <w:spacing w:after="0" w:line="150" w:lineRule="exact"/>
        <w:rPr>
          <w:sz w:val="20"/>
          <w:szCs w:val="20"/>
          <w:color w:val="auto"/>
        </w:rPr>
      </w:pPr>
    </w:p>
    <w:p>
      <w:pPr>
        <w:ind w:left="1740"/>
        <w:spacing w:after="0"/>
        <w:tabs>
          <w:tab w:leader="none" w:pos="1940" w:val="left"/>
        </w:tabs>
        <w:rPr>
          <w:sz w:val="20"/>
          <w:szCs w:val="20"/>
          <w:color w:val="auto"/>
        </w:rPr>
      </w:pPr>
      <w:r>
        <w:rPr>
          <w:rFonts w:ascii="Arial" w:cs="Arial" w:eastAsia="Arial" w:hAnsi="Arial"/>
          <w:sz w:val="12"/>
          <w:szCs w:val="12"/>
          <w:color w:val="auto"/>
        </w:rPr>
        <w:t>/s/</w:t>
        <w:tab/>
        <w:t>A</w:t>
      </w:r>
      <w:r>
        <w:rPr>
          <w:rFonts w:ascii="Arial" w:cs="Arial" w:eastAsia="Arial" w:hAnsi="Arial"/>
          <w:sz w:val="9"/>
          <w:szCs w:val="9"/>
          <w:color w:val="auto"/>
        </w:rPr>
        <w:t>VIV</w:t>
      </w:r>
      <w:r>
        <w:rPr>
          <w:rFonts w:ascii="Arial" w:cs="Arial" w:eastAsia="Arial" w:hAnsi="Arial"/>
          <w:sz w:val="12"/>
          <w:szCs w:val="12"/>
          <w:color w:val="auto"/>
        </w:rPr>
        <w:t xml:space="preserve"> E</w:t>
      </w:r>
      <w:r>
        <w:rPr>
          <w:rFonts w:ascii="Arial" w:cs="Arial" w:eastAsia="Arial" w:hAnsi="Arial"/>
          <w:sz w:val="9"/>
          <w:szCs w:val="9"/>
          <w:color w:val="auto"/>
        </w:rPr>
        <w:t>FRAT</w:t>
      </w:r>
    </w:p>
    <w:p>
      <w:pPr>
        <w:spacing w:after="0" w:line="12" w:lineRule="exact"/>
        <w:rPr>
          <w:sz w:val="20"/>
          <w:szCs w:val="20"/>
          <w:color w:val="auto"/>
        </w:rPr>
      </w:pPr>
    </w:p>
    <w:p>
      <w:pPr>
        <w:jc w:val="center"/>
        <w:ind w:right="6780"/>
        <w:spacing w:after="0"/>
        <w:rPr>
          <w:sz w:val="20"/>
          <w:szCs w:val="20"/>
          <w:color w:val="auto"/>
        </w:rPr>
      </w:pPr>
      <w:r>
        <w:rPr>
          <w:rFonts w:ascii="Arial" w:cs="Arial" w:eastAsia="Arial" w:hAnsi="Arial"/>
          <w:sz w:val="9"/>
          <w:szCs w:val="9"/>
          <w:b w:val="1"/>
          <w:bCs w:val="1"/>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286893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jc w:val="center"/>
        <w:ind w:right="6780"/>
        <w:spacing w:after="0"/>
        <w:rPr>
          <w:sz w:val="20"/>
          <w:szCs w:val="20"/>
          <w:color w:val="auto"/>
        </w:rPr>
      </w:pPr>
      <w:r>
        <w:rPr>
          <w:rFonts w:ascii="Arial" w:cs="Arial" w:eastAsia="Arial" w:hAnsi="Arial"/>
          <w:sz w:val="9"/>
          <w:szCs w:val="9"/>
          <w:b w:val="1"/>
          <w:bCs w:val="1"/>
          <w:color w:val="auto"/>
        </w:rPr>
        <w:t>Chief Financial Officer</w:t>
      </w:r>
    </w:p>
    <w:p>
      <w:pPr>
        <w:sectPr>
          <w:pgSz w:w="11900" w:h="16838" w:orient="portrait"/>
          <w:cols w:equalWidth="0" w:num="1">
            <w:col w:w="11300"/>
          </w:cols>
          <w:pgMar w:left="300" w:top="131" w:right="2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2"/>
          <w:szCs w:val="12"/>
          <w:b w:val="1"/>
          <w:bCs w:val="1"/>
          <w:color w:val="auto"/>
        </w:rPr>
        <w:t>EXHIBIT 32.1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 (18 U.S.C. 1350)</w:t>
      </w:r>
    </w:p>
    <w:p>
      <w:pPr>
        <w:spacing w:after="0" w:line="110" w:lineRule="exact"/>
        <w:rPr>
          <w:sz w:val="20"/>
          <w:szCs w:val="20"/>
          <w:color w:val="auto"/>
        </w:rPr>
      </w:pPr>
    </w:p>
    <w:p>
      <w:pPr>
        <w:ind w:right="240" w:firstLine="452"/>
        <w:spacing w:after="0" w:line="268" w:lineRule="auto"/>
        <w:rPr>
          <w:sz w:val="20"/>
          <w:szCs w:val="20"/>
          <w:color w:val="auto"/>
        </w:rPr>
      </w:pPr>
      <w:r>
        <w:rPr>
          <w:rFonts w:ascii="Arial" w:cs="Arial" w:eastAsia="Arial" w:hAnsi="Arial"/>
          <w:sz w:val="12"/>
          <w:szCs w:val="12"/>
          <w:color w:val="auto"/>
        </w:rPr>
        <w:t>In connection with this Report on Form 10-K for the year ended September 30, 2007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34" w:lineRule="exact"/>
        <w:rPr>
          <w:sz w:val="20"/>
          <w:szCs w:val="20"/>
          <w:color w:val="auto"/>
        </w:rPr>
      </w:pPr>
    </w:p>
    <w:p>
      <w:pPr>
        <w:ind w:left="900" w:hanging="458"/>
        <w:spacing w:after="0"/>
        <w:tabs>
          <w:tab w:leader="none" w:pos="90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60" w:lineRule="exact"/>
        <w:rPr>
          <w:rFonts w:ascii="Arial" w:cs="Arial" w:eastAsia="Arial" w:hAnsi="Arial"/>
          <w:sz w:val="12"/>
          <w:szCs w:val="12"/>
          <w:color w:val="auto"/>
        </w:rPr>
      </w:pPr>
    </w:p>
    <w:p>
      <w:pPr>
        <w:ind w:left="900" w:hanging="458"/>
        <w:spacing w:after="0"/>
        <w:tabs>
          <w:tab w:leader="none" w:pos="90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1480" w:type="dxa"/>
            <w:vAlign w:val="bottom"/>
            <w:tcBorders>
              <w:bottom w:val="single" w:sz="8" w:color="auto"/>
            </w:tcBorders>
          </w:tcPr>
          <w:p>
            <w:pPr>
              <w:ind w:left="1320"/>
              <w:spacing w:after="0"/>
              <w:rPr>
                <w:sz w:val="20"/>
                <w:szCs w:val="20"/>
                <w:color w:val="auto"/>
              </w:rPr>
            </w:pPr>
            <w:r>
              <w:rPr>
                <w:rFonts w:ascii="Arial" w:cs="Arial" w:eastAsia="Arial" w:hAnsi="Arial"/>
                <w:sz w:val="12"/>
                <w:szCs w:val="12"/>
                <w:color w:val="auto"/>
              </w:rPr>
              <w:t>/s/</w:t>
            </w:r>
          </w:p>
        </w:tc>
        <w:tc>
          <w:tcPr>
            <w:tcW w:w="2380" w:type="dxa"/>
            <w:vAlign w:val="bottom"/>
            <w:tcBorders>
              <w:bottom w:val="single" w:sz="8" w:color="auto"/>
            </w:tcBorders>
          </w:tcPr>
          <w:p>
            <w:pPr>
              <w:jc w:val="center"/>
              <w:ind w:right="1368"/>
              <w:spacing w:after="0"/>
              <w:rPr>
                <w:sz w:val="20"/>
                <w:szCs w:val="20"/>
                <w:color w:val="auto"/>
              </w:rPr>
            </w:pPr>
            <w:r>
              <w:rPr>
                <w:rFonts w:ascii="Arial" w:cs="Arial" w:eastAsia="Arial" w:hAnsi="Arial"/>
                <w:sz w:val="12"/>
                <w:szCs w:val="12"/>
                <w:color w:val="auto"/>
                <w:w w:val="98"/>
              </w:rPr>
              <w:t>A</w:t>
            </w:r>
            <w:r>
              <w:rPr>
                <w:rFonts w:ascii="Arial" w:cs="Arial" w:eastAsia="Arial" w:hAnsi="Arial"/>
                <w:sz w:val="9"/>
                <w:szCs w:val="9"/>
                <w:color w:val="auto"/>
                <w:w w:val="98"/>
              </w:rPr>
              <w:t>RTHUR</w:t>
            </w:r>
            <w:r>
              <w:rPr>
                <w:rFonts w:ascii="Arial" w:cs="Arial" w:eastAsia="Arial" w:hAnsi="Arial"/>
                <w:sz w:val="12"/>
                <w:szCs w:val="12"/>
                <w:color w:val="auto"/>
                <w:w w:val="98"/>
              </w:rPr>
              <w:t xml:space="preserve"> H. P</w:t>
            </w:r>
            <w:r>
              <w:rPr>
                <w:rFonts w:ascii="Arial" w:cs="Arial" w:eastAsia="Arial" w:hAnsi="Arial"/>
                <w:sz w:val="9"/>
                <w:szCs w:val="9"/>
                <w:color w:val="auto"/>
                <w:w w:val="98"/>
              </w:rPr>
              <w:t>ENN</w:t>
            </w:r>
          </w:p>
        </w:tc>
      </w:tr>
      <w:tr>
        <w:trPr>
          <w:trHeight w:val="142"/>
        </w:trPr>
        <w:tc>
          <w:tcPr>
            <w:tcW w:w="640" w:type="dxa"/>
            <w:vAlign w:val="bottom"/>
          </w:tcPr>
          <w:p>
            <w:pPr>
              <w:spacing w:after="0" w:line="132" w:lineRule="exact"/>
              <w:rPr>
                <w:sz w:val="20"/>
                <w:szCs w:val="20"/>
                <w:color w:val="auto"/>
              </w:rPr>
            </w:pPr>
            <w:r>
              <w:rPr>
                <w:rFonts w:ascii="Arial" w:cs="Arial" w:eastAsia="Arial" w:hAnsi="Arial"/>
                <w:sz w:val="12"/>
                <w:szCs w:val="12"/>
                <w:color w:val="auto"/>
              </w:rPr>
              <w:t>Name:</w:t>
            </w:r>
          </w:p>
        </w:tc>
        <w:tc>
          <w:tcPr>
            <w:tcW w:w="1480" w:type="dxa"/>
            <w:vAlign w:val="bottom"/>
          </w:tcPr>
          <w:p>
            <w:pPr>
              <w:spacing w:after="0"/>
              <w:rPr>
                <w:sz w:val="12"/>
                <w:szCs w:val="12"/>
                <w:color w:val="auto"/>
              </w:rPr>
            </w:pPr>
          </w:p>
        </w:tc>
        <w:tc>
          <w:tcPr>
            <w:tcW w:w="2380" w:type="dxa"/>
            <w:vAlign w:val="bottom"/>
          </w:tcPr>
          <w:p>
            <w:pPr>
              <w:jc w:val="center"/>
              <w:ind w:right="1388"/>
              <w:spacing w:after="0"/>
              <w:rPr>
                <w:sz w:val="20"/>
                <w:szCs w:val="20"/>
                <w:color w:val="auto"/>
              </w:rPr>
            </w:pPr>
            <w:r>
              <w:rPr>
                <w:rFonts w:ascii="Arial" w:cs="Arial" w:eastAsia="Arial" w:hAnsi="Arial"/>
                <w:sz w:val="9"/>
                <w:szCs w:val="9"/>
                <w:b w:val="1"/>
                <w:bCs w:val="1"/>
                <w:color w:val="auto"/>
                <w:w w:val="97"/>
              </w:rPr>
              <w:t>Arthur H. Penn</w:t>
            </w:r>
          </w:p>
        </w:tc>
      </w:tr>
      <w:tr>
        <w:trPr>
          <w:trHeight w:val="242"/>
        </w:trPr>
        <w:tc>
          <w:tcPr>
            <w:tcW w:w="2120" w:type="dxa"/>
            <w:vAlign w:val="bottom"/>
            <w:gridSpan w:val="2"/>
          </w:tcPr>
          <w:p>
            <w:pPr>
              <w:spacing w:after="0"/>
              <w:rPr>
                <w:sz w:val="20"/>
                <w:szCs w:val="20"/>
                <w:color w:val="auto"/>
              </w:rPr>
            </w:pPr>
            <w:r>
              <w:rPr>
                <w:rFonts w:ascii="Arial" w:cs="Arial" w:eastAsia="Arial" w:hAnsi="Arial"/>
                <w:sz w:val="12"/>
                <w:szCs w:val="12"/>
                <w:color w:val="auto"/>
              </w:rPr>
              <w:t>Date: December 12, 2007</w:t>
            </w:r>
          </w:p>
        </w:tc>
        <w:tc>
          <w:tcPr>
            <w:tcW w:w="2380" w:type="dxa"/>
            <w:vAlign w:val="bottom"/>
          </w:tcPr>
          <w:p>
            <w:pPr>
              <w:spacing w:after="0"/>
              <w:rPr>
                <w:sz w:val="21"/>
                <w:szCs w:val="21"/>
                <w:color w:val="auto"/>
              </w:rPr>
            </w:pPr>
          </w:p>
        </w:tc>
      </w:tr>
    </w:tbl>
    <w:p>
      <w:pPr>
        <w:sectPr>
          <w:pgSz w:w="11900" w:h="16838" w:orient="portrait"/>
          <w:cols w:equalWidth="0" w:num="1">
            <w:col w:w="11300"/>
          </w:cols>
          <w:pgMar w:left="300" w:top="131" w:right="2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2"/>
          <w:szCs w:val="12"/>
          <w:b w:val="1"/>
          <w:bCs w:val="1"/>
          <w:color w:val="auto"/>
        </w:rPr>
        <w:t>EXHIBIT 32.2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 (18 U.S.C. 1350)</w:t>
      </w:r>
    </w:p>
    <w:p>
      <w:pPr>
        <w:spacing w:after="0" w:line="110" w:lineRule="exact"/>
        <w:rPr>
          <w:sz w:val="20"/>
          <w:szCs w:val="20"/>
          <w:color w:val="auto"/>
        </w:rPr>
      </w:pPr>
    </w:p>
    <w:p>
      <w:pPr>
        <w:ind w:right="280" w:firstLine="452"/>
        <w:spacing w:after="0" w:line="268" w:lineRule="auto"/>
        <w:rPr>
          <w:sz w:val="20"/>
          <w:szCs w:val="20"/>
          <w:color w:val="auto"/>
        </w:rPr>
      </w:pPr>
      <w:r>
        <w:rPr>
          <w:rFonts w:ascii="Arial" w:cs="Arial" w:eastAsia="Arial" w:hAnsi="Arial"/>
          <w:sz w:val="12"/>
          <w:szCs w:val="12"/>
          <w:color w:val="auto"/>
        </w:rPr>
        <w:t>In connection with this Report on Form 10-K for the year ended September 30, 2007 (the “Report”) of PennantPark Investment Corporation (the “Registrant”), as filed with the Securities and Exchange Commission on the date hereof, I, Aviv Efrat, Chief Financial Officer of the Registrant, hereby certify, to the best of my knowledge, that:</w:t>
      </w:r>
    </w:p>
    <w:p>
      <w:pPr>
        <w:spacing w:after="0" w:line="34" w:lineRule="exact"/>
        <w:rPr>
          <w:sz w:val="20"/>
          <w:szCs w:val="20"/>
          <w:color w:val="auto"/>
        </w:rPr>
      </w:pPr>
    </w:p>
    <w:p>
      <w:pPr>
        <w:ind w:left="900" w:hanging="458"/>
        <w:spacing w:after="0"/>
        <w:tabs>
          <w:tab w:leader="none" w:pos="90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60" w:lineRule="exact"/>
        <w:rPr>
          <w:rFonts w:ascii="Arial" w:cs="Arial" w:eastAsia="Arial" w:hAnsi="Arial"/>
          <w:sz w:val="12"/>
          <w:szCs w:val="12"/>
          <w:color w:val="auto"/>
        </w:rPr>
      </w:pPr>
    </w:p>
    <w:p>
      <w:pPr>
        <w:ind w:left="900" w:hanging="458"/>
        <w:spacing w:after="0"/>
        <w:tabs>
          <w:tab w:leader="none" w:pos="90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141" w:lineRule="exact"/>
        <w:rPr>
          <w:sz w:val="20"/>
          <w:szCs w:val="20"/>
          <w:color w:val="auto"/>
        </w:rPr>
      </w:pPr>
    </w:p>
    <w:p>
      <w:pPr>
        <w:ind w:left="2080"/>
        <w:spacing w:after="0"/>
        <w:tabs>
          <w:tab w:leader="none" w:pos="2280" w:val="left"/>
        </w:tabs>
        <w:rPr>
          <w:sz w:val="20"/>
          <w:szCs w:val="20"/>
          <w:color w:val="auto"/>
        </w:rPr>
      </w:pPr>
      <w:r>
        <w:rPr>
          <w:rFonts w:ascii="Arial" w:cs="Arial" w:eastAsia="Arial" w:hAnsi="Arial"/>
          <w:sz w:val="12"/>
          <w:szCs w:val="12"/>
          <w:color w:val="auto"/>
        </w:rPr>
        <w:t>/s/</w:t>
        <w:tab/>
        <w:t>A</w:t>
      </w:r>
      <w:r>
        <w:rPr>
          <w:rFonts w:ascii="Arial" w:cs="Arial" w:eastAsia="Arial" w:hAnsi="Arial"/>
          <w:sz w:val="9"/>
          <w:szCs w:val="9"/>
          <w:color w:val="auto"/>
        </w:rPr>
        <w:t>VIV</w:t>
      </w:r>
      <w:r>
        <w:rPr>
          <w:rFonts w:ascii="Arial" w:cs="Arial" w:eastAsia="Arial" w:hAnsi="Arial"/>
          <w:sz w:val="12"/>
          <w:szCs w:val="12"/>
          <w:color w:val="auto"/>
        </w:rPr>
        <w:t xml:space="preserve"> E</w:t>
      </w:r>
      <w:r>
        <w:rPr>
          <w:rFonts w:ascii="Arial" w:cs="Arial" w:eastAsia="Arial" w:hAnsi="Arial"/>
          <w:sz w:val="9"/>
          <w:szCs w:val="9"/>
          <w:color w:val="auto"/>
        </w:rPr>
        <w:t>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7620</wp:posOffset>
            </wp:positionV>
            <wp:extent cx="246316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63165" cy="5715"/>
                    </a:xfrm>
                    <a:prstGeom prst="rect">
                      <a:avLst/>
                    </a:prstGeom>
                    <a:noFill/>
                  </pic:spPr>
                </pic:pic>
              </a:graphicData>
            </a:graphic>
          </wp:anchor>
        </w:drawing>
      </w:r>
    </w:p>
    <w:p>
      <w:pPr>
        <w:spacing w:after="0" w:line="228" w:lineRule="auto"/>
        <w:tabs>
          <w:tab w:leader="none" w:pos="2380" w:val="left"/>
        </w:tabs>
        <w:rPr>
          <w:sz w:val="20"/>
          <w:szCs w:val="20"/>
          <w:color w:val="auto"/>
        </w:rPr>
      </w:pPr>
      <w:r>
        <w:rPr>
          <w:rFonts w:ascii="Arial" w:cs="Arial" w:eastAsia="Arial" w:hAnsi="Arial"/>
          <w:sz w:val="12"/>
          <w:szCs w:val="12"/>
          <w:color w:val="auto"/>
        </w:rPr>
        <w:t>Name:</w:t>
      </w:r>
      <w:r>
        <w:rPr>
          <w:sz w:val="20"/>
          <w:szCs w:val="20"/>
          <w:color w:val="auto"/>
        </w:rPr>
        <w:tab/>
      </w:r>
      <w:r>
        <w:rPr>
          <w:rFonts w:ascii="Arial" w:cs="Arial" w:eastAsia="Arial" w:hAnsi="Arial"/>
          <w:sz w:val="9"/>
          <w:szCs w:val="9"/>
          <w:b w:val="1"/>
          <w:bCs w:val="1"/>
          <w:color w:val="auto"/>
        </w:rPr>
        <w:t>Aviv Efrat</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Date: December 12, 2007</w:t>
      </w:r>
    </w:p>
    <w:p>
      <w:pPr>
        <w:sectPr>
          <w:pgSz w:w="11900" w:h="16838" w:orient="portrait"/>
          <w:cols w:equalWidth="0" w:num="1">
            <w:col w:w="11300"/>
          </w:cols>
          <w:pgMar w:left="300" w:top="131" w:right="299" w:bottom="1440" w:gutter="0" w:footer="0" w:header="0"/>
        </w:sectPr>
      </w:pPr>
    </w:p>
    <w:bookmarkStart w:id="107" w:name="page108"/>
    <w:bookmarkEnd w:id="107"/>
    <w:p>
      <w:pPr>
        <w:ind w:left="10700"/>
        <w:spacing w:after="0"/>
        <w:rPr>
          <w:sz w:val="20"/>
          <w:szCs w:val="20"/>
          <w:color w:val="auto"/>
        </w:rPr>
      </w:pPr>
      <w:r>
        <w:rPr>
          <w:rFonts w:ascii="Arial" w:cs="Arial" w:eastAsia="Arial" w:hAnsi="Arial"/>
          <w:sz w:val="9"/>
          <w:szCs w:val="9"/>
          <w:b w:val="1"/>
          <w:bCs w:val="1"/>
          <w:color w:val="auto"/>
        </w:rPr>
        <w:t>Exhibit 99.1</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PENNANTPARK INVESTMENT 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PRIVACY POLICY</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To PennantPark Investment Corporation Investors:</w:t>
      </w:r>
    </w:p>
    <w:p>
      <w:pPr>
        <w:spacing w:after="0" w:line="60" w:lineRule="exact"/>
        <w:rPr>
          <w:sz w:val="20"/>
          <w:szCs w:val="20"/>
          <w:color w:val="auto"/>
        </w:rPr>
      </w:pPr>
    </w:p>
    <w:p>
      <w:pPr>
        <w:ind w:right="80" w:firstLine="904"/>
        <w:spacing w:after="0" w:line="437" w:lineRule="auto"/>
        <w:rPr>
          <w:sz w:val="20"/>
          <w:szCs w:val="20"/>
          <w:color w:val="auto"/>
        </w:rPr>
      </w:pPr>
      <w:r>
        <w:rPr>
          <w:rFonts w:ascii="Arial" w:cs="Arial" w:eastAsia="Arial" w:hAnsi="Arial"/>
          <w:sz w:val="9"/>
          <w:szCs w:val="9"/>
          <w:color w:val="auto"/>
        </w:rPr>
        <w:t>We take precautions to maintain the privacy of personal information concerning our investors. These precautions include the adoption of certain procedures designed to maintain and secure your nonpublic personal information from inappropriate disclosure to unaffiliated third parties. We are sending this notice in accordance with applicable federal regulations. This notice applies to investors in PennantPark Investment Corporation (the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What kind of personal information do we have about you and where did we get it?</w:t>
      </w:r>
    </w:p>
    <w:p>
      <w:pPr>
        <w:spacing w:after="0" w:line="60" w:lineRule="exact"/>
        <w:rPr>
          <w:sz w:val="20"/>
          <w:szCs w:val="20"/>
          <w:color w:val="auto"/>
        </w:rPr>
      </w:pPr>
    </w:p>
    <w:p>
      <w:pPr>
        <w:ind w:left="900"/>
        <w:spacing w:after="0"/>
        <w:rPr>
          <w:sz w:val="20"/>
          <w:szCs w:val="20"/>
          <w:color w:val="auto"/>
        </w:rPr>
      </w:pPr>
      <w:r>
        <w:rPr>
          <w:rFonts w:ascii="Arial" w:cs="Arial" w:eastAsia="Arial" w:hAnsi="Arial"/>
          <w:sz w:val="12"/>
          <w:szCs w:val="12"/>
          <w:color w:val="auto"/>
        </w:rPr>
        <w:t>We collect nonpublic personal information about you from the following sources:</w:t>
      </w:r>
    </w:p>
    <w:p>
      <w:pPr>
        <w:spacing w:after="0" w:line="60" w:lineRule="exact"/>
        <w:rPr>
          <w:sz w:val="20"/>
          <w:szCs w:val="20"/>
          <w:color w:val="auto"/>
        </w:rPr>
      </w:pPr>
    </w:p>
    <w:p>
      <w:pPr>
        <w:ind w:left="1460" w:hanging="568"/>
        <w:spacing w:after="0"/>
        <w:tabs>
          <w:tab w:leader="none" w:pos="14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Information we may receive from you in subscription agreements or other related documents or forms; and</w:t>
      </w:r>
    </w:p>
    <w:p>
      <w:pPr>
        <w:spacing w:after="0" w:line="60" w:lineRule="exact"/>
        <w:rPr>
          <w:rFonts w:ascii="Arial" w:cs="Arial" w:eastAsia="Arial" w:hAnsi="Arial"/>
          <w:sz w:val="12"/>
          <w:szCs w:val="12"/>
          <w:color w:val="auto"/>
        </w:rPr>
      </w:pPr>
    </w:p>
    <w:p>
      <w:pPr>
        <w:ind w:left="1460" w:hanging="568"/>
        <w:spacing w:after="0"/>
        <w:tabs>
          <w:tab w:leader="none" w:pos="14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Information about your transactions with our affiliates and us.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do we protect your personal information?</w:t>
      </w:r>
    </w:p>
    <w:p>
      <w:pPr>
        <w:spacing w:after="0" w:line="60" w:lineRule="exact"/>
        <w:rPr>
          <w:sz w:val="20"/>
          <w:szCs w:val="20"/>
          <w:color w:val="auto"/>
        </w:rPr>
      </w:pPr>
    </w:p>
    <w:p>
      <w:pPr>
        <w:ind w:left="900"/>
        <w:spacing w:after="0"/>
        <w:rPr>
          <w:sz w:val="20"/>
          <w:szCs w:val="20"/>
          <w:color w:val="auto"/>
        </w:rPr>
      </w:pPr>
      <w:r>
        <w:rPr>
          <w:rFonts w:ascii="Arial" w:cs="Arial" w:eastAsia="Arial" w:hAnsi="Arial"/>
          <w:sz w:val="12"/>
          <w:szCs w:val="12"/>
          <w:color w:val="auto"/>
        </w:rPr>
        <w:t>We do not disclose any nonpublic personal information about our investors or former investors to anyone, except as permitted by law.</w:t>
      </w:r>
    </w:p>
    <w:p>
      <w:pPr>
        <w:spacing w:after="0" w:line="114" w:lineRule="exact"/>
        <w:rPr>
          <w:sz w:val="20"/>
          <w:szCs w:val="20"/>
          <w:color w:val="auto"/>
        </w:rPr>
      </w:pPr>
    </w:p>
    <w:p>
      <w:pPr>
        <w:ind w:firstLine="904"/>
        <w:spacing w:after="0" w:line="259" w:lineRule="auto"/>
        <w:rPr>
          <w:sz w:val="20"/>
          <w:szCs w:val="20"/>
          <w:color w:val="auto"/>
        </w:rPr>
      </w:pPr>
      <w:r>
        <w:rPr>
          <w:rFonts w:ascii="Arial" w:cs="Arial" w:eastAsia="Arial" w:hAnsi="Arial"/>
          <w:sz w:val="12"/>
          <w:szCs w:val="12"/>
          <w:color w:val="auto"/>
        </w:rPr>
        <w:t>We restrict access to nonpublic personal information about you to those employees and agents of PennantPark Investment Advisers, LLC, its affiliates and unaffiliated third party service providers (which may include a custodian, transfer agent or printer) who need to know that information in order to provide services to you or to the Corporation. In that regard, we note that we maintain physical, electronic, and procedural safeguards that comply with federal standards to safeguard your nonpublic personal information and which we believe is adequate to prevent unauthorized disclosure of such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What do we do with personal information about our former investors?</w:t>
      </w:r>
    </w:p>
    <w:p>
      <w:pPr>
        <w:spacing w:after="0" w:line="60" w:lineRule="exact"/>
        <w:rPr>
          <w:sz w:val="20"/>
          <w:szCs w:val="20"/>
          <w:color w:val="auto"/>
        </w:rPr>
      </w:pPr>
    </w:p>
    <w:p>
      <w:pPr>
        <w:ind w:left="900"/>
        <w:spacing w:after="0"/>
        <w:rPr>
          <w:sz w:val="20"/>
          <w:szCs w:val="20"/>
          <w:color w:val="auto"/>
        </w:rPr>
      </w:pPr>
      <w:r>
        <w:rPr>
          <w:rFonts w:ascii="Arial" w:cs="Arial" w:eastAsia="Arial" w:hAnsi="Arial"/>
          <w:sz w:val="11"/>
          <w:szCs w:val="11"/>
          <w:color w:val="auto"/>
        </w:rPr>
        <w:t>If an investor decides to no longer do business with us, we will continue to follow this privacy policy with respect to the information we have in our possession about such investor and his/her account.</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2"/>
          <w:szCs w:val="12"/>
          <w:color w:val="auto"/>
        </w:rPr>
        <w:t>If you have any questions concerning our privacy policies, please contact our Chief Financial Officer, Aviv Efrat at (212) 905-1000.</w:t>
      </w:r>
    </w:p>
    <w:sectPr>
      <w:pgSz w:w="11900" w:h="16838" w:orient="portrait"/>
      <w:cols w:equalWidth="0" w:num="1">
        <w:col w:w="11300"/>
      </w:cols>
      <w:pgMar w:left="30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1)"/>
      <w:numFmt w:val="decimal"/>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1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1)"/>
      <w:numFmt w:val="lowerLetter"/>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lowerLetter"/>
      <w:start w:val="2"/>
    </w:lvl>
  </w:abstractNum>
  <w:abstractNum w:abstractNumId="35">
    <w:nsid w:val="47398C89"/>
    <w:multiLevelType w:val="hybridMultilevel"/>
    <w:lvl w:ilvl="0">
      <w:lvlJc w:val="left"/>
      <w:lvlText w:val="(%1)"/>
      <w:numFmt w:val="lowerLetter"/>
      <w:start w:val="5"/>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lowerLetter"/>
      <w:start w:val="10"/>
    </w:lvl>
  </w:abstractNum>
  <w:abstractNum w:abstractNumId="40">
    <w:nsid w:val="10233C99"/>
    <w:multiLevelType w:val="hybridMultilevel"/>
    <w:lvl w:ilvl="0">
      <w:lvlJc w:val="left"/>
      <w:lvlText w:val="*"/>
      <w:numFmt w:val="bullet"/>
      <w:start w:val="1"/>
    </w:lvl>
    <w:lvl w:ilvl="1">
      <w:lvlJc w:val="left"/>
      <w:lvlText w:val="%2"/>
      <w:numFmt w:val="decimal"/>
      <w:start w:val="11"/>
    </w:lvl>
  </w:abstractNum>
  <w:abstractNum w:abstractNumId="41">
    <w:nsid w:val="3F6AB60F"/>
    <w:multiLevelType w:val="hybridMultilevel"/>
    <w:lvl w:ilvl="0">
      <w:lvlJc w:val="left"/>
      <w:lvlText w:val="(%1)"/>
      <w:numFmt w:val="lowerLetter"/>
      <w:start w:val="1"/>
    </w:lvl>
  </w:abstractNum>
  <w:abstractNum w:abstractNumId="42">
    <w:nsid w:val="61574095"/>
    <w:multiLevelType w:val="hybridMultilevel"/>
    <w:lvl w:ilvl="0">
      <w:lvlJc w:val="left"/>
      <w:lvlText w:val="(%1)"/>
      <w:numFmt w:val="decimal"/>
      <w:start w:val="2"/>
    </w:lvl>
  </w:abstractNum>
  <w:abstractNum w:abstractNumId="43">
    <w:nsid w:val="7E0C57B1"/>
    <w:multiLevelType w:val="hybridMultilevel"/>
    <w:lvl w:ilvl="0">
      <w:lvlJc w:val="left"/>
      <w:lvlText w:val="(%1)"/>
      <w:numFmt w:val="decimal"/>
      <w:start w:val="5"/>
    </w:lvl>
  </w:abstractNum>
  <w:abstractNum w:abstractNumId="44">
    <w:nsid w:val="77AE35EB"/>
    <w:multiLevelType w:val="hybridMultilevel"/>
    <w:lvl w:ilvl="0">
      <w:lvlJc w:val="left"/>
      <w:lvlText w:val="(%1)"/>
      <w:numFmt w:val="lowerLetter"/>
      <w:start w:val="1"/>
    </w:lvl>
    <w:lvl w:ilvl="1">
      <w:lvlJc w:val="left"/>
      <w:lvlText w:val="(%2)"/>
      <w:numFmt w:val="decimal"/>
      <w:start w:val="2"/>
    </w:lvl>
  </w:abstractNum>
  <w:abstractNum w:abstractNumId="45">
    <w:nsid w:val="579BE4F1"/>
    <w:multiLevelType w:val="hybridMultilevel"/>
    <w:lvl w:ilvl="0">
      <w:lvlJc w:val="left"/>
      <w:lvlText w:val="%1"/>
      <w:numFmt w:val="lowerLetter"/>
      <w:start w:val="1"/>
    </w:lvl>
    <w:lvl w:ilvl="1">
      <w:lvlJc w:val="left"/>
      <w:lvlText w:val="(%2)"/>
      <w:numFmt w:val="decimal"/>
      <w:start w:val="3"/>
    </w:lvl>
  </w:abstractNum>
  <w:abstractNum w:abstractNumId="46">
    <w:nsid w:val="310C50B3"/>
    <w:multiLevelType w:val="hybridMultilevel"/>
    <w:lvl w:ilvl="0">
      <w:lvlJc w:val="left"/>
      <w:lvlText w:val="(%1)"/>
      <w:numFmt w:val="lowerLetter"/>
      <w:start w:val="2"/>
    </w:lvl>
    <w:lvl w:ilvl="1">
      <w:lvlJc w:val="left"/>
      <w:lvlText w:val="%2"/>
      <w:numFmt w:val="decimal"/>
      <w:start w:val="1"/>
    </w:lvl>
  </w:abstractNum>
  <w:abstractNum w:abstractNumId="47">
    <w:nsid w:val="5FF87E05"/>
    <w:multiLevelType w:val="hybridMultilevel"/>
    <w:lvl w:ilvl="0">
      <w:lvlJc w:val="left"/>
      <w:lvlText w:val="(%1)"/>
      <w:numFmt w:val="lowerLetter"/>
      <w:start w:val="3"/>
    </w:lvl>
    <w:lvl w:ilvl="1">
      <w:lvlJc w:val="left"/>
      <w:lvlText w:val="(%2)"/>
      <w:numFmt w:val="decimal"/>
      <w:start w:val="2"/>
    </w:lvl>
  </w:abstractNum>
  <w:abstractNum w:abstractNumId="48">
    <w:nsid w:val="2F305DEF"/>
    <w:multiLevelType w:val="hybridMultilevel"/>
    <w:lvl w:ilvl="0">
      <w:lvlJc w:val="left"/>
      <w:lvlText w:val="(%1)"/>
      <w:numFmt w:val="decimal"/>
      <w:start w:val="4"/>
    </w:lvl>
  </w:abstractNum>
  <w:abstractNum w:abstractNumId="49">
    <w:nsid w:val="25A70BF7"/>
    <w:multiLevelType w:val="hybridMultilevel"/>
    <w:lvl w:ilvl="0">
      <w:lvlJc w:val="left"/>
      <w:lvlText w:val="(%1)"/>
      <w:numFmt w:val="lowerLetter"/>
      <w:start w:val="2"/>
    </w:lvl>
  </w:abstractNum>
  <w:abstractNum w:abstractNumId="50">
    <w:nsid w:val="1DBABF00"/>
    <w:multiLevelType w:val="hybridMultilevel"/>
    <w:lvl w:ilvl="0">
      <w:lvlJc w:val="left"/>
      <w:lvlText w:val="(%1)"/>
      <w:numFmt w:val="upperLetter"/>
      <w:start w:val="1"/>
    </w:lvl>
  </w:abstractNum>
  <w:abstractNum w:abstractNumId="51">
    <w:nsid w:val="4AD084E9"/>
    <w:multiLevelType w:val="hybridMultilevel"/>
    <w:lvl w:ilvl="0">
      <w:lvlJc w:val="left"/>
      <w:lvlText w:val="(%1)"/>
      <w:numFmt w:val="upperLetter"/>
      <w:start w:val="2"/>
    </w:lvl>
  </w:abstractNum>
  <w:abstractNum w:abstractNumId="52">
    <w:nsid w:val="1F48EAA1"/>
    <w:multiLevelType w:val="hybridMultilevel"/>
    <w:lvl w:ilvl="0">
      <w:lvlJc w:val="left"/>
      <w:lvlText w:val="(%1)"/>
      <w:numFmt w:val="upperLetter"/>
      <w:start w:val="7"/>
    </w:lvl>
  </w:abstractNum>
  <w:abstractNum w:abstractNumId="53">
    <w:nsid w:val="1381823A"/>
    <w:multiLevelType w:val="hybridMultilevel"/>
    <w:lvl w:ilvl="0">
      <w:lvlJc w:val="left"/>
      <w:lvlText w:val="(%1)"/>
      <w:numFmt w:val="lowerRoman"/>
      <w:start w:val="1"/>
    </w:lvl>
  </w:abstractNum>
  <w:abstractNum w:abstractNumId="54">
    <w:nsid w:val="5DB70AE5"/>
    <w:multiLevelType w:val="hybridMultilevel"/>
    <w:lvl w:ilvl="0">
      <w:lvlJc w:val="left"/>
      <w:lvlText w:val="(%1)"/>
      <w:numFmt w:val="upperLetter"/>
      <w:start w:val="1"/>
    </w:lvl>
  </w:abstractNum>
  <w:abstractNum w:abstractNumId="55">
    <w:nsid w:val="100F8FCA"/>
    <w:multiLevelType w:val="hybridMultilevel"/>
    <w:lvl w:ilvl="0">
      <w:lvlJc w:val="left"/>
      <w:lvlText w:val="(%1)"/>
      <w:numFmt w:val="upperLetter"/>
      <w:start w:val="1"/>
    </w:lvl>
  </w:abstractNum>
  <w:abstractNum w:abstractNumId="56">
    <w:nsid w:val="6590700B"/>
    <w:multiLevelType w:val="hybridMultilevel"/>
    <w:lvl w:ilvl="0">
      <w:lvlJc w:val="left"/>
      <w:lvlText w:val="(%1)"/>
      <w:numFmt w:val="upperLetter"/>
      <w:start w:val="2"/>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upperLetter"/>
      <w:start w:val="3"/>
    </w:lvl>
  </w:abstractNum>
  <w:abstractNum w:abstractNumId="59">
    <w:nsid w:val="98A3148"/>
    <w:multiLevelType w:val="hybridMultilevel"/>
    <w:lvl w:ilvl="0">
      <w:lvlJc w:val="left"/>
      <w:lvlText w:val="(%1)"/>
      <w:numFmt w:val="upperLetter"/>
      <w:start w:val="4"/>
    </w:lvl>
  </w:abstractNum>
  <w:abstractNum w:abstractNumId="60">
    <w:nsid w:val="799D0247"/>
    <w:multiLevelType w:val="hybridMultilevel"/>
    <w:lvl w:ilvl="0">
      <w:lvlJc w:val="left"/>
      <w:lvlText w:val="(%1)"/>
      <w:numFmt w:val="upperLetter"/>
      <w:start w:val="5"/>
    </w:lvl>
    <w:lvl w:ilvl="1">
      <w:lvlJc w:val="left"/>
      <w:lvlText w:val="(%2)"/>
      <w:numFmt w:val="decimal"/>
      <w:start w:val="1"/>
    </w:lvl>
  </w:abstractNum>
  <w:abstractNum w:abstractNumId="61">
    <w:nsid w:val="6B94764"/>
    <w:multiLevelType w:val="hybridMultilevel"/>
    <w:lvl w:ilvl="0">
      <w:lvlJc w:val="left"/>
      <w:lvlText w:val="(%1)"/>
      <w:numFmt w:val="upperLetter"/>
      <w:start w:val="7"/>
    </w:lvl>
  </w:abstractNum>
  <w:abstractNum w:abstractNumId="62">
    <w:nsid w:val="42C296BD"/>
    <w:multiLevelType w:val="hybridMultilevel"/>
    <w:lvl w:ilvl="0">
      <w:lvlJc w:val="left"/>
      <w:lvlText w:val="(%1)"/>
      <w:numFmt w:val="upperLetter"/>
      <w:start w:val="8"/>
    </w:lvl>
  </w:abstractNum>
  <w:abstractNum w:abstractNumId="63">
    <w:nsid w:val="168E121F"/>
    <w:multiLevelType w:val="hybridMultilevel"/>
    <w:lvl w:ilvl="0">
      <w:lvlJc w:val="left"/>
      <w:lvlText w:val="(%1)"/>
      <w:numFmt w:val="upperLetter"/>
      <w:start w:val="1"/>
    </w:lvl>
  </w:abstractNum>
  <w:abstractNum w:abstractNumId="64">
    <w:nsid w:val="1EBA5D23"/>
    <w:multiLevelType w:val="hybridMultilevel"/>
    <w:lvl w:ilvl="0">
      <w:lvlJc w:val="left"/>
      <w:lvlText w:val="(%1)"/>
      <w:numFmt w:val="upperLetter"/>
      <w:start w:val="2"/>
    </w:lvl>
  </w:abstractNum>
  <w:abstractNum w:abstractNumId="65">
    <w:nsid w:val="661E3F1E"/>
    <w:multiLevelType w:val="hybridMultilevel"/>
    <w:lvl w:ilvl="0">
      <w:lvlJc w:val="left"/>
      <w:lvlText w:val="(%1)"/>
      <w:numFmt w:val="upperLetter"/>
      <w:start w:val="3"/>
    </w:lvl>
  </w:abstractNum>
  <w:abstractNum w:abstractNumId="66">
    <w:nsid w:val="5DC79EA8"/>
    <w:multiLevelType w:val="hybridMultilevel"/>
    <w:lvl w:ilvl="0">
      <w:lvlJc w:val="left"/>
      <w:lvlText w:val="(%1)"/>
      <w:numFmt w:val="upperLetter"/>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upperLetter"/>
      <w:start w:val="5"/>
    </w:lvl>
  </w:abstractNum>
  <w:abstractNum w:abstractNumId="69">
    <w:nsid w:val="51D9C564"/>
    <w:multiLevelType w:val="hybridMultilevel"/>
    <w:lvl w:ilvl="0">
      <w:lvlJc w:val="left"/>
      <w:lvlText w:val="(%1)"/>
      <w:numFmt w:val="upperLetter"/>
      <w:start w:val="1"/>
    </w:lvl>
  </w:abstractNum>
  <w:abstractNum w:abstractNumId="70">
    <w:nsid w:val="613EFDC5"/>
    <w:multiLevelType w:val="hybridMultilevel"/>
    <w:lvl w:ilvl="0">
      <w:lvlJc w:val="left"/>
      <w:lvlText w:val="(%1)"/>
      <w:numFmt w:val="upperLetter"/>
      <w:start w:val="2"/>
    </w:lvl>
  </w:abstractNum>
  <w:abstractNum w:abstractNumId="71">
    <w:nsid w:val="BF72B14"/>
    <w:multiLevelType w:val="hybridMultilevel"/>
    <w:lvl w:ilvl="0">
      <w:lvlJc w:val="left"/>
      <w:lvlText w:val="(%1)"/>
      <w:numFmt w:val="upperLetter"/>
      <w:start w:val="1"/>
    </w:lvl>
  </w:abstractNum>
  <w:abstractNum w:abstractNumId="72">
    <w:nsid w:val="11447B73"/>
    <w:multiLevelType w:val="hybridMultilevel"/>
    <w:lvl w:ilvl="0">
      <w:lvlJc w:val="left"/>
      <w:lvlText w:val="%1"/>
      <w:numFmt w:val="upperLetter"/>
      <w:start w:val="1"/>
    </w:lvl>
    <w:lvl w:ilvl="1">
      <w:lvlJc w:val="left"/>
      <w:lvlText w:val="(%2)"/>
      <w:numFmt w:val="decimal"/>
      <w:start w:val="3"/>
    </w:lvl>
  </w:abstractNum>
  <w:abstractNum w:abstractNumId="73">
    <w:nsid w:val="42963E5A"/>
    <w:multiLevelType w:val="hybridMultilevel"/>
    <w:lvl w:ilvl="0">
      <w:lvlJc w:val="left"/>
      <w:lvlText w:val="(%1)"/>
      <w:numFmt w:val="upperLetter"/>
      <w:start w:val="3"/>
    </w:lvl>
    <w:lvl w:ilvl="1">
      <w:lvlJc w:val="left"/>
      <w:lvlText w:val="(%2)"/>
      <w:numFmt w:val="decimal"/>
      <w:start w:val="1"/>
    </w:lvl>
  </w:abstractNum>
  <w:abstractNum w:abstractNumId="74">
    <w:nsid w:val="A0382C5"/>
    <w:multiLevelType w:val="hybridMultilevel"/>
    <w:lvl w:ilvl="0">
      <w:lvlJc w:val="left"/>
      <w:lvlText w:val="%1"/>
      <w:numFmt w:val="upperLetter"/>
      <w:start w:val="1"/>
    </w:lvl>
    <w:lvl w:ilvl="1">
      <w:lvlJc w:val="left"/>
      <w:lvlText w:val="(%2)"/>
      <w:numFmt w:val="decimal"/>
      <w:start w:val="4"/>
    </w:lvl>
  </w:abstractNum>
  <w:abstractNum w:abstractNumId="75">
    <w:nsid w:val="8F2B15E"/>
    <w:multiLevelType w:val="hybridMultilevel"/>
    <w:lvl w:ilvl="0">
      <w:lvlJc w:val="left"/>
      <w:lvlText w:val="(%1)"/>
      <w:numFmt w:val="upperLetter"/>
      <w:start w:val="4"/>
    </w:lvl>
    <w:lvl w:ilvl="1">
      <w:lvlJc w:val="left"/>
      <w:lvlText w:val="%2"/>
      <w:numFmt w:val="decimal"/>
      <w:start w:val="1"/>
    </w:lvl>
  </w:abstractNum>
  <w:abstractNum w:abstractNumId="76">
    <w:nsid w:val="1A32234B"/>
    <w:multiLevelType w:val="hybridMultilevel"/>
    <w:lvl w:ilvl="0">
      <w:lvlJc w:val="left"/>
      <w:lvlText w:val="%1."/>
      <w:numFmt w:val="decimal"/>
      <w:start w:val="1"/>
    </w:lvl>
    <w:lvl w:ilvl="1">
      <w:lvlJc w:val="left"/>
      <w:lvlText w:val="%2)"/>
      <w:numFmt w:val="lowerLetter"/>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2020-05-05T15:08:13Z</dcterms:created>
  <dcterms:modified xsi:type="dcterms:W3CDTF">2020-05-05T15:08:13Z</dcterms:modified>
</cp:coreProperties>
</file>