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260" w:right="2820"/>
        <w:spacing w:after="0" w:line="262" w:lineRule="auto"/>
        <w:rPr>
          <w:sz w:val="20"/>
          <w:szCs w:val="20"/>
          <w:color w:val="auto"/>
        </w:rPr>
      </w:pPr>
      <w:r>
        <w:rPr>
          <w:rFonts w:ascii="Arial" w:cs="Arial" w:eastAsia="Arial" w:hAnsi="Arial"/>
          <w:sz w:val="18"/>
          <w:szCs w:val="18"/>
          <w:b w:val="1"/>
          <w:bCs w:val="1"/>
          <w:color w:val="auto"/>
        </w:rPr>
        <w:t>As filed with the Securities and Exchange Commission on February 22, 2010. Securities Act Registration No. 333-150033 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108585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Post-Effective Amendment No. 4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PennantPark Investment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590 Madison Avenue</w:t>
      </w:r>
    </w:p>
    <w:p>
      <w:pPr>
        <w:jc w:val="center"/>
        <w:spacing w:after="0" w:line="223"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line="221"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2" w:lineRule="auto"/>
        <w:rPr>
          <w:sz w:val="20"/>
          <w:szCs w:val="20"/>
          <w:color w:val="auto"/>
        </w:rPr>
      </w:pPr>
      <w:r>
        <w:rPr>
          <w:rFonts w:ascii="Arial" w:cs="Arial" w:eastAsia="Arial" w:hAnsi="Arial"/>
          <w:sz w:val="14"/>
          <w:szCs w:val="14"/>
          <w:b w:val="1"/>
          <w:bCs w:val="1"/>
          <w:color w:val="auto"/>
        </w:rPr>
        <w:t>(212) 905-1000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H. Penn</w:t>
      </w:r>
    </w:p>
    <w:p>
      <w:pPr>
        <w:jc w:val="center"/>
        <w:spacing w:after="0" w:line="223" w:lineRule="auto"/>
        <w:rPr>
          <w:sz w:val="20"/>
          <w:szCs w:val="20"/>
          <w:color w:val="auto"/>
        </w:rPr>
      </w:pPr>
      <w:r>
        <w:rPr>
          <w:rFonts w:ascii="Arial" w:cs="Arial" w:eastAsia="Arial" w:hAnsi="Arial"/>
          <w:sz w:val="14"/>
          <w:szCs w:val="14"/>
          <w:b w:val="1"/>
          <w:bCs w:val="1"/>
          <w:color w:val="auto"/>
        </w:rPr>
        <w:t>c/o PennantPark Investment Corporation</w:t>
      </w:r>
    </w:p>
    <w:p>
      <w:pPr>
        <w:jc w:val="center"/>
        <w:spacing w:after="0" w:line="222" w:lineRule="auto"/>
        <w:rPr>
          <w:sz w:val="20"/>
          <w:szCs w:val="20"/>
          <w:color w:val="auto"/>
        </w:rPr>
      </w:pPr>
      <w:r>
        <w:rPr>
          <w:rFonts w:ascii="Arial" w:cs="Arial" w:eastAsia="Arial" w:hAnsi="Arial"/>
          <w:sz w:val="14"/>
          <w:szCs w:val="14"/>
          <w:b w:val="1"/>
          <w:bCs w:val="1"/>
          <w:color w:val="auto"/>
        </w:rPr>
        <w:t>590 Madison Avenue</w:t>
      </w:r>
    </w:p>
    <w:p>
      <w:pPr>
        <w:jc w:val="center"/>
        <w:spacing w:after="0" w:line="221" w:lineRule="auto"/>
        <w:rPr>
          <w:sz w:val="20"/>
          <w:szCs w:val="20"/>
          <w:color w:val="auto"/>
        </w:rPr>
      </w:pPr>
      <w:r>
        <w:rPr>
          <w:rFonts w:ascii="Arial" w:cs="Arial" w:eastAsia="Arial" w:hAnsi="Arial"/>
          <w:sz w:val="14"/>
          <w:szCs w:val="14"/>
          <w:b w:val="1"/>
          <w:bCs w:val="1"/>
          <w:color w:val="auto"/>
        </w:rPr>
        <w:t>15th Floor</w:t>
      </w:r>
    </w:p>
    <w:p>
      <w:pPr>
        <w:jc w:val="center"/>
        <w:spacing w:after="0" w:line="222" w:lineRule="auto"/>
        <w:rPr>
          <w:sz w:val="20"/>
          <w:szCs w:val="20"/>
          <w:color w:val="auto"/>
        </w:rPr>
      </w:pPr>
      <w:r>
        <w:rPr>
          <w:rFonts w:ascii="Arial" w:cs="Arial" w:eastAsia="Arial" w:hAnsi="Arial"/>
          <w:sz w:val="14"/>
          <w:szCs w:val="14"/>
          <w:b w:val="1"/>
          <w:bCs w:val="1"/>
          <w:color w:val="auto"/>
        </w:rPr>
        <w:t>New York, NY 10022</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jc w:val="center"/>
        <w:spacing w:after="0" w:line="221" w:lineRule="auto"/>
        <w:rPr>
          <w:sz w:val="20"/>
          <w:szCs w:val="20"/>
          <w:color w:val="auto"/>
        </w:rPr>
      </w:pPr>
      <w:r>
        <w:rPr>
          <w:rFonts w:ascii="Arial" w:cs="Arial" w:eastAsia="Arial" w:hAnsi="Arial"/>
          <w:sz w:val="14"/>
          <w:szCs w:val="14"/>
          <w:b w:val="1"/>
          <w:bCs w:val="1"/>
          <w:color w:val="auto"/>
        </w:rPr>
        <w:t>Thomas Friedmann, Esq.</w:t>
      </w:r>
    </w:p>
    <w:p>
      <w:pPr>
        <w:jc w:val="center"/>
        <w:spacing w:after="0" w:line="221" w:lineRule="auto"/>
        <w:rPr>
          <w:sz w:val="20"/>
          <w:szCs w:val="20"/>
          <w:color w:val="auto"/>
        </w:rPr>
      </w:pPr>
      <w:r>
        <w:rPr>
          <w:rFonts w:ascii="Arial" w:cs="Arial" w:eastAsia="Arial" w:hAnsi="Arial"/>
          <w:sz w:val="14"/>
          <w:szCs w:val="14"/>
          <w:b w:val="1"/>
          <w:bCs w:val="1"/>
          <w:color w:val="auto"/>
        </w:rPr>
        <w:t>David Harris, Esq.</w:t>
      </w:r>
    </w:p>
    <w:p>
      <w:pPr>
        <w:jc w:val="center"/>
        <w:spacing w:after="0" w:line="222" w:lineRule="auto"/>
        <w:rPr>
          <w:sz w:val="20"/>
          <w:szCs w:val="20"/>
          <w:color w:val="auto"/>
        </w:rPr>
      </w:pPr>
      <w:r>
        <w:rPr>
          <w:rFonts w:ascii="Arial" w:cs="Arial" w:eastAsia="Arial" w:hAnsi="Arial"/>
          <w:sz w:val="14"/>
          <w:szCs w:val="14"/>
          <w:b w:val="1"/>
          <w:bCs w:val="1"/>
          <w:color w:val="auto"/>
        </w:rPr>
        <w:t>Dechert, LLP</w:t>
      </w:r>
    </w:p>
    <w:p>
      <w:pPr>
        <w:jc w:val="center"/>
        <w:spacing w:after="0" w:line="221" w:lineRule="auto"/>
        <w:rPr>
          <w:sz w:val="20"/>
          <w:szCs w:val="20"/>
          <w:color w:val="auto"/>
        </w:rPr>
      </w:pPr>
      <w:r>
        <w:rPr>
          <w:rFonts w:ascii="Arial" w:cs="Arial" w:eastAsia="Arial" w:hAnsi="Arial"/>
          <w:sz w:val="14"/>
          <w:szCs w:val="14"/>
          <w:b w:val="1"/>
          <w:bCs w:val="1"/>
          <w:color w:val="auto"/>
        </w:rPr>
        <w:t>1775 I Street, N.W.</w:t>
      </w:r>
    </w:p>
    <w:p>
      <w:pPr>
        <w:jc w:val="center"/>
        <w:spacing w:after="0" w:line="222" w:lineRule="auto"/>
        <w:rPr>
          <w:sz w:val="20"/>
          <w:szCs w:val="20"/>
          <w:color w:val="auto"/>
        </w:rPr>
      </w:pPr>
      <w:r>
        <w:rPr>
          <w:rFonts w:ascii="Arial" w:cs="Arial" w:eastAsia="Arial" w:hAnsi="Arial"/>
          <w:sz w:val="14"/>
          <w:szCs w:val="14"/>
          <w:b w:val="1"/>
          <w:bCs w:val="1"/>
          <w:color w:val="auto"/>
        </w:rPr>
        <w:t>Washington, DC 20006-2401</w:t>
      </w:r>
    </w:p>
    <w:p>
      <w:pPr>
        <w:jc w:val="center"/>
        <w:spacing w:after="0" w:line="221" w:lineRule="auto"/>
        <w:rPr>
          <w:sz w:val="20"/>
          <w:szCs w:val="20"/>
          <w:color w:val="auto"/>
        </w:rPr>
      </w:pPr>
      <w:r>
        <w:rPr>
          <w:rFonts w:ascii="Arial" w:cs="Arial" w:eastAsia="Arial" w:hAnsi="Arial"/>
          <w:sz w:val="14"/>
          <w:szCs w:val="14"/>
          <w:b w:val="1"/>
          <w:bCs w:val="1"/>
          <w:color w:val="auto"/>
        </w:rPr>
        <w:t>APPROXIMATE DATE OF PROPOSED PUBLIC OFFERING:</w:t>
      </w:r>
    </w:p>
    <w:p>
      <w:pPr>
        <w:jc w:val="center"/>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ind w:right="200" w:firstLine="342"/>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28" w:lineRule="exact"/>
        <w:rPr>
          <w:sz w:val="24"/>
          <w:szCs w:val="24"/>
          <w:color w:val="auto"/>
        </w:rPr>
      </w:pPr>
    </w:p>
    <w:p>
      <w:pPr>
        <w:ind w:left="360" w:right="8260" w:hanging="10"/>
        <w:spacing w:after="0" w:line="314" w:lineRule="auto"/>
        <w:tabs>
          <w:tab w:leader="none" w:pos="5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when declared effective pursuant to section 8(c). If appropriate, check the following box:</w:t>
      </w:r>
    </w:p>
    <w:p>
      <w:pPr>
        <w:ind w:left="360"/>
        <w:spacing w:after="0" w:line="161" w:lineRule="exact"/>
        <w:rPr>
          <w:rFonts w:ascii="MS PGothic" w:cs="MS PGothic" w:eastAsia="MS PGothic" w:hAnsi="MS PGothic"/>
          <w:sz w:val="12"/>
          <w:szCs w:val="12"/>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This amendment designates a new effective date for a previously filed registration statement.</w:t>
      </w:r>
    </w:p>
    <w:p>
      <w:pPr>
        <w:spacing w:after="0" w:line="45" w:lineRule="exact"/>
        <w:rPr>
          <w:sz w:val="24"/>
          <w:szCs w:val="24"/>
          <w:color w:val="auto"/>
        </w:rPr>
      </w:pPr>
    </w:p>
    <w:p>
      <w:pPr>
        <w:ind w:right="20" w:firstLine="350"/>
        <w:spacing w:after="0" w:line="239" w:lineRule="auto"/>
        <w:tabs>
          <w:tab w:leader="none" w:pos="52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14"/>
              <w:spacing w:after="0" w:line="117"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17"/>
              <w:spacing w:after="0" w:line="117"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50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12"/>
              <w:spacing w:after="0" w:line="135" w:lineRule="exact"/>
              <w:rPr>
                <w:sz w:val="20"/>
                <w:szCs w:val="20"/>
                <w:color w:val="auto"/>
              </w:rPr>
            </w:pPr>
            <w:r>
              <w:rPr>
                <w:rFonts w:ascii="Arial" w:cs="Arial" w:eastAsia="Arial" w:hAnsi="Arial"/>
                <w:sz w:val="14"/>
                <w:szCs w:val="14"/>
                <w:b w:val="1"/>
                <w:bCs w:val="1"/>
                <w:color w:val="auto"/>
                <w:w w:val="87"/>
              </w:rPr>
              <w:t>Amount Being</w:t>
            </w:r>
          </w:p>
        </w:tc>
        <w:tc>
          <w:tcPr>
            <w:tcW w:w="160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7"/>
              <w:spacing w:after="0" w:line="135"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7"/>
              <w:spacing w:after="0" w:line="135" w:lineRule="exact"/>
              <w:rPr>
                <w:sz w:val="20"/>
                <w:szCs w:val="20"/>
                <w:color w:val="auto"/>
              </w:rPr>
            </w:pPr>
            <w:r>
              <w:rPr>
                <w:rFonts w:ascii="Arial" w:cs="Arial" w:eastAsia="Arial" w:hAnsi="Arial"/>
                <w:sz w:val="14"/>
                <w:szCs w:val="14"/>
                <w:b w:val="1"/>
                <w:bCs w:val="1"/>
                <w:color w:val="auto"/>
                <w:w w:val="88"/>
              </w:rPr>
              <w:t>Amount of</w:t>
            </w:r>
          </w:p>
        </w:tc>
      </w:tr>
      <w:tr>
        <w:trPr>
          <w:trHeight w:val="189"/>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Title of Securities Being Registered</w:t>
            </w:r>
          </w:p>
        </w:tc>
        <w:tc>
          <w:tcPr>
            <w:tcW w:w="16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17"/>
              <w:spacing w:after="0" w:line="189"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1"/>
                <w:szCs w:val="21"/>
                <w:b w:val="1"/>
                <w:bCs w:val="1"/>
                <w:color w:val="auto"/>
                <w:w w:val="93"/>
                <w:vertAlign w:val="superscript"/>
              </w:rPr>
              <w:t>(1)</w:t>
            </w:r>
          </w:p>
        </w:tc>
        <w:tc>
          <w:tcPr>
            <w:tcW w:w="1560" w:type="dxa"/>
            <w:vAlign w:val="bottom"/>
            <w:tcBorders>
              <w:bottom w:val="single" w:sz="8" w:color="auto"/>
            </w:tcBorders>
          </w:tcPr>
          <w:p>
            <w:pPr>
              <w:jc w:val="center"/>
              <w:ind w:left="17"/>
              <w:spacing w:after="0" w:line="189"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1"/>
                <w:szCs w:val="21"/>
                <w:b w:val="1"/>
                <w:bCs w:val="1"/>
                <w:color w:val="auto"/>
                <w:w w:val="90"/>
                <w:vertAlign w:val="superscript"/>
              </w:rPr>
              <w:t>(1)</w:t>
            </w: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1"/>
                <w:szCs w:val="11"/>
                <w:color w:val="auto"/>
              </w:rPr>
              <w:t>Common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right"/>
              <w:ind w:right="854"/>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right"/>
              <w:ind w:right="857"/>
              <w:spacing w:after="0" w:line="142"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37"/>
              <w:spacing w:after="0" w:line="142" w:lineRule="exact"/>
              <w:rPr>
                <w:sz w:val="20"/>
                <w:szCs w:val="20"/>
                <w:color w:val="auto"/>
              </w:rPr>
            </w:pPr>
            <w:r>
              <w:rPr>
                <w:rFonts w:ascii="Arial" w:cs="Arial" w:eastAsia="Arial" w:hAnsi="Arial"/>
                <w:sz w:val="14"/>
                <w:szCs w:val="14"/>
                <w:color w:val="auto"/>
              </w:rPr>
              <w:t>$</w:t>
            </w: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(4)</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(5)</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r>
      <w:tr>
        <w:trPr>
          <w:trHeight w:val="142"/>
        </w:trPr>
        <w:tc>
          <w:tcPr>
            <w:tcW w:w="5060" w:type="dxa"/>
            <w:vAlign w:val="bottom"/>
            <w:tcBorders>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7"/>
              <w:spacing w:after="0" w:line="142" w:lineRule="exact"/>
              <w:rPr>
                <w:sz w:val="20"/>
                <w:szCs w:val="20"/>
                <w:color w:val="auto"/>
              </w:rPr>
            </w:pPr>
            <w:r>
              <w:rPr>
                <w:rFonts w:ascii="Arial" w:cs="Arial" w:eastAsia="Arial" w:hAnsi="Arial"/>
                <w:sz w:val="11"/>
                <w:szCs w:val="11"/>
                <w:color w:val="auto"/>
              </w:rPr>
              <w:t>250,000,000</w:t>
            </w:r>
            <w:r>
              <w:rPr>
                <w:rFonts w:ascii="Arial" w:cs="Arial" w:eastAsia="Arial" w:hAnsi="Arial"/>
                <w:sz w:val="16"/>
                <w:szCs w:val="16"/>
                <w:color w:val="auto"/>
                <w:vertAlign w:val="superscript"/>
              </w:rPr>
              <w:t>(6)</w:t>
            </w:r>
          </w:p>
        </w:tc>
        <w:tc>
          <w:tcPr>
            <w:tcW w:w="1560" w:type="dxa"/>
            <w:vAlign w:val="bottom"/>
          </w:tcPr>
          <w:p>
            <w:pPr>
              <w:jc w:val="center"/>
              <w:ind w:left="17"/>
              <w:spacing w:after="0" w:line="142" w:lineRule="exact"/>
              <w:rPr>
                <w:sz w:val="20"/>
                <w:szCs w:val="20"/>
                <w:color w:val="auto"/>
              </w:rPr>
            </w:pPr>
            <w:r>
              <w:rPr>
                <w:rFonts w:ascii="Arial" w:cs="Arial" w:eastAsia="Arial" w:hAnsi="Arial"/>
                <w:sz w:val="11"/>
                <w:szCs w:val="11"/>
                <w:color w:val="auto"/>
              </w:rPr>
              <w:t>9,825</w:t>
            </w:r>
            <w:r>
              <w:rPr>
                <w:rFonts w:ascii="Arial" w:cs="Arial" w:eastAsia="Arial" w:hAnsi="Arial"/>
                <w:sz w:val="16"/>
                <w:szCs w:val="16"/>
                <w:color w:val="auto"/>
                <w:vertAlign w:val="superscript"/>
              </w:rPr>
              <w:t>(7)</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220" w:hanging="332"/>
        <w:spacing w:after="0" w:line="230"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or preferred stock as may be sold, from time to time.</w:t>
      </w:r>
    </w:p>
    <w:p>
      <w:pPr>
        <w:ind w:left="340" w:right="12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warrants as may be sold, from time to time, representing rights to purchase common stock, preferred stock or debt securities.</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10" w:lineRule="exact"/>
        <w:rPr>
          <w:rFonts w:ascii="Arial" w:cs="Arial" w:eastAsia="Arial" w:hAnsi="Arial"/>
          <w:sz w:val="12"/>
          <w:szCs w:val="12"/>
          <w:color w:val="auto"/>
        </w:rPr>
      </w:pPr>
    </w:p>
    <w:p>
      <w:pPr>
        <w:ind w:left="340" w:right="32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$250,000,000.</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$250,000,000.</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Fee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85725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6" w:lineRule="exact"/>
        <w:rPr>
          <w:sz w:val="24"/>
          <w:szCs w:val="24"/>
          <w:color w:val="auto"/>
        </w:rPr>
      </w:pPr>
    </w:p>
    <w:p>
      <w:pPr>
        <w:ind w:right="38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the Registration Statement shall become effective on such dates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7" w:lineRule="exact"/>
        <w:rPr>
          <w:sz w:val="20"/>
          <w:szCs w:val="20"/>
          <w:color w:val="auto"/>
        </w:rPr>
      </w:pPr>
    </w:p>
    <w:p>
      <w:pPr>
        <w:ind w:left="4400"/>
        <w:spacing w:after="0"/>
        <w:tabs>
          <w:tab w:leader="none" w:pos="6980" w:val="left"/>
        </w:tabs>
        <w:rPr>
          <w:sz w:val="20"/>
          <w:szCs w:val="20"/>
          <w:color w:val="auto"/>
        </w:rPr>
      </w:pPr>
      <w:r>
        <w:rPr>
          <w:rFonts w:ascii="Arial" w:cs="Arial" w:eastAsia="Arial" w:hAnsi="Arial"/>
          <w:sz w:val="18"/>
          <w:szCs w:val="18"/>
          <w:b w:val="1"/>
          <w:bCs w:val="1"/>
          <w:color w:val="DE1A1E"/>
        </w:rPr>
        <w:t>Subject to Completion</w:t>
      </w:r>
      <w:r>
        <w:rPr>
          <w:sz w:val="20"/>
          <w:szCs w:val="20"/>
          <w:color w:val="auto"/>
        </w:rPr>
        <w:tab/>
      </w:r>
      <w:r>
        <w:rPr>
          <w:rFonts w:ascii="Arial" w:cs="Arial" w:eastAsia="Arial" w:hAnsi="Arial"/>
          <w:sz w:val="14"/>
          <w:szCs w:val="14"/>
          <w:b w:val="1"/>
          <w:bCs w:val="1"/>
          <w:color w:val="DE1A1E"/>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7015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311150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PennantPark Investment Corporation, a Maryland corporation, is a closed-end, externally managed, non-diversified investment company that has elected to be treated as a business development company, or BDC, under the Investment Company Act of 1940 (the “1940 Act”).</w:t>
      </w:r>
    </w:p>
    <w:p>
      <w:pPr>
        <w:spacing w:after="0" w:line="5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fund a portion of our investments with borrowed money, a practice commonly known as leverage. We can offer no assurances that we will achieve our investment objectives.</w:t>
      </w:r>
    </w:p>
    <w:p>
      <w:pPr>
        <w:spacing w:after="0" w:line="2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may offer, from time to time, in one or more offerings or series, together or separately, up to $250,000,000 of our common stock, preferred stock, debt securities, warrants representing rights to purchase shares of our common stock, preferred stock or debt securities or subscription rights, which we refer to, collectively, as the “securities.”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to be described in one or more supplements to this prospectus. In the event we offer common stock, the offering price per share of our common stock less any underwriting commissions or discounts will not be less than the net value per share of our common stock at the time we make the offering except (1) in connection with a rights offering to our existing stockholders, (2) with the consent of the majority of our common stockholders, or</w:t>
      </w:r>
    </w:p>
    <w:p>
      <w:pPr>
        <w:jc w:val="both"/>
        <w:ind w:right="340" w:firstLine="8"/>
        <w:spacing w:after="0" w:line="30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such circumstances as the Securities and Exchange Commission, or the SEC, may permit. On February 2, 2010, our common stockholders voted to allow us to issue common stock at a price below net asset value per share for a period of one year ending February 2, 2011. See “Risk Factors” on page 9 and “Sales of Common Stock Below Net Asset Value” on page 50 of this prospectus for more information.</w:t>
      </w:r>
    </w:p>
    <w:p>
      <w:pPr>
        <w:spacing w:after="0" w:line="2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common stock has been approved for quotation on NASDAQ Global Select Market under the symbol “PNNT”. The last reported closing price for our common stock on February 17, 2010 was $10.10 per share and our net asset value on December 31, 2009 was $11.86 per share.</w:t>
      </w:r>
    </w:p>
    <w:p>
      <w:pPr>
        <w:spacing w:after="0" w:line="4"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and keep them for future reference. We file annual, quarterly and current reports, proxy statements and other information with the Securities and Exchange Commission. This information is available free of charge by contacting us at 590 Madison Avenue, New York, NY 10022 or by telephone at (212) 905-1000 or on our website at </w:t>
      </w:r>
      <w:r>
        <w:rPr>
          <w:rFonts w:ascii="Arial" w:cs="Arial" w:eastAsia="Arial" w:hAnsi="Arial"/>
          <w:sz w:val="16"/>
          <w:szCs w:val="16"/>
          <w:i w:val="1"/>
          <w:iCs w:val="1"/>
          <w:color w:val="auto"/>
        </w:rPr>
        <w:t>www.pennantpark.com.</w:t>
      </w:r>
      <w:r>
        <w:rPr>
          <w:rFonts w:ascii="Arial" w:cs="Arial" w:eastAsia="Arial" w:hAnsi="Arial"/>
          <w:sz w:val="16"/>
          <w:szCs w:val="16"/>
          <w:color w:val="auto"/>
        </w:rPr>
        <w:t xml:space="preserve"> The information on our website is not incorporated by reference into this prospectus. The SEC also maintains a website at www.sec.gov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12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Prospectus dated</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2"/>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35"/>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3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2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FORWARD-LOOKING STATEMENTS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820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SELECTED FINANCIAL DATA</w:t>
              </w:r>
            </w:hyperlink>
          </w:p>
        </w:tc>
        <w:tc>
          <w:tcPr>
            <w:tcW w:w="868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SENIOR SECURITIES</w:t>
              </w:r>
            </w:hyperlink>
          </w:p>
        </w:tc>
        <w:tc>
          <w:tcPr>
            <w:tcW w:w="23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PRICE RANGE OF COMMON STOCK</w:t>
              </w:r>
            </w:hyperlink>
          </w:p>
        </w:tc>
        <w:tc>
          <w:tcPr>
            <w:tcW w:w="81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SALES OF COMMON STOCK BELOW NET ASSET VALUE</w:t>
              </w:r>
            </w:hyperlink>
          </w:p>
        </w:tc>
        <w:tc>
          <w:tcPr>
            <w:tcW w:w="652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DISTRIBUTIONS</w:t>
              </w:r>
            </w:hyperlink>
          </w:p>
        </w:tc>
        <w:tc>
          <w:tcPr>
            <w:tcW w:w="9720" w:type="dxa"/>
            <w:vAlign w:val="bottom"/>
            <w:gridSpan w:val="2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BUSINESS</w:t>
              </w:r>
            </w:hyperlink>
          </w:p>
        </w:tc>
        <w:tc>
          <w:tcPr>
            <w:tcW w:w="10220" w:type="dxa"/>
            <w:vAlign w:val="bottom"/>
            <w:gridSpan w:val="3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INVESTMENT OBJECTIVES AND POLICIES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PORTFOLIO COMPANIES</w:t>
              </w:r>
            </w:hyperlink>
          </w:p>
        </w:tc>
        <w:tc>
          <w:tcPr>
            <w:tcW w:w="76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MANAGEMENT</w:t>
              </w:r>
            </w:hyperlink>
          </w:p>
        </w:tc>
        <w:tc>
          <w:tcPr>
            <w:tcW w:w="720" w:type="dxa"/>
            <w:vAlign w:val="bottom"/>
            <w:tcBorders>
              <w:top w:val="single" w:sz="8" w:color="0000EE"/>
            </w:tcBorders>
            <w:gridSpan w:val="7"/>
          </w:tcPr>
          <w:p>
            <w:pPr>
              <w:spacing w:after="0"/>
              <w:rPr>
                <w:sz w:val="17"/>
                <w:szCs w:val="17"/>
                <w:color w:val="auto"/>
              </w:rPr>
            </w:pPr>
          </w:p>
        </w:tc>
        <w:tc>
          <w:tcPr>
            <w:tcW w:w="906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CONTROL PERSONS AND PRINCIPAL STOCKHOLDERS</w:t>
              </w:r>
            </w:hyperlink>
          </w:p>
        </w:tc>
        <w:tc>
          <w:tcPr>
            <w:tcW w:w="66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CERTAIN RELATIONSHIPS AND TRANSACTIONS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17"/>
                <w:szCs w:val="17"/>
                <w:color w:val="auto"/>
              </w:rPr>
            </w:pPr>
          </w:p>
        </w:tc>
        <w:tc>
          <w:tcPr>
            <w:tcW w:w="714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DIVIDEND REINVESTMENT PLAN</w:t>
              </w:r>
            </w:hyperlink>
          </w:p>
        </w:tc>
        <w:tc>
          <w:tcPr>
            <w:tcW w:w="830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94">
              <w:r>
                <w:rPr>
                  <w:rFonts w:ascii="Arial" w:cs="Arial" w:eastAsia="Arial" w:hAnsi="Arial"/>
                  <w:sz w:val="18"/>
                  <w:szCs w:val="18"/>
                  <w:color w:val="0000EE"/>
                  <w:w w:val="92"/>
                </w:rPr>
                <w:t>DESCRIPTION OF OUR CAPITAL STOCK</w:t>
              </w:r>
            </w:hyperlink>
          </w:p>
        </w:tc>
        <w:tc>
          <w:tcPr>
            <w:tcW w:w="78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DESCRIPTION OF OUR PREFERRED STOCK</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DESCRIPTION OF OUR WARRANTS</w:t>
              </w:r>
            </w:hyperlink>
          </w:p>
        </w:tc>
        <w:tc>
          <w:tcPr>
            <w:tcW w:w="758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DESCRIPTION OF OUR SUBSCRIPTION RIGHTS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6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REGULATION</w:t>
              </w:r>
            </w:hyperlink>
          </w:p>
        </w:tc>
        <w:tc>
          <w:tcPr>
            <w:tcW w:w="9940" w:type="dxa"/>
            <w:vAlign w:val="bottom"/>
            <w:gridSpan w:val="3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BROKERAGE ALLOCATIONS AND OTHER PRACTICES</w:t>
              </w:r>
            </w:hyperlink>
          </w:p>
        </w:tc>
        <w:tc>
          <w:tcPr>
            <w:tcW w:w="668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3"/>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MATERIAL U.S. FEDERAL INCOME TAX CONSIDERATIONS</w:t>
              </w:r>
            </w:hyperlink>
          </w:p>
        </w:tc>
        <w:tc>
          <w:tcPr>
            <w:tcW w:w="630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CUSTODIAN, TRANSFER AGENT AND TRUSTEE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LEGAL MATTERS</w:t>
              </w:r>
            </w:hyperlink>
          </w:p>
        </w:tc>
        <w:tc>
          <w:tcPr>
            <w:tcW w:w="71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700" w:type="dxa"/>
            <w:vAlign w:val="bottom"/>
            <w:gridSpan w:val="1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INDEPENDENT REGISTERED PUBLIC ACCOUNTING FIRM</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PRIVACY PRINCIPLES</w:t>
              </w:r>
            </w:hyperlink>
          </w:p>
        </w:tc>
        <w:tc>
          <w:tcPr>
            <w:tcW w:w="63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9"/>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31">
              <w:r>
                <w:rPr>
                  <w:rFonts w:ascii="Arial" w:cs="Arial" w:eastAsia="Arial" w:hAnsi="Arial"/>
                  <w:sz w:val="18"/>
                  <w:szCs w:val="18"/>
                  <w:color w:val="0000EE"/>
                  <w:w w:val="95"/>
                </w:rPr>
                <w:t>INDEX TO FINANCIAL STATEMENTS</w:t>
              </w:r>
            </w:hyperlink>
          </w:p>
        </w:tc>
        <w:tc>
          <w:tcPr>
            <w:tcW w:w="80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85">
              <w:r>
                <w:rPr>
                  <w:rFonts w:ascii="Arial" w:cs="Arial" w:eastAsia="Arial" w:hAnsi="Arial"/>
                  <w:sz w:val="18"/>
                  <w:szCs w:val="18"/>
                  <w:color w:val="0000EE"/>
                  <w:w w:val="92"/>
                </w:rPr>
                <w:t>PART C OTHER INFORMATION</w:t>
              </w:r>
            </w:hyperlink>
          </w:p>
        </w:tc>
        <w:tc>
          <w:tcPr>
            <w:tcW w:w="8580" w:type="dxa"/>
            <w:vAlign w:val="bottom"/>
            <w:gridSpan w:val="2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1060" w:type="dxa"/>
            <w:vAlign w:val="bottom"/>
            <w:gridSpan w:val="35"/>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SIGNATURES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C-5</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$250,000,000 of our common stock, preferred stock, debt securities, warrants representing rights to purchase shares of our common stock, preferred stock or debt securities and subscription rights to purchase common stock on the terms to be determined at the time of the offering. We may sell our common stock through underwriters, or dealers, “at-the-market” to or through a market maker, into an existing trading market or on an exchange or otherwise directly to one or more purchasers or through agents or through a combination of methods of sale.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In this prospectus and accompanying prospectus supplement, if any, except where the context suggests otherwise, the terms “we,” “us,” “our” and “PennantPark Investment” refer to PennantPark Investment Corporation; “PennantPark Investment Advisers” or the “Investment Adviser” refers to PennantPark Investment Advisers, LLC; “PennantPark Investment Administration” or the “Administrator” refers to PennantPark Investment Administration,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In addition, for tax purposes we have elected to be treated as a regulated investment company (“RIC”), under the Internal Revenue Code of 1986, as amended (the “Code”).</w:t>
      </w:r>
    </w:p>
    <w:p>
      <w:pPr>
        <w:spacing w:after="0" w:line="10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secured debt, certain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investment activities are managed by the Investment Adviser under an investment management agreement (the “Investment Management Agreement”). The Investment Adviser is responsible for sourcing potential investments, conducting research on prospective investments, analyzing investment opportunities, structuring our investments and monitoring our investments on an ongoing basis. The Investment Adviser is led by Arthur H. Penn, its founder and the founder of PennantPark Investment. Mr. Penn has over 23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2006. During Mr. Penn’s tenure with Apollo Investment, it invested approximately $2.8 billion in 73 companies in partnership with 54 different financial sponsors.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his more than 23-year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14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See “Management,” “Certain Relationships and Transactions—Investment Management Agreement” and “Risk Factors—Risks Relating to our Business and Structure.”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Administration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our administration agreement, or the Administration Agreement, the Administrator furnishes us with clerical, bookkeeping and record keeping services and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116" w:lineRule="exact"/>
        <w:rPr>
          <w:sz w:val="20"/>
          <w:szCs w:val="20"/>
          <w:color w:val="auto"/>
        </w:rPr>
      </w:pPr>
    </w:p>
    <w:p>
      <w:pPr>
        <w:ind w:right="70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hanging="325"/>
        <w:spacing w:after="0" w:line="25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360" w:hanging="325"/>
        <w:spacing w:after="0" w:line="27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60" w:hanging="325"/>
        <w:spacing w:after="0" w:line="29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hanging="325"/>
        <w:spacing w:after="0" w:line="30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believe the in-depth coverage and experience of our Investment Adviser, enable us to invest throughout various stages of the economic cycle and provide us with ongoing market insights in addition to a significant investment sourcing engine.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borrowings under our credit facility is set at 100 basis points over LIBOR. We believe that our capital resources will provide us with the flexibility to take advantage of market opportunities when they arise.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investment activities are managed by PennantPark Investment Advisers and supervised by our board of directors, a majority of whom are independent of PennantPark Investment. PennantPark Investment Advisers is an Investment Adviser that is registered under the Investment Advisers Act of 1940, or the Advisers Act. Under our Investment Management Agreement, we pay PennantPark Investment Advisers an annual base management fee based on our gross assets as well as an incentive fee based on our performance. See “Certain Relationships and Transactions—Investment Management Agreement.”</w:t>
      </w:r>
    </w:p>
    <w:p>
      <w:pPr>
        <w:spacing w:after="0" w:line="9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business development company, we are required to comply with certain regulatory requirements. Also, while we are permitted to finance investments using debt, our ability to use debt is limited in certain significant respects. See “Regulation.” We have elected to be treated for federal income tax purposes under the Internal Revenue Code of 1986, or the Code, as a regulated investment company, or “RIC.” For more information,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general corporate purposes. Any supplements to this prospectus relating to an offering may more fully identify the use of the proceeds from such offering. See “Use of Proceeds” for information regarding our outstanding borrowings as of December 31, 2009, the corresponding interest rate charged on such borrowings as of that date and the length of time that it may take us to invest any proceeds in new or existing portfolio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For more information, see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and subject to extension. With respect to ARPS, we expect the dividend rate to be variable and determined for each dividend period. See “Risk Factors—Risks Related to Issuance of our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For more information, see “Dividend Reinvestment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may offer, from time to time, up to $250 million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directly to one or more purchasers, through agents designated from time to time by us, or to or through underwriters or dealers. We may sell our common stock through underwriters, or dealers, “at-the-market” to or through a market maker, into an existing trading market or on an exchange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For more information, see “Plan of Distribution.”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administrative and principal executive offices are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 Our common stock is quoted on NASDAQ Global Select Market under the symbol “PNNT”. Our Internet website address is </w:t>
      </w:r>
      <w:r>
        <w:rPr>
          <w:rFonts w:ascii="Arial" w:cs="Arial" w:eastAsia="Arial" w:hAnsi="Arial"/>
          <w:sz w:val="18"/>
          <w:szCs w:val="18"/>
          <w:i w:val="1"/>
          <w:iCs w:val="1"/>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760" w:type="dxa"/>
            <w:vAlign w:val="bottom"/>
          </w:tcPr>
          <w:p>
            <w:pPr>
              <w:spacing w:after="0"/>
              <w:rPr>
                <w:sz w:val="20"/>
                <w:szCs w:val="20"/>
                <w:color w:val="auto"/>
              </w:rPr>
            </w:pPr>
            <w:r>
              <w:rPr>
                <w:rFonts w:ascii="Arial" w:cs="Arial" w:eastAsia="Arial" w:hAnsi="Arial"/>
                <w:sz w:val="18"/>
                <w:szCs w:val="18"/>
                <w:b w:val="1"/>
                <w:bCs w:val="1"/>
                <w:color w:val="auto"/>
              </w:rPr>
              <w:t>Total common stockholder expenses (as a percentage of offering price)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0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shares)</w:t>
            </w:r>
            <w:r>
              <w:rPr>
                <w:rFonts w:ascii="Arial" w:cs="Arial" w:eastAsia="Arial" w:hAnsi="Arial"/>
                <w:sz w:val="11"/>
                <w:szCs w:val="11"/>
                <w:b w:val="1"/>
                <w:bCs w:val="1"/>
                <w:color w:val="auto"/>
              </w:rPr>
              <w:t>(3)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Management fees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3.44%</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2.36%</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1.07%</w:t>
            </w:r>
            <w:r>
              <w:rPr>
                <w:rFonts w:ascii="Arial" w:cs="Arial" w:eastAsia="Arial" w:hAnsi="Arial"/>
                <w:sz w:val="11"/>
                <w:szCs w:val="11"/>
                <w:color w:val="auto"/>
                <w:w w:val="96"/>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1.44%</w:t>
            </w:r>
            <w:r>
              <w:rPr>
                <w:rFonts w:ascii="Arial" w:cs="Arial" w:eastAsia="Arial" w:hAnsi="Arial"/>
                <w:sz w:val="11"/>
                <w:szCs w:val="11"/>
                <w:color w:val="auto"/>
                <w:w w:val="96"/>
              </w:rPr>
              <w:t>(7)</w:t>
            </w:r>
          </w:p>
        </w:tc>
        <w:tc>
          <w:tcPr>
            <w:tcW w:w="0" w:type="dxa"/>
            <w:vAlign w:val="bottom"/>
          </w:tcPr>
          <w:p>
            <w:pPr>
              <w:spacing w:after="0"/>
              <w:rPr>
                <w:sz w:val="1"/>
                <w:szCs w:val="1"/>
                <w:color w:val="auto"/>
              </w:rPr>
            </w:pPr>
          </w:p>
        </w:tc>
      </w:tr>
      <w:tr>
        <w:trPr>
          <w:trHeight w:val="20"/>
        </w:trPr>
        <w:tc>
          <w:tcPr>
            <w:tcW w:w="10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annual expenses</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8.31%</w:t>
            </w:r>
            <w:r>
              <w:rPr>
                <w:rFonts w:ascii="Arial" w:cs="Arial" w:eastAsia="Arial" w:hAnsi="Arial"/>
                <w:sz w:val="11"/>
                <w:szCs w:val="11"/>
                <w:color w:val="auto"/>
                <w:w w:val="96"/>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w:t>
      </w:r>
    </w:p>
    <w:p>
      <w:pPr>
        <w:spacing w:after="0" w:line="37"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assets attributable to common shares” equal net assets at December 31, 2009.</w:t>
      </w:r>
    </w:p>
    <w:p>
      <w:pPr>
        <w:spacing w:after="0" w:line="76"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37" w:lineRule="exact"/>
        <w:rPr>
          <w:rFonts w:ascii="Arial" w:cs="Arial" w:eastAsia="Arial" w:hAnsi="Arial"/>
          <w:sz w:val="18"/>
          <w:szCs w:val="18"/>
          <w:color w:val="auto"/>
        </w:rPr>
      </w:pPr>
    </w:p>
    <w:p>
      <w:pPr>
        <w:ind w:left="460" w:right="100" w:hanging="452"/>
        <w:spacing w:after="0" w:line="287"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28" w:lineRule="exact"/>
        <w:rPr>
          <w:rFonts w:ascii="Arial" w:cs="Arial" w:eastAsia="Arial" w:hAnsi="Arial"/>
          <w:sz w:val="16"/>
          <w:szCs w:val="16"/>
          <w:color w:val="auto"/>
        </w:rPr>
      </w:pPr>
    </w:p>
    <w:p>
      <w:pPr>
        <w:ind w:left="460" w:right="20" w:hanging="452"/>
        <w:spacing w:after="0" w:line="294"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December 31, 2009, we had $54.3 million unused borrowing capacity,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may continue to borrow under our credit facility to finance portfolio investments and are permitted to do so under the terms of our credit facility. We have estimated the interest payments on borrowed funds to take this into account, however, we caution you that our actual interest expense will depend on prevailing interest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540"/>
        <w:spacing w:after="0" w:line="259" w:lineRule="auto"/>
        <w:rPr>
          <w:sz w:val="20"/>
          <w:szCs w:val="20"/>
          <w:color w:val="auto"/>
        </w:rPr>
      </w:pPr>
      <w:r>
        <w:rPr>
          <w:rFonts w:ascii="Arial" w:cs="Arial" w:eastAsia="Arial" w:hAnsi="Arial"/>
          <w:sz w:val="18"/>
          <w:szCs w:val="18"/>
          <w:color w:val="auto"/>
        </w:rPr>
        <w:t>and our rate of borrowing and may be substantially higher than the estimate provided in this table. For more information, see “Risk Factors—Risks Relating To Our Business and Structure—We currently use borrowed funds to make investments and are exposed to the typical risks associated with leverage.”</w:t>
      </w:r>
    </w:p>
    <w:p>
      <w:pPr>
        <w:spacing w:after="0" w:line="59" w:lineRule="exact"/>
        <w:rPr>
          <w:sz w:val="20"/>
          <w:szCs w:val="20"/>
          <w:color w:val="auto"/>
        </w:rPr>
      </w:pPr>
    </w:p>
    <w:p>
      <w:pPr>
        <w:ind w:left="460" w:right="12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the Statement of Operations in our financial statements.</w:t>
      </w:r>
    </w:p>
    <w:p>
      <w:pPr>
        <w:spacing w:after="0" w:line="48"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the total assets, including assets that have been funded with borrowed monies. If the “total annual expenses” percentage were calculated instead as a percentage of total assets, our “total annual expenses” would be 4.83% of total assets. For a presentation and calculation of total annual expenses based on total assets, see page 36 of this prospectus.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5.00% sales load (underwriting discounts and commissions) and offering expenses totaling 0.60%, (2) total net annual expenses of 5.95% of net assets attributable to common shares as set forth in the table above (other than performance-based incentive fees) and (3) a 5% annual return: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1 Year</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3 Years</w:t>
            </w:r>
          </w:p>
        </w:tc>
        <w:tc>
          <w:tcPr>
            <w:tcW w:w="44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5 Years</w:t>
            </w:r>
          </w:p>
        </w:tc>
        <w:tc>
          <w:tcPr>
            <w:tcW w:w="44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10 Years</w:t>
            </w:r>
          </w:p>
        </w:tc>
        <w:tc>
          <w:tcPr>
            <w:tcW w:w="20" w:type="dxa"/>
            <w:vAlign w:val="bottom"/>
          </w:tcPr>
          <w:p>
            <w:pPr>
              <w:spacing w:after="0"/>
              <w:rPr>
                <w:sz w:val="14"/>
                <w:szCs w:val="14"/>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w:t>
            </w:r>
          </w:p>
        </w:tc>
        <w:tc>
          <w:tcPr>
            <w:tcW w:w="374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w w:val="79"/>
              </w:rPr>
              <w:t>$ 112</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$ 330</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5"/>
              </w:rPr>
              <w:t>$  592</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additional information regarding our dividend reinvestment plan in this prospectus.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debt securities, warrants or subscription rights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b w:val="1"/>
          <w:bCs w:val="1"/>
          <w:color w:val="auto"/>
        </w:rPr>
        <w:t>Global capital markets have entered a period of severe disruption and instability. These market conditions have materially and adversely affected debt and equity capital markets in the United States, which has had, and may continue to have, a negative impact on our business and operations.</w:t>
      </w:r>
    </w:p>
    <w:p>
      <w:pPr>
        <w:spacing w:after="0" w:line="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Beginning in the summer of 2007 and continuing as of the date of this prospectus, 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As a result of these events, general economic conditions have deteriorated with material and adverse consequences for the broader financial and credit markets, and the availability of debt and equity capital for the market as a whole and financial services firms in particular has been reduced significantly. These conditions could continue for a prolonged period of time or even materially worsen in the future. While these conditions persist, we may have difficulty accessing debt and equity capital in order to grow and may suffer material adverse effects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respective investments to maturity. Volatility or dislocation in the capital markets may depress our stock price below our net asset value per share and create a challenging environment in which to raise debt and equity capital. As a business development company, we are generally not able to issue additional shares of our common stock at a price less than net asset value without first obtaining approval for such issuance from our stockholders and our independent directors. Additionally, our ability to incur indebtedness is limited by applicable regulations such that our asset coverage under the 1940 Act must equal at least 200% of total indebtedness immediately after each time we incur indebtedness. Shrinking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ratios stipulated by the 1940 Act, which could, in turn, cause us to lose our status as a business development company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significant disruption in the capital markets has had and may continue to have a negative effect on the valuations of our investments, and on the potential for liquidity events involving our investments. The debt capital that will be available to us, if at all, may be at a higher cost and on less favorable terms and conditions in the future. A prolonged inability to raise capital will require us to reduce the volume of loans we originate and/or fund and could have a material adverse impact on our business, financial condition or results of operations. This may also increase the probability that other structural risks negatively impact us. These situations may arise due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circumstances that we may be unable to control, such as a protracted disruption in the credit markets, a severe decline in the value of the U.S. dollar, a sharp economic downturn or an operational problem that affects third parties or us, and could materially damage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market developments may adversely affect our business and results of operations by reducing availability under our credit facility.</w:t>
      </w:r>
    </w:p>
    <w:p>
      <w:pPr>
        <w:spacing w:after="0" w:line="11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applicable asset coverage test that restricts our ability to borrow under our credit facility, this facility contains various covenants which, if not complied with, could accelerate repayment under the facility, thereby materially and adversely affecting our liquidity, financial condition and results of operations. Our borrowings under our credit facility are collateralized by the assets in our investment portfolio. The agreements governing the credit facility require us to comply with certain financial and operational covenants. These covenants include:</w:t>
      </w:r>
    </w:p>
    <w:p>
      <w:pPr>
        <w:spacing w:after="0" w:line="6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21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rely in part on our senior secured investments to provide us with adequate liquidity, but even these investments may face liquidity constraints under current or future market conditions.</w:t>
      </w:r>
    </w:p>
    <w:p>
      <w:pPr>
        <w:spacing w:after="0" w:line="4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market for senior secured debt investments and other over-the-counter traded securities has weakened as the viability of any over-the-counter secondary market depends on the continued willingness of dealers and other participants to purchase the investments, which has decreased under current market conditions and may do so again in the future. We cannot assure you that in the event we need to sell our senior secured investments to raise capital, we will be able to do so at prices we deem to be attractive, or at all.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incurs credit risk when it loans money or commits to loan money to a portfolio company.</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will have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21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As a business development company, we are required to carry our investments at market value or, if no market value is ascertainable or if market value does not reflect the fair value of such investment in the bona fide determination of our board of directors, then, at fair value as determined in good faith by or under the direction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board of directors. Decreases in the market values or fair values of our investments will be recorded as unrealized depreciation. The fair value of our portfolio companies on the whole has decreased substantially over the past three fiscal years.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In the past 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our stock price fluctuates significantly, we may be the target of securities litigation in the future. Securities litigation could result in substantial costs and divert management’s attention and resources from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subordinated loans, senior secured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its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negative effect on our financial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relatively new business, including the risk that we will not achieve our investment objectives and that the value of our common stock could decline substantially. We have used, and will continue to use, the proceeds of public offerings of securities and of borrowings under our credit facility in accordance with our investment objectives.</w:t>
      </w:r>
    </w:p>
    <w:p>
      <w:pPr>
        <w:spacing w:after="0" w:line="182"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80" w:firstLine="456"/>
        <w:spacing w:after="0" w:line="291"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any manager of PennantPark Investment Advisers could have a material adverse effect on our ability to achieve our investment objectives. In addition, we can offer no assurance that PennantPark Investment Advisers will remain our Investment Adviser.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business development companies, commercial and investment banks, commercial financing companies,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Most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7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PennantPark Investment may not replicate the historical performance of other investment companies with which our investment professionals have been affiliated.</w:t>
      </w:r>
    </w:p>
    <w:p>
      <w:pPr>
        <w:spacing w:after="0" w:line="4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1940 Act imposes numerous constraints on the investment activities of business development companies. For example, business development companies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our Investment Adviser’s ability to take advantage of attractive investment opportunities and to achieve our investment objectives. Current market conditions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depressed economic cycle present significant challenges to us that have not been present in recent years, if ever. In addition, the investment philosophy and techniques used by our Investment Adviser may differ from those used by other investment companies. Accordingly, we can offer no assurance that PennantPark Investment will replicate the historical performance of other investment companies our investment professionals have been affiliated, and we caution that our investment returns could be substantially lower than the returns achieved by such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registered investment company under the 1940 Act, which would subject us to substantially more regulatory restrictions under the 1940 Act and correspondingly decrease our operating flexibility.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so as to qualify as a RIC under Subchapter M of the Code. If we meet source-of-income,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offset the character and amount of our distributions to our stockholders. Even if we qualify as a RIC, we generally will be subject to a corporate-level income tax on the income we do not distribute.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as a RIC if we recognize income before or without receiving cash representing such income.</w:t>
      </w:r>
    </w:p>
    <w:p>
      <w:pPr>
        <w:spacing w:after="0" w:line="11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14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Senior Securities</w:t>
      </w:r>
      <w:r>
        <w:rPr>
          <w:rFonts w:ascii="Arial" w:cs="Arial" w:eastAsia="Arial" w:hAnsi="Arial"/>
          <w:sz w:val="16"/>
          <w:szCs w:val="16"/>
          <w:color w:val="auto"/>
        </w:rPr>
        <w:t>. As a result of issuing senior securities, we would also be exposed to typical risks associated with leverage, including an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w:t>
      </w:r>
    </w:p>
    <w:p>
      <w:pPr>
        <w:spacing w:after="0" w:line="34" w:lineRule="exact"/>
        <w:rPr>
          <w:rFonts w:ascii="Arial" w:cs="Arial" w:eastAsia="Arial" w:hAnsi="Arial"/>
          <w:sz w:val="16"/>
          <w:szCs w:val="16"/>
          <w:color w:val="auto"/>
        </w:rPr>
      </w:pPr>
    </w:p>
    <w:p>
      <w:pPr>
        <w:ind w:left="900" w:right="20" w:hanging="325"/>
        <w:spacing w:after="0" w:line="28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business development company, we are generally not able to issue our common stock at a price below net asset value without first obtaining required approvals from our stockholders and our board of directors. We obtained such approval from our shareholders in February 2010, which will remain in effect for twelve months.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47" w:lineRule="exact"/>
        <w:rPr>
          <w:rFonts w:ascii="Arial" w:cs="Arial" w:eastAsia="Arial" w:hAnsi="Arial"/>
          <w:sz w:val="16"/>
          <w:szCs w:val="16"/>
          <w:color w:val="auto"/>
        </w:rPr>
      </w:pPr>
    </w:p>
    <w:p>
      <w:pPr>
        <w:ind w:left="900" w:right="120" w:hanging="325"/>
        <w:spacing w:after="0" w:line="29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We would retain all or a portion of the equity in the securitized pool of loans.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equity we retained, to that proportion of any losses we would have experienced if we had continued to hold the loans in our portfolio. We would not treat the debt issued by such a subsidiary as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current and future debt is governed by the terms of our credit facility and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utilize a revolving five-year, $300.0 million credit facility to make investments in our portfolio companies. Our credit facility expires in June 2012. The life of our investments typically exceeds the duration of our indebtedness under our credit facility. This means that we will have to extend the maturity of our credit facility or refinance our indebtedness under our credit facility in order to continue to maintain control over our portfolio assets. In addition, under current market conditions, we believe it will be difficult to renew or refinance our credit facility on terms as favorable as those in our existing credit facility. In particular, market interest rates have escalated significantly for borrowers within our industry since we entered into our credit facility in June 2007. If we fail to refinance the indebtedness outstanding under our credit facility at the time it becomes due and payable, the administrative agent of the credit facility may elect to exercise various remedies, including the sale of all or a portion of the collateral securing the credit facility, subject to certain restrictions. The illiquidity of our investments may make it difficult for us to sell such investments. If we are required to sell our investments on short-term notice, we may not receive the value that we have recorded for such investments, and this could materially damage our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in connection with our credit facility borrowings. In the case of a liquidation event, those lenders would receive proceeds before our stockholders. In addition, borrowings,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leveraged.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2009 we had outstanding borrowings of $245.7 million under our credit facility with a weighted average annual interest rate at that time of 1.23% exclusive of the fee on undrawn commitment of 0.20%. Accordingly, to cover the annual interest on our borrowings outstanding at December 31, 2009, at the then current rate, we would have to receive an annual yield of at least 0.6%.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a business development company, we generally are required to meet a coverage ratio of total assets to total borrowings and other senior securities, which include all of our borrowings and any preferred stock we may issue in the future, of at least 200%. If this ratio declines below 200%, we may not be able to incur additional debt and may need to sell a portion of our investments to repay some debt when it is disadvantageous to do so, and we may not be able to make distributions.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December 31, 2009 of 38% of our total assets (including such borrowed funds), at a weighted average rate at the time of 1.23%,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00" w:type="dxa"/>
            <w:vAlign w:val="bottom"/>
          </w:tcPr>
          <w:p>
            <w:pPr>
              <w:jc w:val="right"/>
              <w:ind w:right="132"/>
              <w:spacing w:after="0"/>
              <w:rPr>
                <w:sz w:val="20"/>
                <w:szCs w:val="20"/>
                <w:color w:val="auto"/>
              </w:rPr>
            </w:pPr>
            <w:r>
              <w:rPr>
                <w:rFonts w:ascii="Arial" w:cs="Arial" w:eastAsia="Arial" w:hAnsi="Arial"/>
                <w:sz w:val="18"/>
                <w:szCs w:val="18"/>
                <w:color w:val="auto"/>
              </w:rPr>
              <w:t>-18.2%</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-9.6%</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740" w:type="dxa"/>
            <w:vAlign w:val="bottom"/>
          </w:tcPr>
          <w:p>
            <w:pPr>
              <w:jc w:val="right"/>
              <w:spacing w:after="0"/>
              <w:rPr>
                <w:sz w:val="20"/>
                <w:szCs w:val="20"/>
                <w:color w:val="auto"/>
              </w:rPr>
            </w:pPr>
            <w:r>
              <w:rPr>
                <w:rFonts w:ascii="Arial" w:cs="Arial" w:eastAsia="Arial" w:hAnsi="Arial"/>
                <w:sz w:val="18"/>
                <w:szCs w:val="18"/>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99"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table also assumes that we will maintain a constant level of leverage. The amount of leverage that we use will vary from time to time.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December 31, 2009, the applicable LIBOR rate has decreased from 5.3% to 0.3%. In periods of rising interest rates, our cost of funds will increase, which could reduce our net investment income.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For a definition of Pre-Incentive Fee Net Investment Income, see “Certain Relationships and Transactions—Investment Management Agreement” in this prospectus.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high-yield bonds, and also would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preferred stock and/or debt securities, the net asset value and market value of our common stock may become more volatile.</w:t>
      </w:r>
    </w:p>
    <w:p>
      <w:pPr>
        <w:spacing w:after="0" w:line="11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a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credit ratings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may be formed in the future. The Investment Adviser and the Administrator have not yet undertaken any such services, but may do so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entered into a license agreement (the “License Agreement”) with PennantPark Investment Advisers, pursuant to which our Investment Adviser has agreed to grant us a royalty-free non-exclusive license to use the name “PennantPark.” Under the License Agreement, we will have the right to use the “PennantPark” name for so long as the Investment Adviser or one of its affiliates remains our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our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All of our investments are recorded using broker/dealers quotes, or at fair value as determined in good faith by our board of directors. We expect that most, if not all, of our investments (other than cash and cash equivalents) and credit facility borrowings will be classified as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under ASC 820 (formerly known as SFAS No. 157).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adjust quarterly the valuation of our portfolio to reflect our board of directors’ determination of the fair value of each investment in our portfolio. Any changes in fair value are recorded in our statement of operations as net change in unrealized appreciation or depreciation.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December 31, 2009, most of our portfolio assets were recorded at fair value as determined in good faith by our board of directors. As we invest a greater percentage of our total assets in core assets,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values that would have been used if a ready market for these securities existed.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may acquire our core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recapitalization, or initial public offering of the company, but we are not required to do so.</w:t>
      </w:r>
    </w:p>
    <w:p>
      <w:pPr>
        <w:spacing w:after="0" w:line="10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in light of current market developments in which investor appetite for illiquid securities has substantially diminished.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business development company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We rely in part on our senior secured securities to provide us with adequate liquidity, but even these securities face liquidity constraints under current market conditions.</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market for senior secured debt securities and other over-the-counter traded securities has weakened as the viability of any over-the-counter secondary market depends on the continued willingness of dealers and other participants to purchase the securities. This demand has slackened under current market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mezzanine debt, senior secured loans, and selected equity investments issued by U.S. middle-market companies.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Mezzanine Debt</w:t>
      </w:r>
      <w:r>
        <w:rPr>
          <w:rFonts w:ascii="Arial" w:cs="Arial" w:eastAsia="Arial" w:hAnsi="Arial"/>
          <w:sz w:val="16"/>
          <w:szCs w:val="16"/>
          <w:color w:val="auto"/>
        </w:rPr>
        <w:t>: Our mezzanine debt investments will generally be subordinated to senior secured loans and will generally be unsecured or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secured interest.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we will generally take a security interest in the available assets of these portfolio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We have made and expect to continue to make selected equity investments. In addition, when we invest in mezzanine debt or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loans,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4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firstLine="456"/>
        <w:spacing w:after="0" w:line="294" w:lineRule="auto"/>
        <w:rPr>
          <w:sz w:val="20"/>
          <w:szCs w:val="20"/>
          <w:color w:val="auto"/>
        </w:rPr>
      </w:pPr>
      <w:r>
        <w:rPr>
          <w:rFonts w:ascii="Arial" w:cs="Arial" w:eastAsia="Arial" w:hAnsi="Arial"/>
          <w:sz w:val="16"/>
          <w:szCs w:val="16"/>
          <w:color w:val="auto"/>
        </w:rPr>
        <w:t>As a business development company,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items, government securities and high quality debt securities maturing in one year or less from the time of investment. See “Regulation” in this prospectus for a complete list of the qualifying assets in which we may invest.</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stakeholdings in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in a prolonged recession. 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even though we may have structured our investment as senior secured loans.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91" w:lineRule="exact"/>
        <w:rPr>
          <w:sz w:val="20"/>
          <w:szCs w:val="20"/>
          <w:color w:val="auto"/>
        </w:rPr>
      </w:pPr>
    </w:p>
    <w:p>
      <w:pPr>
        <w:ind w:right="6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may do so in the future, we do not currently have controlling equity positions in our portfolio companies. As a result,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money on our investments.</w:t>
      </w:r>
    </w:p>
    <w:p>
      <w:pPr>
        <w:spacing w:after="0" w:line="143"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Also, privately held companies frequently have less diverse product lines and smaller market presence than larger competitors. These factors could materially adversely affect our investment returns as compared to companies investing primarily in the securities of public companies.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We invest primarily in mezzanine debt, senior secured loans and equity investments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manager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or the removal of our directors. We are subject to the Maryland Business Combination Act, the application of which is subject to any applicable requirements of the 1940 Act. Our board of directors has adopted a resolution exempting us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We have obtained and may again obtain, the approval of our stockholders to issue shares of our common stock at prices below the then current net asset value per share of our common stock. We have also issued, and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February 2, 2010 our stockholders approved a proposal that authorizes us to sell shares of our common stock below the then current net asset value per share of our common stock in one or more offerings for a period of 12 months. This proposal would allow us to access the capital markets in a way that we were previously unable to as a result of restrictions that, absent stockholder approval, apply to business development company under the 1940 Act. Any decision to sell shares of our common stock below the then current net asset value per share of our common stock in one or more offerings is subject to the determination by our board of directors that such issuance and sale is in our and our stockholders’ best interests.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would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85"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137" w:lineRule="exact"/>
        <w:rPr>
          <w:sz w:val="20"/>
          <w:szCs w:val="20"/>
          <w:color w:val="auto"/>
        </w:rPr>
      </w:pPr>
    </w:p>
    <w:p>
      <w:pPr>
        <w:jc w:val="both"/>
        <w:ind w:right="46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80" w:firstLine="456"/>
        <w:spacing w:after="0" w:line="306"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result, such earnings and gains will not be available to fund new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business development company, we generally are required to meet a coverage ratio of total assets to total senior securities, which includes all of our borrowings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 If we fail to obtain additional capital to fund our investments, this could limit our ability to grow and have an adverse effect on the value of our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Shares of business development companies may trade at a market price that is less than the net asset value that is attributable to those shares. Our shares have traded above and below our NAV. Our shares traded on NASDAQ Global Select Market at $8.92 and $8.11 as of December 31, 2009 and September 30, 2009, respectively. Our NAV was $11.86 and $11.85, as of December 31, 2009 and September 30, 2009,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prospectus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2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 in interest rates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set forth in our preliminary prospectus entitled “Risk Factors” and elsewhere.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the Securities and Exchange Commission, or the SEC, including annual reports on Form 10-K, quarterly reports on Form 10-Q and current reports on Form 8-K.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outstanding obligations under our credit facility and any such use may dilute our net asset value per share. We may also use such proceeds to invest in new or existing portfolio companies, or for other general corporate purposes. Any supplements to this prospectus relating to an offering may more fully indentify the use of the proceeds from such offering.</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2009, we had $54.3 million unused and $245.7 million in borrowings outstanding under our $300.0 million credit facility. Borrowings under our credit facility bear interest at an annual rate equal to LIBOR + 100 basis points per annum. At December 31, 2009, this corresponded to a weighted average interest rate at that time of 1.23% exclusive of the fee on undrawn commitment of 0.20%. The credit facility is a five-year revolving facility with a stated maturity date of June 25, 2012 and is secured by substantially all of the assets in our investment portfolio. Amounts repaid under our credit facility will remain available for future borrowings.</w:t>
      </w:r>
    </w:p>
    <w:p>
      <w:pPr>
        <w:spacing w:after="0" w:line="14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may invest the proceeds from an offering of securities in new or existing portfolio companies, and such investments may take up to two years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core assets. As a result, any distributions we make during this investment period may be lower than the distributions that we would expect to pay when such proceeds are fully invested in core assets. The management fee payable by us will not be reduced while our assets are invested in any such securities. See “Regulation—Temporary Investments” for additional information about temporary investments we may make prior to investing in core assets.</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derived the quarterly and annual financial information below from our audited and unaudited financial data and, in the opinion of management, such information reflects all adjustments (consisting of normal recurring adjustments) that are necessary to present fairly the results of such periods. The Statement of operations data, Per share data and Balance sheet data for the years ended September 30, 2009 and 2008, and for the period from January 11, 2007 (inception) through September 30, 2007 are derived from our financial statements which have been audited by KPMG LLP, our independent registered public accounting firm. Interim results as of and for the three months ended December 31, 2009 are not necessarily indicative of the results that may be expected for the year ending September 30, 2010. This selected financial data should be read in conjunction with our financial statements and related notes thereto and “Management’s Discussion and Analysis of Financial Condition and Results of Operations” and “Regulation—Senior Securities” in this prospectus.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For the period from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54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January 11, 2007</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5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4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(inception) through</w:t>
            </w:r>
          </w:p>
        </w:tc>
        <w:tc>
          <w:tcPr>
            <w:tcW w:w="0" w:type="dxa"/>
            <w:vAlign w:val="bottom"/>
          </w:tcPr>
          <w:p>
            <w:pPr>
              <w:spacing w:after="0"/>
              <w:rPr>
                <w:sz w:val="1"/>
                <w:szCs w:val="1"/>
                <w:color w:val="auto"/>
              </w:rPr>
            </w:pPr>
          </w:p>
        </w:tc>
      </w:t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320" w:type="dxa"/>
            <w:vAlign w:val="bottom"/>
          </w:tcPr>
          <w:p>
            <w:pPr>
              <w:spacing w:after="0"/>
              <w:rPr>
                <w:sz w:val="14"/>
                <w:szCs w:val="14"/>
                <w:color w:val="auto"/>
              </w:rPr>
            </w:pPr>
          </w:p>
        </w:tc>
        <w:tc>
          <w:tcPr>
            <w:tcW w:w="18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5"/>
              </w:rPr>
              <w:t>December 31, 2009</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2008</w:t>
            </w:r>
          </w:p>
        </w:tc>
        <w:tc>
          <w:tcPr>
            <w:tcW w:w="82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September 30, 2007</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87"/>
              </w:rPr>
              <w:t>Unaudited</w:t>
            </w:r>
          </w:p>
        </w:tc>
        <w:tc>
          <w:tcPr>
            <w:tcW w:w="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Audited</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8"/>
              </w:rPr>
              <w:t>Audited</w:t>
            </w:r>
          </w:p>
        </w:tc>
        <w:tc>
          <w:tcPr>
            <w:tcW w:w="8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8"/>
              </w:rPr>
              <w:t>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13,599</w:t>
            </w: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39,811</w:t>
            </w:r>
          </w:p>
        </w:tc>
        <w:tc>
          <w:tcPr>
            <w:tcW w:w="82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6,361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21,255</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(59,259)</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(40,703)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2"/>
        </w:trPr>
        <w:tc>
          <w:tcPr>
            <w:tcW w:w="4700" w:type="dxa"/>
            <w:vAlign w:val="bottom"/>
          </w:tcPr>
          <w:p>
            <w:pPr>
              <w:spacing w:after="0" w:line="162" w:lineRule="exact"/>
              <w:rPr>
                <w:sz w:val="20"/>
                <w:szCs w:val="20"/>
                <w:color w:val="auto"/>
              </w:rPr>
            </w:pPr>
            <w:r>
              <w:rPr>
                <w:rFonts w:ascii="Arial" w:cs="Arial" w:eastAsia="Arial" w:hAnsi="Arial"/>
                <w:sz w:val="18"/>
                <w:szCs w:val="18"/>
                <w:color w:val="auto"/>
                <w:w w:val="93"/>
              </w:rPr>
              <w:t>Net increase/(decrease) in net assets resulting from operations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right"/>
              <w:ind w:right="76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174"/>
        </w:trPr>
        <w:tc>
          <w:tcPr>
            <w:tcW w:w="4700" w:type="dxa"/>
            <w:vAlign w:val="bottom"/>
          </w:tcPr>
          <w:p>
            <w:pPr>
              <w:ind w:left="220"/>
              <w:spacing w:after="0"/>
              <w:rPr>
                <w:sz w:val="20"/>
                <w:szCs w:val="20"/>
                <w:color w:val="auto"/>
              </w:rPr>
            </w:pPr>
            <w:r>
              <w:rPr>
                <w:rFonts w:ascii="Arial" w:cs="Arial" w:eastAsia="Arial" w:hAnsi="Arial"/>
                <w:sz w:val="11"/>
                <w:szCs w:val="11"/>
                <w:color w:val="auto"/>
              </w:rPr>
              <w:t>(2)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526,898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513,141</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372,148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201,914</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Payable for investments and unfunded investments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6,455</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306,148</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(38.58)%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 xml:space="preserve">Number of portfolio companies (at period end) </w:t>
            </w:r>
            <w:r>
              <w:rPr>
                <w:rFonts w:ascii="Arial" w:cs="Arial" w:eastAsia="Arial" w:hAnsi="Arial"/>
                <w:sz w:val="11"/>
                <w:szCs w:val="11"/>
                <w:color w:val="auto"/>
              </w:rPr>
              <w:t>(4)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(at period end) </w:t>
            </w:r>
            <w:r>
              <w:rPr>
                <w:rFonts w:ascii="Arial" w:cs="Arial" w:eastAsia="Arial" w:hAnsi="Arial"/>
                <w:sz w:val="11"/>
                <w:szCs w:val="11"/>
                <w:color w:val="auto"/>
              </w:rPr>
              <w:t>(4)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base management fee waiver was in effect from Inception through March 31, 2008. See “Certain Relationships and Transaction” in this prospectus.</w:t>
      </w:r>
    </w:p>
    <w:p>
      <w:pPr>
        <w:spacing w:after="0" w:line="38"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investment income and net realized and change in unrealized losses per share data are calculated based on the weighted average shares outstanding for the respective periods.</w:t>
      </w:r>
    </w:p>
    <w:p>
      <w:pPr>
        <w:ind w:left="460" w:right="3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accounting principles generally accepted in the United States of America.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r>
      <w:tr>
        <w:trPr>
          <w:trHeight w:val="142"/>
        </w:trPr>
        <w:tc>
          <w:tcPr>
            <w:tcW w:w="10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Pr>
          <w:p>
            <w:pPr>
              <w:spacing w:after="0"/>
              <w:rPr>
                <w:sz w:val="12"/>
                <w:szCs w:val="12"/>
                <w:color w:val="auto"/>
              </w:rPr>
            </w:pPr>
          </w:p>
        </w:tc>
      </w:tr>
      <w:tr>
        <w:trPr>
          <w:trHeight w:val="210"/>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13,599</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18"/>
                <w:szCs w:val="18"/>
                <w:color w:val="auto"/>
              </w:rPr>
            </w:pPr>
          </w:p>
        </w:tc>
      </w:tr>
      <w:tr>
        <w:trPr>
          <w:trHeight w:val="216"/>
        </w:trPr>
        <w:tc>
          <w:tcPr>
            <w:tcW w:w="10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8"/>
                <w:szCs w:val="18"/>
                <w:color w:val="auto"/>
              </w:rPr>
            </w:pPr>
          </w:p>
        </w:tc>
      </w:tr>
      <w:tr>
        <w:trPr>
          <w:trHeight w:val="216"/>
        </w:trPr>
        <w:tc>
          <w:tcPr>
            <w:tcW w:w="10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18"/>
                <w:szCs w:val="18"/>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Q1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11,847</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98"/>
              </w:rPr>
              <w:t>$10,770</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$10,425</w:t>
            </w:r>
          </w:p>
        </w:tc>
        <w:tc>
          <w:tcPr>
            <w:tcW w:w="200" w:type="dxa"/>
            <w:vAlign w:val="bottom"/>
            <w:shd w:val="clear" w:color="auto" w:fill="CCEEFF"/>
          </w:tcPr>
          <w:p>
            <w:pPr>
              <w:spacing w:after="0"/>
              <w:rPr>
                <w:sz w:val="18"/>
                <w:szCs w:val="18"/>
                <w:color w:val="auto"/>
              </w:rPr>
            </w:pPr>
          </w:p>
        </w:tc>
        <w:tc>
          <w:tcPr>
            <w:tcW w:w="8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$ 12,077</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6,018</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5,666</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3"/>
              </w:rPr>
              <w:t>20,162</w:t>
            </w:r>
          </w:p>
        </w:tc>
        <w:tc>
          <w:tcPr>
            <w:tcW w:w="740" w:type="dxa"/>
            <w:vAlign w:val="bottom"/>
            <w:gridSpan w:val="6"/>
            <w:shd w:val="clear" w:color="auto" w:fill="CCEEFF"/>
          </w:tcPr>
          <w:p>
            <w:pPr>
              <w:ind w:left="80"/>
              <w:spacing w:after="0"/>
              <w:rPr>
                <w:sz w:val="20"/>
                <w:szCs w:val="20"/>
                <w:color w:val="auto"/>
              </w:rPr>
            </w:pPr>
            <w:r>
              <w:rPr>
                <w:rFonts w:ascii="Arial" w:cs="Arial" w:eastAsia="Arial" w:hAnsi="Arial"/>
                <w:sz w:val="18"/>
                <w:szCs w:val="18"/>
                <w:color w:val="auto"/>
                <w:w w:val="88"/>
              </w:rPr>
              <w:t>$ (6,486)</w:t>
            </w:r>
          </w:p>
        </w:tc>
        <w:tc>
          <w:tcPr>
            <w:tcW w:w="900" w:type="dxa"/>
            <w:vAlign w:val="bottom"/>
            <w:gridSpan w:val="6"/>
            <w:shd w:val="clear" w:color="auto" w:fill="CCEEFF"/>
          </w:tcPr>
          <w:p>
            <w:pPr>
              <w:jc w:val="center"/>
              <w:ind w:left="234"/>
              <w:spacing w:after="0"/>
              <w:rPr>
                <w:sz w:val="20"/>
                <w:szCs w:val="20"/>
                <w:color w:val="auto"/>
              </w:rPr>
            </w:pPr>
            <w:r>
              <w:rPr>
                <w:rFonts w:ascii="Arial" w:cs="Arial" w:eastAsia="Arial" w:hAnsi="Arial"/>
                <w:sz w:val="18"/>
                <w:szCs w:val="18"/>
                <w:color w:val="auto"/>
                <w:w w:val="89"/>
              </w:rPr>
              <w:t>$36,932</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w w:val="83"/>
              </w:rPr>
              <w:t>26,180</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(820)</w:t>
            </w:r>
          </w:p>
        </w:tc>
        <w:tc>
          <w:tcPr>
            <w:tcW w:w="900" w:type="dxa"/>
            <w:vAlign w:val="bottom"/>
            <w:gridSpan w:val="6"/>
          </w:tcPr>
          <w:p>
            <w:pPr>
              <w:jc w:val="center"/>
              <w:ind w:left="234"/>
              <w:spacing w:after="0"/>
              <w:rPr>
                <w:sz w:val="20"/>
                <w:szCs w:val="20"/>
                <w:color w:val="auto"/>
              </w:rPr>
            </w:pPr>
            <w:r>
              <w:rPr>
                <w:rFonts w:ascii="Arial" w:cs="Arial" w:eastAsia="Arial" w:hAnsi="Arial"/>
                <w:sz w:val="18"/>
                <w:szCs w:val="18"/>
                <w:color w:val="auto"/>
                <w:w w:val="89"/>
              </w:rPr>
              <w:t>$42,199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11.85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rPr>
              <w:t>11.72</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7.10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Q4</w:t>
            </w:r>
          </w:p>
        </w:tc>
        <w:tc>
          <w:tcPr>
            <w:tcW w:w="44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Q1</w:t>
            </w:r>
          </w:p>
        </w:tc>
        <w:tc>
          <w:tcPr>
            <w:tcW w:w="8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rPr>
              <w:t>$ 11,431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9,662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9,004</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4,732</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440" w:type="dxa"/>
            <w:vAlign w:val="bottom"/>
            <w:gridSpan w:val="6"/>
            <w:shd w:val="clear" w:color="auto" w:fill="CCEEFF"/>
          </w:tcPr>
          <w:p>
            <w:pPr>
              <w:ind w:left="1600"/>
              <w:spacing w:after="0"/>
              <w:rPr>
                <w:sz w:val="20"/>
                <w:szCs w:val="20"/>
                <w:color w:val="auto"/>
              </w:rPr>
            </w:pPr>
            <w:r>
              <w:rPr>
                <w:rFonts w:ascii="Arial" w:cs="Arial" w:eastAsia="Arial" w:hAnsi="Arial"/>
                <w:sz w:val="18"/>
                <w:szCs w:val="18"/>
                <w:color w:val="auto"/>
                <w:w w:val="99"/>
              </w:rPr>
              <w:t>$ (16,475)</w:t>
            </w:r>
          </w:p>
        </w:tc>
        <w:tc>
          <w:tcPr>
            <w:tcW w:w="2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$11,263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(37,778)</w:t>
            </w:r>
          </w:p>
        </w:tc>
        <w:tc>
          <w:tcPr>
            <w:tcW w:w="200" w:type="dxa"/>
            <w:vAlign w:val="bottom"/>
            <w:shd w:val="clear" w:color="auto" w:fill="CCEEFF"/>
          </w:tcPr>
          <w:p>
            <w:pPr>
              <w:spacing w:after="0"/>
              <w:rPr>
                <w:sz w:val="18"/>
                <w:szCs w:val="18"/>
                <w:color w:val="auto"/>
              </w:rPr>
            </w:pPr>
          </w:p>
        </w:tc>
        <w:tc>
          <w:tcPr>
            <w:tcW w:w="900" w:type="dxa"/>
            <w:vAlign w:val="bottom"/>
            <w:gridSpan w:val="8"/>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440" w:type="dxa"/>
            <w:vAlign w:val="bottom"/>
            <w:gridSpan w:val="6"/>
          </w:tcPr>
          <w:p>
            <w:pPr>
              <w:ind w:left="1600"/>
              <w:spacing w:after="0"/>
              <w:rPr>
                <w:sz w:val="20"/>
                <w:szCs w:val="20"/>
                <w:color w:val="auto"/>
              </w:rPr>
            </w:pPr>
            <w:r>
              <w:rPr>
                <w:rFonts w:ascii="Arial" w:cs="Arial" w:eastAsia="Arial" w:hAnsi="Arial"/>
                <w:sz w:val="18"/>
                <w:szCs w:val="18"/>
                <w:color w:val="auto"/>
                <w:w w:val="99"/>
              </w:rPr>
              <w:t>$ (11,041)</w:t>
            </w:r>
          </w:p>
        </w:tc>
        <w:tc>
          <w:tcPr>
            <w:tcW w:w="26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Arial" w:cs="Arial" w:eastAsia="Arial" w:hAnsi="Arial"/>
                <w:sz w:val="18"/>
                <w:szCs w:val="18"/>
                <w:color w:val="auto"/>
                <w:w w:val="95"/>
              </w:rPr>
              <w:t>$15,204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right"/>
              <w:ind w:right="20"/>
              <w:spacing w:after="0"/>
              <w:rPr>
                <w:sz w:val="20"/>
                <w:szCs w:val="20"/>
                <w:color w:val="auto"/>
              </w:rPr>
            </w:pPr>
            <w:r>
              <w:rPr>
                <w:rFonts w:ascii="Arial" w:cs="Arial" w:eastAsia="Arial" w:hAnsi="Arial"/>
                <w:sz w:val="18"/>
                <w:szCs w:val="18"/>
                <w:color w:val="auto"/>
              </w:rPr>
              <w:t>$ (33,329)</w:t>
            </w:r>
          </w:p>
        </w:tc>
        <w:tc>
          <w:tcPr>
            <w:tcW w:w="200" w:type="dxa"/>
            <w:vAlign w:val="bottom"/>
          </w:tcPr>
          <w:p>
            <w:pPr>
              <w:spacing w:after="0"/>
              <w:rPr>
                <w:sz w:val="18"/>
                <w:szCs w:val="18"/>
                <w:color w:val="auto"/>
              </w:rPr>
            </w:pPr>
          </w:p>
        </w:tc>
        <w:tc>
          <w:tcPr>
            <w:tcW w:w="900" w:type="dxa"/>
            <w:vAlign w:val="bottom"/>
            <w:gridSpan w:val="8"/>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(1.58)</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76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tcPr>
          <w:p>
            <w:pPr>
              <w:ind w:lef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12.07</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76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10.02</w:t>
            </w:r>
          </w:p>
        </w:tc>
        <w:tc>
          <w:tcPr>
            <w:tcW w:w="80" w:type="dxa"/>
            <w:vAlign w:val="bottom"/>
            <w:shd w:val="clear" w:color="auto" w:fill="CCEEFF"/>
          </w:tcPr>
          <w:p>
            <w:pPr>
              <w:spacing w:after="0"/>
              <w:rPr>
                <w:sz w:val="18"/>
                <w:szCs w:val="18"/>
                <w:color w:val="auto"/>
              </w:rPr>
            </w:pPr>
          </w:p>
        </w:tc>
      </w:tr>
      <w:tr>
        <w:trPr>
          <w:trHeight w:val="351"/>
        </w:trPr>
        <w:tc>
          <w:tcPr>
            <w:tcW w:w="5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5"/>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gridSpan w:val="3"/>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$ 5,425</w:t>
            </w:r>
          </w:p>
        </w:tc>
        <w:tc>
          <w:tcPr>
            <w:tcW w:w="20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$ 3,208</w:t>
            </w:r>
          </w:p>
        </w:tc>
        <w:tc>
          <w:tcPr>
            <w:tcW w:w="200" w:type="dxa"/>
            <w:vAlign w:val="bottom"/>
          </w:tcPr>
          <w:p>
            <w:pPr>
              <w:spacing w:after="0"/>
              <w:rPr>
                <w:sz w:val="18"/>
                <w:szCs w:val="18"/>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 (18,870)</w:t>
            </w:r>
          </w:p>
        </w:tc>
        <w:tc>
          <w:tcPr>
            <w:tcW w:w="110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$(5,152)</w:t>
            </w:r>
          </w:p>
        </w:tc>
        <w:tc>
          <w:tcPr>
            <w:tcW w:w="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6"/>
          </w:tcPr>
          <w:p>
            <w:pPr>
              <w:spacing w:after="0"/>
              <w:rPr>
                <w:sz w:val="20"/>
                <w:szCs w:val="20"/>
                <w:color w:val="auto"/>
              </w:rPr>
            </w:pPr>
            <w:r>
              <w:rPr>
                <w:rFonts w:ascii="Arial" w:cs="Arial" w:eastAsia="Arial" w:hAnsi="Arial"/>
                <w:sz w:val="18"/>
                <w:szCs w:val="18"/>
                <w:color w:val="auto"/>
                <w:w w:val="87"/>
              </w:rPr>
              <w:t>$ (14,522)</w:t>
            </w:r>
          </w:p>
        </w:tc>
        <w:tc>
          <w:tcPr>
            <w:tcW w:w="1100" w:type="dxa"/>
            <w:vAlign w:val="bottom"/>
            <w:gridSpan w:val="7"/>
          </w:tcPr>
          <w:p>
            <w:pPr>
              <w:jc w:val="right"/>
              <w:ind w:right="140"/>
              <w:spacing w:after="0"/>
              <w:rPr>
                <w:sz w:val="20"/>
                <w:szCs w:val="20"/>
                <w:color w:val="auto"/>
              </w:rPr>
            </w:pPr>
            <w:r>
              <w:rPr>
                <w:rFonts w:ascii="Arial" w:cs="Arial" w:eastAsia="Arial" w:hAnsi="Arial"/>
                <w:sz w:val="18"/>
                <w:szCs w:val="18"/>
                <w:color w:val="auto"/>
              </w:rPr>
              <w:t>$(1,944)</w:t>
            </w:r>
          </w:p>
        </w:tc>
        <w:tc>
          <w:tcPr>
            <w:tcW w:w="3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6"/>
          </w:tcPr>
          <w:p>
            <w:pPr>
              <w:jc w:val="center"/>
              <w:ind w:left="254"/>
              <w:spacing w:after="0"/>
              <w:rPr>
                <w:sz w:val="20"/>
                <w:szCs w:val="20"/>
                <w:color w:val="auto"/>
              </w:rPr>
            </w:pPr>
            <w:r>
              <w:rPr>
                <w:rFonts w:ascii="Arial" w:cs="Arial" w:eastAsia="Arial" w:hAnsi="Arial"/>
                <w:sz w:val="18"/>
                <w:szCs w:val="18"/>
                <w:color w:val="auto"/>
                <w:w w:val="93"/>
              </w:rPr>
              <w:t>$ 13.74</w:t>
            </w:r>
          </w:p>
        </w:tc>
        <w:tc>
          <w:tcPr>
            <w:tcW w:w="200" w:type="dxa"/>
            <w:vAlign w:val="bottom"/>
          </w:tcPr>
          <w:p>
            <w:pPr>
              <w:spacing w:after="0"/>
              <w:rPr>
                <w:sz w:val="18"/>
                <w:szCs w:val="18"/>
                <w:color w:val="auto"/>
              </w:rPr>
            </w:pPr>
          </w:p>
        </w:tc>
        <w:tc>
          <w:tcPr>
            <w:tcW w:w="800" w:type="dxa"/>
            <w:vAlign w:val="bottom"/>
            <w:gridSpan w:val="6"/>
          </w:tcPr>
          <w:p>
            <w:pPr>
              <w:jc w:val="right"/>
              <w:ind w:right="80"/>
              <w:spacing w:after="0"/>
              <w:rPr>
                <w:sz w:val="20"/>
                <w:szCs w:val="20"/>
                <w:color w:val="auto"/>
              </w:rPr>
            </w:pPr>
            <w:r>
              <w:rPr>
                <w:rFonts w:ascii="Arial" w:cs="Arial" w:eastAsia="Arial" w:hAnsi="Arial"/>
                <w:sz w:val="18"/>
                <w:szCs w:val="18"/>
                <w:color w:val="auto"/>
              </w:rPr>
              <w:t>$12.08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center"/>
              <w:ind w:left="254"/>
              <w:spacing w:after="0"/>
              <w:rPr>
                <w:sz w:val="20"/>
                <w:szCs w:val="20"/>
                <w:color w:val="auto"/>
              </w:rPr>
            </w:pPr>
            <w:r>
              <w:rPr>
                <w:rFonts w:ascii="Arial" w:cs="Arial" w:eastAsia="Arial" w:hAnsi="Arial"/>
                <w:sz w:val="18"/>
                <w:szCs w:val="18"/>
                <w:color w:val="auto"/>
                <w:w w:val="93"/>
              </w:rPr>
              <w:t>$ 14.04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364"/>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From January 11, 2007 (inception of operations)</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PennantPark was organized under the Maryland General Corporation Law in January 2007. We are an externally managed, closed-end, non-diversified investment company that has elected to be treated as a business development company under the 1940 Act. As such, we are required to comply with certain regulatory requirements. For instance, we generally have to invest at least 70% of our total assets in “qualifying assets,” including securities of U.S. private companies or thinly traded public companies, with a market capitalization of less than $250 million, cash, cash equivalents, U.S. government securities and high-quality debt investments that mature in one year or less.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and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subordinated debt, second lien debt, certain senior secured investments, and to a lesser extent equity investments. The companies in which we invest are typically highly leveraged, often as a result of leveraged buy-outs or other recapitalization transactions,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our investments in mezzanine debt, senior secured loans, and other investments will range between $10 million and $50 million each. We expect this investment size to vary proportionately with the size of our capital base.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currently operating in a constrained credit market. 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has adversely affected each of these factors and has resulted in a broad-based reduction in the demand for, and valuation of, high-risk debt instruments. These conditions may present us with attractive investment opportunities, as we believe that there are many middle-market companies that need mezzanine debt and senior secured financing. However, these market conditions may also adversely affect our portfolio valuations and increase the risk of default among our portfolio companies, which could negatively impact our performance. We have used, and will continue to use, the proceeds of our public offerings of securities and of our credit facility in accordance with our investment objectives. We did not experience compromised liquidity during the recent turmoil in the global credit markets because of our ability to sell loans from our senior secured portfolio, our availability under our credit facility, and our ability to access the capital markets to issue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mezzanine debt or senior secured loans,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interest income. We record prepayment premiums on loans and debt securities as interest income. Dividend income, if any, is recognized on an accrual basis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costs and expenses of our operations and transactions, including:</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We expect our general and administrative operating expenses related to our ongoing operations to remain relatively stable or decline slightly as a percentage of our assets in future periods. Incentive fees, interest expense and costs relating to future offerings of securities would be additive.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requires that “Total Annual Expenses” be calculated as a percentage of net assets in the chart on page 7 of this prospectus rather than as a percentage of total assets. Total assets include assets that have been funded with borrowed monies (leverage). For reference, the chart below illustrates our “Total Annual Expenses” as a percentage of total assets: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Estimated Annual Expenses (as a Percentage of Total Assets)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2.00%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3520" w:type="dxa"/>
            <w:vAlign w:val="bottom"/>
            <w:gridSpan w:val="3"/>
          </w:tcPr>
          <w:p>
            <w:pPr>
              <w:ind w:left="2920"/>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3520" w:type="dxa"/>
            <w:vAlign w:val="bottom"/>
            <w:gridSpan w:val="3"/>
            <w:shd w:val="clear" w:color="auto" w:fill="CCEEFF"/>
          </w:tcPr>
          <w:p>
            <w:pPr>
              <w:ind w:left="2920"/>
              <w:spacing w:after="0"/>
              <w:rPr>
                <w:sz w:val="20"/>
                <w:szCs w:val="20"/>
                <w:color w:val="auto"/>
              </w:rPr>
            </w:pPr>
            <w:r>
              <w:rPr>
                <w:rFonts w:ascii="Arial" w:cs="Arial" w:eastAsia="Arial" w:hAnsi="Arial"/>
                <w:sz w:val="18"/>
                <w:szCs w:val="18"/>
                <w:color w:val="auto"/>
                <w:w w:val="89"/>
              </w:rPr>
              <w:t>0.62%</w:t>
            </w:r>
            <w:r>
              <w:rPr>
                <w:rFonts w:ascii="Arial" w:cs="Arial" w:eastAsia="Arial" w:hAnsi="Arial"/>
                <w:sz w:val="11"/>
                <w:szCs w:val="11"/>
                <w:color w:val="auto"/>
                <w:w w:val="8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29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w w:val="89"/>
              </w:rPr>
              <w:t>0.84%</w:t>
            </w:r>
            <w:r>
              <w:rPr>
                <w:rFonts w:ascii="Arial" w:cs="Arial" w:eastAsia="Arial" w:hAnsi="Arial"/>
                <w:sz w:val="11"/>
                <w:szCs w:val="11"/>
                <w:color w:val="auto"/>
                <w:w w:val="89"/>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2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total assets. See “Certain Relationships and Transactions—Investment Management Agreement.”</w:t>
      </w:r>
    </w:p>
    <w:p>
      <w:pPr>
        <w:spacing w:after="0" w:line="50"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portion of incentive fees paid in respect of net investment income is based on actual amounts incurred during the three months ended December 31, 2009.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advisory and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we cannot predict our future net investment income or capital gains, the incentive fee paid in future years, if any, may be substantially different than the fee earned during the three months ended December 31, 2009. For more detailed information about the incentive fee, please see the section of this prospectus captioned “Certain Relationships and Transactions—Investment Management Agreement” and Note 3 to our financial statements included in this prospectus.</w:t>
      </w:r>
    </w:p>
    <w:p>
      <w:pPr>
        <w:spacing w:after="0" w:line="41"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December 31, 2009, we had $54.3 million unused, subject to maintenance of the applicable total assets to debt ratio of 200%, and $245.7 million in borrowings outstanding under our $300.0 million credit facility. We may use proceeds of an offering of securities under this registration statement to repay outstanding obligations under our credit facility. After completing any such offering, we intend to continue to borrow under our credit facility to finance portfolio investments and are permitted to do so under the terms of our credit facility. We have estimated the interest payments on borrowed funds to take this into account. We caution you that our actual interest expense will depend on prevailing interest rates and our rate of borrowing and may be substantially higher than the estimate provided in this table. For more information, see “Risk Factors—We currently use borrowed funds to make investments and are exposed to the typical risks associated with leverage.”</w:t>
      </w:r>
    </w:p>
    <w:p>
      <w:pPr>
        <w:spacing w:after="0" w:line="37" w:lineRule="exact"/>
        <w:rPr>
          <w:rFonts w:ascii="Arial" w:cs="Arial" w:eastAsia="Arial" w:hAnsi="Arial"/>
          <w:sz w:val="16"/>
          <w:szCs w:val="16"/>
          <w:color w:val="auto"/>
        </w:rPr>
      </w:pPr>
    </w:p>
    <w:p>
      <w:pPr>
        <w:ind w:left="460" w:right="10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 Expenses” includes, among other expenses,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December 31, 2009. See our “Statement of Operations” in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or “GAAP.” References to the Accounting Standards Codification, or ASC, serve as a single source of accounting literature and are not intended to change accounting literature. The preparation of these financial statements requires management to make estimates and assumptions that affect the reported amounts of assets, liabilities,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expenses. Changes in the economic environment, financial markets and any other parameters used in determining such estimates could cause actual results to differ. In addition to the discussion below, we describe our critical accounting policies in the notes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In September 2006, the Financial Accounting Standards Board, or FASB, issued guidance on,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ASC 820 (formerly SFAS 157), which clarifies the definition of fair value and requires companies to expand their disclosure about the use of fair value to measure assets and liabilities in interim and annual periods subsequent to initial recognition. ASC 820 requires the use of the price that would be received to sell an asset or paid to transfer a liability in an orderly transaction between market participants at the measurement date. ASC 820 is effective for our fiscal year beginning October 1, 2008 and interim financial statements issued within our fiscal year ending September 30, 2009. ASC 820 did not affect our financial position or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following hierarchy: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332" w:lineRule="auto"/>
        <w:rPr>
          <w:sz w:val="20"/>
          <w:szCs w:val="20"/>
          <w:color w:val="auto"/>
        </w:rPr>
      </w:pPr>
      <w:r>
        <w:rPr>
          <w:rFonts w:ascii="Arial" w:cs="Arial" w:eastAsia="Arial" w:hAnsi="Arial"/>
          <w:sz w:val="16"/>
          <w:szCs w:val="16"/>
          <w:color w:val="auto"/>
        </w:rPr>
        <w:t xml:space="preserve">A financial instrument’s categorization within the valuation hierarchy is based upon the lowest level of input that is significant to the fair value measurement. All of our investments (other than cash and cash equivalents) and long-term credit facility are classified as </w:t>
      </w:r>
      <w:r>
        <w:rPr>
          <w:rFonts w:ascii="Arial" w:cs="Arial" w:eastAsia="Arial" w:hAnsi="Arial"/>
          <w:sz w:val="16"/>
          <w:szCs w:val="16"/>
          <w:i w:val="1"/>
          <w:iCs w:val="1"/>
          <w:color w:val="auto"/>
        </w:rPr>
        <w:t>Level 3</w:t>
      </w:r>
      <w:r>
        <w:rPr>
          <w:rFonts w:ascii="Arial" w:cs="Arial" w:eastAsia="Arial" w:hAnsi="Arial"/>
          <w:sz w:val="16"/>
          <w:szCs w:val="16"/>
          <w:color w:val="auto"/>
        </w:rPr>
        <w:t>.</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Decreased and Identifying Transactions That Are Not Orderly, </w:t>
      </w:r>
      <w:r>
        <w:rPr>
          <w:rFonts w:ascii="Arial" w:cs="Arial" w:eastAsia="Arial" w:hAnsi="Arial"/>
          <w:sz w:val="16"/>
          <w:szCs w:val="16"/>
          <w:color w:val="auto"/>
        </w:rPr>
        <w:t>ASC 820-10-35-51A (formerly FASB Staff Position No. 157-4). ASC 820-10-35-51A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ASC 820 to provide additional guidance for 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34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the FASB issued guidance on,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w:t>
      </w:r>
      <w:r>
        <w:rPr>
          <w:rFonts w:ascii="Arial" w:cs="Arial" w:eastAsia="Arial" w:hAnsi="Arial"/>
          <w:sz w:val="16"/>
          <w:szCs w:val="16"/>
          <w:i w:val="1"/>
          <w:iCs w:val="1"/>
          <w:color w:val="auto"/>
        </w:rPr>
        <w:t>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115, </w:t>
      </w:r>
      <w:r>
        <w:rPr>
          <w:rFonts w:ascii="Arial" w:cs="Arial" w:eastAsia="Arial" w:hAnsi="Arial"/>
          <w:sz w:val="16"/>
          <w:szCs w:val="16"/>
          <w:color w:val="auto"/>
        </w:rPr>
        <w:t>ASC 825 (formerly SFAS 159), that permits an entity to choose to measure many financial instruments and certain other items at fair value. ASC 825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to all reporting entities and contains financial statement presentation and disclosure requirements for assets and liabilities reported at fair value as a consequence of the election. We adopted ASC 825 on October 1, 2008 and PennantPark Investment has made an irrevocable election to apply the fair value option to our credit facility liability. The fair value option was elected for our credit facility to align the measurement attributes of both the assets and liabilities while mitigating volatility in earnings from using different measurement attributes. Upon our adoption our net asset value increased by $41.8 million, or $1.99 per share, due to the fair value adjustment related to our credit facility. We have used a nationally recognized independent valuation service to measure the fair value of our credit facility in a manner consistent with the valuation process that our board of directors uses to value our investments. After adoption, subsequent changes in the fair value of our credit facility will be recorded in the statement of operations. We have not elected to apply ASC 825 to any other financial assets or liabilities. On December 31, 2009 and September 30, 2009, net unrealized depreciation on our long-term credit facility totaled $43.8 and $49.6 million, respectively, which included the cumulative effect of adoption of ASC 825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securities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securities if we determine that it is probable that we will not be able to collect such interest. Loan origination fees, original issue discount and market discount or premium are capitalized, and we then amortize such amounts as interest income throughout the life of the loan. We record prepayment premiums on loans and debt securities as interest income. We recognize dividend income, if any, on an accrual basis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operate so as to qualify to maintain our election to be taxed as a RIC under Subchapter M of the Code and intend to continue to do so. Accordingly, we are not subject to federal income tax on the portion of our taxable income and gains distributed to stockholders. To qualify as a RIC, we are required to distribute at least 90% of our investment company taxable income as defined by the Code. If we do not distribute at least 98% of our annual taxable income (excluding net long-term capital gains retained or deemed to be distributed) in the year earned, we generally will be required to pay an excise tax on amounts carried over and distributed to shareholders in the next year equal to 4% of the amount by which 98% of our annual taxable income available for distribution exceeds the distributions from such income for the current year.</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2009, our portfolio totaled $513.1 million and consisted of $176.8 million of subordinated debt, $147.1 million of second lien secured debt, $160.7 million of senior secured loans, and $28.5 million of preferred and common equity investments. Our core assets totaled $478.2 million and consisted of investments in thirty-five different companies with an average investment size of $13.7 million per company and a weighted average yield of 12.2% on debt investments. Our non-core senior secured loan portfolio totaled $34.9 million and consisted of nine different companies with an average investment size of $3.9 million, and a weighted average yield of 2.7% on debt investments. Our debt portfolio consisted of 61% fixed-rate (including 18% with a LIBOR floor) and 39% in variable-rate investments. Overall, the portfolio had an unrealized depreciation of $3.6 million as of December 31, 2009. Our overall portfolio consisted of forty-four companies with an average investment size of $11.7 million and a weighted average yield on debt investments of 11.3%, and was invested 35% in subordinated debt, 29% in second lien secured debt, 31% in senior secured loans and 5% in preferred and common equity investments.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September 30, 2009, our portfolio totaled $469.8 million and consisted of $157.1 million of subordinated debt, $134.4 million of second lien secured debt, $150.6 million of senior secured loans, and $27.7 million of equity investments. Our core assets totaled $427.1 million and consisted of investments in thirty different companies with an average investment size of $14.2 million per company and a weighted average yield of 12.5% on debt investments. Our non-core senior secured loan portfolio totaled $42.7 million and consisted of thirteen different companies (including one company also in our core portfolio) with an average investment size of $3.3 million, and a weighted average yield of 3.1%. Our debt portfolio consisted of 53% fixed-rate and 47% variable-rate investments. Overall, the portfolio had an unrealized depreciation of $27.5 million. Our overall portfolio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2008, our portfolio totaled $372.1 million and consisted of $166.2 million of subordinated debt, $104.2 million of second lien secured debt, $78.8 million of senior secured loans, and $22.9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million of equity investments. Our core assets totaled $305.5 million and consisted of investments in nineteen different companies with an average investment size of $16.1 million per company and a weighted average yield of 12.5% on debt investments. Our non-core senior secured loan portfolio totaled $66.6 million and consisted of nineteen different companies (including one company also in our core portfolio) with an average investment size of $3.5 million, and a weighted average yield of 5.2%. Our debt portfolio consisted of 45% fixed-rate and 55% variable-rate investments. Overall, the portfolio had an unrealized depreciation of $72.0 million. Our overall portfolio consisted of thirty-seven companies with an average investment size of $10.1 million and a weighted average yield on debt investments of 11.1%, and was invested 45% in subordinated debt, 28% in second lien secured debt, 21% in senior secured loans, and 6% in preferred and common equity investments.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the three months ended December 31, 2009, we invested $50.5 million in six new and two existing portfolio companies with a weighted average yield on debt investments of 12.8%. Sales and repayments of long-term investments for the three months ended December 31, 2009 totaled $16.8 million.</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three months ended December 31, 2008, we invested approximately $0.8 million in two existing portfolio companies. Sales and repayments of long term investments for the three months ended December 31, 2008 totaled $2.3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2009 and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Investment income for the three month period ended December 31, 2009, was $13.6 million, and was primarily attributable to $5.4 million from subordinated debt investments, $3.2 million from second lien secured debt investments and $3.5 million from senior secured loan investments. The remaining investment income was primarily attributed to net accretion of discount and amortization of premium and other income. The increase in investment income compared with the same period in the prior year is due to the growth of our portfolio and the transition of the portfolio from temporary to long-term core investments.</w:t>
      </w:r>
    </w:p>
    <w:p>
      <w:pPr>
        <w:spacing w:after="0" w:line="143"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Investment income for the three month period ended December 31, 2008, was $12.1 million, and was primarily attributable to $2.5 million from subordinated debt investments, $3.9 million from second lien secured debt investments and $5.0 million from senior secured loan investments. The remaining investment income was primarily attributed to interest income from short-term investments and to net accretion of discount and amortization of premium.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three month period ended December 31, 2009, totaled $6.4 million. Base management fee for the same period totaled $2.5 million, performance-based incentive fee totaled $1.8 million, credit facility related expense totaled $0.8 million, general and administrative expenses totaled $1.1 million and an excise tax of $0.1 million.</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Expenses for the three month period ended December 31, 2008, totaled $ 6.3 million. Base management fee for the same period totaled $ 1.8 million, performance-based incentive fee totaled $ 1.4 million, credit facility related expense totaled $ 1.8 million and general and administrative expenses totaled $ 1.2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Net investment income totaled $7.2 million, or $0.28 per share, for the three month period ended December 31, 2009, and $5.8 million, or $0.27 per share, for the three month period ended December 31,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and repayments of long-term investments for the three month period ended December 31, 2009 totaled $16.8 million and realized losses totaled $16.6 million due to sales of senior secured loans and restructurings on investments offset by repayments on other investments. Sales and repayments of long-term investments totaled $2.3 million, and net realized losses totaled $0.9 million for the three month period ended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and (Appreciation) Depreciation Credit Facility</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three month periods ended December 31, 2009 and 2008, our investments had a net change in unrealized appreciation (depreciation) of $23.9 million and $(42.4) million, respectively. On December 31, 2009 and September 30, 2009, net unrealized depreciation on investments totaled $3.6 million and $27.5 million, respectively.</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the three month periods ended December 31, 2009 and 2008, our long-term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from Operations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Net increase in net assets resulting from operations totaled $8.7 million, or $0.34 per share, for the three month period ended December 31, 2009, primarily due to the overall increase in fair values for investments held in our portfolio offset to some extent by the increase in fair value of our credit facility and realized losses. Net decrease in net assets resulting from operations totaled $(31.8) million, or $(1.51) per share, for the three month period ended December 31, 2008.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Set forth below are our results of operations for the fiscal years ended September 30, 2009 and 2008, and for the period from January 11, 2007 (inception) to September 30,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primarily attributable to $24.1 million from subordinated debt investments, $12.2 million from second lien secured debt investments, and $6.0 million from senior secured loan investments for the same period. The remaining investment income was primarily attributed to interest income from net accretion of discount and amortization of premium. The increase in investment income from fiscal year 2008 to 2009 was due to the growth in our overall portfolio.</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Investment income for the fiscal year ended September 30, 2008, was $39.8 million, and was primarily attributable to $7.2 million from subordinated debt investments, $14.7 million from second lien secured debt investments, and $16.2 from senior secured loan investments for the same period. The remaining investment income was primarily attributed to interest income from short-term investments and to net accretion of discount and amortization of premium. The increase in investment income from fiscal year 2007 to 2008 was due to the growth of our portfolio and the transition of the portfolio from temporary to long-term investments.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Investment income for the period from January 11, 2007 (inception) through September 30, 2007 was $13.1 million and was primarily attributed to senior secured loan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2009, totaled $22.4 million. Base management fee for the same period totaled $7.7 million, performance-based incentive fee totaled $5.7 million, credit facility related expense totaled $4.6 million and general and administrative expenses totaled $4.4 million. The increases in expenses from fiscal year 2008 to 2009 were primarily due to the growth of our portfolio and offset by the reduced borrowing costs under our credit facility.</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Net expenses for the fiscal year ended September 30, 2008, totaled $21.2 million. Net base management fee for the same period totaled $6.7 million, performance-based incentive fee totaled $3.8 million, credit facility related expense totaled $6.3 million and general and administrative expenses totaled $4.4 million. The increases in expenses from fiscal year 2007 to 2008 were due to the growth of our portfolio and the incurrence of additional borrowing costs under our credit facility.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expenses for the period from January 11, 2007 (inception) through September 30, 2007 were $5.8 million. Of these totals, $1.8 million was attributable to credit facility related expenses, and $2.1 million to general and administrative expenses (including approximately $0.3 million non-recurring, primarily legal and corporate tax expenses). Net base management fee for both periods totaled $1.9 million. PennantPark Investment Advisers did not receive a management or incentive fee for its service performed on our behalf prior to completion of our initial public offering on April 24,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Net investment income totaled $22.7 million or $1.08 per share and $18.6 million or $0.88 per share, respectively, for the fiscal years ended September 30, 2009 and 2008, and $7.3 million or $0.35 per share for the period from January 11, 2007 (inception) through September 30,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and repayments of long-term investments for the fiscal years ended September 30, 2009 and 2008, totaled $28.0 million and $70.1 million, respectively, and net realized losses totaled $39.2 and $11.2 million, respectively. Sales and repayments of long-term investments for the period from January 11, 2007 (inception) through September 30, 2007 totaled $99.6 million and net realized losses totaled approximately $0.1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 Cash Equivalents and Credit Facility</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Net unrealized appreciation (depreciation) on investments and cash equivalents totaled $44.5 million, $(48.1) million and $(23.9) million for the fiscal years ended September 30, 2009, 2008 and for the period from January 11, 2007 (inception) through September 30, 2007, respectively. Net unrealized appreciation on credit facility totaled $7.8 million for the fiscal year ended September 30,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Increase/Decrease in Net Assets from Operations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Net increase in net assets resulting from operations totaled $35.8 million, or $1.70 per share, for the fiscal year ended September 30, 2009, primarily due the overall increases in market values for investments held in our portfolio and the decrease in the fair value of our credit facility, offset by realized losses. Net decrease in net assets resulting from operations totaled $40.7 million, or $1.93 per share, for the fiscal year ended September 30, 2008, primarily due to the overall decline in market values for investments held in our portfolio. Net decrease in net assets resulting from operations totaled $16.7 million or $0.80 per share for the period from January 11, 2007 (inception) through September 30, 2007.</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June 25, 2007, PennantPark Investment entered into a senior secured revolving credit agreement, or our credit facility, among us, various lenders and SunTrust Bank, as administrative agent for the lenders. SunTrust Robinson Humphrey Capital Markets acted as the joint lead arranger and JPMorgan Chase (Chase Lincoln First Commercial successor interest of Bear Stearns Corporate Lending Inc.) acted as joint lead arranger and syndication agent. As of December 31, 2009, we had outstanding borrowings of $245.7 million with a fair value of $201.9 million and a weighted average interest rate at that time of 1.23% exclusive of the fee on undrawn commitment of 0.20%.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$300.0 million at any one time outstanding. Our credit facility is a five-year revolving facility (with a stated maturity date of June 25, 2012) and is secured by substantially all of our investment portfolio assets.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requirements, (b) maintenance of a minimum shareholders’ equity of the greater of (i) 40% of the total assets of PennantPark Investment and its subsidiaries as at the last day of any fiscal quarter and (ii) the sum of (A) $120,000,000 plus (B) 25% of the net proceeds from the sale of equity interests in PennantPark Investment and its subsidiaries after the closing date of the credit facility, (c) maintenance of a ratio of total assets (less total liabilities other than indebtedness) to total indebtedness, in each case of PennantPark Investment, of not less than 2.0:1.0, (d) maintenance of minimum liquidity standards, (e) limitations on the incurrence of additional indebtedness, (f) limitations on liens, (g) limitations on fundamental corporate changes, (h) limitations on investments (other than PennantPark Investment’s portfolio investments and certain other ordinary course investments), (i) limitations on payments and distributions (other than distributions to PennantPark Investment’s shareholders as contemplated to maintain RIC status), (j) limitations on transactions with affiliates, (k) limitations on engaging in business not contemplated by PennantPark Investment’s investment objectives, and (l) limitations on the creation or existence of agreements that prohibit liens on properties of PennantPark Investment and its subsidiaries. In addition to the asset coverage ratio described in clause (c) of the preceding sentence, borrowings under our credit facility (and the incurrence of certain other permitted debt) will be subject to compliance with a borrowing base that will apply different advance rates to different types of assets in PennantPark Investment’s portfolio.</w:t>
      </w:r>
    </w:p>
    <w:p>
      <w:pPr>
        <w:spacing w:after="0" w:line="12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PennantPark Investment has and may continue to raise additional equity or debt capital through a registered offering off a shelf registration or may securitize a portion of its investments among other considerations. In addition, debt capital, to the extent it is available under stressed credit market conditions, may be issued at a higher cost and on less favorable terms and conditions. Furthermore, our credit facility’s availability depends on various covenants and restrictions as discussed in the preceding paragraph. The primary uses of existing funds and any funds raised in the future is expected to be for the repayment of indebtedness, investments in portfolio companies, cash distributions to our shareholders or for other general corporate purposes.</w:t>
      </w:r>
    </w:p>
    <w:p>
      <w:pPr>
        <w:spacing w:after="0" w:line="116"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PennantPark Investment’s liquidity and capital resources are also generated and available from cash flows from operations, including investment sales and repayments, and income earned. On February 2, 2010, our stockholders approved a proposal that authorizes us to sell shares of our common stock below the then current net asset value per share of our common stock in one or more offerings for a period of 12 months. On September 29, 2009, we sold shares of our common stock below the then current net asset value per share of common stock also with stockholder approval we previously received August 29, 2009. Any decisions to sell shares below the then current net assets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your interest in our common stock and a reduction of our net asset value per share.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operating activities used cash of $45.1 million for the three months ended December 31, 2009, and our financing activities provided net cash proceeds of $18.9 million for the same period, primarily from proceeds on issuance of common stock and net borrowings on our credit facility.</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operating activities generated cash of 10.0 million for the three months ended December 31, 2008, and our financing activities used cash of $49.7 million for the same period, primarily from net repayments under our credit facility.</w:t>
      </w:r>
    </w:p>
    <w:p>
      <w:pPr>
        <w:spacing w:after="0" w:line="15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operating activities used cash of $42.4 million for the fiscal year ended September 30, 2009, and our financing activities provided net cash proceeds of $35.4 million for the same period, primarily from both proceeds on a follow-on public offering and net borrowings on our credit facility.</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operating activities used cash of $390.7 million for the fiscal year ended September 30, 2008, and our financing activities provided cash proceeds of $173.0 million for the same period, primarily from net borrowings under our credit facility.</w:t>
      </w:r>
    </w:p>
    <w:p>
      <w:pPr>
        <w:spacing w:after="0" w:line="13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Our operating activities used cash of $37.9 million for the period from January 11, 2007 (inception) through September 30, 2007 and our financing activities provided cash proceeds of $295.8 million for the same period, primarily from the issuance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for the repayment of outstanding borrowing under the multi-currency $300.0 million, five-year, revolving credit facility maturing in June 2012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2"/>
              </w:rPr>
              <w:t>Payments due by period (millions)</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r>
      <w:tr>
        <w:trPr>
          <w:trHeight w:val="161"/>
        </w:trPr>
        <w:tc>
          <w:tcPr>
            <w:tcW w:w="4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1-3 years</w:t>
            </w:r>
          </w:p>
        </w:tc>
        <w:tc>
          <w:tcPr>
            <w:tcW w:w="4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3-5 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$245.7</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$ 245.7</w:t>
            </w: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31, 2009, $54.3 million remained unused under our senior secured revolving credit facility, subject to maintenance of at least 200% of our total assets less liabilities other than indebtedness to our total outstanding indebtedness, maintenance of a blended percentage of the values of our portfolio companies, and restrictions on certain payments and issuance of debt.</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renewed in February 2010, PennantPark Investment Advisers serves as our investment adviser in accordance with our Investment Management Agreement. Payments under our Investment Management Agreement in each reporting period are equal to (1) a management fee equal to a percentage of the value of our gross assets and (2) an incentive fee based on our performance. See “Certain Relationships and Transactions—Investment Management Agreement” and Note 3 to our financial statements for more information.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2010, PennantPark Investment Administration furnishes us with office facilities and administrative services necessary to conduct our day-to-day operations. If requested to provide managerial assistance to our portfolio companies,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 See “Certain Relationships and Transactions—Administration Agreement” and Note 3 to our financial statements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do not engage in any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order to qualify as a RIC and to not be subject to corporate-level tax on income, we are required, under Subchapter M of the Code, to distribute at least 90% of the sum of our ordinary income and realized net capital gains, if any, to our stockholders on an annual basis. Although not required for us to maintain our RIC tax status, we also must distribute at least 98% of our income (both ordinary income and net capital gains) in order to preclude the imposition of an entity level excise tax. For the three months ended December 31, 2009, we have elected to retain a portion of our calendar year income and record an excise tax of $0.1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three months ended December 31, 2009 and 2008, we declared distributions of $0.25 and $0.24 per share, respectively, for total distributions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$6.5 million and $5.1 million, respectively. During the fiscal years ended September 30, 2009 and 2008, and for the period from January 11, 2007 (inception)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September 30, 2007, we paid to stockholders distributions of $0.96, $0.90 and $0.36 per share, respectively, for a total distribution of $20.2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$19.0 million and $7.6 million, respectively. We monitor available net investment income to determine if a tax return of capital may occur for the fiscal year.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our taxable earnings fall below the total amount of our distributions for any given fiscal year, a portion of those distributions may be deemed to be a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of capital to our common stockholders. Tax characteristics of all distributions will be reported to stockholders on Form 1099-DIV after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calendar year.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dividends declared since our inception have been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28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Payable April 1, 2010 to stockholders of record as of March 25, 2010.</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60" w:firstLine="8"/>
        <w:spacing w:after="0" w:line="295"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w:t>
      </w:r>
    </w:p>
    <w:p>
      <w:pPr>
        <w:spacing w:after="0" w:line="11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February 2, 2010, our common stockholders voted to allow us to issue common stock at a price below the net asset value per share for a period of one year ending February 2, 2011. Our stockholders did not specify a maximum discount below net asset value at which we are able to issue our common stock; however we do not intend to issue shares of our common stock below net asset value unless our board of directors determines that it would be in our stockholders’ best interest to do so. Sales of common stock at prices below net asset value per share dilute the interests of existing stockholders, have the effect of reducing our net asset value per share and may reduce our market price per share. We will describe the risks and dilutive effects of any offering that we make at a price below our then current net asset value in a prospectus supplement issued in connection with any such offering. See “Sales of Common Stock Below Net Asset Value” in this prospectus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subject to financial market risks, including changes in interest rates. During the period covered by this report, many of the loans in our portfolio had floating interest rates. These loans are usually based on a floating LIBOR rate and typically have durations of three months after which they reset to current market interest rates.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our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Information about our senior securities is shown in the following table as of December 31, 2009 and September 30, 2009, 2008 and 2007. The information for September 30, 2009, 2008 and 2007 presented below has been derived from our financial statements which have been audited by KPMG LLP.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56"/>
              <w:spacing w:after="0"/>
              <w:rPr>
                <w:sz w:val="20"/>
                <w:szCs w:val="20"/>
                <w:color w:val="auto"/>
              </w:rPr>
            </w:pPr>
            <w:r>
              <w:rPr>
                <w:rFonts w:ascii="Arial" w:cs="Arial" w:eastAsia="Arial" w:hAnsi="Arial"/>
                <w:sz w:val="14"/>
                <w:szCs w:val="14"/>
                <w:b w:val="1"/>
                <w:bCs w:val="1"/>
                <w:color w:val="auto"/>
                <w:w w:val="83"/>
              </w:rPr>
              <w:t>Asset</w:t>
            </w:r>
          </w:p>
        </w:tc>
        <w:tc>
          <w:tcPr>
            <w:tcW w:w="60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Involuntary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7"/>
              </w:rPr>
              <w:t>Coverage</w:t>
            </w:r>
          </w:p>
        </w:tc>
        <w:tc>
          <w:tcPr>
            <w:tcW w:w="600" w:type="dxa"/>
            <w:vAlign w:val="bottom"/>
          </w:tcPr>
          <w:p>
            <w:pPr>
              <w:spacing w:after="0"/>
              <w:rPr>
                <w:sz w:val="11"/>
                <w:szCs w:val="11"/>
                <w:color w:val="auto"/>
              </w:rPr>
            </w:pPr>
          </w:p>
        </w:tc>
        <w:tc>
          <w:tcPr>
            <w:tcW w:w="130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7"/>
              </w:rPr>
              <w:t>Liquidating</w:t>
            </w: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6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600" w:type="dxa"/>
            <w:vAlign w:val="bottom"/>
          </w:tcPr>
          <w:p>
            <w:pPr>
              <w:spacing w:after="0"/>
              <w:rPr>
                <w:sz w:val="12"/>
                <w:szCs w:val="12"/>
                <w:color w:val="auto"/>
              </w:rPr>
            </w:pPr>
          </w:p>
        </w:tc>
        <w:tc>
          <w:tcPr>
            <w:tcW w:w="13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Preference</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Value Per</w:t>
            </w:r>
          </w:p>
        </w:tc>
        <w:tc>
          <w:tcPr>
            <w:tcW w:w="0" w:type="dxa"/>
            <w:vAlign w:val="bottom"/>
          </w:tcPr>
          <w:p>
            <w:pPr>
              <w:spacing w:after="0"/>
              <w:rPr>
                <w:sz w:val="1"/>
                <w:szCs w:val="1"/>
                <w:color w:val="auto"/>
              </w:rPr>
            </w:pPr>
          </w:p>
        </w:tc>
      </w:tr>
      <w:tr>
        <w:trPr>
          <w:trHeight w:val="176"/>
        </w:trPr>
        <w:tc>
          <w:tcPr>
            <w:tcW w:w="5160" w:type="dxa"/>
            <w:vAlign w:val="bottom"/>
            <w:gridSpan w:val="4"/>
          </w:tcPr>
          <w:p>
            <w:pPr>
              <w:spacing w:after="0"/>
              <w:rPr>
                <w:sz w:val="20"/>
                <w:szCs w:val="20"/>
                <w:color w:val="auto"/>
              </w:rPr>
            </w:pPr>
            <w:r>
              <w:rPr>
                <w:rFonts w:ascii="Arial" w:cs="Arial" w:eastAsia="Arial" w:hAnsi="Arial"/>
                <w:sz w:val="14"/>
                <w:szCs w:val="14"/>
                <w:b w:val="1"/>
                <w:bCs w:val="1"/>
                <w:color w:val="auto"/>
              </w:rPr>
              <w:t>Class and Year</w:t>
            </w:r>
          </w:p>
        </w:tc>
        <w:tc>
          <w:tcPr>
            <w:tcW w:w="1660" w:type="dxa"/>
            <w:vAlign w:val="bottom"/>
          </w:tcPr>
          <w:p>
            <w:pPr>
              <w:spacing w:after="0"/>
              <w:rPr>
                <w:sz w:val="15"/>
                <w:szCs w:val="15"/>
                <w:color w:val="auto"/>
              </w:rPr>
            </w:pPr>
          </w:p>
        </w:tc>
        <w:tc>
          <w:tcPr>
            <w:tcW w:w="86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90"/>
              </w:rPr>
              <w:t>Outstanding</w:t>
            </w:r>
            <w:r>
              <w:rPr>
                <w:rFonts w:ascii="Arial" w:cs="Arial" w:eastAsia="Arial" w:hAnsi="Arial"/>
                <w:sz w:val="20"/>
                <w:szCs w:val="20"/>
                <w:b w:val="1"/>
                <w:bCs w:val="1"/>
                <w:color w:val="auto"/>
                <w:w w:val="90"/>
                <w:vertAlign w:val="superscript"/>
              </w:rPr>
              <w:t>(1)</w:t>
            </w:r>
          </w:p>
        </w:tc>
        <w:tc>
          <w:tcPr>
            <w:tcW w:w="60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6"/>
              </w:rPr>
              <w:t>(unaudited)</w:t>
            </w:r>
          </w:p>
        </w:tc>
        <w:tc>
          <w:tcPr>
            <w:tcW w:w="600" w:type="dxa"/>
            <w:vAlign w:val="bottom"/>
          </w:tcPr>
          <w:p>
            <w:pPr>
              <w:spacing w:after="0"/>
              <w:rPr>
                <w:sz w:val="15"/>
                <w:szCs w:val="15"/>
                <w:color w:val="auto"/>
              </w:rPr>
            </w:pPr>
          </w:p>
        </w:tc>
        <w:tc>
          <w:tcPr>
            <w:tcW w:w="130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w w:val="94"/>
              </w:rPr>
              <w:t xml:space="preserve">Per Unit </w:t>
            </w:r>
            <w:r>
              <w:rPr>
                <w:rFonts w:ascii="Arial" w:cs="Arial" w:eastAsia="Arial" w:hAnsi="Arial"/>
                <w:sz w:val="20"/>
                <w:szCs w:val="20"/>
                <w:b w:val="1"/>
                <w:bCs w:val="1"/>
                <w:color w:val="auto"/>
                <w:w w:val="94"/>
                <w:vertAlign w:val="superscript"/>
              </w:rPr>
              <w:t>(3)</w:t>
            </w:r>
          </w:p>
        </w:tc>
        <w:tc>
          <w:tcPr>
            <w:tcW w:w="5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Unit </w:t>
            </w:r>
            <w:r>
              <w:rPr>
                <w:rFonts w:ascii="Arial" w:cs="Arial" w:eastAsia="Arial" w:hAnsi="Arial"/>
                <w:sz w:val="20"/>
                <w:szCs w:val="20"/>
                <w:b w:val="1"/>
                <w:bCs w:val="1"/>
                <w:color w:val="auto"/>
                <w:w w:val="92"/>
                <w:vertAlign w:val="superscript"/>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Credit Facility</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2010</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December 31, 2009, unaudited)</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245,700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2,068</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2009</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2009)</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6"/>
              </w:rPr>
              <w:t>Fiscal 2008</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(as of September 30, 2008)</w:t>
            </w:r>
          </w:p>
        </w:tc>
        <w:tc>
          <w:tcPr>
            <w:tcW w:w="18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202,000</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2,043</w:t>
            </w:r>
          </w:p>
        </w:tc>
        <w:tc>
          <w:tcPr>
            <w:tcW w:w="6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6"/>
              </w:rPr>
              <w:t>Fiscal 2007</w:t>
            </w: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of September 30, 2007)</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28,039</w:t>
            </w:r>
          </w:p>
        </w:tc>
        <w:tc>
          <w:tcPr>
            <w:tcW w:w="6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000’s).</w:t>
      </w:r>
    </w:p>
    <w:p>
      <w:pPr>
        <w:spacing w:after="0" w:line="90"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February 17, 2010, the last reported closing price of our common stock was $10.10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w w:val="93"/>
              </w:rPr>
              <w:t>Closing Sales Price</w:t>
            </w: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200" w:type="dxa"/>
            <w:vAlign w:val="bottom"/>
            <w:gridSpan w:val="2"/>
            <w:vMerge w:val="restart"/>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gridSpan w:val="2"/>
            <w:vMerge w:val="restart"/>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Price to</w:t>
            </w:r>
          </w:p>
        </w:tc>
        <w:tc>
          <w:tcPr>
            <w:tcW w:w="220" w:type="dxa"/>
            <w:vAlign w:val="bottom"/>
          </w:tcPr>
          <w:p>
            <w:pPr>
              <w:spacing w:after="0"/>
              <w:rPr>
                <w:sz w:val="6"/>
                <w:szCs w:val="6"/>
                <w:color w:val="auto"/>
              </w:rPr>
            </w:pPr>
          </w:p>
        </w:tc>
        <w:tc>
          <w:tcPr>
            <w:tcW w:w="700" w:type="dxa"/>
            <w:vAlign w:val="bottom"/>
            <w:gridSpan w:val="2"/>
            <w:vMerge w:val="restart"/>
          </w:tcPr>
          <w:p>
            <w:pPr>
              <w:jc w:val="right"/>
              <w:ind w:right="180"/>
              <w:spacing w:after="0" w:line="135"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00" w:type="dxa"/>
            <w:vAlign w:val="bottom"/>
            <w:gridSpan w:val="2"/>
            <w:vMerge w:val="restart"/>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NAV</w:t>
            </w:r>
            <w:r>
              <w:rPr>
                <w:rFonts w:ascii="Arial" w:cs="Arial" w:eastAsia="Arial" w:hAnsi="Arial"/>
                <w:sz w:val="10"/>
                <w:szCs w:val="10"/>
                <w:b w:val="1"/>
                <w:bCs w:val="1"/>
                <w:color w:val="auto"/>
              </w:rPr>
              <w:t>(1)</w:t>
            </w: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60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980" w:type="dxa"/>
            <w:vAlign w:val="bottom"/>
            <w:gridSpan w:val="2"/>
          </w:tcPr>
          <w:p>
            <w:pPr>
              <w:jc w:val="center"/>
              <w:ind w:right="38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 xml:space="preserve"> (2)</w:t>
            </w:r>
          </w:p>
        </w:tc>
        <w:tc>
          <w:tcPr>
            <w:tcW w:w="22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Dividend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 (through February 17, 2010)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 N/A</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$10.10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$ 8.88</w:t>
            </w: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0.26</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3.85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65</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2.64</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2.35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5.92</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7.05</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8.38</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9.08</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2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12.61</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15.03</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14.04</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90" w:lineRule="exact"/>
        <w:rPr>
          <w:sz w:val="20"/>
          <w:szCs w:val="20"/>
          <w:color w:val="auto"/>
        </w:rPr>
      </w:pPr>
    </w:p>
    <w:p>
      <w:pPr>
        <w:ind w:left="460" w:hanging="364"/>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our meeting of stockholders held on February 2, 2010, our stockholders approved our ability to sell shares of our common stock below net asset value (“NAV”) per share in one or more public offerings of our common stock. We now have the ability to sell or otherwise issue our shares of our common stock at any level of discount from NAV per share during the period beginning on February 2, 2010 and expiring on the one year anniversary of the date of the meeting. In making a determination that an offering below NAV per share is in our and our stockholders’ best interests, our board of directors, a majority of our directors who have no financial interest in the sale and a majority of our independent directors consider a variety of factors, including:</w:t>
      </w:r>
    </w:p>
    <w:p>
      <w:pPr>
        <w:spacing w:after="0" w:line="35" w:lineRule="exact"/>
        <w:rPr>
          <w:sz w:val="20"/>
          <w:szCs w:val="20"/>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relationship of recent market prices of par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potential investment opportunities available relative to the potential dilutive effect of additional capital at the time of the projected offering.</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 of investors:</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existing shareholders who do not purchase any shares in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existing shareholders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investors who become shareholders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existing stockholders who do not participate, or who are not given the opportunity or are unable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58"/>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3"/>
              </w:rPr>
              <w:t>Below NAV</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10.05</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1,050,000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1,100,000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(5.00)%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(17.00)%</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96,700</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w w:val="97"/>
              </w:rPr>
              <w:t>(assumed to be $10.00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NAV less 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 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Investment per share held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stockholder A (assumed to be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$10.00 per share on shares held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5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Dilution per share held by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(NAV per share less investment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(0.02)</w:t>
            </w:r>
          </w:p>
        </w:tc>
        <w:tc>
          <w:tcPr>
            <w:tcW w:w="10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(0.09)</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(dilution per share divided by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tcPr>
          <w:p>
            <w:pPr>
              <w:ind w:left="640"/>
              <w:spacing w:after="0"/>
              <w:rPr>
                <w:sz w:val="20"/>
                <w:szCs w:val="20"/>
                <w:color w:val="auto"/>
              </w:rPr>
            </w:pPr>
            <w:r>
              <w:rPr>
                <w:rFonts w:ascii="Arial" w:cs="Arial" w:eastAsia="Arial" w:hAnsi="Arial"/>
                <w:sz w:val="18"/>
                <w:szCs w:val="18"/>
                <w:color w:val="auto"/>
              </w:rPr>
              <w:t>investment per 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(0.20)%</w:t>
            </w: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25.71%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5"/>
              </w:rPr>
              <w:t>Total investment by stockholder A(assumed to be $10.00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108,470</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Total (dilution)/accretion to stockholder A (total NAV less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investment)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(2,100)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1060"/>
              <w:spacing w:after="0"/>
              <w:rPr>
                <w:sz w:val="20"/>
                <w:szCs w:val="20"/>
                <w:color w:val="auto"/>
              </w:rPr>
            </w:pPr>
            <w:r>
              <w:rPr>
                <w:rFonts w:ascii="Arial" w:cs="Arial" w:eastAsia="Arial" w:hAnsi="Arial"/>
                <w:sz w:val="18"/>
                <w:szCs w:val="18"/>
                <w:color w:val="auto"/>
              </w:rPr>
              <w:t>$10.00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w:t>
            </w:r>
          </w:p>
        </w:tc>
        <w:tc>
          <w:tcPr>
            <w:tcW w:w="6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(Dilution)/accretion per share held by stockholder A (NAV per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w w:val="94"/>
              </w:rPr>
              <w:t>Percentage (dilution)/accretion to stockholder (dilution/accretion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640"/>
              <w:spacing w:after="0"/>
              <w:rPr>
                <w:sz w:val="20"/>
                <w:szCs w:val="20"/>
                <w:color w:val="auto"/>
              </w:rPr>
            </w:pPr>
            <w:r>
              <w:rPr>
                <w:rFonts w:ascii="Arial" w:cs="Arial" w:eastAsia="Arial" w:hAnsi="Arial"/>
                <w:sz w:val="18"/>
                <w:szCs w:val="18"/>
                <w:color w:val="auto"/>
              </w:rPr>
              <w:t>per share divided by investment per share)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5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100" w:firstLine="8"/>
        <w:spacing w:after="0" w:line="254"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 We estimate the offering expenses to be 0.5% of the discount from NAV.</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left="238"/>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left="23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0"/>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Sale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9.50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1,050,000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4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48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0.17%</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Asset Values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4,990</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5,025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8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16,940</w:t>
            </w:r>
          </w:p>
        </w:tc>
        <w:tc>
          <w:tcPr>
            <w:tcW w:w="480" w:type="dxa"/>
            <w:vAlign w:val="bottom"/>
          </w:tcPr>
          <w:p>
            <w:pPr>
              <w:spacing w:after="0"/>
              <w:rPr>
                <w:sz w:val="24"/>
                <w:szCs w:val="2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dilution to stockholder A (total NAV</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10.05</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8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480" w:type="dxa"/>
            <w:vAlign w:val="bottom"/>
          </w:tcPr>
          <w:p>
            <w:pPr>
              <w:spacing w:after="0"/>
              <w:rPr>
                <w:sz w:val="19"/>
                <w:szCs w:val="19"/>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 per share held by stockholder A</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6"/>
              </w:rPr>
              <w:t>(NAV per share less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98"/>
              </w:rPr>
              <w:t>Percentage dilution to stockholder A (dilution</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640"/>
              <w:spacing w:after="0"/>
              <w:rPr>
                <w:sz w:val="20"/>
                <w:szCs w:val="20"/>
                <w:color w:val="auto"/>
              </w:rPr>
            </w:pPr>
            <w:r>
              <w:rPr>
                <w:rFonts w:ascii="Arial" w:cs="Arial" w:eastAsia="Arial" w:hAnsi="Arial"/>
                <w:sz w:val="18"/>
                <w:szCs w:val="18"/>
                <w:color w:val="auto"/>
                <w:w w:val="96"/>
              </w:rPr>
              <w:t>per share divided by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14.17%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intend to make distributions on a quarterly basis to our stockholders. The amount and general timing of our quarterly distributions, if any, will be determined by our board of directors. We intend to distribute to our stockholders substantially all of our income. We may elect to make deemed distributions to our stockholders of certain net capital gains. If this happens, you will be treated as if you received an actual distribution of the capital gains we retain and reinvested the after-tax net proceeds in us. You also may be eligible to claim a tax credit (or, in certain circumstances, a tax refund) equal to your allocable share of the tax we paid on the capital gains deemed distributed to you. See “Material U.S. Federal Income Tax Considerations.” With respect to the dividends paid to stockholders, income from origination, structuring, closing, commitment and other upfront fees associated with investments in portfolio companies is treated as taxable income and accordingly, distributed to stockholders.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summarizes our dividends declared since shares of our common stock began being regularly quoted on the NASDAQ Global Select Market: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161"/>
        </w:trPr>
        <w:tc>
          <w:tcPr>
            <w:tcW w:w="88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Declared</w:t>
            </w:r>
          </w:p>
        </w:tc>
      </w:tr>
      <w:tr>
        <w:trPr>
          <w:trHeight w:val="210"/>
        </w:trPr>
        <w:tc>
          <w:tcPr>
            <w:tcW w:w="8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4"/>
              </w:rPr>
              <w:t>0.26</w:t>
            </w:r>
            <w:r>
              <w:rPr>
                <w:rFonts w:ascii="Arial" w:cs="Arial" w:eastAsia="Arial" w:hAnsi="Arial"/>
                <w:sz w:val="11"/>
                <w:szCs w:val="11"/>
                <w:color w:val="auto"/>
                <w:w w:val="94"/>
              </w:rPr>
              <w:t>(1)</w:t>
            </w: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0.25</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16"/>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8"/>
                <w:szCs w:val="18"/>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0.96</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0.24</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149"/>
        </w:trPr>
        <w:tc>
          <w:tcPr>
            <w:tcW w:w="8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0.90</w:t>
            </w:r>
          </w:p>
        </w:tc>
        <w:tc>
          <w:tcPr>
            <w:tcW w:w="180" w:type="dxa"/>
            <w:vAlign w:val="bottom"/>
            <w:shd w:val="clear" w:color="auto" w:fill="CCEEFF"/>
          </w:tcPr>
          <w:p>
            <w:pPr>
              <w:spacing w:after="0"/>
              <w:rPr>
                <w:sz w:val="18"/>
                <w:szCs w:val="18"/>
                <w:color w:val="auto"/>
              </w:rPr>
            </w:pPr>
          </w:p>
        </w:tc>
      </w:tr>
      <w:tr>
        <w:trPr>
          <w:trHeight w:val="323"/>
        </w:trPr>
        <w:tc>
          <w:tcPr>
            <w:tcW w:w="8880" w:type="dxa"/>
            <w:vAlign w:val="bottom"/>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0.22</w:t>
            </w:r>
          </w:p>
        </w:tc>
        <w:tc>
          <w:tcPr>
            <w:tcW w:w="180" w:type="dxa"/>
            <w:vAlign w:val="bottom"/>
            <w:shd w:val="clear" w:color="auto" w:fill="CCEEFF"/>
          </w:tcPr>
          <w:p>
            <w:pPr>
              <w:spacing w:after="0"/>
              <w:rPr>
                <w:sz w:val="18"/>
                <w:szCs w:val="18"/>
                <w:color w:val="auto"/>
              </w:rPr>
            </w:pPr>
          </w:p>
        </w:tc>
      </w:tr>
      <w:tr>
        <w:trPr>
          <w:trHeight w:val="223"/>
        </w:trPr>
        <w:tc>
          <w:tcPr>
            <w:tcW w:w="88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0.14</w:t>
            </w:r>
          </w:p>
        </w:tc>
        <w:tc>
          <w:tcPr>
            <w:tcW w:w="180" w:type="dxa"/>
            <w:vAlign w:val="bottom"/>
          </w:tcPr>
          <w:p>
            <w:pPr>
              <w:spacing w:after="0"/>
              <w:rPr>
                <w:sz w:val="19"/>
                <w:szCs w:val="19"/>
                <w:color w:val="auto"/>
              </w:rPr>
            </w:pPr>
          </w:p>
        </w:tc>
      </w:tr>
      <w:tr>
        <w:trPr>
          <w:trHeight w:val="216"/>
        </w:trPr>
        <w:tc>
          <w:tcPr>
            <w:tcW w:w="88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08"/>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$0.00107 per share is a tax return of capital</w:t>
      </w:r>
    </w:p>
    <w:p>
      <w:pPr>
        <w:spacing w:after="0" w:line="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Payable on April 1, 2010 to stockholders of record as of March 25, 2010.</w:t>
      </w:r>
    </w:p>
    <w:p>
      <w:pPr>
        <w:spacing w:after="0" w:line="16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We also must annually distribute dividends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least 90% of the sum of our ordinary income and realized net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 of our realized net short-term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 In such event, the consequences of our retention of net capital gains are as described under “Material U.S. Federal Income Tax Considerations.”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See “Dividend Reinvestment Plan.”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business development company, or BDC, under the 1940 Act. In addition, for tax purposes we have elected to be treated as a RIC, under the Code.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Our investment objectives are to generate both current income and capital appreciation through debt and equity investments primarily in U.S. middle-market private companies in the form of mezzanine debt, senior secured loans, and equity investments. We consider our core assets, by value and investment focus, to consist of certain subordinated debt, second lien secured debt, senior secured investments, and to a lesser extent, equity investments.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investments by investing approximately $10 to $50 million of capital, on average, in the securities of middle-market companies. In this prospectus,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Structure</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See “Certain Relationships and Transactions—Investment Management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 Our activities are supervised by our board of directors, a majority of whom are independent of us and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utilize the investing experience and contacts of Arthur H. Penn, the founder of PennantPark Investment Corporation and PennantPark Investment Advisers, as well as the other investment professionals of the Investment adviser. Mr. Penn has over 23 years of experience in the mezzanine lending, leveraged finance,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Corporation, a publicly traded business development company. Mr. Penn served as the Chief Operating Officer and a member of the investment committee of Apollo Investment from its inception in April 2004 through February 2006 and was its President and Chief Operating Officer from February 2006 through November 30, 2006. During Mr. Penn’s tenure with Apollo Investment, it invested approximately $2.8 billion in 73 companies in partnership with 54 different financial sponsors.</w:t>
      </w:r>
    </w:p>
    <w:p>
      <w:pPr>
        <w:spacing w:after="0" w:line="14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During his more than 23-year career in the financial services industry, Mr. Penn has developed a network of financial sponsor relationships as well as relationships with management teams, investment bankers, attorneys and accountants provide us with access to substantial investment opportunities.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professionals, Sal Giannetti, Whit Williams and Jose Briones, have, approximately, 55 years of experience in the mezzanine, private equity and leveraged finance businesses. Mr. Giannetti previously served as Partner in the private equity firm of Wilton Ivy Partners from 2004 to 2007. Prior to joining Wilton Ivy Partners, he was a Managing Director at UBS Securities LLC in its Financial Sponsors and Leveraged Finance Group from 2000 to 2001. Mr. Williams was an officer at UBS Securities LLC from 1996 to 2007, most recently as a Managing Director in its Financial Sponsors and Leveraged Finance Group. Mr. Briones was a Partner of Apollo Investment Management from 2006 to 2008. Prior to joining Apollo, he was a Managing Director in the Financial Sponsors and Leveraged Finance Group at UBS Securities LLC from 2001 to 2006. They are supported by a team of employees, including three investment professionals who have experience in middle-market investing, leveraged finance and capital markets.</w:t>
      </w:r>
    </w:p>
    <w:p>
      <w:pPr>
        <w:spacing w:after="0" w:line="118"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Our Administrator has experienced professionals including, Aviv Efrat, who serves as our Chief Financial Officer and Treasurer. Mr. Efrat has approximately 20 years of experience in finance and administration of registered investment companies. See “Certain Relationships and Transactions— Administration Agreement” and “Risk Factors—Risks Relating to our Business and Structure.”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and generally monitors the payment of our expenses and the performance of administrative and professional services rendered to us by others. Furthermore, our Administrator provides, on our behalf, managerial assistance to those portfolio companies to which we are required to provide such assistance.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the size of the middle-market, coupled with the demands of these companies for flexible sources of capital, creates an attractive investment environment for PennantPark Investment.</w:t>
      </w:r>
    </w:p>
    <w:p>
      <w:pPr>
        <w:spacing w:after="0" w:line="45" w:lineRule="exact"/>
        <w:rPr>
          <w:sz w:val="20"/>
          <w:szCs w:val="20"/>
          <w:color w:val="auto"/>
        </w:rPr>
      </w:pPr>
    </w:p>
    <w:p>
      <w:pPr>
        <w:ind w:left="900" w:right="60" w:hanging="325"/>
        <w:spacing w:after="0" w:line="25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420" w:hanging="325"/>
        <w:spacing w:after="0" w:line="27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improves the risk/reward of our investments. </w:t>
      </w:r>
      <w:r>
        <w:rPr>
          <w:rFonts w:ascii="Arial" w:cs="Arial" w:eastAsia="Arial" w:hAnsi="Arial"/>
          <w:sz w:val="18"/>
          <w:szCs w:val="18"/>
          <w:color w:val="auto"/>
        </w:rPr>
        <w:t>The downturn in the credit market has</w:t>
      </w:r>
      <w:r>
        <w:rPr>
          <w:rFonts w:ascii="Arial" w:cs="Arial" w:eastAsia="Arial" w:hAnsi="Arial"/>
          <w:sz w:val="18"/>
          <w:szCs w:val="18"/>
          <w:b w:val="1"/>
          <w:bCs w:val="1"/>
          <w:color w:val="auto"/>
        </w:rPr>
        <w:t xml:space="preserve"> </w:t>
      </w:r>
      <w:r>
        <w:rPr>
          <w:rFonts w:ascii="Arial" w:cs="Arial" w:eastAsia="Arial" w:hAnsi="Arial"/>
          <w:sz w:val="18"/>
          <w:szCs w:val="18"/>
          <w:color w:val="auto"/>
        </w:rPr>
        <w:t>resulted in less competition, more conservative capital structures, higher yields and stronger covenants.</w:t>
      </w:r>
    </w:p>
    <w:p>
      <w:pPr>
        <w:spacing w:after="0" w:line="38" w:lineRule="exact"/>
        <w:rPr>
          <w:rFonts w:ascii="Arial" w:cs="Arial" w:eastAsia="Arial" w:hAnsi="Arial"/>
          <w:sz w:val="18"/>
          <w:szCs w:val="18"/>
          <w:color w:val="auto"/>
        </w:rPr>
      </w:pPr>
    </w:p>
    <w:p>
      <w:pPr>
        <w:ind w:left="900" w:right="500" w:hanging="325"/>
        <w:spacing w:after="0" w:line="27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which is likely to seek to combine their capital with sources of debt capital to complete private investments. </w:t>
      </w:r>
      <w:r>
        <w:rPr>
          <w:rFonts w:ascii="Arial" w:cs="Arial" w:eastAsia="Arial" w:hAnsi="Arial"/>
          <w:sz w:val="18"/>
          <w:szCs w:val="18"/>
          <w:color w:val="auto"/>
        </w:rPr>
        <w:t>We expect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56" w:lineRule="auto"/>
        <w:rPr>
          <w:sz w:val="20"/>
          <w:szCs w:val="20"/>
          <w:color w:val="auto"/>
        </w:rPr>
      </w:pPr>
      <w:r>
        <w:rPr>
          <w:rFonts w:ascii="Arial" w:cs="Arial" w:eastAsia="Arial" w:hAnsi="Arial"/>
          <w:sz w:val="18"/>
          <w:szCs w:val="18"/>
          <w:color w:val="auto"/>
        </w:rPr>
        <w:t>private equity firms will continue to be active investors in middle-market companies. These private equity funds generally seek to leverage their investments by combining their capital with mezzanine loans and/or senior secured loans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0" w:lineRule="exact"/>
        <w:rPr>
          <w:sz w:val="20"/>
          <w:szCs w:val="20"/>
          <w:color w:val="auto"/>
        </w:rPr>
      </w:pPr>
    </w:p>
    <w:p>
      <w:pPr>
        <w:ind w:left="900" w:right="60" w:hanging="325"/>
        <w:spacing w:after="0" w:line="30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opportunities to invest mezzanine and other debt capital will remain strong. </w:t>
      </w:r>
      <w:r>
        <w:rPr>
          <w:rFonts w:ascii="Arial" w:cs="Arial" w:eastAsia="Arial" w:hAnsi="Arial"/>
          <w:sz w:val="16"/>
          <w:szCs w:val="16"/>
          <w:color w:val="auto"/>
        </w:rPr>
        <w:t>We expect that the volume of domestic “public-to-private”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our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“Business-Investment Process-Investment Selection Criteria” and “Business-Investment Process-Due Diligence.”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professionals of our Investment Adviser have long-term relationships.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expect that the in-depth coverage and experience of our Investment Adviser, will enable us to invest throughout various stages of the economic cycle and will provide us with ongoing market insights in addition to a significant investment sourcing engine.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Longer Investment Horizon with Attractive Publicly Traded Model</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business development companies, commercial and investment banks, commercial financing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business development company.</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use the industry information available to our Investment Adviser to assess investment risks and determine appropriate pricing for our investments in portfolio companies. We benefit from the relationships of our Investment Adviser, which enables us to learn about, and compete effectively for, financing opportunities with attractive middle-market companies in the industries in which we invest. For additional information concerning the competitive risks we face, please see “Risk Factors—Risks Relating to our Business and Structure-We operate in a highly competitive market for investment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maintain a five-year, multi-currency $300.0 million senior secured credit facility, which matures in June 2012 and is secured by substantially all of our investment portfolio assets, with a group of lenders, under which we had $245.7 million and $225.1 million (including a $7.0 million temporary draw) of indebtedness outstanding at December 31, 2009 and September 30, 2009, respectively. Pricing of borrowing under our credit facility is set at 100 basis points over LIBOR. We believe that our debt capital resources will provide us with the flexibility to take advantage of market opportunities when they arise.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seeks to create a diversified portfolio that includes mezzanine debt, senior secured loans, and equity by targeting investment size of $10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mezzanine debt, senior secured loans, and, to a lesser extent, equity investments in qualifying assets such as private or thinly traded or small market-cap, public middle-market U.S. companies. In addition, we may invest up to 30% of our portfolio in non-qualifying assets. See “Regulation—Qualifying Assets.” These investments may include investments in public companies whose securities are not thinly traded or do not have a market capitalization of less than $250 million, securities of middle-market companies located outside of the United States and investment companies as defined in the 1940 Act. We expect that these companies will generally issue debt securities that are not investment grade. Moreover, we may acquire investments in the secondary market.</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we may in the future seek to securitize our loans to generate cash for funding new investments. To securitize loans, we may create a wholly owned subsidiary and contribute a pool of loans to the subsidiary. This could include sales of interests in the subsidiary on a non-recourse basis to purchasers who we would expect to be willing to accept a lower interest rate to invest in investment grade loan pools, and we would retain a portion of the equity in the securitized pool of loans. See “Investment Objectives and Policies—Investment selection criteria.”</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usually benefits from a senior collateral interest in the borrower. As such, other creditors rank junior to our investments in these securities in the event of insolvency. Due to its lower risk profile and often more restrictive covenants as compared to mezzanine debt, senior secured debt generally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Generally, we seek to use our experience and access to market information to identify investment candidates and to structure investments efficiently and effectively.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orientation and positive cash flow</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investment philosophy places a premium on fundamental analysis from an investor’s perspective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significant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conduct a rigorous due diligence process that is applied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prospective portfolio companies that draws from our Investment Adviser’s experience, industry expertise and network of contacts. In conducting due diligence, our Investment Adviser uses publicly available information as well as information from its relationships with former and current management teams, consultants, competitors and investment bankers.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present the investment opportunity to our Investment Adviser’s investment committee. This committee determines whether to pursue the potential investment. All new investments are required to be reviewed by the investment committee of our Investment Adviser, which currently consists of Messrs. Penn, Giannetti, Williams and Briones subject to approval by Mr. Penn. As our Investment Adviser adds senior investment professionals, our Investment Adviser may add them to its investment committee. The members of the investment committee receive no compensation from us. These members are employees of our Investment Adviser and receive compensation from our Investment Adviser.</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expected to perform relative to the other capital in the portfolio company’s capital structure.</w:t>
      </w:r>
    </w:p>
    <w:p>
      <w:pPr>
        <w:spacing w:after="0" w:line="14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Mezzanine debt typically has interest-only payments in the early years, with amortization of principal deferred to the later years of the mezzanine debt.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case of our mezzanine debt investments and senior secured loan,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expect to hold most of our core investments to maturity or repayment, but may sell certain investments earlier if a liquidity event takes place, such as the sale or recapitalization of a portfolio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Comparisons to other PennantPark Investment portfolio companies in the industry,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1480" w:right="140" w:hanging="567"/>
        <w:spacing w:after="0" w:line="268"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1480" w:right="280" w:hanging="567"/>
        <w:spacing w:after="0" w:line="298"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31" w:lineRule="exact"/>
        <w:rPr>
          <w:rFonts w:ascii="Arial" w:cs="Arial" w:eastAsia="Arial" w:hAnsi="Arial"/>
          <w:sz w:val="16"/>
          <w:szCs w:val="16"/>
          <w:color w:val="auto"/>
        </w:rPr>
      </w:pPr>
    </w:p>
    <w:p>
      <w:pPr>
        <w:ind w:left="1480" w:right="180" w:hanging="567"/>
        <w:spacing w:after="0" w:line="259"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59" w:lineRule="exact"/>
        <w:rPr>
          <w:rFonts w:ascii="Arial" w:cs="Arial" w:eastAsia="Arial" w:hAnsi="Arial"/>
          <w:sz w:val="18"/>
          <w:szCs w:val="18"/>
          <w:color w:val="auto"/>
        </w:rPr>
      </w:pPr>
    </w:p>
    <w:p>
      <w:pPr>
        <w:ind w:left="1480" w:right="160" w:hanging="567"/>
        <w:spacing w:after="0" w:line="268" w:lineRule="auto"/>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a business development company, we offer, and must provide upon request, managerial assistance to certain of our portfolio companies. This assistance could involve monitoring the operations of our portfolio companies, participating in board and management meetings, consulting with and advising officers of portfolio companies and providing other organizational and financial guidance. Our Administrator may provide such managerial assistance on our behalf to portfolio companies that request this assistance. We have not received any fees for such services since inception, but may receive compensation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do not currently have any employees. Mr. Penn is our Chief Executive Officer. Our Investment Adviser currently has four senior investment professionals, Messrs. Penn, Giannetti, Williams and Briones. In addition, Mr. Efrat is our Chief Financial Officer and Treasurer and Mr. Guy F. Talarico is our Chief Compliance Officer. Our Investment Adviser and Administrator have hired and expect to continue to hire professionals with skills applicable to our business plan, including experience in middle-market investing, leveraged finance and capital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principal investment focus is to provide mezzanine debt investments and senior secured loans to U.S. middle-market companies in a variety of industries. We generally seek to target companies that generate positive cash flows from the broad variety of industries in which our Investment Adviser has direct expertise. The following is a sample list of the industries in which we have invested:</w:t>
      </w:r>
    </w:p>
    <w:p>
      <w:pPr>
        <w:spacing w:after="0" w:line="5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Aerospace and Defense</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89"/>
              </w:rPr>
              <w:t>•  Healthcare, Education and Childcare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Business Services</w:t>
            </w:r>
          </w:p>
        </w:tc>
        <w:tc>
          <w:tcPr>
            <w:tcW w:w="4400" w:type="dxa"/>
            <w:vAlign w:val="bottom"/>
            <w:gridSpan w:val="2"/>
          </w:tcPr>
          <w:p>
            <w:pPr>
              <w:ind w:left="1620"/>
              <w:spacing w:after="0"/>
              <w:rPr>
                <w:sz w:val="20"/>
                <w:szCs w:val="20"/>
                <w:color w:val="auto"/>
              </w:rPr>
            </w:pPr>
            <w:r>
              <w:rPr>
                <w:rFonts w:ascii="Arial" w:cs="Arial" w:eastAsia="Arial" w:hAnsi="Arial"/>
                <w:sz w:val="18"/>
                <w:szCs w:val="18"/>
                <w:color w:val="auto"/>
                <w:w w:val="99"/>
              </w:rPr>
              <w:t>•  Hotels, Motels, Inns and Gaming</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Chemicals, Plastics and Rubber</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Consumer Products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Education</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Energy/Utilities</w:t>
            </w:r>
          </w:p>
        </w:tc>
        <w:tc>
          <w:tcPr>
            <w:tcW w:w="1760" w:type="dxa"/>
            <w:vAlign w:val="bottom"/>
          </w:tcPr>
          <w:p>
            <w:pPr>
              <w:ind w:left="1620"/>
              <w:spacing w:after="0"/>
              <w:rPr>
                <w:sz w:val="20"/>
                <w:szCs w:val="20"/>
                <w:color w:val="auto"/>
              </w:rPr>
            </w:pPr>
            <w:r>
              <w:rPr>
                <w:rFonts w:ascii="Arial" w:cs="Arial" w:eastAsia="Arial" w:hAnsi="Arial"/>
                <w:sz w:val="18"/>
                <w:szCs w:val="18"/>
                <w:color w:val="auto"/>
              </w:rPr>
              <w:t>•</w:t>
            </w:r>
          </w:p>
        </w:tc>
        <w:tc>
          <w:tcPr>
            <w:tcW w:w="2640" w:type="dxa"/>
            <w:vAlign w:val="bottom"/>
          </w:tcPr>
          <w:p>
            <w:pPr>
              <w:ind w:left="60"/>
              <w:spacing w:after="0"/>
              <w:rPr>
                <w:sz w:val="20"/>
                <w:szCs w:val="20"/>
                <w:color w:val="auto"/>
              </w:rPr>
            </w:pPr>
            <w:r>
              <w:rPr>
                <w:rFonts w:ascii="Arial" w:cs="Arial" w:eastAsia="Arial" w:hAnsi="Arial"/>
                <w:sz w:val="18"/>
                <w:szCs w:val="18"/>
                <w:color w:val="auto"/>
              </w:rPr>
              <w:t>Transportation</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20" w:type="dxa"/>
            <w:vAlign w:val="bottom"/>
          </w:tcPr>
          <w:p>
            <w:pPr>
              <w:ind w:left="60"/>
              <w:spacing w:after="0"/>
              <w:rPr>
                <w:sz w:val="20"/>
                <w:szCs w:val="20"/>
                <w:color w:val="auto"/>
              </w:rPr>
            </w:pPr>
            <w:r>
              <w:rPr>
                <w:rFonts w:ascii="Arial" w:cs="Arial" w:eastAsia="Arial" w:hAnsi="Arial"/>
                <w:sz w:val="18"/>
                <w:szCs w:val="18"/>
                <w:color w:val="auto"/>
              </w:rPr>
              <w:t>Environmental Services</w:t>
            </w:r>
          </w:p>
        </w:tc>
        <w:tc>
          <w:tcPr>
            <w:tcW w:w="176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invest in other industries if we are presented with attractive opportunities.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our top ten portfolio companies and industries represented as a percentage of portfolio assets (excluding cash equivalents) as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20" w:type="dxa"/>
            <w:vAlign w:val="bottom"/>
            <w:gridSpan w:val="5"/>
          </w:tcPr>
          <w:p>
            <w:pPr>
              <w:jc w:val="center"/>
              <w:ind w:left="293"/>
              <w:spacing w:after="0"/>
              <w:rPr>
                <w:sz w:val="20"/>
                <w:szCs w:val="20"/>
                <w:color w:val="auto"/>
              </w:rPr>
            </w:pPr>
            <w:r>
              <w:rPr>
                <w:rFonts w:ascii="Arial" w:cs="Arial" w:eastAsia="Arial" w:hAnsi="Arial"/>
                <w:sz w:val="14"/>
                <w:szCs w:val="14"/>
                <w:b w:val="1"/>
                <w:bCs w:val="1"/>
                <w:color w:val="auto"/>
                <w:w w:val="87"/>
              </w:rPr>
              <w:t>September 30,</w:t>
            </w:r>
          </w:p>
        </w:tc>
      </w:tr>
      <w:tr>
        <w:trPr>
          <w:trHeight w:val="161"/>
        </w:trPr>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Portfolio Company</w:t>
            </w:r>
          </w:p>
        </w:tc>
        <w:tc>
          <w:tcPr>
            <w:tcW w:w="3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i2 Holdings, LTD.</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Brand Energy and Infrastructure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i2 Holdings, LTD.</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tcPr>
          <w:p>
            <w:pPr>
              <w:ind w:left="220"/>
              <w:spacing w:after="0"/>
              <w:rPr>
                <w:sz w:val="20"/>
                <w:szCs w:val="20"/>
                <w:color w:val="auto"/>
              </w:rPr>
            </w:pPr>
            <w:r>
              <w:rPr>
                <w:rFonts w:ascii="Arial" w:cs="Arial" w:eastAsia="Arial" w:hAnsi="Arial"/>
                <w:sz w:val="18"/>
                <w:szCs w:val="18"/>
                <w:color w:val="auto"/>
              </w:rPr>
              <w:t>Services, Inc</w:t>
            </w:r>
          </w:p>
        </w:tc>
        <w:tc>
          <w:tcPr>
            <w:tcW w:w="1180" w:type="dxa"/>
            <w:vAlign w:val="bottom"/>
            <w:gridSpan w:val="5"/>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UP Acquisition Sub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CT Technologies</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Affinion Group Holding,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Saint Acquisition Corp.</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Trizetto Group,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Saint Acquisition Corp.</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UP Acquisition Sub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Specialized Technology Resources,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Affinion Group Holding,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Trizetto Group, Inc.</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Lyondell Chemical Co.</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16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Sheridan Holdings, Inc.</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Lyondell Chemical Co.</w:t>
            </w:r>
          </w:p>
        </w:tc>
        <w:tc>
          <w:tcPr>
            <w:tcW w:w="1620" w:type="dxa"/>
            <w:vAlign w:val="bottom"/>
            <w:gridSpan w:val="5"/>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Specialized Technology Resources, Inc.</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40"/>
        </w:trPr>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Industry</w:t>
            </w:r>
          </w:p>
        </w:tc>
        <w:tc>
          <w:tcPr>
            <w:tcW w:w="3940" w:type="dxa"/>
            <w:vAlign w:val="bottom"/>
            <w:gridSpan w:val="2"/>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3340" w:type="dxa"/>
            <w:vAlign w:val="bottom"/>
            <w:gridSpan w:val="2"/>
          </w:tcPr>
          <w:p>
            <w:pPr>
              <w:spacing w:after="0"/>
              <w:rPr>
                <w:sz w:val="14"/>
                <w:szCs w:val="14"/>
                <w:color w:val="auto"/>
              </w:rPr>
            </w:pPr>
          </w:p>
        </w:tc>
        <w:tc>
          <w:tcPr>
            <w:tcW w:w="680" w:type="dxa"/>
            <w:vAlign w:val="bottom"/>
            <w:gridSpan w:val="2"/>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Chemicals, Plastics and Rubber</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Hotels, Motels, Inns and Gaming</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Aerospace and Defense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Healthcare, Education and Childcare</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Consumer Products</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 Utilities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Insurance</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Energy/Utilities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1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w:t>
            </w:r>
          </w:p>
        </w:tc>
      </w:tr>
    </w:tbl>
    <w:p>
      <w:pPr>
        <w:spacing w:after="0" w:line="2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allocation procedures. Some types of negotiated co-investments may be made only if we receive an order from the SEC permitting us to do so. There can be no assurance that any such order will be obtained.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31, 2009, our portfolio consisted of forty-four companies and was invested 35% in subordinated debt, 29% in second lien secured debt, 31% in senior secured loans, and 5% in preferred and common equity investments.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December 31, 2009. Percentages shown for class of investment securities held by us represent percentage of the class owned and do not necessarily represent voting ownership or economic ownership. Percentages shown for equity securities, other than warrants or options held, if any, represent the actual percentage of the class of security held before dilution. Percentages shown for warrants or options held, if any, represent the percentage of class of security we may own on a fully diluted basis assuming we exercise our warrants or options. For additional information see “Schedule of Investments” in our December 31, 2009 financial statements included elsewhere in this prospectus.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more than 25% owned” which represent portfolio companies where we directly or indirectly own 25% or more of the outstanding voting securities of such portfolio company and, therefore, are presumed to be controlled by us under the 1940 Act; “companies owned 5% to 25%”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less than 5% owned” which represent portfolio companies where we directly or indirectly own less than 5% of the outstanding voting securities of such portfolio company and where we have no other affiliations with such portfolio company. We make available significant managerial assistance to our portfolio companies. Substantially all of our investments are pledged as collateral under our credit facility. As of December 31, 2009, we held no voting seats on any of our portfolio companies’ board of directors.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840" w:type="dxa"/>
            <w:vAlign w:val="bottom"/>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53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Companies More Than 25% Owned</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None</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5% to 25%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w:t>
            </w:r>
          </w:p>
        </w:tc>
        <w:tc>
          <w:tcPr>
            <w:tcW w:w="2300" w:type="dxa"/>
            <w:vAlign w:val="bottom"/>
          </w:tcPr>
          <w:p>
            <w:pPr>
              <w:jc w:val="cente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EISURE</w:t>
            </w:r>
            <w:r>
              <w:rPr>
                <w:rFonts w:ascii="Arial" w:cs="Arial" w:eastAsia="Arial" w:hAnsi="Arial"/>
                <w:sz w:val="18"/>
                <w:szCs w:val="18"/>
                <w:color w:val="auto"/>
              </w:rPr>
              <w:t>, A</w:t>
            </w:r>
            <w:r>
              <w:rPr>
                <w:rFonts w:ascii="Arial" w:cs="Arial" w:eastAsia="Arial" w:hAnsi="Arial"/>
                <w:sz w:val="14"/>
                <w:szCs w:val="14"/>
                <w:color w:val="auto"/>
              </w:rPr>
              <w:t>MUSEMENT</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Second Lien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6.3%</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ERFORMANCE</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OTION</w:t>
            </w:r>
            <w:r>
              <w:rPr>
                <w:rFonts w:ascii="Arial" w:cs="Arial" w:eastAsia="Arial" w:hAnsi="Arial"/>
                <w:sz w:val="18"/>
                <w:szCs w:val="18"/>
                <w:color w:val="auto"/>
                <w:w w:val="99"/>
              </w:rPr>
              <w:t xml:space="preserve"> P</w:t>
            </w:r>
            <w:r>
              <w:rPr>
                <w:rFonts w:ascii="Arial" w:cs="Arial" w:eastAsia="Arial" w:hAnsi="Arial"/>
                <w:sz w:val="14"/>
                <w:szCs w:val="14"/>
                <w:color w:val="auto"/>
                <w:w w:val="99"/>
              </w:rPr>
              <w:t>ICTURES</w:t>
            </w: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Secured Debt, 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P</w:t>
            </w:r>
            <w:r>
              <w:rPr>
                <w:rFonts w:ascii="Arial" w:cs="Arial" w:eastAsia="Arial" w:hAnsi="Arial"/>
                <w:sz w:val="14"/>
                <w:szCs w:val="14"/>
                <w:color w:val="auto"/>
              </w:rPr>
              <w:t>ERFORMANCE</w:t>
            </w:r>
            <w:r>
              <w:rPr>
                <w:rFonts w:ascii="Arial" w:cs="Arial" w:eastAsia="Arial" w:hAnsi="Arial"/>
                <w:sz w:val="18"/>
                <w:szCs w:val="18"/>
                <w:color w:val="auto"/>
              </w:rPr>
              <w:t xml:space="preserve"> W</w:t>
            </w:r>
            <w:r>
              <w:rPr>
                <w:rFonts w:ascii="Arial" w:cs="Arial" w:eastAsia="Arial" w:hAnsi="Arial"/>
                <w:sz w:val="14"/>
                <w:szCs w:val="14"/>
                <w:color w:val="auto"/>
              </w:rPr>
              <w:t>AY</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NTERTAINMENT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HAPEL</w:t>
            </w:r>
            <w:r>
              <w:rPr>
                <w:rFonts w:ascii="Arial" w:cs="Arial" w:eastAsia="Arial" w:hAnsi="Arial"/>
                <w:sz w:val="18"/>
                <w:szCs w:val="18"/>
                <w:color w:val="auto"/>
              </w:rPr>
              <w:t xml:space="preserve"> H</w:t>
            </w:r>
            <w:r>
              <w:rPr>
                <w:rFonts w:ascii="Arial" w:cs="Arial" w:eastAsia="Arial" w:hAnsi="Arial"/>
                <w:sz w:val="14"/>
                <w:szCs w:val="14"/>
                <w:color w:val="auto"/>
              </w:rPr>
              <w:t>ILL</w:t>
            </w:r>
            <w:r>
              <w:rPr>
                <w:rFonts w:ascii="Arial" w:cs="Arial" w:eastAsia="Arial" w:hAnsi="Arial"/>
                <w:sz w:val="18"/>
                <w:szCs w:val="18"/>
                <w:color w:val="auto"/>
              </w:rPr>
              <w:t>, NC 27514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Companies Less Than 5% Owned</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1-800 C</w:t>
            </w:r>
            <w:r>
              <w:rPr>
                <w:rFonts w:ascii="Arial" w:cs="Arial" w:eastAsia="Arial" w:hAnsi="Arial"/>
                <w:sz w:val="14"/>
                <w:szCs w:val="14"/>
                <w:color w:val="auto"/>
              </w:rPr>
              <w:t>ONTACTS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ISTRIBUTION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66 E. W</w:t>
            </w:r>
            <w:r>
              <w:rPr>
                <w:rFonts w:ascii="Arial" w:cs="Arial" w:eastAsia="Arial" w:hAnsi="Arial"/>
                <w:sz w:val="14"/>
                <w:szCs w:val="14"/>
                <w:color w:val="auto"/>
              </w:rPr>
              <w:t>ADSWORTH</w:t>
            </w:r>
            <w:r>
              <w:rPr>
                <w:rFonts w:ascii="Arial" w:cs="Arial" w:eastAsia="Arial" w:hAnsi="Arial"/>
                <w:sz w:val="18"/>
                <w:szCs w:val="18"/>
                <w:color w:val="auto"/>
              </w:rPr>
              <w:t xml:space="preserve"> P</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4"/>
                <w:szCs w:val="14"/>
                <w:color w:val="auto"/>
              </w:rPr>
              <w:t>RD</w:t>
            </w:r>
            <w:r>
              <w:rPr>
                <w:rFonts w:ascii="Arial" w:cs="Arial" w:eastAsia="Arial" w:hAnsi="Arial"/>
                <w:sz w:val="18"/>
                <w:szCs w:val="18"/>
                <w:color w:val="auto"/>
              </w:rPr>
              <w:t xml:space="preserve"> F</w:t>
            </w:r>
            <w:r>
              <w:rPr>
                <w:rFonts w:ascii="Arial" w:cs="Arial" w:eastAsia="Arial" w:hAnsi="Arial"/>
                <w:sz w:val="14"/>
                <w:szCs w:val="14"/>
                <w:color w:val="auto"/>
              </w:rPr>
              <w:t>L</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RAPER</w:t>
            </w:r>
            <w:r>
              <w:rPr>
                <w:rFonts w:ascii="Arial" w:cs="Arial" w:eastAsia="Arial" w:hAnsi="Arial"/>
                <w:sz w:val="18"/>
                <w:szCs w:val="18"/>
                <w:color w:val="auto"/>
              </w:rPr>
              <w:t>, UT 84020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FFINION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100 C</w:t>
            </w:r>
            <w:r>
              <w:rPr>
                <w:rFonts w:ascii="Arial" w:cs="Arial" w:eastAsia="Arial" w:hAnsi="Arial"/>
                <w:sz w:val="14"/>
                <w:szCs w:val="14"/>
                <w:color w:val="auto"/>
              </w:rPr>
              <w:t>ONNECTICUT</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ORWALK</w:t>
            </w:r>
            <w:r>
              <w:rPr>
                <w:rFonts w:ascii="Arial" w:cs="Arial" w:eastAsia="Arial" w:hAnsi="Arial"/>
                <w:sz w:val="18"/>
                <w:szCs w:val="18"/>
                <w:color w:val="auto"/>
              </w:rPr>
              <w:t>, CA 06850</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QUILEX</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IVERSIFIED</w:t>
            </w:r>
            <w:r>
              <w:rPr>
                <w:rFonts w:ascii="Arial" w:cs="Arial" w:eastAsia="Arial" w:hAnsi="Arial"/>
                <w:sz w:val="18"/>
                <w:szCs w:val="18"/>
                <w:color w:val="auto"/>
                <w:w w:val="99"/>
              </w:rPr>
              <w:t xml:space="preserve"> / C</w:t>
            </w:r>
            <w:r>
              <w:rPr>
                <w:rFonts w:ascii="Arial" w:cs="Arial" w:eastAsia="Arial" w:hAnsi="Arial"/>
                <w:sz w:val="14"/>
                <w:szCs w:val="14"/>
                <w:color w:val="auto"/>
                <w:w w:val="99"/>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3344 P</w:t>
            </w:r>
            <w:r>
              <w:rPr>
                <w:rFonts w:ascii="Arial" w:cs="Arial" w:eastAsia="Arial" w:hAnsi="Arial"/>
                <w:sz w:val="14"/>
                <w:szCs w:val="14"/>
                <w:color w:val="auto"/>
              </w:rPr>
              <w:t>EACHTREE</w:t>
            </w:r>
            <w:r>
              <w:rPr>
                <w:rFonts w:ascii="Arial" w:cs="Arial" w:eastAsia="Arial" w:hAnsi="Arial"/>
                <w:sz w:val="18"/>
                <w:szCs w:val="18"/>
                <w:color w:val="auto"/>
              </w:rPr>
              <w:t xml:space="preserve"> R</w:t>
            </w:r>
            <w:r>
              <w:rPr>
                <w:rFonts w:ascii="Arial" w:cs="Arial" w:eastAsia="Arial" w:hAnsi="Arial"/>
                <w:sz w:val="14"/>
                <w:szCs w:val="14"/>
                <w:color w:val="auto"/>
              </w:rPr>
              <w:t>OADS</w:t>
            </w:r>
            <w:r>
              <w:rPr>
                <w:rFonts w:ascii="Arial" w:cs="Arial" w:eastAsia="Arial" w:hAnsi="Arial"/>
                <w:sz w:val="18"/>
                <w:szCs w:val="18"/>
                <w:color w:val="auto"/>
              </w:rPr>
              <w:t xml:space="preserve"> N</w:t>
            </w:r>
            <w:r>
              <w:rPr>
                <w:rFonts w:ascii="Arial" w:cs="Arial" w:eastAsia="Arial" w:hAnsi="Arial"/>
                <w:sz w:val="14"/>
                <w:szCs w:val="14"/>
                <w:color w:val="auto"/>
              </w:rPr>
              <w:t>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2100</w:t>
            </w:r>
          </w:p>
        </w:tc>
        <w:tc>
          <w:tcPr>
            <w:tcW w:w="23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TLANTA</w:t>
            </w:r>
            <w:r>
              <w:rPr>
                <w:rFonts w:ascii="Arial" w:cs="Arial" w:eastAsia="Arial" w:hAnsi="Arial"/>
                <w:sz w:val="18"/>
                <w:szCs w:val="18"/>
                <w:color w:val="auto"/>
              </w:rPr>
              <w:t>, GA 30326</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3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RAND</w:t>
            </w:r>
            <w:r>
              <w:rPr>
                <w:rFonts w:ascii="Arial" w:cs="Arial" w:eastAsia="Arial" w:hAnsi="Arial"/>
                <w:sz w:val="18"/>
                <w:szCs w:val="18"/>
                <w:color w:val="auto"/>
              </w:rPr>
              <w:t xml:space="preserve"> E</w:t>
            </w:r>
            <w:r>
              <w:rPr>
                <w:rFonts w:ascii="Arial" w:cs="Arial" w:eastAsia="Arial" w:hAnsi="Arial"/>
                <w:sz w:val="14"/>
                <w:szCs w:val="14"/>
                <w:color w:val="auto"/>
              </w:rPr>
              <w:t>NERGY</w:t>
            </w:r>
            <w:r>
              <w:rPr>
                <w:rFonts w:ascii="Arial" w:cs="Arial" w:eastAsia="Arial" w:hAnsi="Arial"/>
                <w:sz w:val="18"/>
                <w:szCs w:val="18"/>
                <w:color w:val="auto"/>
              </w:rPr>
              <w:t xml:space="preserve"> &amp; I</w:t>
            </w:r>
            <w:r>
              <w:rPr>
                <w:rFonts w:ascii="Arial" w:cs="Arial" w:eastAsia="Arial" w:hAnsi="Arial"/>
                <w:sz w:val="14"/>
                <w:szCs w:val="14"/>
                <w:color w:val="auto"/>
              </w:rPr>
              <w:t>NFRASTRUCTURE</w:t>
            </w:r>
          </w:p>
        </w:tc>
        <w:tc>
          <w:tcPr>
            <w:tcW w:w="230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NERGY</w:t>
            </w:r>
            <w:r>
              <w:rPr>
                <w:rFonts w:ascii="Arial" w:cs="Arial" w:eastAsia="Arial" w:hAnsi="Arial"/>
                <w:sz w:val="18"/>
                <w:szCs w:val="18"/>
                <w:color w:val="auto"/>
              </w:rPr>
              <w:t xml:space="preserve"> / U</w:t>
            </w:r>
            <w:r>
              <w:rPr>
                <w:rFonts w:ascii="Arial" w:cs="Arial" w:eastAsia="Arial" w:hAnsi="Arial"/>
                <w:sz w:val="14"/>
                <w:szCs w:val="14"/>
                <w:color w:val="auto"/>
              </w:rPr>
              <w:t>TILITIES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380" w:type="dxa"/>
            <w:vAlign w:val="bottom"/>
            <w:gridSpan w:val="2"/>
          </w:tcPr>
          <w:p>
            <w:pPr>
              <w:ind w:left="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ERVICES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2505 S</w:t>
            </w:r>
            <w:r>
              <w:rPr>
                <w:rFonts w:ascii="Arial" w:cs="Arial" w:eastAsia="Arial" w:hAnsi="Arial"/>
                <w:sz w:val="14"/>
                <w:szCs w:val="14"/>
                <w:color w:val="auto"/>
              </w:rPr>
              <w:t>OUTH</w:t>
            </w:r>
            <w:r>
              <w:rPr>
                <w:rFonts w:ascii="Arial" w:cs="Arial" w:eastAsia="Arial" w:hAnsi="Arial"/>
                <w:sz w:val="18"/>
                <w:szCs w:val="18"/>
                <w:color w:val="auto"/>
              </w:rPr>
              <w:t xml:space="preserve"> M</w:t>
            </w:r>
            <w:r>
              <w:rPr>
                <w:rFonts w:ascii="Arial" w:cs="Arial" w:eastAsia="Arial" w:hAnsi="Arial"/>
                <w:sz w:val="14"/>
                <w:szCs w:val="14"/>
                <w:color w:val="auto"/>
              </w:rPr>
              <w:t>AIN</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ENNESAW</w:t>
            </w:r>
            <w:r>
              <w:rPr>
                <w:rFonts w:ascii="Arial" w:cs="Arial" w:eastAsia="Arial" w:hAnsi="Arial"/>
                <w:sz w:val="18"/>
                <w:szCs w:val="18"/>
                <w:color w:val="auto"/>
              </w:rPr>
              <w:t>, GA 30144</w:t>
            </w: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tcPr>
          <w:p>
            <w:pPr>
              <w:jc w:val="right"/>
              <w:ind w:right="179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EVA</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PLC</w:t>
            </w:r>
          </w:p>
        </w:tc>
        <w:tc>
          <w:tcPr>
            <w:tcW w:w="2740" w:type="dxa"/>
            <w:vAlign w:val="bottom"/>
          </w:tcPr>
          <w:p>
            <w:pPr>
              <w:spacing w:after="0"/>
              <w:rPr>
                <w:sz w:val="17"/>
                <w:szCs w:val="17"/>
                <w:color w:val="auto"/>
              </w:rPr>
            </w:pPr>
          </w:p>
        </w:tc>
        <w:tc>
          <w:tcPr>
            <w:tcW w:w="2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OGISTICS</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25 S</w:t>
            </w:r>
            <w:r>
              <w:rPr>
                <w:rFonts w:ascii="Arial" w:cs="Arial" w:eastAsia="Arial" w:hAnsi="Arial"/>
                <w:sz w:val="14"/>
                <w:szCs w:val="14"/>
                <w:color w:val="auto"/>
              </w:rPr>
              <w:t>T</w:t>
            </w:r>
            <w:r>
              <w:rPr>
                <w:rFonts w:ascii="Arial" w:cs="Arial" w:eastAsia="Arial" w:hAnsi="Arial"/>
                <w:sz w:val="18"/>
                <w:szCs w:val="18"/>
                <w:color w:val="auto"/>
              </w:rPr>
              <w:t>. G</w:t>
            </w:r>
            <w:r>
              <w:rPr>
                <w:rFonts w:ascii="Arial" w:cs="Arial" w:eastAsia="Arial" w:hAnsi="Arial"/>
                <w:sz w:val="14"/>
                <w:szCs w:val="14"/>
                <w:color w:val="auto"/>
              </w:rPr>
              <w:t>EORGE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ONDON</w:t>
            </w:r>
            <w:r>
              <w:rPr>
                <w:rFonts w:ascii="Arial" w:cs="Arial" w:eastAsia="Arial" w:hAnsi="Arial"/>
                <w:sz w:val="18"/>
                <w:szCs w:val="18"/>
                <w:color w:val="auto"/>
              </w:rPr>
              <w:t xml:space="preserve"> W1</w:t>
            </w:r>
            <w:r>
              <w:rPr>
                <w:rFonts w:ascii="Arial" w:cs="Arial" w:eastAsia="Arial" w:hAnsi="Arial"/>
                <w:sz w:val="14"/>
                <w:szCs w:val="14"/>
                <w:color w:val="auto"/>
              </w:rPr>
              <w:t>S</w:t>
            </w:r>
            <w:r>
              <w:rPr>
                <w:rFonts w:ascii="Arial" w:cs="Arial" w:eastAsia="Arial" w:hAnsi="Arial"/>
                <w:sz w:val="18"/>
                <w:szCs w:val="18"/>
                <w:color w:val="auto"/>
              </w:rPr>
              <w:t xml:space="preserve"> 1</w:t>
            </w:r>
            <w:r>
              <w:rPr>
                <w:rFonts w:ascii="Arial" w:cs="Arial" w:eastAsia="Arial" w:hAnsi="Arial"/>
                <w:sz w:val="14"/>
                <w:szCs w:val="14"/>
                <w:color w:val="auto"/>
              </w:rPr>
              <w:t>FS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INGDON</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xml:space="preserve"> D</w:t>
            </w:r>
            <w:r>
              <w:rPr>
                <w:rFonts w:ascii="Arial" w:cs="Arial" w:eastAsia="Arial" w:hAnsi="Arial"/>
                <w:sz w:val="14"/>
                <w:szCs w:val="14"/>
                <w:color w:val="auto"/>
              </w:rPr>
              <w:t>OWNSAND</w:t>
            </w:r>
            <w:r>
              <w:rPr>
                <w:rFonts w:ascii="Arial" w:cs="Arial" w:eastAsia="Arial" w:hAnsi="Arial"/>
                <w:sz w:val="18"/>
                <w:szCs w:val="18"/>
                <w:color w:val="auto"/>
              </w:rPr>
              <w:t xml:space="preserve"> M</w:t>
            </w:r>
            <w:r>
              <w:rPr>
                <w:rFonts w:ascii="Arial" w:cs="Arial" w:eastAsia="Arial" w:hAnsi="Arial"/>
                <w:sz w:val="14"/>
                <w:szCs w:val="14"/>
                <w:color w:val="auto"/>
              </w:rPr>
              <w:t>ARINA</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OTELS</w:t>
            </w:r>
            <w:r>
              <w:rPr>
                <w:rFonts w:ascii="Arial" w:cs="Arial" w:eastAsia="Arial" w:hAnsi="Arial"/>
                <w:sz w:val="18"/>
                <w:szCs w:val="18"/>
                <w:color w:val="auto"/>
                <w:w w:val="97"/>
              </w:rPr>
              <w:t>, M</w:t>
            </w:r>
            <w:r>
              <w:rPr>
                <w:rFonts w:ascii="Arial" w:cs="Arial" w:eastAsia="Arial" w:hAnsi="Arial"/>
                <w:sz w:val="14"/>
                <w:szCs w:val="14"/>
                <w:color w:val="auto"/>
                <w:w w:val="97"/>
              </w:rPr>
              <w:t>OTELS</w:t>
            </w:r>
            <w:r>
              <w:rPr>
                <w:rFonts w:ascii="Arial" w:cs="Arial" w:eastAsia="Arial" w:hAnsi="Arial"/>
                <w:sz w:val="18"/>
                <w:szCs w:val="18"/>
                <w:color w:val="auto"/>
                <w:w w:val="97"/>
              </w:rPr>
              <w: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777 H</w:t>
            </w:r>
            <w:r>
              <w:rPr>
                <w:rFonts w:ascii="Arial" w:cs="Arial" w:eastAsia="Arial" w:hAnsi="Arial"/>
                <w:sz w:val="14"/>
                <w:szCs w:val="14"/>
                <w:color w:val="auto"/>
              </w:rPr>
              <w:t>ARRAH</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NNS</w:t>
            </w:r>
            <w:r>
              <w:rPr>
                <w:rFonts w:ascii="Arial" w:cs="Arial" w:eastAsia="Arial" w:hAnsi="Arial"/>
                <w:sz w:val="18"/>
                <w:szCs w:val="18"/>
                <w:color w:val="auto"/>
              </w:rPr>
              <w:t xml:space="preserve"> &amp; G</w:t>
            </w:r>
            <w:r>
              <w:rPr>
                <w:rFonts w:ascii="Arial" w:cs="Arial" w:eastAsia="Arial" w:hAnsi="Arial"/>
                <w:sz w:val="14"/>
                <w:szCs w:val="14"/>
                <w:color w:val="auto"/>
              </w:rPr>
              <w:t>AMING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HESTER</w:t>
            </w:r>
            <w:r>
              <w:rPr>
                <w:rFonts w:ascii="Arial" w:cs="Arial" w:eastAsia="Arial" w:hAnsi="Arial"/>
                <w:sz w:val="18"/>
                <w:szCs w:val="18"/>
                <w:color w:val="auto"/>
              </w:rPr>
              <w:t>, PA 19103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OLUMBUS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I</w:t>
            </w:r>
            <w:r>
              <w:rPr>
                <w:rFonts w:ascii="Arial" w:cs="Arial" w:eastAsia="Arial" w:hAnsi="Arial"/>
                <w:sz w:val="14"/>
                <w:szCs w:val="14"/>
                <w:color w:val="auto"/>
              </w:rPr>
              <w:t>NC</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OMMUNICATION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205-207 D</w:t>
            </w:r>
            <w:r>
              <w:rPr>
                <w:rFonts w:ascii="Arial" w:cs="Arial" w:eastAsia="Arial" w:hAnsi="Arial"/>
                <w:sz w:val="14"/>
                <w:szCs w:val="14"/>
                <w:color w:val="auto"/>
              </w:rPr>
              <w:t>OWELL</w:t>
            </w:r>
            <w:r>
              <w:rPr>
                <w:rFonts w:ascii="Arial" w:cs="Arial" w:eastAsia="Arial" w:hAnsi="Arial"/>
                <w:sz w:val="18"/>
                <w:szCs w:val="18"/>
                <w:color w:val="auto"/>
              </w:rPr>
              <w:t xml:space="preserve"> H</w:t>
            </w:r>
            <w:r>
              <w:rPr>
                <w:rFonts w:ascii="Arial" w:cs="Arial" w:eastAsia="Arial" w:hAnsi="Arial"/>
                <w:sz w:val="14"/>
                <w:szCs w:val="14"/>
                <w:color w:val="auto"/>
              </w:rPr>
              <w:t>OUSE</w:t>
            </w:r>
            <w:r>
              <w:rPr>
                <w:rFonts w:ascii="Arial" w:cs="Arial" w:eastAsia="Arial" w:hAnsi="Arial"/>
                <w:sz w:val="18"/>
                <w:szCs w:val="18"/>
                <w:color w:val="auto"/>
              </w:rPr>
              <w:t xml:space="preserve"> C</w:t>
            </w:r>
            <w:r>
              <w:rPr>
                <w:rFonts w:ascii="Arial" w:cs="Arial" w:eastAsia="Arial" w:hAnsi="Arial"/>
                <w:sz w:val="14"/>
                <w:szCs w:val="14"/>
                <w:color w:val="auto"/>
              </w:rPr>
              <w:t>R</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OEBUCK</w:t>
            </w:r>
            <w:r>
              <w:rPr>
                <w:rFonts w:ascii="Arial" w:cs="Arial" w:eastAsia="Arial" w:hAnsi="Arial"/>
                <w:sz w:val="18"/>
                <w:szCs w:val="18"/>
                <w:color w:val="auto"/>
              </w:rPr>
              <w:t xml:space="preserve"> &amp; P</w:t>
            </w:r>
            <w:r>
              <w:rPr>
                <w:rFonts w:ascii="Arial" w:cs="Arial" w:eastAsia="Arial" w:hAnsi="Arial"/>
                <w:sz w:val="14"/>
                <w:szCs w:val="14"/>
                <w:color w:val="auto"/>
              </w:rPr>
              <w:t>ALMETTO</w:t>
            </w:r>
            <w:r>
              <w:rPr>
                <w:rFonts w:ascii="Arial" w:cs="Arial" w:eastAsia="Arial" w:hAnsi="Arial"/>
                <w:sz w:val="18"/>
                <w:szCs w:val="18"/>
                <w:color w:val="auto"/>
              </w:rPr>
              <w:t xml:space="preserve"> S</w:t>
            </w:r>
            <w:r>
              <w:rPr>
                <w:rFonts w:ascii="Arial" w:cs="Arial" w:eastAsia="Arial" w:hAnsi="Arial"/>
                <w:sz w:val="14"/>
                <w:szCs w:val="14"/>
                <w:color w:val="auto"/>
              </w:rPr>
              <w:t>TS</w:t>
            </w:r>
            <w:r>
              <w:rPr>
                <w:rFonts w:ascii="Arial" w:cs="Arial" w:eastAsia="Arial" w:hAnsi="Arial"/>
                <w:sz w:val="18"/>
                <w:szCs w:val="18"/>
                <w:color w:val="auto"/>
              </w:rPr>
              <w:t>. B</w:t>
            </w:r>
            <w:r>
              <w:rPr>
                <w:rFonts w:ascii="Arial" w:cs="Arial" w:eastAsia="Arial" w:hAnsi="Arial"/>
                <w:sz w:val="14"/>
                <w:szCs w:val="14"/>
                <w:color w:val="auto"/>
              </w:rPr>
              <w:t>RIDGETOWN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ARBADOS</w:t>
            </w:r>
            <w:r>
              <w:rPr>
                <w:rFonts w:ascii="Arial" w:cs="Arial" w:eastAsia="Arial" w:hAnsi="Arial"/>
                <w:sz w:val="18"/>
                <w:szCs w:val="18"/>
                <w:color w:val="auto"/>
              </w:rPr>
              <w:t>, W</w:t>
            </w:r>
            <w:r>
              <w:rPr>
                <w:rFonts w:ascii="Arial" w:cs="Arial" w:eastAsia="Arial" w:hAnsi="Arial"/>
                <w:sz w:val="14"/>
                <w:szCs w:val="14"/>
                <w:color w:val="auto"/>
              </w:rPr>
              <w:t>EST</w:t>
            </w:r>
            <w:r>
              <w:rPr>
                <w:rFonts w:ascii="Arial" w:cs="Arial" w:eastAsia="Arial" w:hAnsi="Arial"/>
                <w:sz w:val="18"/>
                <w:szCs w:val="18"/>
                <w:color w:val="auto"/>
              </w:rPr>
              <w:t xml:space="preserve"> I</w:t>
            </w:r>
            <w:r>
              <w:rPr>
                <w:rFonts w:ascii="Arial" w:cs="Arial" w:eastAsia="Arial" w:hAnsi="Arial"/>
                <w:sz w:val="14"/>
                <w:szCs w:val="14"/>
                <w:color w:val="auto"/>
              </w:rPr>
              <w:t>NDIES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OUNDRIES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0.7%</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4200 V</w:t>
            </w:r>
            <w:r>
              <w:rPr>
                <w:rFonts w:ascii="Arial" w:cs="Arial" w:eastAsia="Arial" w:hAnsi="Arial"/>
                <w:sz w:val="14"/>
                <w:szCs w:val="14"/>
                <w:color w:val="auto"/>
              </w:rPr>
              <w:t>ALLEY</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OMONA</w:t>
            </w:r>
            <w:r>
              <w:rPr>
                <w:rFonts w:ascii="Arial" w:cs="Arial" w:eastAsia="Arial" w:hAnsi="Arial"/>
                <w:sz w:val="18"/>
                <w:szCs w:val="18"/>
                <w:color w:val="auto"/>
              </w:rPr>
              <w:t>, CA 91766</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CT T</w:t>
            </w:r>
            <w:r>
              <w:rPr>
                <w:rFonts w:ascii="Arial" w:cs="Arial" w:eastAsia="Arial" w:hAnsi="Arial"/>
                <w:sz w:val="14"/>
                <w:szCs w:val="14"/>
                <w:color w:val="auto"/>
              </w:rPr>
              <w:t>ECHNOLOGIES</w:t>
            </w:r>
            <w:r>
              <w:rPr>
                <w:rFonts w:ascii="Arial" w:cs="Arial" w:eastAsia="Arial" w:hAnsi="Arial"/>
                <w:sz w:val="18"/>
                <w:szCs w:val="18"/>
                <w:color w:val="auto"/>
              </w:rPr>
              <w:t xml:space="preserve"> I</w:t>
            </w:r>
            <w:r>
              <w:rPr>
                <w:rFonts w:ascii="Arial" w:cs="Arial" w:eastAsia="Arial" w:hAnsi="Arial"/>
                <w:sz w:val="14"/>
                <w:szCs w:val="14"/>
                <w:color w:val="auto"/>
              </w:rPr>
              <w:t>NTERMEDIATE</w:t>
            </w:r>
          </w:p>
        </w:tc>
        <w:tc>
          <w:tcPr>
            <w:tcW w:w="240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Common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10.7%</w:t>
            </w:r>
            <w:r>
              <w:rPr>
                <w:rFonts w:ascii="Arial" w:cs="Arial" w:eastAsia="Arial" w:hAnsi="Arial"/>
                <w:sz w:val="11"/>
                <w:szCs w:val="11"/>
                <w:color w:val="auto"/>
                <w:w w:val="89"/>
              </w:rPr>
              <w:t>(2)</w:t>
            </w: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OLDINGS</w:t>
            </w:r>
            <w:r>
              <w:rPr>
                <w:rFonts w:ascii="Arial" w:cs="Arial" w:eastAsia="Arial" w:hAnsi="Arial"/>
                <w:sz w:val="18"/>
                <w:szCs w:val="18"/>
                <w:color w:val="auto"/>
              </w:rPr>
              <w:t xml:space="preserve"> ,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875 N</w:t>
            </w:r>
            <w:r>
              <w:rPr>
                <w:rFonts w:ascii="Arial" w:cs="Arial" w:eastAsia="Arial" w:hAnsi="Arial"/>
                <w:sz w:val="14"/>
                <w:szCs w:val="14"/>
                <w:color w:val="auto"/>
              </w:rPr>
              <w:t>ORTH</w:t>
            </w:r>
            <w:r>
              <w:rPr>
                <w:rFonts w:ascii="Arial" w:cs="Arial" w:eastAsia="Arial" w:hAnsi="Arial"/>
                <w:sz w:val="18"/>
                <w:szCs w:val="18"/>
                <w:color w:val="auto"/>
              </w:rPr>
              <w:t xml:space="preserve"> M</w:t>
            </w:r>
            <w:r>
              <w:rPr>
                <w:rFonts w:ascii="Arial" w:cs="Arial" w:eastAsia="Arial" w:hAnsi="Arial"/>
                <w:sz w:val="14"/>
                <w:szCs w:val="14"/>
                <w:color w:val="auto"/>
              </w:rPr>
              <w:t>ICHIGAN</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HICAGO</w:t>
            </w:r>
            <w:r>
              <w:rPr>
                <w:rFonts w:ascii="Arial" w:cs="Arial" w:eastAsia="Arial" w:hAnsi="Arial"/>
                <w:sz w:val="18"/>
                <w:szCs w:val="18"/>
                <w:color w:val="auto"/>
              </w:rPr>
              <w:t xml:space="preserve"> IL 60601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IGICEL</w:t>
            </w:r>
            <w:r>
              <w:rPr>
                <w:rFonts w:ascii="Arial" w:cs="Arial" w:eastAsia="Arial" w:hAnsi="Arial"/>
                <w:sz w:val="18"/>
                <w:szCs w:val="18"/>
                <w:color w:val="auto"/>
              </w:rPr>
              <w:t xml:space="preserve"> LTD.</w:t>
            </w:r>
          </w:p>
        </w:tc>
        <w:tc>
          <w:tcPr>
            <w:tcW w:w="2400" w:type="dxa"/>
            <w:vAlign w:val="bottom"/>
          </w:tcPr>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YOLL</w:t>
            </w:r>
            <w:r>
              <w:rPr>
                <w:rFonts w:ascii="Arial" w:cs="Arial" w:eastAsia="Arial" w:hAnsi="Arial"/>
                <w:sz w:val="18"/>
                <w:szCs w:val="18"/>
                <w:color w:val="auto"/>
              </w:rPr>
              <w:t xml:space="preserve"> B</w:t>
            </w:r>
            <w:r>
              <w:rPr>
                <w:rFonts w:ascii="Arial" w:cs="Arial" w:eastAsia="Arial" w:hAnsi="Arial"/>
                <w:sz w:val="14"/>
                <w:szCs w:val="14"/>
                <w:color w:val="auto"/>
              </w:rPr>
              <w:t>UILDING</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40 K</w:t>
            </w:r>
            <w:r>
              <w:rPr>
                <w:rFonts w:ascii="Arial" w:cs="Arial" w:eastAsia="Arial" w:hAnsi="Arial"/>
                <w:sz w:val="14"/>
                <w:szCs w:val="14"/>
                <w:color w:val="auto"/>
              </w:rPr>
              <w:t>NUTSFORD</w:t>
            </w:r>
            <w:r>
              <w:rPr>
                <w:rFonts w:ascii="Arial" w:cs="Arial" w:eastAsia="Arial" w:hAnsi="Arial"/>
                <w:sz w:val="18"/>
                <w:szCs w:val="18"/>
                <w:color w:val="auto"/>
              </w:rPr>
              <w:t xml:space="preserve"> B</w:t>
            </w:r>
            <w:r>
              <w:rPr>
                <w:rFonts w:ascii="Arial" w:cs="Arial" w:eastAsia="Arial" w:hAnsi="Arial"/>
                <w:sz w:val="14"/>
                <w:szCs w:val="14"/>
                <w:color w:val="auto"/>
              </w:rPr>
              <w:t>OULEVARD</w:t>
            </w:r>
            <w:r>
              <w:rPr>
                <w:rFonts w:ascii="Arial" w:cs="Arial" w:eastAsia="Arial" w:hAnsi="Arial"/>
                <w:sz w:val="18"/>
                <w:szCs w:val="18"/>
                <w:color w:val="auto"/>
              </w:rPr>
              <w: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INGSTON</w:t>
            </w:r>
            <w:r>
              <w:rPr>
                <w:rFonts w:ascii="Arial" w:cs="Arial" w:eastAsia="Arial" w:hAnsi="Arial"/>
                <w:sz w:val="18"/>
                <w:szCs w:val="18"/>
                <w:color w:val="auto"/>
              </w:rPr>
              <w:t xml:space="preserve"> 5,</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AMAICA</w:t>
            </w:r>
            <w:r>
              <w:rPr>
                <w:rFonts w:ascii="Arial" w:cs="Arial" w:eastAsia="Arial" w:hAnsi="Arial"/>
                <w:sz w:val="18"/>
                <w:szCs w:val="18"/>
                <w:color w:val="auto"/>
              </w:rPr>
              <w:t>, W.I.</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NVIROSOLUTIONS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E</w:t>
            </w:r>
            <w:r>
              <w:rPr>
                <w:rFonts w:ascii="Arial" w:cs="Arial" w:eastAsia="Arial" w:hAnsi="Arial"/>
                <w:sz w:val="14"/>
                <w:szCs w:val="14"/>
                <w:color w:val="auto"/>
                <w:w w:val="99"/>
              </w:rPr>
              <w:t>NVIRONMENTAL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11220 A</w:t>
            </w:r>
            <w:r>
              <w:rPr>
                <w:rFonts w:ascii="Arial" w:cs="Arial" w:eastAsia="Arial" w:hAnsi="Arial"/>
                <w:sz w:val="14"/>
                <w:szCs w:val="14"/>
                <w:color w:val="auto"/>
              </w:rPr>
              <w:t>SSET</w:t>
            </w:r>
            <w:r>
              <w:rPr>
                <w:rFonts w:ascii="Arial" w:cs="Arial" w:eastAsia="Arial" w:hAnsi="Arial"/>
                <w:sz w:val="18"/>
                <w:szCs w:val="18"/>
                <w:color w:val="auto"/>
              </w:rPr>
              <w:t xml:space="preserve"> L</w:t>
            </w:r>
            <w:r>
              <w:rPr>
                <w:rFonts w:ascii="Arial" w:cs="Arial" w:eastAsia="Arial" w:hAnsi="Arial"/>
                <w:sz w:val="14"/>
                <w:szCs w:val="14"/>
                <w:color w:val="auto"/>
              </w:rPr>
              <w:t>OOP</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201</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ANASSAS</w:t>
            </w:r>
            <w:r>
              <w:rPr>
                <w:rFonts w:ascii="Arial" w:cs="Arial" w:eastAsia="Arial" w:hAnsi="Arial"/>
                <w:sz w:val="18"/>
                <w:szCs w:val="18"/>
                <w:color w:val="auto"/>
              </w:rPr>
              <w:t>, VA 20109</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AIRWAY</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OMPANY</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G</w:t>
            </w:r>
            <w:r>
              <w:rPr>
                <w:rFonts w:ascii="Arial" w:cs="Arial" w:eastAsia="Arial" w:hAnsi="Arial"/>
                <w:sz w:val="14"/>
                <w:szCs w:val="14"/>
                <w:color w:val="auto"/>
                <w:w w:val="97"/>
              </w:rPr>
              <w:t>ROCERY</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line="217" w:lineRule="exact"/>
              <w:rPr>
                <w:sz w:val="20"/>
                <w:szCs w:val="20"/>
                <w:color w:val="auto"/>
              </w:rPr>
            </w:pPr>
            <w:r>
              <w:rPr>
                <w:rFonts w:ascii="Arial" w:cs="Arial" w:eastAsia="Arial" w:hAnsi="Arial"/>
                <w:sz w:val="18"/>
                <w:szCs w:val="18"/>
                <w:color w:val="auto"/>
              </w:rPr>
              <w:t>2284 12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10027</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ENERICS</w:t>
            </w:r>
            <w:r>
              <w:rPr>
                <w:rFonts w:ascii="Arial" w:cs="Arial" w:eastAsia="Arial" w:hAnsi="Arial"/>
                <w:sz w:val="18"/>
                <w:szCs w:val="18"/>
                <w:color w:val="auto"/>
              </w:rPr>
              <w:t xml:space="preserve"> I</w:t>
            </w:r>
            <w:r>
              <w:rPr>
                <w:rFonts w:ascii="Arial" w:cs="Arial" w:eastAsia="Arial" w:hAnsi="Arial"/>
                <w:sz w:val="14"/>
                <w:szCs w:val="14"/>
                <w:color w:val="auto"/>
              </w:rPr>
              <w:t>NTERNATIONAL</w:t>
            </w:r>
            <w:r>
              <w:rPr>
                <w:rFonts w:ascii="Arial" w:cs="Arial" w:eastAsia="Arial" w:hAnsi="Arial"/>
                <w:sz w:val="18"/>
                <w:szCs w:val="18"/>
                <w:color w:val="auto"/>
              </w:rPr>
              <w:t xml:space="preserve"> (U.S.), I</w:t>
            </w:r>
            <w:r>
              <w:rPr>
                <w:rFonts w:ascii="Arial" w:cs="Arial" w:eastAsia="Arial" w:hAnsi="Arial"/>
                <w:sz w:val="14"/>
                <w:szCs w:val="14"/>
                <w:color w:val="auto"/>
              </w:rPr>
              <w:t>NC</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130 V</w:t>
            </w:r>
            <w:r>
              <w:rPr>
                <w:rFonts w:ascii="Arial" w:cs="Arial" w:eastAsia="Arial" w:hAnsi="Arial"/>
                <w:sz w:val="14"/>
                <w:szCs w:val="14"/>
                <w:color w:val="auto"/>
              </w:rPr>
              <w:t>INTAGE</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240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HILDCARE</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UNTSVILLE</w:t>
            </w:r>
            <w:r>
              <w:rPr>
                <w:rFonts w:ascii="Arial" w:cs="Arial" w:eastAsia="Arial" w:hAnsi="Arial"/>
                <w:sz w:val="18"/>
                <w:szCs w:val="18"/>
                <w:color w:val="auto"/>
              </w:rPr>
              <w:t>, AL 35811</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REATWIDE</w:t>
            </w:r>
            <w:r>
              <w:rPr>
                <w:rFonts w:ascii="Arial" w:cs="Arial" w:eastAsia="Arial" w:hAnsi="Arial"/>
                <w:sz w:val="18"/>
                <w:szCs w:val="18"/>
                <w:color w:val="auto"/>
              </w:rPr>
              <w:t xml:space="preserve"> L</w:t>
            </w:r>
            <w:r>
              <w:rPr>
                <w:rFonts w:ascii="Arial" w:cs="Arial" w:eastAsia="Arial" w:hAnsi="Arial"/>
                <w:sz w:val="14"/>
                <w:szCs w:val="14"/>
                <w:color w:val="auto"/>
              </w:rPr>
              <w:t>OGISTIC</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1.9%</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12404 P</w:t>
            </w:r>
            <w:r>
              <w:rPr>
                <w:rFonts w:ascii="Arial" w:cs="Arial" w:eastAsia="Arial" w:hAnsi="Arial"/>
                <w:sz w:val="14"/>
                <w:szCs w:val="14"/>
                <w:color w:val="auto"/>
              </w:rPr>
              <w:t>ARK</w:t>
            </w:r>
            <w:r>
              <w:rPr>
                <w:rFonts w:ascii="Arial" w:cs="Arial" w:eastAsia="Arial" w:hAnsi="Arial"/>
                <w:sz w:val="18"/>
                <w:szCs w:val="18"/>
                <w:color w:val="auto"/>
              </w:rPr>
              <w:t xml:space="preserve"> C</w:t>
            </w:r>
            <w:r>
              <w:rPr>
                <w:rFonts w:ascii="Arial" w:cs="Arial" w:eastAsia="Arial" w:hAnsi="Arial"/>
                <w:sz w:val="14"/>
                <w:szCs w:val="14"/>
                <w:color w:val="auto"/>
              </w:rPr>
              <w:t>ENTRAL</w:t>
            </w:r>
            <w:r>
              <w:rPr>
                <w:rFonts w:ascii="Arial" w:cs="Arial" w:eastAsia="Arial" w:hAnsi="Arial"/>
                <w:sz w:val="18"/>
                <w:szCs w:val="18"/>
                <w:color w:val="auto"/>
              </w:rPr>
              <w:t xml:space="preserve"> D</w:t>
            </w:r>
            <w:r>
              <w:rPr>
                <w:rFonts w:ascii="Arial" w:cs="Arial" w:eastAsia="Arial" w:hAnsi="Arial"/>
                <w:sz w:val="14"/>
                <w:szCs w:val="14"/>
                <w:color w:val="auto"/>
              </w:rPr>
              <w:t>R</w:t>
            </w:r>
            <w:r>
              <w:rPr>
                <w:rFonts w:ascii="Arial" w:cs="Arial" w:eastAsia="Arial" w:hAnsi="Arial"/>
                <w:sz w:val="18"/>
                <w:szCs w:val="18"/>
                <w:color w:val="auto"/>
              </w:rPr>
              <w:t>., S</w:t>
            </w:r>
            <w:r>
              <w:rPr>
                <w:rFonts w:ascii="Arial" w:cs="Arial" w:eastAsia="Arial" w:hAnsi="Arial"/>
                <w:sz w:val="14"/>
                <w:szCs w:val="14"/>
                <w:color w:val="auto"/>
              </w:rPr>
              <w:t>TE</w:t>
            </w:r>
            <w:r>
              <w:rPr>
                <w:rFonts w:ascii="Arial" w:cs="Arial" w:eastAsia="Arial" w:hAnsi="Arial"/>
                <w:sz w:val="18"/>
                <w:szCs w:val="18"/>
                <w:color w:val="auto"/>
              </w:rPr>
              <w:t>. 300</w:t>
            </w:r>
            <w:r>
              <w:rPr>
                <w:rFonts w:ascii="Arial" w:cs="Arial" w:eastAsia="Arial" w:hAnsi="Arial"/>
                <w:sz w:val="14"/>
                <w:szCs w:val="14"/>
                <w:color w:val="auto"/>
              </w:rPr>
              <w: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TX 75251-1803</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ANLEY</w:t>
            </w:r>
            <w:r>
              <w:rPr>
                <w:rFonts w:ascii="Arial" w:cs="Arial" w:eastAsia="Arial" w:hAnsi="Arial"/>
                <w:sz w:val="18"/>
                <w:szCs w:val="18"/>
                <w:color w:val="auto"/>
              </w:rPr>
              <w:t>-</w:t>
            </w:r>
            <w:r>
              <w:rPr>
                <w:rFonts w:ascii="Arial" w:cs="Arial" w:eastAsia="Arial" w:hAnsi="Arial"/>
                <w:sz w:val="14"/>
                <w:szCs w:val="14"/>
                <w:color w:val="auto"/>
              </w:rPr>
              <w:t>WOOD</w:t>
            </w:r>
            <w:r>
              <w:rPr>
                <w:rFonts w:ascii="Arial" w:cs="Arial" w:eastAsia="Arial" w:hAnsi="Arial"/>
                <w:sz w:val="18"/>
                <w:szCs w:val="18"/>
                <w:color w:val="auto"/>
              </w:rPr>
              <w:t>, L.L.C.</w:t>
            </w:r>
          </w:p>
        </w:tc>
        <w:tc>
          <w:tcPr>
            <w:tcW w:w="240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T</w:t>
            </w:r>
            <w:r>
              <w:rPr>
                <w:rFonts w:ascii="Arial" w:cs="Arial" w:eastAsia="Arial" w:hAnsi="Arial"/>
                <w:sz w:val="14"/>
                <w:szCs w:val="14"/>
                <w:color w:val="auto"/>
              </w:rPr>
              <w:t>HOMAS</w:t>
            </w:r>
            <w:r>
              <w:rPr>
                <w:rFonts w:ascii="Arial" w:cs="Arial" w:eastAsia="Arial" w:hAnsi="Arial"/>
                <w:sz w:val="18"/>
                <w:szCs w:val="18"/>
                <w:color w:val="auto"/>
              </w:rPr>
              <w:t xml:space="preserve"> C</w:t>
            </w:r>
            <w:r>
              <w:rPr>
                <w:rFonts w:ascii="Arial" w:cs="Arial" w:eastAsia="Arial" w:hAnsi="Arial"/>
                <w:sz w:val="14"/>
                <w:szCs w:val="14"/>
                <w:color w:val="auto"/>
              </w:rPr>
              <w:t>IRCLE</w:t>
            </w:r>
            <w:r>
              <w:rPr>
                <w:rFonts w:ascii="Arial" w:cs="Arial" w:eastAsia="Arial" w:hAnsi="Arial"/>
                <w:sz w:val="18"/>
                <w:szCs w:val="18"/>
                <w:color w:val="auto"/>
              </w:rPr>
              <w:t>, N</w:t>
            </w:r>
            <w:r>
              <w:rPr>
                <w:rFonts w:ascii="Arial" w:cs="Arial" w:eastAsia="Arial" w:hAnsi="Arial"/>
                <w:sz w:val="14"/>
                <w:szCs w:val="14"/>
                <w:color w:val="auto"/>
              </w:rPr>
              <w:t>W</w:t>
            </w:r>
            <w:r>
              <w:rPr>
                <w:rFonts w:ascii="Arial" w:cs="Arial" w:eastAsia="Arial" w:hAnsi="Arial"/>
                <w:sz w:val="18"/>
                <w:szCs w:val="18"/>
                <w:color w:val="auto"/>
              </w:rPr>
              <w:t xml:space="preserve"> S</w:t>
            </w:r>
            <w:r>
              <w:rPr>
                <w:rFonts w:ascii="Arial" w:cs="Arial" w:eastAsia="Arial" w:hAnsi="Arial"/>
                <w:sz w:val="14"/>
                <w:szCs w:val="14"/>
                <w:color w:val="auto"/>
              </w:rPr>
              <w:t>T</w:t>
            </w:r>
            <w:r>
              <w:rPr>
                <w:rFonts w:ascii="Arial" w:cs="Arial" w:eastAsia="Arial" w:hAnsi="Arial"/>
                <w:sz w:val="18"/>
                <w:szCs w:val="18"/>
                <w:color w:val="auto"/>
              </w:rPr>
              <w:t xml:space="preserve"> 600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ASHINGTON</w:t>
            </w:r>
            <w:r>
              <w:rPr>
                <w:rFonts w:ascii="Arial" w:cs="Arial" w:eastAsia="Arial" w:hAnsi="Arial"/>
                <w:sz w:val="18"/>
                <w:szCs w:val="18"/>
                <w:color w:val="auto"/>
              </w:rPr>
              <w:t>, DC 20005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04"/>
        </w:trPr>
        <w:tc>
          <w:tcPr>
            <w:tcW w:w="528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EADWATERS</w:t>
            </w:r>
            <w:r>
              <w:rPr>
                <w:rFonts w:ascii="Arial" w:cs="Arial" w:eastAsia="Arial" w:hAnsi="Arial"/>
                <w:sz w:val="18"/>
                <w:szCs w:val="18"/>
                <w:color w:val="auto"/>
              </w:rPr>
              <w:t xml:space="preserve"> I</w:t>
            </w:r>
            <w:r>
              <w:rPr>
                <w:rFonts w:ascii="Arial" w:cs="Arial" w:eastAsia="Arial" w:hAnsi="Arial"/>
                <w:sz w:val="14"/>
                <w:szCs w:val="14"/>
                <w:color w:val="auto"/>
              </w:rPr>
              <w:t>NCORPORATED</w:t>
            </w:r>
          </w:p>
        </w:tc>
        <w:tc>
          <w:tcPr>
            <w:tcW w:w="2400" w:type="dxa"/>
            <w:vAlign w:val="bottom"/>
          </w:tcPr>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IVERSIFIED</w:t>
            </w:r>
            <w:r>
              <w:rPr>
                <w:rFonts w:ascii="Arial" w:cs="Arial" w:eastAsia="Arial" w:hAnsi="Arial"/>
                <w:sz w:val="18"/>
                <w:szCs w:val="18"/>
                <w:color w:val="auto"/>
              </w:rPr>
              <w:t xml:space="preserve"> / C</w:t>
            </w:r>
            <w:r>
              <w:rPr>
                <w:rFonts w:ascii="Arial" w:cs="Arial" w:eastAsia="Arial" w:hAnsi="Arial"/>
                <w:sz w:val="14"/>
                <w:szCs w:val="14"/>
                <w:color w:val="auto"/>
              </w:rPr>
              <w:t>ONGLOMERATE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10653 S</w:t>
            </w:r>
            <w:r>
              <w:rPr>
                <w:rFonts w:ascii="Arial" w:cs="Arial" w:eastAsia="Arial" w:hAnsi="Arial"/>
                <w:sz w:val="14"/>
                <w:szCs w:val="14"/>
                <w:color w:val="auto"/>
              </w:rPr>
              <w:t>OUTH</w:t>
            </w:r>
            <w:r>
              <w:rPr>
                <w:rFonts w:ascii="Arial" w:cs="Arial" w:eastAsia="Arial" w:hAnsi="Arial"/>
                <w:sz w:val="18"/>
                <w:szCs w:val="18"/>
                <w:color w:val="auto"/>
              </w:rPr>
              <w:t xml:space="preserve"> R</w:t>
            </w:r>
            <w:r>
              <w:rPr>
                <w:rFonts w:ascii="Arial" w:cs="Arial" w:eastAsia="Arial" w:hAnsi="Arial"/>
                <w:sz w:val="14"/>
                <w:szCs w:val="14"/>
                <w:color w:val="auto"/>
              </w:rPr>
              <w:t>IVER</w:t>
            </w:r>
            <w:r>
              <w:rPr>
                <w:rFonts w:ascii="Arial" w:cs="Arial" w:eastAsia="Arial" w:hAnsi="Arial"/>
                <w:sz w:val="18"/>
                <w:szCs w:val="18"/>
                <w:color w:val="auto"/>
              </w:rPr>
              <w:t xml:space="preserve"> F</w:t>
            </w:r>
            <w:r>
              <w:rPr>
                <w:rFonts w:ascii="Arial" w:cs="Arial" w:eastAsia="Arial" w:hAnsi="Arial"/>
                <w:sz w:val="14"/>
                <w:szCs w:val="14"/>
                <w:color w:val="auto"/>
              </w:rPr>
              <w:t>RONT</w:t>
            </w:r>
            <w:r>
              <w:rPr>
                <w:rFonts w:ascii="Arial" w:cs="Arial" w:eastAsia="Arial" w:hAnsi="Arial"/>
                <w:sz w:val="18"/>
                <w:szCs w:val="18"/>
                <w:color w:val="auto"/>
              </w:rPr>
              <w:t xml:space="preserve"> P</w:t>
            </w:r>
            <w:r>
              <w:rPr>
                <w:rFonts w:ascii="Arial" w:cs="Arial" w:eastAsia="Arial" w:hAnsi="Arial"/>
                <w:sz w:val="14"/>
                <w:szCs w:val="14"/>
                <w:color w:val="auto"/>
              </w:rPr>
              <w:t>ARKWAY</w:t>
            </w:r>
            <w:r>
              <w:rPr>
                <w:rFonts w:ascii="Arial" w:cs="Arial" w:eastAsia="Arial" w:hAnsi="Arial"/>
                <w:sz w:val="18"/>
                <w:szCs w:val="18"/>
                <w:color w:val="auto"/>
              </w:rPr>
              <w:t>,</w:t>
            </w:r>
          </w:p>
        </w:tc>
        <w:tc>
          <w:tcPr>
            <w:tcW w:w="240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OUTH</w:t>
            </w:r>
            <w:r>
              <w:rPr>
                <w:rFonts w:ascii="Arial" w:cs="Arial" w:eastAsia="Arial" w:hAnsi="Arial"/>
                <w:sz w:val="18"/>
                <w:szCs w:val="18"/>
                <w:color w:val="auto"/>
              </w:rPr>
              <w:t xml:space="preserve"> J</w:t>
            </w:r>
            <w:r>
              <w:rPr>
                <w:rFonts w:ascii="Arial" w:cs="Arial" w:eastAsia="Arial" w:hAnsi="Arial"/>
                <w:sz w:val="14"/>
                <w:szCs w:val="14"/>
                <w:color w:val="auto"/>
              </w:rPr>
              <w:t>ORDAN</w:t>
            </w:r>
            <w:r>
              <w:rPr>
                <w:rFonts w:ascii="Arial" w:cs="Arial" w:eastAsia="Arial" w:hAnsi="Arial"/>
                <w:sz w:val="18"/>
                <w:szCs w:val="18"/>
                <w:color w:val="auto"/>
              </w:rPr>
              <w:t>, U</w:t>
            </w:r>
            <w:r>
              <w:rPr>
                <w:rFonts w:ascii="Arial" w:cs="Arial" w:eastAsia="Arial" w:hAnsi="Arial"/>
                <w:sz w:val="14"/>
                <w:szCs w:val="14"/>
                <w:color w:val="auto"/>
              </w:rPr>
              <w:t>TAH</w:t>
            </w:r>
            <w:r>
              <w:rPr>
                <w:rFonts w:ascii="Arial" w:cs="Arial" w:eastAsia="Arial" w:hAnsi="Arial"/>
                <w:sz w:val="18"/>
                <w:szCs w:val="18"/>
                <w:color w:val="auto"/>
              </w:rPr>
              <w:t xml:space="preserve"> 84095</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0" w:type="dxa"/>
            <w:vAlign w:val="bottom"/>
          </w:tcPr>
          <w:p>
            <w:pPr>
              <w:jc w:val="right"/>
              <w:ind w:right="179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58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UGHES</w:t>
            </w:r>
            <w:r>
              <w:rPr>
                <w:rFonts w:ascii="Arial" w:cs="Arial" w:eastAsia="Arial" w:hAnsi="Arial"/>
                <w:sz w:val="18"/>
                <w:szCs w:val="18"/>
                <w:color w:val="auto"/>
              </w:rPr>
              <w:t xml:space="preserve"> N</w:t>
            </w:r>
            <w:r>
              <w:rPr>
                <w:rFonts w:ascii="Arial" w:cs="Arial" w:eastAsia="Arial" w:hAnsi="Arial"/>
                <w:sz w:val="14"/>
                <w:szCs w:val="14"/>
                <w:color w:val="auto"/>
              </w:rPr>
              <w:t>ETWORK</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L.L.C.</w:t>
            </w: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ELECOMMUNICATIONS</w:t>
            </w:r>
          </w:p>
        </w:tc>
        <w:tc>
          <w:tcPr>
            <w:tcW w:w="120" w:type="dxa"/>
            <w:vAlign w:val="bottom"/>
          </w:tcPr>
          <w:p>
            <w:pPr>
              <w:spacing w:after="0"/>
              <w:rPr>
                <w:sz w:val="17"/>
                <w:szCs w:val="17"/>
                <w:color w:val="auto"/>
              </w:rPr>
            </w:pPr>
          </w:p>
        </w:tc>
        <w:tc>
          <w:tcPr>
            <w:tcW w:w="262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11717 E</w:t>
            </w:r>
            <w:r>
              <w:rPr>
                <w:rFonts w:ascii="Arial" w:cs="Arial" w:eastAsia="Arial" w:hAnsi="Arial"/>
                <w:sz w:val="14"/>
                <w:szCs w:val="14"/>
                <w:color w:val="auto"/>
              </w:rPr>
              <w:t>XPLORATION</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ERMANTOWN</w:t>
            </w:r>
            <w:r>
              <w:rPr>
                <w:rFonts w:ascii="Arial" w:cs="Arial" w:eastAsia="Arial" w:hAnsi="Arial"/>
                <w:sz w:val="18"/>
                <w:szCs w:val="18"/>
                <w:color w:val="auto"/>
              </w:rPr>
              <w:t>, MD 20876</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i2 H</w:t>
            </w:r>
            <w:r>
              <w:rPr>
                <w:rFonts w:ascii="Arial" w:cs="Arial" w:eastAsia="Arial" w:hAnsi="Arial"/>
                <w:sz w:val="14"/>
                <w:szCs w:val="14"/>
                <w:color w:val="auto"/>
              </w:rPr>
              <w:t>OLDINGS</w:t>
            </w:r>
            <w:r>
              <w:rPr>
                <w:rFonts w:ascii="Arial" w:cs="Arial" w:eastAsia="Arial" w:hAnsi="Arial"/>
                <w:sz w:val="18"/>
                <w:szCs w:val="18"/>
                <w:color w:val="auto"/>
              </w:rPr>
              <w:t>, L</w:t>
            </w:r>
            <w:r>
              <w:rPr>
                <w:rFonts w:ascii="Arial" w:cs="Arial" w:eastAsia="Arial" w:hAnsi="Arial"/>
                <w:sz w:val="14"/>
                <w:szCs w:val="14"/>
                <w:color w:val="auto"/>
              </w:rPr>
              <w:t>TD</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EROSPACE</w:t>
            </w:r>
            <w:r>
              <w:rPr>
                <w:rFonts w:ascii="Arial" w:cs="Arial" w:eastAsia="Arial" w:hAnsi="Arial"/>
                <w:sz w:val="18"/>
                <w:szCs w:val="18"/>
                <w:color w:val="auto"/>
                <w:w w:val="97"/>
              </w:rPr>
              <w:t xml:space="preserve"> &amp; D</w:t>
            </w:r>
            <w:r>
              <w:rPr>
                <w:rFonts w:ascii="Arial" w:cs="Arial" w:eastAsia="Arial" w:hAnsi="Arial"/>
                <w:sz w:val="14"/>
                <w:szCs w:val="14"/>
                <w:color w:val="auto"/>
                <w:w w:val="97"/>
              </w:rPr>
              <w:t>EFENSE</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6.4%</w:t>
            </w:r>
            <w:r>
              <w:rPr>
                <w:rFonts w:ascii="Arial" w:cs="Arial" w:eastAsia="Arial" w:hAnsi="Arial"/>
                <w:sz w:val="11"/>
                <w:szCs w:val="11"/>
                <w:color w:val="auto"/>
                <w:w w:val="91"/>
              </w:rPr>
              <w:t>(2)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HE</w:t>
            </w:r>
            <w:r>
              <w:rPr>
                <w:rFonts w:ascii="Arial" w:cs="Arial" w:eastAsia="Arial" w:hAnsi="Arial"/>
                <w:sz w:val="18"/>
                <w:szCs w:val="18"/>
                <w:color w:val="auto"/>
              </w:rPr>
              <w:t xml:space="preserve"> V</w:t>
            </w:r>
            <w:r>
              <w:rPr>
                <w:rFonts w:ascii="Arial" w:cs="Arial" w:eastAsia="Arial" w:hAnsi="Arial"/>
                <w:sz w:val="14"/>
                <w:szCs w:val="14"/>
                <w:color w:val="auto"/>
              </w:rPr>
              <w:t>ISUAL</w:t>
            </w:r>
            <w:r>
              <w:rPr>
                <w:rFonts w:ascii="Arial" w:cs="Arial" w:eastAsia="Arial" w:hAnsi="Arial"/>
                <w:sz w:val="18"/>
                <w:szCs w:val="18"/>
                <w:color w:val="auto"/>
              </w:rPr>
              <w:t xml:space="preserve"> S</w:t>
            </w:r>
            <w:r>
              <w:rPr>
                <w:rFonts w:ascii="Arial" w:cs="Arial" w:eastAsia="Arial" w:hAnsi="Arial"/>
                <w:sz w:val="14"/>
                <w:szCs w:val="14"/>
                <w:color w:val="auto"/>
              </w:rPr>
              <w:t>PACE</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P</w:t>
            </w:r>
            <w:r>
              <w:rPr>
                <w:rFonts w:ascii="Arial" w:cs="Arial" w:eastAsia="Arial" w:hAnsi="Arial"/>
                <w:sz w:val="14"/>
                <w:szCs w:val="14"/>
                <w:color w:val="auto"/>
              </w:rPr>
              <w:t>ARK</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ULBOURN</w:t>
            </w:r>
            <w:r>
              <w:rPr>
                <w:rFonts w:ascii="Arial" w:cs="Arial" w:eastAsia="Arial" w:hAnsi="Arial"/>
                <w:sz w:val="18"/>
                <w:szCs w:val="18"/>
                <w:color w:val="auto"/>
              </w:rPr>
              <w:t xml:space="preserve"> C</w:t>
            </w:r>
            <w:r>
              <w:rPr>
                <w:rFonts w:ascii="Arial" w:cs="Arial" w:eastAsia="Arial" w:hAnsi="Arial"/>
                <w:sz w:val="14"/>
                <w:szCs w:val="14"/>
                <w:color w:val="auto"/>
              </w:rPr>
              <w:t>AMBRIDGESHIRE</w:t>
            </w:r>
            <w:r>
              <w:rPr>
                <w:rFonts w:ascii="Arial" w:cs="Arial" w:eastAsia="Arial" w:hAnsi="Arial"/>
                <w:sz w:val="18"/>
                <w:szCs w:val="18"/>
                <w:color w:val="auto"/>
              </w:rPr>
              <w:t>, CB215</w:t>
            </w:r>
            <w:r>
              <w:rPr>
                <w:rFonts w:ascii="Arial" w:cs="Arial" w:eastAsia="Arial" w:hAnsi="Arial"/>
                <w:sz w:val="14"/>
                <w:szCs w:val="14"/>
                <w:color w:val="auto"/>
              </w:rPr>
              <w:t>XH</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NITED</w:t>
            </w:r>
            <w:r>
              <w:rPr>
                <w:rFonts w:ascii="Arial" w:cs="Arial" w:eastAsia="Arial" w:hAnsi="Arial"/>
                <w:sz w:val="18"/>
                <w:szCs w:val="18"/>
                <w:color w:val="auto"/>
              </w:rPr>
              <w:t xml:space="preserve"> K</w:t>
            </w:r>
            <w:r>
              <w:rPr>
                <w:rFonts w:ascii="Arial" w:cs="Arial" w:eastAsia="Arial" w:hAnsi="Arial"/>
                <w:sz w:val="14"/>
                <w:szCs w:val="14"/>
                <w:color w:val="auto"/>
              </w:rPr>
              <w:t>INGDOM</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NTERDYNAMICS</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UTO</w:t>
            </w:r>
            <w:r>
              <w:rPr>
                <w:rFonts w:ascii="Arial" w:cs="Arial" w:eastAsia="Arial" w:hAnsi="Arial"/>
                <w:sz w:val="18"/>
                <w:szCs w:val="18"/>
                <w:color w:val="auto"/>
                <w:w w:val="96"/>
              </w:rPr>
              <w:t xml:space="preserve"> S</w:t>
            </w:r>
            <w:r>
              <w:rPr>
                <w:rFonts w:ascii="Arial" w:cs="Arial" w:eastAsia="Arial" w:hAnsi="Arial"/>
                <w:sz w:val="14"/>
                <w:szCs w:val="14"/>
                <w:color w:val="auto"/>
                <w:w w:val="96"/>
              </w:rPr>
              <w:t>ECTOR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560 W</w:t>
            </w:r>
            <w:r>
              <w:rPr>
                <w:rFonts w:ascii="Arial" w:cs="Arial" w:eastAsia="Arial" w:hAnsi="Arial"/>
                <w:sz w:val="14"/>
                <w:szCs w:val="14"/>
                <w:color w:val="auto"/>
              </w:rPr>
              <w:t>HITE</w:t>
            </w:r>
            <w:r>
              <w:rPr>
                <w:rFonts w:ascii="Arial" w:cs="Arial" w:eastAsia="Arial" w:hAnsi="Arial"/>
                <w:sz w:val="18"/>
                <w:szCs w:val="18"/>
                <w:color w:val="auto"/>
              </w:rPr>
              <w:t xml:space="preserve"> P</w:t>
            </w:r>
            <w:r>
              <w:rPr>
                <w:rFonts w:ascii="Arial" w:cs="Arial" w:eastAsia="Arial" w:hAnsi="Arial"/>
                <w:sz w:val="14"/>
                <w:szCs w:val="14"/>
                <w:color w:val="auto"/>
              </w:rPr>
              <w:t>LAINS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ARRYTOWN</w:t>
            </w:r>
            <w:r>
              <w:rPr>
                <w:rFonts w:ascii="Arial" w:cs="Arial" w:eastAsia="Arial" w:hAnsi="Arial"/>
                <w:sz w:val="18"/>
                <w:szCs w:val="18"/>
                <w:color w:val="auto"/>
              </w:rPr>
              <w:t>, NY 10591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ACUZZI</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777 S. F</w:t>
            </w:r>
            <w:r>
              <w:rPr>
                <w:rFonts w:ascii="Arial" w:cs="Arial" w:eastAsia="Arial" w:hAnsi="Arial"/>
                <w:sz w:val="14"/>
                <w:szCs w:val="14"/>
                <w:color w:val="auto"/>
              </w:rPr>
              <w:t>LAGLER</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1100-</w:t>
            </w:r>
            <w:r>
              <w:rPr>
                <w:rFonts w:ascii="Arial" w:cs="Arial" w:eastAsia="Arial" w:hAnsi="Arial"/>
                <w:sz w:val="14"/>
                <w:szCs w:val="14"/>
                <w:color w:val="auto"/>
              </w:rPr>
              <w:t>WEST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EST</w:t>
            </w:r>
            <w:r>
              <w:rPr>
                <w:rFonts w:ascii="Arial" w:cs="Arial" w:eastAsia="Arial" w:hAnsi="Arial"/>
                <w:sz w:val="18"/>
                <w:szCs w:val="18"/>
                <w:color w:val="auto"/>
              </w:rPr>
              <w:t xml:space="preserve"> P</w:t>
            </w:r>
            <w:r>
              <w:rPr>
                <w:rFonts w:ascii="Arial" w:cs="Arial" w:eastAsia="Arial" w:hAnsi="Arial"/>
                <w:sz w:val="14"/>
                <w:szCs w:val="14"/>
                <w:color w:val="auto"/>
              </w:rPr>
              <w:t>ALM</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FL. 33401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EARNING</w:t>
            </w:r>
            <w:r>
              <w:rPr>
                <w:rFonts w:ascii="Arial" w:cs="Arial" w:eastAsia="Arial" w:hAnsi="Arial"/>
                <w:sz w:val="18"/>
                <w:szCs w:val="18"/>
                <w:color w:val="auto"/>
              </w:rPr>
              <w:t xml:space="preserve"> C</w:t>
            </w:r>
            <w:r>
              <w:rPr>
                <w:rFonts w:ascii="Arial" w:cs="Arial" w:eastAsia="Arial" w:hAnsi="Arial"/>
                <w:sz w:val="14"/>
                <w:szCs w:val="14"/>
                <w:color w:val="auto"/>
              </w:rPr>
              <w:t>ARE</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xml:space="preserve"> (U.S.)</w:t>
            </w:r>
          </w:p>
        </w:tc>
        <w:tc>
          <w:tcPr>
            <w:tcW w:w="3540" w:type="dxa"/>
            <w:vAlign w:val="bottom"/>
          </w:tcPr>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21333 H</w:t>
            </w:r>
            <w:r>
              <w:rPr>
                <w:rFonts w:ascii="Arial" w:cs="Arial" w:eastAsia="Arial" w:hAnsi="Arial"/>
                <w:sz w:val="14"/>
                <w:szCs w:val="14"/>
                <w:color w:val="auto"/>
              </w:rPr>
              <w:t>AGGERTY</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300 N</w:t>
            </w:r>
            <w:r>
              <w:rPr>
                <w:rFonts w:ascii="Arial" w:cs="Arial" w:eastAsia="Arial" w:hAnsi="Arial"/>
                <w:sz w:val="14"/>
                <w:szCs w:val="14"/>
                <w:color w:val="auto"/>
              </w:rPr>
              <w:t>OVI</w:t>
            </w:r>
            <w:r>
              <w:rPr>
                <w:rFonts w:ascii="Arial" w:cs="Arial" w:eastAsia="Arial" w:hAnsi="Arial"/>
                <w:sz w:val="18"/>
                <w:szCs w:val="18"/>
                <w:color w:val="auto"/>
              </w:rPr>
              <w:t>, M</w:t>
            </w:r>
            <w:r>
              <w:rPr>
                <w:rFonts w:ascii="Arial" w:cs="Arial" w:eastAsia="Arial" w:hAnsi="Arial"/>
                <w:sz w:val="14"/>
                <w:szCs w:val="14"/>
                <w:color w:val="auto"/>
              </w:rPr>
              <w:t>ICHIGAN</w:t>
            </w:r>
            <w:r>
              <w:rPr>
                <w:rFonts w:ascii="Arial" w:cs="Arial" w:eastAsia="Arial" w:hAnsi="Arial"/>
                <w:sz w:val="18"/>
                <w:szCs w:val="18"/>
                <w:color w:val="auto"/>
              </w:rPr>
              <w:t xml:space="preserve"> 48375</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w:t>
            </w:r>
            <w:r>
              <w:rPr>
                <w:rFonts w:ascii="Arial" w:cs="Arial" w:eastAsia="Arial" w:hAnsi="Arial"/>
                <w:sz w:val="18"/>
                <w:szCs w:val="18"/>
                <w:color w:val="auto"/>
              </w:rPr>
              <w:t xml:space="preserve"> C</w:t>
            </w:r>
            <w:r>
              <w:rPr>
                <w:rFonts w:ascii="Arial" w:cs="Arial" w:eastAsia="Arial" w:hAnsi="Arial"/>
                <w:sz w:val="14"/>
                <w:szCs w:val="14"/>
                <w:color w:val="auto"/>
              </w:rPr>
              <w:t>HEMICAL</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HEMICALS</w:t>
            </w:r>
            <w:r>
              <w:rPr>
                <w:rFonts w:ascii="Arial" w:cs="Arial" w:eastAsia="Arial" w:hAnsi="Arial"/>
                <w:sz w:val="18"/>
                <w:szCs w:val="18"/>
                <w:color w:val="auto"/>
                <w:w w:val="99"/>
              </w:rPr>
              <w:t>, P</w:t>
            </w:r>
            <w:r>
              <w:rPr>
                <w:rFonts w:ascii="Arial" w:cs="Arial" w:eastAsia="Arial" w:hAnsi="Arial"/>
                <w:sz w:val="14"/>
                <w:szCs w:val="14"/>
                <w:color w:val="auto"/>
                <w:w w:val="99"/>
              </w:rPr>
              <w:t>LASTICS</w:t>
            </w:r>
            <w:r>
              <w:rPr>
                <w:rFonts w:ascii="Arial" w:cs="Arial" w:eastAsia="Arial" w:hAnsi="Arial"/>
                <w:sz w:val="18"/>
                <w:szCs w:val="18"/>
                <w:color w:val="auto"/>
                <w:w w:val="99"/>
              </w:rPr>
              <w:t>, &amp; R</w:t>
            </w:r>
            <w:r>
              <w:rPr>
                <w:rFonts w:ascii="Arial" w:cs="Arial" w:eastAsia="Arial" w:hAnsi="Arial"/>
                <w:sz w:val="14"/>
                <w:szCs w:val="14"/>
                <w:color w:val="auto"/>
                <w:w w:val="99"/>
              </w:rPr>
              <w:t>UBBER</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YONDELLBASELL</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1221 M</w:t>
            </w:r>
            <w:r>
              <w:rPr>
                <w:rFonts w:ascii="Arial" w:cs="Arial" w:eastAsia="Arial" w:hAnsi="Arial"/>
                <w:sz w:val="14"/>
                <w:szCs w:val="14"/>
                <w:color w:val="auto"/>
              </w:rPr>
              <w:t>CKINNEY</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77010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ATTRESS</w:t>
            </w:r>
            <w:r>
              <w:rPr>
                <w:rFonts w:ascii="Arial" w:cs="Arial" w:eastAsia="Arial" w:hAnsi="Arial"/>
                <w:sz w:val="18"/>
                <w:szCs w:val="18"/>
                <w:color w:val="auto"/>
              </w:rPr>
              <w:t xml:space="preserve"> H</w:t>
            </w:r>
            <w:r>
              <w:rPr>
                <w:rFonts w:ascii="Arial" w:cs="Arial" w:eastAsia="Arial" w:hAnsi="Arial"/>
                <w:sz w:val="14"/>
                <w:szCs w:val="14"/>
                <w:color w:val="auto"/>
              </w:rPr>
              <w:t>OLDING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 xml:space="preserve"> ,</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5815 G</w:t>
            </w:r>
            <w:r>
              <w:rPr>
                <w:rFonts w:ascii="Arial" w:cs="Arial" w:eastAsia="Arial" w:hAnsi="Arial"/>
                <w:sz w:val="14"/>
                <w:szCs w:val="14"/>
                <w:color w:val="auto"/>
              </w:rPr>
              <w:t>ULF</w:t>
            </w:r>
            <w:r>
              <w:rPr>
                <w:rFonts w:ascii="Arial" w:cs="Arial" w:eastAsia="Arial" w:hAnsi="Arial"/>
                <w:sz w:val="18"/>
                <w:szCs w:val="18"/>
                <w:color w:val="auto"/>
              </w:rPr>
              <w:t xml:space="preserve"> F</w:t>
            </w:r>
            <w:r>
              <w:rPr>
                <w:rFonts w:ascii="Arial" w:cs="Arial" w:eastAsia="Arial" w:hAnsi="Arial"/>
                <w:sz w:val="14"/>
                <w:szCs w:val="14"/>
                <w:color w:val="auto"/>
              </w:rPr>
              <w:t>REEWAY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OUSTON</w:t>
            </w:r>
            <w:r>
              <w:rPr>
                <w:rFonts w:ascii="Arial" w:cs="Arial" w:eastAsia="Arial" w:hAnsi="Arial"/>
                <w:sz w:val="18"/>
                <w:szCs w:val="18"/>
                <w:color w:val="auto"/>
              </w:rPr>
              <w:t>, TX 77023</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OHEGAN</w:t>
            </w:r>
            <w:r>
              <w:rPr>
                <w:rFonts w:ascii="Arial" w:cs="Arial" w:eastAsia="Arial" w:hAnsi="Arial"/>
                <w:sz w:val="18"/>
                <w:szCs w:val="18"/>
                <w:color w:val="auto"/>
              </w:rPr>
              <w:t xml:space="preserve"> T</w:t>
            </w:r>
            <w:r>
              <w:rPr>
                <w:rFonts w:ascii="Arial" w:cs="Arial" w:eastAsia="Arial" w:hAnsi="Arial"/>
                <w:sz w:val="14"/>
                <w:szCs w:val="14"/>
                <w:color w:val="auto"/>
              </w:rPr>
              <w:t>RIBAL</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A</w:t>
            </w:r>
            <w:r>
              <w:rPr>
                <w:rFonts w:ascii="Arial" w:cs="Arial" w:eastAsia="Arial" w:hAnsi="Arial"/>
                <w:sz w:val="14"/>
                <w:szCs w:val="14"/>
                <w:color w:val="auto"/>
              </w:rPr>
              <w:t>UTHORITY</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M</w:t>
            </w:r>
            <w:r>
              <w:rPr>
                <w:rFonts w:ascii="Arial" w:cs="Arial" w:eastAsia="Arial" w:hAnsi="Arial"/>
                <w:sz w:val="14"/>
                <w:szCs w:val="14"/>
                <w:color w:val="auto"/>
              </w:rPr>
              <w:t>OHEGAN</w:t>
            </w:r>
            <w:r>
              <w:rPr>
                <w:rFonts w:ascii="Arial" w:cs="Arial" w:eastAsia="Arial" w:hAnsi="Arial"/>
                <w:sz w:val="18"/>
                <w:szCs w:val="18"/>
                <w:color w:val="auto"/>
              </w:rPr>
              <w:t xml:space="preserve"> S</w:t>
            </w:r>
            <w:r>
              <w:rPr>
                <w:rFonts w:ascii="Arial" w:cs="Arial" w:eastAsia="Arial" w:hAnsi="Arial"/>
                <w:sz w:val="14"/>
                <w:szCs w:val="14"/>
                <w:color w:val="auto"/>
              </w:rPr>
              <w:t>UN</w:t>
            </w:r>
            <w:r>
              <w:rPr>
                <w:rFonts w:ascii="Arial" w:cs="Arial" w:eastAsia="Arial" w:hAnsi="Arial"/>
                <w:sz w:val="18"/>
                <w:szCs w:val="18"/>
                <w:color w:val="auto"/>
              </w:rPr>
              <w:t xml:space="preserve"> B</w:t>
            </w:r>
            <w:r>
              <w:rPr>
                <w:rFonts w:ascii="Arial" w:cs="Arial" w:eastAsia="Arial" w:hAnsi="Arial"/>
                <w:sz w:val="14"/>
                <w:szCs w:val="14"/>
                <w:color w:val="auto"/>
              </w:rPr>
              <w:t>OULEVARD</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NCASVILLE</w:t>
            </w:r>
            <w:r>
              <w:rPr>
                <w:rFonts w:ascii="Arial" w:cs="Arial" w:eastAsia="Arial" w:hAnsi="Arial"/>
                <w:sz w:val="18"/>
                <w:szCs w:val="18"/>
                <w:color w:val="auto"/>
              </w:rPr>
              <w:t>, CT 06382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ATIONAL</w:t>
            </w:r>
            <w:r>
              <w:rPr>
                <w:rFonts w:ascii="Arial" w:cs="Arial" w:eastAsia="Arial" w:hAnsi="Arial"/>
                <w:sz w:val="18"/>
                <w:szCs w:val="18"/>
                <w:color w:val="auto"/>
              </w:rPr>
              <w:t xml:space="preserve"> B</w:t>
            </w:r>
            <w:r>
              <w:rPr>
                <w:rFonts w:ascii="Arial" w:cs="Arial" w:eastAsia="Arial" w:hAnsi="Arial"/>
                <w:sz w:val="14"/>
                <w:szCs w:val="14"/>
                <w:color w:val="auto"/>
              </w:rPr>
              <w:t>EDDING</w:t>
            </w:r>
            <w:r>
              <w:rPr>
                <w:rFonts w:ascii="Arial" w:cs="Arial" w:eastAsia="Arial" w:hAnsi="Arial"/>
                <w:sz w:val="18"/>
                <w:szCs w:val="18"/>
                <w:color w:val="auto"/>
              </w:rPr>
              <w:t xml:space="preserve"> C</w:t>
            </w:r>
            <w:r>
              <w:rPr>
                <w:rFonts w:ascii="Arial" w:cs="Arial" w:eastAsia="Arial" w:hAnsi="Arial"/>
                <w:sz w:val="14"/>
                <w:szCs w:val="14"/>
                <w:color w:val="auto"/>
              </w:rPr>
              <w:t>O</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H</w:t>
            </w:r>
            <w:r>
              <w:rPr>
                <w:rFonts w:ascii="Arial" w:cs="Arial" w:eastAsia="Arial" w:hAnsi="Arial"/>
                <w:sz w:val="14"/>
                <w:szCs w:val="14"/>
                <w:color w:val="auto"/>
                <w:w w:val="97"/>
              </w:rPr>
              <w:t>OME</w:t>
            </w:r>
            <w:r>
              <w:rPr>
                <w:rFonts w:ascii="Arial" w:cs="Arial" w:eastAsia="Arial" w:hAnsi="Arial"/>
                <w:sz w:val="18"/>
                <w:szCs w:val="18"/>
                <w:color w:val="auto"/>
                <w:w w:val="97"/>
              </w:rPr>
              <w:t xml:space="preserve"> &amp; O</w:t>
            </w:r>
            <w:r>
              <w:rPr>
                <w:rFonts w:ascii="Arial" w:cs="Arial" w:eastAsia="Arial" w:hAnsi="Arial"/>
                <w:sz w:val="14"/>
                <w:szCs w:val="14"/>
                <w:color w:val="auto"/>
                <w:w w:val="97"/>
              </w:rPr>
              <w:t>FFICE</w:t>
            </w:r>
            <w:r>
              <w:rPr>
                <w:rFonts w:ascii="Arial" w:cs="Arial" w:eastAsia="Arial" w:hAnsi="Arial"/>
                <w:sz w:val="18"/>
                <w:szCs w:val="18"/>
                <w:color w:val="auto"/>
                <w:w w:val="97"/>
              </w:rPr>
              <w:t xml:space="preserve"> F</w:t>
            </w:r>
            <w:r>
              <w:rPr>
                <w:rFonts w:ascii="Arial" w:cs="Arial" w:eastAsia="Arial" w:hAnsi="Arial"/>
                <w:sz w:val="14"/>
                <w:szCs w:val="14"/>
                <w:color w:val="auto"/>
                <w:w w:val="97"/>
              </w:rPr>
              <w:t>URNISHINGS</w:t>
            </w:r>
            <w:r>
              <w:rPr>
                <w:rFonts w:ascii="Arial" w:cs="Arial" w:eastAsia="Arial" w:hAnsi="Arial"/>
                <w:sz w:val="18"/>
                <w:szCs w:val="18"/>
                <w:color w:val="auto"/>
                <w:w w:val="97"/>
              </w:rPr>
              <w:t>, H</w:t>
            </w:r>
            <w:r>
              <w:rPr>
                <w:rFonts w:ascii="Arial" w:cs="Arial" w:eastAsia="Arial" w:hAnsi="Arial"/>
                <w:sz w:val="14"/>
                <w:szCs w:val="14"/>
                <w:color w:val="auto"/>
                <w:w w:val="97"/>
              </w:rPr>
              <w:t>OUSEWARES</w:t>
            </w:r>
            <w:r>
              <w:rPr>
                <w:rFonts w:ascii="Arial" w:cs="Arial" w:eastAsia="Arial" w:hAnsi="Arial"/>
                <w:sz w:val="18"/>
                <w:szCs w:val="18"/>
                <w:color w:val="auto"/>
                <w:w w:val="97"/>
              </w:rPr>
              <w:t>,</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5401 T</w:t>
            </w:r>
            <w:r>
              <w:rPr>
                <w:rFonts w:ascii="Arial" w:cs="Arial" w:eastAsia="Arial" w:hAnsi="Arial"/>
                <w:sz w:val="14"/>
                <w:szCs w:val="14"/>
                <w:color w:val="auto"/>
              </w:rPr>
              <w:t>RILLIUM</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250</w:t>
            </w:r>
          </w:p>
        </w:tc>
        <w:tc>
          <w:tcPr>
            <w:tcW w:w="3540" w:type="dxa"/>
            <w:vAlign w:val="bottom"/>
          </w:tcPr>
          <w:p>
            <w:pPr>
              <w:jc w:val="center"/>
              <w:spacing w:after="0"/>
              <w:rPr>
                <w:sz w:val="20"/>
                <w:szCs w:val="20"/>
                <w:color w:val="auto"/>
              </w:rPr>
            </w:pPr>
            <w:r>
              <w:rPr>
                <w:rFonts w:ascii="Arial" w:cs="Arial" w:eastAsia="Arial" w:hAnsi="Arial"/>
                <w:sz w:val="18"/>
                <w:szCs w:val="18"/>
                <w:color w:val="auto"/>
                <w:w w:val="99"/>
              </w:rPr>
              <w:t>&amp; D</w:t>
            </w:r>
            <w:r>
              <w:rPr>
                <w:rFonts w:ascii="Arial" w:cs="Arial" w:eastAsia="Arial" w:hAnsi="Arial"/>
                <w:sz w:val="14"/>
                <w:szCs w:val="14"/>
                <w:color w:val="auto"/>
                <w:w w:val="99"/>
              </w:rPr>
              <w:t>URABLE</w:t>
            </w:r>
            <w:r>
              <w:rPr>
                <w:rFonts w:ascii="Arial" w:cs="Arial" w:eastAsia="Arial" w:hAnsi="Arial"/>
                <w:sz w:val="18"/>
                <w:szCs w:val="18"/>
                <w:color w:val="auto"/>
                <w:w w:val="99"/>
              </w:rPr>
              <w:t xml:space="preserve"> C</w:t>
            </w:r>
            <w:r>
              <w:rPr>
                <w:rFonts w:ascii="Arial" w:cs="Arial" w:eastAsia="Arial" w:hAnsi="Arial"/>
                <w:sz w:val="14"/>
                <w:szCs w:val="14"/>
                <w:color w:val="auto"/>
                <w:w w:val="99"/>
              </w:rPr>
              <w:t>ONSUMER</w:t>
            </w:r>
            <w:r>
              <w:rPr>
                <w:rFonts w:ascii="Arial" w:cs="Arial" w:eastAsia="Arial" w:hAnsi="Arial"/>
                <w:sz w:val="18"/>
                <w:szCs w:val="18"/>
                <w:color w:val="auto"/>
                <w:w w:val="99"/>
              </w:rPr>
              <w:t xml:space="preserve"> P</w:t>
            </w:r>
            <w:r>
              <w:rPr>
                <w:rFonts w:ascii="Arial" w:cs="Arial" w:eastAsia="Arial" w:hAnsi="Arial"/>
                <w:sz w:val="14"/>
                <w:szCs w:val="14"/>
                <w:color w:val="auto"/>
                <w:w w:val="99"/>
              </w:rPr>
              <w:t>RODUCTS</w:t>
            </w: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OFFMAN</w:t>
            </w:r>
            <w:r>
              <w:rPr>
                <w:rFonts w:ascii="Arial" w:cs="Arial" w:eastAsia="Arial" w:hAnsi="Arial"/>
                <w:sz w:val="18"/>
                <w:szCs w:val="18"/>
                <w:color w:val="auto"/>
              </w:rPr>
              <w:t xml:space="preserve"> E</w:t>
            </w:r>
            <w:r>
              <w:rPr>
                <w:rFonts w:ascii="Arial" w:cs="Arial" w:eastAsia="Arial" w:hAnsi="Arial"/>
                <w:sz w:val="14"/>
                <w:szCs w:val="14"/>
                <w:color w:val="auto"/>
              </w:rPr>
              <w:t>STATES</w:t>
            </w:r>
            <w:r>
              <w:rPr>
                <w:rFonts w:ascii="Arial" w:cs="Arial" w:eastAsia="Arial" w:hAnsi="Arial"/>
                <w:sz w:val="18"/>
                <w:szCs w:val="18"/>
                <w:color w:val="auto"/>
              </w:rPr>
              <w:t>, IL 60192</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ENTON</w:t>
            </w:r>
            <w:r>
              <w:rPr>
                <w:rFonts w:ascii="Arial" w:cs="Arial" w:eastAsia="Arial" w:hAnsi="Arial"/>
                <w:sz w:val="18"/>
                <w:szCs w:val="18"/>
                <w:color w:val="auto"/>
              </w:rPr>
              <w:t xml:space="preserve"> M</w:t>
            </w:r>
            <w:r>
              <w:rPr>
                <w:rFonts w:ascii="Arial" w:cs="Arial" w:eastAsia="Arial" w:hAnsi="Arial"/>
                <w:sz w:val="14"/>
                <w:szCs w:val="14"/>
                <w:color w:val="auto"/>
              </w:rPr>
              <w:t>EDIA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9"/>
                <w:szCs w:val="9"/>
                <w:color w:val="auto"/>
              </w:rPr>
              <w:t>TH</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OURTH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Y</w:t>
            </w:r>
            <w:r>
              <w:rPr>
                <w:rFonts w:ascii="Arial" w:cs="Arial" w:eastAsia="Arial" w:hAnsi="Arial"/>
                <w:sz w:val="14"/>
                <w:szCs w:val="14"/>
                <w:color w:val="auto"/>
              </w:rPr>
              <w:t>ORK</w:t>
            </w:r>
            <w:r>
              <w:rPr>
                <w:rFonts w:ascii="Arial" w:cs="Arial" w:eastAsia="Arial" w:hAnsi="Arial"/>
                <w:sz w:val="18"/>
                <w:szCs w:val="18"/>
                <w:color w:val="auto"/>
              </w:rPr>
              <w:t>, NY 10011</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HILOSOPHY</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ONSUMER</w:t>
            </w:r>
            <w:r>
              <w:rPr>
                <w:rFonts w:ascii="Arial" w:cs="Arial" w:eastAsia="Arial" w:hAnsi="Arial"/>
                <w:sz w:val="18"/>
                <w:szCs w:val="18"/>
                <w:color w:val="auto"/>
                <w:w w:val="97"/>
              </w:rPr>
              <w:t xml:space="preserve"> P</w:t>
            </w:r>
            <w:r>
              <w:rPr>
                <w:rFonts w:ascii="Arial" w:cs="Arial" w:eastAsia="Arial" w:hAnsi="Arial"/>
                <w:sz w:val="14"/>
                <w:szCs w:val="14"/>
                <w:color w:val="auto"/>
                <w:w w:val="97"/>
              </w:rPr>
              <w:t>RODUCTS</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4602 E</w:t>
            </w:r>
            <w:r>
              <w:rPr>
                <w:rFonts w:ascii="Arial" w:cs="Arial" w:eastAsia="Arial" w:hAnsi="Arial"/>
                <w:sz w:val="14"/>
                <w:szCs w:val="14"/>
                <w:color w:val="auto"/>
              </w:rPr>
              <w:t>AST</w:t>
            </w:r>
            <w:r>
              <w:rPr>
                <w:rFonts w:ascii="Arial" w:cs="Arial" w:eastAsia="Arial" w:hAnsi="Arial"/>
                <w:sz w:val="18"/>
                <w:szCs w:val="18"/>
                <w:color w:val="auto"/>
              </w:rPr>
              <w:t xml:space="preserve"> H</w:t>
            </w:r>
            <w:r>
              <w:rPr>
                <w:rFonts w:ascii="Arial" w:cs="Arial" w:eastAsia="Arial" w:hAnsi="Arial"/>
                <w:sz w:val="14"/>
                <w:szCs w:val="14"/>
                <w:color w:val="auto"/>
              </w:rPr>
              <w:t>AMMOND</w:t>
            </w:r>
            <w:r>
              <w:rPr>
                <w:rFonts w:ascii="Arial" w:cs="Arial" w:eastAsia="Arial" w:hAnsi="Arial"/>
                <w:sz w:val="18"/>
                <w:szCs w:val="18"/>
                <w:color w:val="auto"/>
              </w:rPr>
              <w:t xml:space="preserve"> L</w:t>
            </w:r>
            <w:r>
              <w:rPr>
                <w:rFonts w:ascii="Arial" w:cs="Arial" w:eastAsia="Arial" w:hAnsi="Arial"/>
                <w:sz w:val="14"/>
                <w:szCs w:val="14"/>
                <w:color w:val="auto"/>
              </w:rPr>
              <w:t>ANE</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85034</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120" w:type="dxa"/>
            <w:vAlign w:val="bottom"/>
            <w:gridSpan w:val="2"/>
          </w:tcPr>
          <w:p>
            <w:pPr>
              <w:spacing w:after="0"/>
              <w:rPr>
                <w:sz w:val="20"/>
                <w:szCs w:val="20"/>
                <w:color w:val="auto"/>
              </w:rPr>
            </w:pPr>
            <w:r>
              <w:rPr>
                <w:rFonts w:ascii="Arial" w:cs="Arial" w:eastAsia="Arial" w:hAnsi="Arial"/>
                <w:sz w:val="18"/>
                <w:szCs w:val="18"/>
                <w:color w:val="auto"/>
              </w:rPr>
              <w:t>Q</w:t>
            </w:r>
            <w:r>
              <w:rPr>
                <w:rFonts w:ascii="Arial" w:cs="Arial" w:eastAsia="Arial" w:hAnsi="Arial"/>
                <w:sz w:val="14"/>
                <w:szCs w:val="14"/>
                <w:color w:val="auto"/>
              </w:rPr>
              <w:t>MG</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LLC</w:t>
            </w:r>
          </w:p>
        </w:tc>
        <w:tc>
          <w:tcPr>
            <w:tcW w:w="3540" w:type="dxa"/>
            <w:vAlign w:val="bottom"/>
          </w:tcPr>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1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4.9%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FORMERLY</w:t>
            </w:r>
            <w:r>
              <w:rPr>
                <w:rFonts w:ascii="Arial" w:cs="Arial" w:eastAsia="Arial" w:hAnsi="Arial"/>
                <w:sz w:val="18"/>
                <w:szCs w:val="18"/>
                <w:color w:val="auto"/>
              </w:rPr>
              <w:t xml:space="preserve"> Q</w:t>
            </w:r>
            <w:r>
              <w:rPr>
                <w:rFonts w:ascii="Arial" w:cs="Arial" w:eastAsia="Arial" w:hAnsi="Arial"/>
                <w:sz w:val="14"/>
                <w:szCs w:val="14"/>
                <w:color w:val="auto"/>
              </w:rPr>
              <w:t>UESTEX</w:t>
            </w:r>
            <w:r>
              <w:rPr>
                <w:rFonts w:ascii="Arial" w:cs="Arial" w:eastAsia="Arial" w:hAnsi="Arial"/>
                <w:sz w:val="18"/>
                <w:szCs w:val="18"/>
                <w:color w:val="auto"/>
              </w:rPr>
              <w:t xml:space="preserve"> M</w:t>
            </w:r>
            <w:r>
              <w:rPr>
                <w:rFonts w:ascii="Arial" w:cs="Arial" w:eastAsia="Arial" w:hAnsi="Arial"/>
                <w:sz w:val="14"/>
                <w:szCs w:val="14"/>
                <w:color w:val="auto"/>
              </w:rPr>
              <w:t>EDIA</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 Common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120" w:type="dxa"/>
            <w:vAlign w:val="bottom"/>
            <w:gridSpan w:val="2"/>
          </w:tcPr>
          <w:p>
            <w:pPr>
              <w:ind w:left="22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275 G</w:t>
            </w:r>
            <w:r>
              <w:rPr>
                <w:rFonts w:ascii="Arial" w:cs="Arial" w:eastAsia="Arial" w:hAnsi="Arial"/>
                <w:sz w:val="14"/>
                <w:szCs w:val="14"/>
                <w:color w:val="auto"/>
              </w:rPr>
              <w:t>ROVE</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2-130</w:t>
            </w: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540" w:type="dxa"/>
            <w:vAlign w:val="bottom"/>
          </w:tcPr>
          <w:p>
            <w:pPr>
              <w:jc w:val="right"/>
              <w:ind w:right="177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0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Type of Investment</w:t>
            </w:r>
          </w:p>
        </w:tc>
        <w:tc>
          <w:tcPr>
            <w:tcW w:w="12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EALOGY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B</w:t>
            </w:r>
            <w:r>
              <w:rPr>
                <w:rFonts w:ascii="Arial" w:cs="Arial" w:eastAsia="Arial" w:hAnsi="Arial"/>
                <w:sz w:val="14"/>
                <w:szCs w:val="14"/>
                <w:color w:val="auto"/>
                <w:w w:val="99"/>
              </w:rPr>
              <w:t>UILDINGS</w:t>
            </w:r>
            <w:r>
              <w:rPr>
                <w:rFonts w:ascii="Arial" w:cs="Arial" w:eastAsia="Arial" w:hAnsi="Arial"/>
                <w:sz w:val="18"/>
                <w:szCs w:val="18"/>
                <w:color w:val="auto"/>
                <w:w w:val="99"/>
              </w:rPr>
              <w:t xml:space="preserve"> &amp; R</w:t>
            </w:r>
            <w:r>
              <w:rPr>
                <w:rFonts w:ascii="Arial" w:cs="Arial" w:eastAsia="Arial" w:hAnsi="Arial"/>
                <w:sz w:val="14"/>
                <w:szCs w:val="14"/>
                <w:color w:val="auto"/>
                <w:w w:val="99"/>
              </w:rPr>
              <w:t>EAL</w:t>
            </w:r>
            <w:r>
              <w:rPr>
                <w:rFonts w:ascii="Arial" w:cs="Arial" w:eastAsia="Arial" w:hAnsi="Arial"/>
                <w:sz w:val="18"/>
                <w:szCs w:val="18"/>
                <w:color w:val="auto"/>
                <w:w w:val="99"/>
              </w:rPr>
              <w:t xml:space="preserve"> E</w:t>
            </w:r>
            <w:r>
              <w:rPr>
                <w:rFonts w:ascii="Arial" w:cs="Arial" w:eastAsia="Arial" w:hAnsi="Arial"/>
                <w:sz w:val="14"/>
                <w:szCs w:val="14"/>
                <w:color w:val="auto"/>
                <w:w w:val="99"/>
              </w:rPr>
              <w:t>STATE</w:t>
            </w:r>
          </w:p>
        </w:tc>
        <w:tc>
          <w:tcPr>
            <w:tcW w:w="100" w:type="dxa"/>
            <w:vAlign w:val="bottom"/>
          </w:tcPr>
          <w:p>
            <w:pPr>
              <w:spacing w:after="0"/>
              <w:rPr>
                <w:sz w:val="17"/>
                <w:szCs w:val="17"/>
                <w:color w:val="auto"/>
              </w:rPr>
            </w:pPr>
          </w:p>
        </w:tc>
        <w:tc>
          <w:tcPr>
            <w:tcW w:w="2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Subordinated Debt</w:t>
            </w:r>
          </w:p>
        </w:tc>
        <w:tc>
          <w:tcPr>
            <w:tcW w:w="120" w:type="dxa"/>
            <w:vAlign w:val="bottom"/>
          </w:tcPr>
          <w:p>
            <w:pPr>
              <w:spacing w:after="0"/>
              <w:rPr>
                <w:sz w:val="17"/>
                <w:szCs w:val="17"/>
                <w:color w:val="auto"/>
              </w:rPr>
            </w:pPr>
          </w:p>
        </w:tc>
        <w:tc>
          <w:tcPr>
            <w:tcW w:w="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C</w:t>
            </w:r>
            <w:r>
              <w:rPr>
                <w:rFonts w:ascii="Arial" w:cs="Arial" w:eastAsia="Arial" w:hAnsi="Arial"/>
                <w:sz w:val="14"/>
                <w:szCs w:val="14"/>
                <w:color w:val="auto"/>
              </w:rPr>
              <w:t>AMPUS</w:t>
            </w:r>
            <w:r>
              <w:rPr>
                <w:rFonts w:ascii="Arial" w:cs="Arial" w:eastAsia="Arial" w:hAnsi="Arial"/>
                <w:sz w:val="18"/>
                <w:szCs w:val="18"/>
                <w:color w:val="auto"/>
              </w:rPr>
              <w:t xml:space="preserve"> D</w:t>
            </w:r>
            <w:r>
              <w:rPr>
                <w:rFonts w:ascii="Arial" w:cs="Arial" w:eastAsia="Arial" w:hAnsi="Arial"/>
                <w:sz w:val="14"/>
                <w:szCs w:val="14"/>
                <w:color w:val="auto"/>
              </w:rPr>
              <w:t>RIVE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ARSIPPANY</w:t>
            </w:r>
            <w:r>
              <w:rPr>
                <w:rFonts w:ascii="Arial" w:cs="Arial" w:eastAsia="Arial" w:hAnsi="Arial"/>
                <w:sz w:val="18"/>
                <w:szCs w:val="18"/>
                <w:color w:val="auto"/>
              </w:rPr>
              <w:t>, NJ 07054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EXNORD</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ANUFACTURING</w:t>
            </w:r>
            <w:r>
              <w:rPr>
                <w:rFonts w:ascii="Arial" w:cs="Arial" w:eastAsia="Arial" w:hAnsi="Arial"/>
                <w:sz w:val="18"/>
                <w:szCs w:val="18"/>
                <w:color w:val="auto"/>
              </w:rPr>
              <w:t>/B</w:t>
            </w:r>
            <w:r>
              <w:rPr>
                <w:rFonts w:ascii="Arial" w:cs="Arial" w:eastAsia="Arial" w:hAnsi="Arial"/>
                <w:sz w:val="14"/>
                <w:szCs w:val="14"/>
                <w:color w:val="auto"/>
              </w:rPr>
              <w:t>ASIC</w:t>
            </w:r>
            <w:r>
              <w:rPr>
                <w:rFonts w:ascii="Arial" w:cs="Arial" w:eastAsia="Arial" w:hAnsi="Arial"/>
                <w:sz w:val="18"/>
                <w:szCs w:val="18"/>
                <w:color w:val="auto"/>
              </w:rPr>
              <w:t xml:space="preserve"> I</w:t>
            </w:r>
            <w:r>
              <w:rPr>
                <w:rFonts w:ascii="Arial" w:cs="Arial" w:eastAsia="Arial" w:hAnsi="Arial"/>
                <w:sz w:val="14"/>
                <w:szCs w:val="14"/>
                <w:color w:val="auto"/>
              </w:rPr>
              <w:t>NDUSTRIES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5555 S. W</w:t>
            </w:r>
            <w:r>
              <w:rPr>
                <w:rFonts w:ascii="Arial" w:cs="Arial" w:eastAsia="Arial" w:hAnsi="Arial"/>
                <w:sz w:val="14"/>
                <w:szCs w:val="14"/>
                <w:color w:val="auto"/>
              </w:rPr>
              <w:t>OODLAND</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w:t>
            </w:r>
            <w:r>
              <w:rPr>
                <w:rFonts w:ascii="Arial" w:cs="Arial" w:eastAsia="Arial" w:hAnsi="Arial"/>
                <w:sz w:val="18"/>
                <w:szCs w:val="18"/>
                <w:color w:val="auto"/>
              </w:rPr>
              <w:t xml:space="preserve"> B</w:t>
            </w:r>
            <w:r>
              <w:rPr>
                <w:rFonts w:ascii="Arial" w:cs="Arial" w:eastAsia="Arial" w:hAnsi="Arial"/>
                <w:sz w:val="14"/>
                <w:szCs w:val="14"/>
                <w:color w:val="auto"/>
              </w:rPr>
              <w:t>ERLIN</w:t>
            </w:r>
            <w:r>
              <w:rPr>
                <w:rFonts w:ascii="Arial" w:cs="Arial" w:eastAsia="Arial" w:hAnsi="Arial"/>
                <w:sz w:val="18"/>
                <w:szCs w:val="18"/>
                <w:color w:val="auto"/>
              </w:rPr>
              <w:t>, WI 53151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AINT</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RANSPORTATION</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2200 S</w:t>
            </w:r>
            <w:r>
              <w:rPr>
                <w:rFonts w:ascii="Arial" w:cs="Arial" w:eastAsia="Arial" w:hAnsi="Arial"/>
                <w:sz w:val="14"/>
                <w:szCs w:val="14"/>
                <w:color w:val="auto"/>
              </w:rPr>
              <w:t>OUTH</w:t>
            </w:r>
            <w:r>
              <w:rPr>
                <w:rFonts w:ascii="Arial" w:cs="Arial" w:eastAsia="Arial" w:hAnsi="Arial"/>
                <w:sz w:val="18"/>
                <w:szCs w:val="18"/>
                <w:color w:val="auto"/>
              </w:rPr>
              <w:t xml:space="preserve"> 75</w:t>
            </w:r>
            <w:r>
              <w:rPr>
                <w:rFonts w:ascii="Arial" w:cs="Arial" w:eastAsia="Arial" w:hAnsi="Arial"/>
                <w:sz w:val="14"/>
                <w:szCs w:val="14"/>
                <w:color w:val="auto"/>
              </w:rPr>
              <w:t>TH</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HOENIX</w:t>
            </w:r>
            <w:r>
              <w:rPr>
                <w:rFonts w:ascii="Arial" w:cs="Arial" w:eastAsia="Arial" w:hAnsi="Arial"/>
                <w:sz w:val="18"/>
                <w:szCs w:val="18"/>
                <w:color w:val="auto"/>
              </w:rPr>
              <w:t>, AZ 85043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HERIDAN</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EALTHCARE</w:t>
            </w:r>
            <w:r>
              <w:rPr>
                <w:rFonts w:ascii="Arial" w:cs="Arial" w:eastAsia="Arial" w:hAnsi="Arial"/>
                <w:sz w:val="18"/>
                <w:szCs w:val="18"/>
                <w:color w:val="auto"/>
              </w:rPr>
              <w:t>, E</w:t>
            </w:r>
            <w:r>
              <w:rPr>
                <w:rFonts w:ascii="Arial" w:cs="Arial" w:eastAsia="Arial" w:hAnsi="Arial"/>
                <w:sz w:val="14"/>
                <w:szCs w:val="14"/>
                <w:color w:val="auto"/>
              </w:rPr>
              <w:t>DUCATION</w:t>
            </w:r>
            <w:r>
              <w:rPr>
                <w:rFonts w:ascii="Arial" w:cs="Arial" w:eastAsia="Arial" w:hAnsi="Arial"/>
                <w:sz w:val="18"/>
                <w:szCs w:val="18"/>
                <w:color w:val="auto"/>
              </w:rPr>
              <w:t xml:space="preserve"> &amp; C</w:t>
            </w:r>
            <w:r>
              <w:rPr>
                <w:rFonts w:ascii="Arial" w:cs="Arial" w:eastAsia="Arial" w:hAnsi="Arial"/>
                <w:sz w:val="14"/>
                <w:szCs w:val="14"/>
                <w:color w:val="auto"/>
              </w:rPr>
              <w:t>HILDCARE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1613 N. H</w:t>
            </w:r>
            <w:r>
              <w:rPr>
                <w:rFonts w:ascii="Arial" w:cs="Arial" w:eastAsia="Arial" w:hAnsi="Arial"/>
                <w:sz w:val="14"/>
                <w:szCs w:val="14"/>
                <w:color w:val="auto"/>
              </w:rPr>
              <w:t>ARRISON</w:t>
            </w:r>
            <w:r>
              <w:rPr>
                <w:rFonts w:ascii="Arial" w:cs="Arial" w:eastAsia="Arial" w:hAnsi="Arial"/>
                <w:sz w:val="18"/>
                <w:szCs w:val="18"/>
                <w:color w:val="auto"/>
              </w:rPr>
              <w:t xml:space="preserve"> P</w:t>
            </w:r>
            <w:r>
              <w:rPr>
                <w:rFonts w:ascii="Arial" w:cs="Arial" w:eastAsia="Arial" w:hAnsi="Arial"/>
                <w:sz w:val="14"/>
                <w:szCs w:val="14"/>
                <w:color w:val="auto"/>
              </w:rPr>
              <w:t>ARKWAY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UITE</w:t>
            </w:r>
            <w:r>
              <w:rPr>
                <w:rFonts w:ascii="Arial" w:cs="Arial" w:eastAsia="Arial" w:hAnsi="Arial"/>
                <w:sz w:val="18"/>
                <w:szCs w:val="18"/>
                <w:color w:val="auto"/>
              </w:rPr>
              <w:t xml:space="preserve"> 200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UNRISE</w:t>
            </w:r>
            <w:r>
              <w:rPr>
                <w:rFonts w:ascii="Arial" w:cs="Arial" w:eastAsia="Arial" w:hAnsi="Arial"/>
                <w:sz w:val="18"/>
                <w:szCs w:val="18"/>
                <w:color w:val="auto"/>
              </w:rPr>
              <w:t>, FL 33323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ITEL</w:t>
            </w:r>
            <w:r>
              <w:rPr>
                <w:rFonts w:ascii="Arial" w:cs="Arial" w:eastAsia="Arial" w:hAnsi="Arial"/>
                <w:sz w:val="18"/>
                <w:szCs w:val="18"/>
                <w:color w:val="auto"/>
              </w:rPr>
              <w:t>, L.L.C.</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WO</w:t>
            </w:r>
            <w:r>
              <w:rPr>
                <w:rFonts w:ascii="Arial" w:cs="Arial" w:eastAsia="Arial" w:hAnsi="Arial"/>
                <w:sz w:val="18"/>
                <w:szCs w:val="18"/>
                <w:color w:val="auto"/>
              </w:rPr>
              <w:t xml:space="preserve"> 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ENTER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3102 W</w:t>
            </w:r>
            <w:r>
              <w:rPr>
                <w:rFonts w:ascii="Arial" w:cs="Arial" w:eastAsia="Arial" w:hAnsi="Arial"/>
                <w:sz w:val="14"/>
                <w:szCs w:val="14"/>
                <w:color w:val="auto"/>
              </w:rPr>
              <w:t>EST</w:t>
            </w:r>
            <w:r>
              <w:rPr>
                <w:rFonts w:ascii="Arial" w:cs="Arial" w:eastAsia="Arial" w:hAnsi="Arial"/>
                <w:sz w:val="18"/>
                <w:szCs w:val="18"/>
                <w:color w:val="auto"/>
              </w:rPr>
              <w:t xml:space="preserve"> E</w:t>
            </w:r>
            <w:r>
              <w:rPr>
                <w:rFonts w:ascii="Arial" w:cs="Arial" w:eastAsia="Arial" w:hAnsi="Arial"/>
                <w:sz w:val="14"/>
                <w:szCs w:val="14"/>
                <w:color w:val="auto"/>
              </w:rPr>
              <w:t>ND</w:t>
            </w:r>
            <w:r>
              <w:rPr>
                <w:rFonts w:ascii="Arial" w:cs="Arial" w:eastAsia="Arial" w:hAnsi="Arial"/>
                <w:sz w:val="18"/>
                <w:szCs w:val="18"/>
                <w:color w:val="auto"/>
              </w:rPr>
              <w:t xml:space="preserve"> A</w:t>
            </w:r>
            <w:r>
              <w:rPr>
                <w:rFonts w:ascii="Arial" w:cs="Arial" w:eastAsia="Arial" w:hAnsi="Arial"/>
                <w:sz w:val="14"/>
                <w:szCs w:val="14"/>
                <w:color w:val="auto"/>
              </w:rPr>
              <w:t>VENUE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1000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ASHVILLE</w:t>
            </w:r>
            <w:r>
              <w:rPr>
                <w:rFonts w:ascii="Arial" w:cs="Arial" w:eastAsia="Arial" w:hAnsi="Arial"/>
                <w:sz w:val="18"/>
                <w:szCs w:val="18"/>
                <w:color w:val="auto"/>
              </w:rPr>
              <w:t>, TN 37203</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PECIALIZED</w:t>
            </w:r>
            <w:r>
              <w:rPr>
                <w:rFonts w:ascii="Arial" w:cs="Arial" w:eastAsia="Arial" w:hAnsi="Arial"/>
                <w:sz w:val="18"/>
                <w:szCs w:val="18"/>
                <w:color w:val="auto"/>
              </w:rPr>
              <w:t xml:space="preserve"> T</w:t>
            </w:r>
            <w:r>
              <w:rPr>
                <w:rFonts w:ascii="Arial" w:cs="Arial" w:eastAsia="Arial" w:hAnsi="Arial"/>
                <w:sz w:val="14"/>
                <w:szCs w:val="14"/>
                <w:color w:val="auto"/>
              </w:rPr>
              <w:t>ECHNOLOGY</w:t>
            </w:r>
          </w:p>
        </w:tc>
        <w:tc>
          <w:tcPr>
            <w:tcW w:w="3320" w:type="dxa"/>
            <w:vAlign w:val="bottom"/>
          </w:tcPr>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HEMICAL</w:t>
            </w:r>
            <w:r>
              <w:rPr>
                <w:rFonts w:ascii="Arial" w:cs="Arial" w:eastAsia="Arial" w:hAnsi="Arial"/>
                <w:sz w:val="18"/>
                <w:szCs w:val="18"/>
                <w:color w:val="auto"/>
              </w:rPr>
              <w:t>, P</w:t>
            </w:r>
            <w:r>
              <w:rPr>
                <w:rFonts w:ascii="Arial" w:cs="Arial" w:eastAsia="Arial" w:hAnsi="Arial"/>
                <w:sz w:val="14"/>
                <w:szCs w:val="14"/>
                <w:color w:val="auto"/>
              </w:rPr>
              <w:t>LASTICS</w:t>
            </w:r>
            <w:r>
              <w:rPr>
                <w:rFonts w:ascii="Arial" w:cs="Arial" w:eastAsia="Arial" w:hAnsi="Arial"/>
                <w:sz w:val="18"/>
                <w:szCs w:val="18"/>
                <w:color w:val="auto"/>
              </w:rPr>
              <w:t xml:space="preserve"> &amp; R</w:t>
            </w:r>
            <w:r>
              <w:rPr>
                <w:rFonts w:ascii="Arial" w:cs="Arial" w:eastAsia="Arial" w:hAnsi="Arial"/>
                <w:sz w:val="14"/>
                <w:szCs w:val="14"/>
                <w:color w:val="auto"/>
              </w:rPr>
              <w:t>UBBER</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ind w:left="2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ESOURCES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xml:space="preserve"> .</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 W</w:t>
            </w:r>
            <w:r>
              <w:rPr>
                <w:rFonts w:ascii="Arial" w:cs="Arial" w:eastAsia="Arial" w:hAnsi="Arial"/>
                <w:sz w:val="14"/>
                <w:szCs w:val="14"/>
                <w:color w:val="auto"/>
              </w:rPr>
              <w:t>ATER</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NFIELD</w:t>
            </w:r>
            <w:r>
              <w:rPr>
                <w:rFonts w:ascii="Arial" w:cs="Arial" w:eastAsia="Arial" w:hAnsi="Arial"/>
                <w:sz w:val="18"/>
                <w:szCs w:val="18"/>
                <w:color w:val="auto"/>
              </w:rPr>
              <w:t>, CT 06082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UGARHOUSE</w:t>
            </w:r>
            <w:r>
              <w:rPr>
                <w:rFonts w:ascii="Arial" w:cs="Arial" w:eastAsia="Arial" w:hAnsi="Arial"/>
                <w:sz w:val="18"/>
                <w:szCs w:val="18"/>
                <w:color w:val="auto"/>
              </w:rPr>
              <w:t xml:space="preserve"> H</w:t>
            </w:r>
            <w:r>
              <w:rPr>
                <w:rFonts w:ascii="Arial" w:cs="Arial" w:eastAsia="Arial" w:hAnsi="Arial"/>
                <w:sz w:val="14"/>
                <w:szCs w:val="14"/>
                <w:color w:val="auto"/>
              </w:rPr>
              <w:t>SP</w:t>
            </w:r>
            <w:r>
              <w:rPr>
                <w:rFonts w:ascii="Arial" w:cs="Arial" w:eastAsia="Arial" w:hAnsi="Arial"/>
                <w:sz w:val="18"/>
                <w:szCs w:val="18"/>
                <w:color w:val="auto"/>
              </w:rPr>
              <w:t xml:space="preserve"> G</w:t>
            </w:r>
            <w:r>
              <w:rPr>
                <w:rFonts w:ascii="Arial" w:cs="Arial" w:eastAsia="Arial" w:hAnsi="Arial"/>
                <w:sz w:val="14"/>
                <w:szCs w:val="14"/>
                <w:color w:val="auto"/>
              </w:rPr>
              <w:t>AMING</w:t>
            </w:r>
            <w:r>
              <w:rPr>
                <w:rFonts w:ascii="Arial" w:cs="Arial" w:eastAsia="Arial" w:hAnsi="Arial"/>
                <w:sz w:val="18"/>
                <w:szCs w:val="18"/>
                <w:color w:val="auto"/>
              </w:rPr>
              <w:t xml:space="preserve"> P</w:t>
            </w:r>
            <w:r>
              <w:rPr>
                <w:rFonts w:ascii="Arial" w:cs="Arial" w:eastAsia="Arial" w:hAnsi="Arial"/>
                <w:sz w:val="14"/>
                <w:szCs w:val="14"/>
                <w:color w:val="auto"/>
              </w:rPr>
              <w:t>ROP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1080</w:t>
            </w:r>
            <w:r>
              <w:rPr>
                <w:rFonts w:ascii="Arial" w:cs="Arial" w:eastAsia="Arial" w:hAnsi="Arial"/>
                <w:sz w:val="14"/>
                <w:szCs w:val="14"/>
                <w:color w:val="auto"/>
              </w:rPr>
              <w:t>N</w:t>
            </w:r>
            <w:r>
              <w:rPr>
                <w:rFonts w:ascii="Arial" w:cs="Arial" w:eastAsia="Arial" w:hAnsi="Arial"/>
                <w:sz w:val="18"/>
                <w:szCs w:val="18"/>
                <w:color w:val="auto"/>
              </w:rPr>
              <w:t>. D</w:t>
            </w:r>
            <w:r>
              <w:rPr>
                <w:rFonts w:ascii="Arial" w:cs="Arial" w:eastAsia="Arial" w:hAnsi="Arial"/>
                <w:sz w:val="14"/>
                <w:szCs w:val="14"/>
                <w:color w:val="auto"/>
              </w:rPr>
              <w:t>ELAWARE</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HILADELPHIA</w:t>
            </w:r>
            <w:r>
              <w:rPr>
                <w:rFonts w:ascii="Arial" w:cs="Arial" w:eastAsia="Arial" w:hAnsi="Arial"/>
                <w:sz w:val="18"/>
                <w:szCs w:val="18"/>
                <w:color w:val="auto"/>
              </w:rPr>
              <w:t>, P</w:t>
            </w:r>
            <w:r>
              <w:rPr>
                <w:rFonts w:ascii="Arial" w:cs="Arial" w:eastAsia="Arial" w:hAnsi="Arial"/>
                <w:sz w:val="14"/>
                <w:szCs w:val="14"/>
                <w:color w:val="auto"/>
              </w:rPr>
              <w:t>ENNSYLVANIA</w:t>
            </w:r>
            <w:r>
              <w:rPr>
                <w:rFonts w:ascii="Arial" w:cs="Arial" w:eastAsia="Arial" w:hAnsi="Arial"/>
                <w:sz w:val="18"/>
                <w:szCs w:val="18"/>
                <w:color w:val="auto"/>
              </w:rPr>
              <w:t xml:space="preserve"> 19125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RAK</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USINESS</w:t>
            </w:r>
            <w:r>
              <w:rPr>
                <w:rFonts w:ascii="Arial" w:cs="Arial" w:eastAsia="Arial" w:hAnsi="Arial"/>
                <w:sz w:val="18"/>
                <w:szCs w:val="18"/>
                <w:color w:val="auto"/>
                <w:w w:val="94"/>
              </w:rPr>
              <w:t xml:space="preserve"> S</w:t>
            </w:r>
            <w:r>
              <w:rPr>
                <w:rFonts w:ascii="Arial" w:cs="Arial" w:eastAsia="Arial" w:hAnsi="Arial"/>
                <w:sz w:val="14"/>
                <w:szCs w:val="14"/>
                <w:color w:val="auto"/>
                <w:w w:val="94"/>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Subordinated Debt Warrants</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3.5%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1001 B</w:t>
            </w:r>
            <w:r>
              <w:rPr>
                <w:rFonts w:ascii="Arial" w:cs="Arial" w:eastAsia="Arial" w:hAnsi="Arial"/>
                <w:sz w:val="14"/>
                <w:szCs w:val="14"/>
                <w:color w:val="auto"/>
              </w:rPr>
              <w:t>RICKELL</w:t>
            </w:r>
            <w:r>
              <w:rPr>
                <w:rFonts w:ascii="Arial" w:cs="Arial" w:eastAsia="Arial" w:hAnsi="Arial"/>
                <w:sz w:val="18"/>
                <w:szCs w:val="18"/>
                <w:color w:val="auto"/>
              </w:rPr>
              <w:t xml:space="preserve"> B</w:t>
            </w:r>
            <w:r>
              <w:rPr>
                <w:rFonts w:ascii="Arial" w:cs="Arial" w:eastAsia="Arial" w:hAnsi="Arial"/>
                <w:sz w:val="14"/>
                <w:szCs w:val="14"/>
                <w:color w:val="auto"/>
              </w:rPr>
              <w:t>AY</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xml:space="preserve"> 27</w:t>
            </w:r>
            <w:r>
              <w:rPr>
                <w:rFonts w:ascii="Arial" w:cs="Arial" w:eastAsia="Arial" w:hAnsi="Arial"/>
                <w:sz w:val="9"/>
                <w:szCs w:val="9"/>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IAMI</w:t>
            </w:r>
            <w:r>
              <w:rPr>
                <w:rFonts w:ascii="Arial" w:cs="Arial" w:eastAsia="Arial" w:hAnsi="Arial"/>
                <w:sz w:val="18"/>
                <w:szCs w:val="18"/>
                <w:color w:val="auto"/>
              </w:rPr>
              <w:t>, FL 33131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RANSFIRST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INANCIAL</w:t>
            </w:r>
            <w:r>
              <w:rPr>
                <w:rFonts w:ascii="Arial" w:cs="Arial" w:eastAsia="Arial" w:hAnsi="Arial"/>
                <w:sz w:val="18"/>
                <w:szCs w:val="18"/>
                <w:color w:val="auto"/>
                <w:w w:val="99"/>
              </w:rPr>
              <w:t xml:space="preserve"> S</w:t>
            </w:r>
            <w:r>
              <w:rPr>
                <w:rFonts w:ascii="Arial" w:cs="Arial" w:eastAsia="Arial" w:hAnsi="Arial"/>
                <w:sz w:val="14"/>
                <w:szCs w:val="14"/>
                <w:color w:val="auto"/>
                <w:w w:val="99"/>
              </w:rPr>
              <w:t>ERVICES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Second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5950 B</w:t>
            </w:r>
            <w:r>
              <w:rPr>
                <w:rFonts w:ascii="Arial" w:cs="Arial" w:eastAsia="Arial" w:hAnsi="Arial"/>
                <w:sz w:val="14"/>
                <w:szCs w:val="14"/>
                <w:color w:val="auto"/>
              </w:rPr>
              <w:t>ERKSHIRE</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xml:space="preserve"> S</w:t>
            </w:r>
            <w:r>
              <w:rPr>
                <w:rFonts w:ascii="Arial" w:cs="Arial" w:eastAsia="Arial" w:hAnsi="Arial"/>
                <w:sz w:val="14"/>
                <w:szCs w:val="14"/>
                <w:color w:val="auto"/>
              </w:rPr>
              <w:t>UITE</w:t>
            </w:r>
            <w:r>
              <w:rPr>
                <w:rFonts w:ascii="Arial" w:cs="Arial" w:eastAsia="Arial" w:hAnsi="Arial"/>
                <w:sz w:val="18"/>
                <w:szCs w:val="18"/>
                <w:color w:val="auto"/>
              </w:rPr>
              <w:t xml:space="preserve"> 1100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ALLAS</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75225</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RIZETTO</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NSURANCE</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1.30%</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567 S</w:t>
            </w:r>
            <w:r>
              <w:rPr>
                <w:rFonts w:ascii="Arial" w:cs="Arial" w:eastAsia="Arial" w:hAnsi="Arial"/>
                <w:sz w:val="14"/>
                <w:szCs w:val="14"/>
                <w:color w:val="auto"/>
              </w:rPr>
              <w:t>AN</w:t>
            </w:r>
            <w:r>
              <w:rPr>
                <w:rFonts w:ascii="Arial" w:cs="Arial" w:eastAsia="Arial" w:hAnsi="Arial"/>
                <w:sz w:val="18"/>
                <w:szCs w:val="18"/>
                <w:color w:val="auto"/>
              </w:rPr>
              <w:t xml:space="preserve"> N</w:t>
            </w:r>
            <w:r>
              <w:rPr>
                <w:rFonts w:ascii="Arial" w:cs="Arial" w:eastAsia="Arial" w:hAnsi="Arial"/>
                <w:sz w:val="14"/>
                <w:szCs w:val="14"/>
                <w:color w:val="auto"/>
              </w:rPr>
              <w:t>ICOLAS</w:t>
            </w:r>
            <w:r>
              <w:rPr>
                <w:rFonts w:ascii="Arial" w:cs="Arial" w:eastAsia="Arial" w:hAnsi="Arial"/>
                <w:sz w:val="18"/>
                <w:szCs w:val="18"/>
                <w:color w:val="auto"/>
              </w:rPr>
              <w:t xml:space="preserve"> D</w:t>
            </w:r>
            <w:r>
              <w:rPr>
                <w:rFonts w:ascii="Arial" w:cs="Arial" w:eastAsia="Arial" w:hAnsi="Arial"/>
                <w:sz w:val="14"/>
                <w:szCs w:val="14"/>
                <w:color w:val="auto"/>
              </w:rPr>
              <w:t>RIVE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360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EWPORT</w:t>
            </w:r>
            <w:r>
              <w:rPr>
                <w:rFonts w:ascii="Arial" w:cs="Arial" w:eastAsia="Arial" w:hAnsi="Arial"/>
                <w:sz w:val="18"/>
                <w:szCs w:val="18"/>
                <w:color w:val="auto"/>
              </w:rPr>
              <w:t xml:space="preserve"> B</w:t>
            </w:r>
            <w:r>
              <w:rPr>
                <w:rFonts w:ascii="Arial" w:cs="Arial" w:eastAsia="Arial" w:hAnsi="Arial"/>
                <w:sz w:val="14"/>
                <w:szCs w:val="14"/>
                <w:color w:val="auto"/>
              </w:rPr>
              <w:t>EACH</w:t>
            </w:r>
            <w:r>
              <w:rPr>
                <w:rFonts w:ascii="Arial" w:cs="Arial" w:eastAsia="Arial" w:hAnsi="Arial"/>
                <w:sz w:val="18"/>
                <w:szCs w:val="18"/>
                <w:color w:val="auto"/>
              </w:rPr>
              <w:t>, CA 92660</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1"/>
        </w:trPr>
        <w:tc>
          <w:tcPr>
            <w:tcW w:w="4360" w:type="dxa"/>
            <w:vAlign w:val="bottom"/>
            <w:gridSpan w:val="2"/>
          </w:tcPr>
          <w:p>
            <w:pPr>
              <w:spacing w:after="0"/>
              <w:rPr>
                <w:sz w:val="20"/>
                <w:szCs w:val="20"/>
                <w:color w:val="auto"/>
              </w:rPr>
            </w:pPr>
            <w:r>
              <w:rPr>
                <w:rFonts w:ascii="Arial" w:cs="Arial" w:eastAsia="Arial" w:hAnsi="Arial"/>
                <w:sz w:val="18"/>
                <w:szCs w:val="18"/>
                <w:color w:val="auto"/>
              </w:rPr>
              <w:t>U.S. X</w:t>
            </w:r>
            <w:r>
              <w:rPr>
                <w:rFonts w:ascii="Arial" w:cs="Arial" w:eastAsia="Arial" w:hAnsi="Arial"/>
                <w:sz w:val="14"/>
                <w:szCs w:val="14"/>
                <w:color w:val="auto"/>
              </w:rPr>
              <w:t>PRESS</w:t>
            </w:r>
            <w:r>
              <w:rPr>
                <w:rFonts w:ascii="Arial" w:cs="Arial" w:eastAsia="Arial" w:hAnsi="Arial"/>
                <w:sz w:val="18"/>
                <w:szCs w:val="18"/>
                <w:color w:val="auto"/>
              </w:rPr>
              <w:t xml:space="preserve"> E</w:t>
            </w:r>
            <w:r>
              <w:rPr>
                <w:rFonts w:ascii="Arial" w:cs="Arial" w:eastAsia="Arial" w:hAnsi="Arial"/>
                <w:sz w:val="14"/>
                <w:szCs w:val="14"/>
                <w:color w:val="auto"/>
              </w:rPr>
              <w:t>NTERPRISES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7"/>
              </w:rPr>
              <w:t>C</w:t>
            </w:r>
            <w:r>
              <w:rPr>
                <w:rFonts w:ascii="Arial" w:cs="Arial" w:eastAsia="Arial" w:hAnsi="Arial"/>
                <w:sz w:val="14"/>
                <w:szCs w:val="14"/>
                <w:color w:val="auto"/>
                <w:w w:val="97"/>
              </w:rPr>
              <w:t>ARGO</w:t>
            </w:r>
            <w:r>
              <w:rPr>
                <w:rFonts w:ascii="Arial" w:cs="Arial" w:eastAsia="Arial" w:hAnsi="Arial"/>
                <w:sz w:val="18"/>
                <w:szCs w:val="18"/>
                <w:color w:val="auto"/>
                <w:w w:val="97"/>
              </w:rPr>
              <w:t xml:space="preserve"> T</w:t>
            </w:r>
            <w:r>
              <w:rPr>
                <w:rFonts w:ascii="Arial" w:cs="Arial" w:eastAsia="Arial" w:hAnsi="Arial"/>
                <w:sz w:val="14"/>
                <w:szCs w:val="14"/>
                <w:color w:val="auto"/>
                <w:w w:val="97"/>
              </w:rPr>
              <w:t>RANSPORT</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4080 J</w:t>
            </w:r>
            <w:r>
              <w:rPr>
                <w:rFonts w:ascii="Arial" w:cs="Arial" w:eastAsia="Arial" w:hAnsi="Arial"/>
                <w:sz w:val="14"/>
                <w:szCs w:val="14"/>
                <w:color w:val="auto"/>
              </w:rPr>
              <w:t>ENKINS</w:t>
            </w:r>
            <w:r>
              <w:rPr>
                <w:rFonts w:ascii="Arial" w:cs="Arial" w:eastAsia="Arial" w:hAnsi="Arial"/>
                <w:sz w:val="18"/>
                <w:szCs w:val="18"/>
                <w:color w:val="auto"/>
              </w:rPr>
              <w:t xml:space="preserve"> R</w:t>
            </w:r>
            <w:r>
              <w:rPr>
                <w:rFonts w:ascii="Arial" w:cs="Arial" w:eastAsia="Arial" w:hAnsi="Arial"/>
                <w:sz w:val="14"/>
                <w:szCs w:val="14"/>
                <w:color w:val="auto"/>
              </w:rPr>
              <w:t>OAD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HATTANOOGA</w:t>
            </w:r>
            <w:r>
              <w:rPr>
                <w:rFonts w:ascii="Arial" w:cs="Arial" w:eastAsia="Arial" w:hAnsi="Arial"/>
                <w:sz w:val="18"/>
                <w:szCs w:val="18"/>
                <w:color w:val="auto"/>
              </w:rPr>
              <w:t>, TN 37421</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P</w:t>
            </w:r>
            <w:r>
              <w:rPr>
                <w:rFonts w:ascii="Arial" w:cs="Arial" w:eastAsia="Arial" w:hAnsi="Arial"/>
                <w:sz w:val="18"/>
                <w:szCs w:val="18"/>
                <w:color w:val="auto"/>
              </w:rPr>
              <w:t xml:space="preserve"> A</w:t>
            </w:r>
            <w:r>
              <w:rPr>
                <w:rFonts w:ascii="Arial" w:cs="Arial" w:eastAsia="Arial" w:hAnsi="Arial"/>
                <w:sz w:val="14"/>
                <w:szCs w:val="14"/>
                <w:color w:val="auto"/>
              </w:rPr>
              <w:t>CQUISITION</w:t>
            </w:r>
            <w:r>
              <w:rPr>
                <w:rFonts w:ascii="Arial" w:cs="Arial" w:eastAsia="Arial" w:hAnsi="Arial"/>
                <w:sz w:val="18"/>
                <w:szCs w:val="18"/>
                <w:color w:val="auto"/>
              </w:rPr>
              <w:t xml:space="preserve"> S</w:t>
            </w:r>
            <w:r>
              <w:rPr>
                <w:rFonts w:ascii="Arial" w:cs="Arial" w:eastAsia="Arial" w:hAnsi="Arial"/>
                <w:sz w:val="14"/>
                <w:szCs w:val="14"/>
                <w:color w:val="auto"/>
              </w:rPr>
              <w:t>UB</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w w:val="99"/>
              </w:rPr>
              <w:t>O</w:t>
            </w:r>
            <w:r>
              <w:rPr>
                <w:rFonts w:ascii="Arial" w:cs="Arial" w:eastAsia="Arial" w:hAnsi="Arial"/>
                <w:sz w:val="14"/>
                <w:szCs w:val="14"/>
                <w:color w:val="auto"/>
                <w:w w:val="99"/>
              </w:rPr>
              <w:t>IL</w:t>
            </w:r>
            <w:r>
              <w:rPr>
                <w:rFonts w:ascii="Arial" w:cs="Arial" w:eastAsia="Arial" w:hAnsi="Arial"/>
                <w:sz w:val="18"/>
                <w:szCs w:val="18"/>
                <w:color w:val="auto"/>
                <w:w w:val="99"/>
              </w:rPr>
              <w:t xml:space="preserve"> &amp; G</w:t>
            </w:r>
            <w:r>
              <w:rPr>
                <w:rFonts w:ascii="Arial" w:cs="Arial" w:eastAsia="Arial" w:hAnsi="Arial"/>
                <w:sz w:val="14"/>
                <w:szCs w:val="14"/>
                <w:color w:val="auto"/>
                <w:w w:val="99"/>
              </w:rPr>
              <w:t>AS</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Subordinated Debt Preferred Equity</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1.05%</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1515 A</w:t>
            </w:r>
            <w:r>
              <w:rPr>
                <w:rFonts w:ascii="Arial" w:cs="Arial" w:eastAsia="Arial" w:hAnsi="Arial"/>
                <w:sz w:val="14"/>
                <w:szCs w:val="14"/>
                <w:color w:val="auto"/>
              </w:rPr>
              <w:t>RAPAHOE</w:t>
            </w:r>
            <w:r>
              <w:rPr>
                <w:rFonts w:ascii="Arial" w:cs="Arial" w:eastAsia="Arial" w:hAnsi="Arial"/>
                <w:sz w:val="18"/>
                <w:szCs w:val="18"/>
                <w:color w:val="auto"/>
              </w:rPr>
              <w:t xml:space="preserve"> S</w:t>
            </w:r>
            <w:r>
              <w:rPr>
                <w:rFonts w:ascii="Arial" w:cs="Arial" w:eastAsia="Arial" w:hAnsi="Arial"/>
                <w:sz w:val="14"/>
                <w:szCs w:val="14"/>
                <w:color w:val="auto"/>
              </w:rPr>
              <w:t>TREET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Common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OWER</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1500</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ENVER</w:t>
            </w:r>
            <w:r>
              <w:rPr>
                <w:rFonts w:ascii="Arial" w:cs="Arial" w:eastAsia="Arial" w:hAnsi="Arial"/>
                <w:sz w:val="18"/>
                <w:szCs w:val="18"/>
                <w:color w:val="auto"/>
              </w:rPr>
              <w:t>, CO. 80202</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91"/>
        </w:trPr>
        <w:tc>
          <w:tcPr>
            <w:tcW w:w="436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C</w:t>
            </w:r>
            <w:r>
              <w:rPr>
                <w:rFonts w:ascii="Arial" w:cs="Arial" w:eastAsia="Arial" w:hAnsi="Arial"/>
                <w:sz w:val="14"/>
                <w:szCs w:val="14"/>
                <w:color w:val="auto"/>
              </w:rPr>
              <w:t>OLOR</w:t>
            </w:r>
            <w:r>
              <w:rPr>
                <w:rFonts w:ascii="Arial" w:cs="Arial" w:eastAsia="Arial" w:hAnsi="Arial"/>
                <w:sz w:val="18"/>
                <w:szCs w:val="18"/>
                <w:color w:val="auto"/>
              </w:rPr>
              <w:t xml:space="preserve"> P</w:t>
            </w:r>
            <w:r>
              <w:rPr>
                <w:rFonts w:ascii="Arial" w:cs="Arial" w:eastAsia="Arial" w:hAnsi="Arial"/>
                <w:sz w:val="14"/>
                <w:szCs w:val="14"/>
                <w:color w:val="auto"/>
              </w:rPr>
              <w:t>RESS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3320" w:type="dxa"/>
            <w:vAlign w:val="bottom"/>
          </w:tcPr>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RINTING</w:t>
            </w:r>
          </w:p>
        </w:tc>
        <w:tc>
          <w:tcPr>
            <w:tcW w:w="10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999 D</w:t>
            </w:r>
            <w:r>
              <w:rPr>
                <w:rFonts w:ascii="Arial" w:cs="Arial" w:eastAsia="Arial" w:hAnsi="Arial"/>
                <w:sz w:val="14"/>
                <w:szCs w:val="14"/>
                <w:color w:val="auto"/>
              </w:rPr>
              <w:t>E</w:t>
            </w:r>
            <w:r>
              <w:rPr>
                <w:rFonts w:ascii="Arial" w:cs="Arial" w:eastAsia="Arial" w:hAnsi="Arial"/>
                <w:sz w:val="18"/>
                <w:szCs w:val="18"/>
                <w:color w:val="auto"/>
              </w:rPr>
              <w:t xml:space="preserve"> M</w:t>
            </w:r>
            <w:r>
              <w:rPr>
                <w:rFonts w:ascii="Arial" w:cs="Arial" w:eastAsia="Arial" w:hAnsi="Arial"/>
                <w:sz w:val="14"/>
                <w:szCs w:val="14"/>
                <w:color w:val="auto"/>
              </w:rPr>
              <w:t>AISONNEUVE</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xml:space="preserve"> W</w:t>
            </w:r>
            <w:r>
              <w:rPr>
                <w:rFonts w:ascii="Arial" w:cs="Arial" w:eastAsia="Arial" w:hAnsi="Arial"/>
                <w:sz w:val="14"/>
                <w:szCs w:val="14"/>
                <w:color w:val="auto"/>
              </w:rPr>
              <w:t>EST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ONTREAL</w:t>
            </w:r>
            <w:r>
              <w:rPr>
                <w:rFonts w:ascii="Arial" w:cs="Arial" w:eastAsia="Arial" w:hAnsi="Arial"/>
                <w:sz w:val="18"/>
                <w:szCs w:val="18"/>
                <w:color w:val="auto"/>
              </w:rPr>
              <w:t>, Q</w:t>
            </w:r>
            <w:r>
              <w:rPr>
                <w:rFonts w:ascii="Arial" w:cs="Arial" w:eastAsia="Arial" w:hAnsi="Arial"/>
                <w:sz w:val="14"/>
                <w:szCs w:val="14"/>
                <w:color w:val="auto"/>
              </w:rPr>
              <w:t>UEBEC</w:t>
            </w:r>
            <w:r>
              <w:rPr>
                <w:rFonts w:ascii="Arial" w:cs="Arial" w:eastAsia="Arial" w:hAnsi="Arial"/>
                <w:sz w:val="18"/>
                <w:szCs w:val="18"/>
                <w:color w:val="auto"/>
              </w:rPr>
              <w:t xml:space="preserve"> C</w:t>
            </w:r>
            <w:r>
              <w:rPr>
                <w:rFonts w:ascii="Arial" w:cs="Arial" w:eastAsia="Arial" w:hAnsi="Arial"/>
                <w:sz w:val="14"/>
                <w:szCs w:val="14"/>
                <w:color w:val="auto"/>
              </w:rPr>
              <w:t>ANADA</w:t>
            </w:r>
            <w:r>
              <w:rPr>
                <w:rFonts w:ascii="Arial" w:cs="Arial" w:eastAsia="Arial" w:hAnsi="Arial"/>
                <w:sz w:val="18"/>
                <w:szCs w:val="18"/>
                <w:color w:val="auto"/>
              </w:rPr>
              <w:t xml:space="preserve"> H3</w:t>
            </w:r>
            <w:r>
              <w:rPr>
                <w:rFonts w:ascii="Arial" w:cs="Arial" w:eastAsia="Arial" w:hAnsi="Arial"/>
                <w:sz w:val="14"/>
                <w:szCs w:val="14"/>
                <w:color w:val="auto"/>
              </w:rPr>
              <w:t>A</w:t>
            </w:r>
            <w:r>
              <w:rPr>
                <w:rFonts w:ascii="Arial" w:cs="Arial" w:eastAsia="Arial" w:hAnsi="Arial"/>
                <w:sz w:val="18"/>
                <w:szCs w:val="18"/>
                <w:color w:val="auto"/>
              </w:rPr>
              <w:t xml:space="preserve"> 3</w:t>
            </w:r>
            <w:r>
              <w:rPr>
                <w:rFonts w:ascii="Arial" w:cs="Arial" w:eastAsia="Arial" w:hAnsi="Arial"/>
                <w:sz w:val="14"/>
                <w:szCs w:val="14"/>
                <w:color w:val="auto"/>
              </w:rPr>
              <w:t>L</w:t>
            </w:r>
            <w:r>
              <w:rPr>
                <w:rFonts w:ascii="Arial" w:cs="Arial" w:eastAsia="Arial" w:hAnsi="Arial"/>
                <w:sz w:val="18"/>
                <w:szCs w:val="18"/>
                <w:color w:val="auto"/>
              </w:rPr>
              <w:t>4</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78"/>
        </w:trPr>
        <w:tc>
          <w:tcPr>
            <w:tcW w:w="25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jc w:val="right"/>
              <w:ind w:right="179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Percentage</w:t>
            </w:r>
          </w:p>
        </w:tc>
      </w:tr>
      <w:tr>
        <w:trPr>
          <w:trHeight w:val="134"/>
        </w:trPr>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of Class</w:t>
            </w:r>
          </w:p>
        </w:tc>
      </w:tr>
      <w:tr>
        <w:trPr>
          <w:trHeight w:val="189"/>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2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120" w:type="dxa"/>
            <w:vAlign w:val="bottom"/>
          </w:tcPr>
          <w:p>
            <w:pPr>
              <w:spacing w:after="0"/>
              <w:rPr>
                <w:sz w:val="16"/>
                <w:szCs w:val="16"/>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2"/>
              </w:rPr>
              <w:t>Held</w:t>
            </w:r>
            <w:r>
              <w:rPr>
                <w:rFonts w:ascii="Arial" w:cs="Arial" w:eastAsia="Arial" w:hAnsi="Arial"/>
                <w:sz w:val="21"/>
                <w:szCs w:val="21"/>
                <w:b w:val="1"/>
                <w:bCs w:val="1"/>
                <w:color w:val="auto"/>
                <w:w w:val="92"/>
                <w:vertAlign w:val="superscript"/>
              </w:rPr>
              <w:t>(1)</w:t>
            </w:r>
          </w:p>
        </w:tc>
      </w:tr>
      <w:tr>
        <w:trPr>
          <w:trHeight w:val="201"/>
        </w:trPr>
        <w:tc>
          <w:tcPr>
            <w:tcW w:w="2540" w:type="dxa"/>
            <w:vAlign w:val="bottom"/>
          </w:tcPr>
          <w:p>
            <w:pPr>
              <w:spacing w:after="0" w:line="201"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xml:space="preserve"> R</w:t>
            </w:r>
            <w:r>
              <w:rPr>
                <w:rFonts w:ascii="Arial" w:cs="Arial" w:eastAsia="Arial" w:hAnsi="Arial"/>
                <w:sz w:val="14"/>
                <w:szCs w:val="14"/>
                <w:color w:val="auto"/>
              </w:rPr>
              <w:t>ACING</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tc>
        <w:tc>
          <w:tcPr>
            <w:tcW w:w="182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9"/>
              </w:rPr>
              <w:t>H</w:t>
            </w:r>
            <w:r>
              <w:rPr>
                <w:rFonts w:ascii="Arial" w:cs="Arial" w:eastAsia="Arial" w:hAnsi="Arial"/>
                <w:sz w:val="14"/>
                <w:szCs w:val="14"/>
                <w:color w:val="auto"/>
                <w:w w:val="99"/>
              </w:rPr>
              <w:t>OTELS</w:t>
            </w:r>
            <w:r>
              <w:rPr>
                <w:rFonts w:ascii="Arial" w:cs="Arial" w:eastAsia="Arial" w:hAnsi="Arial"/>
                <w:sz w:val="18"/>
                <w:szCs w:val="18"/>
                <w:color w:val="auto"/>
                <w:w w:val="99"/>
              </w:rPr>
              <w:t>, M</w:t>
            </w:r>
            <w:r>
              <w:rPr>
                <w:rFonts w:ascii="Arial" w:cs="Arial" w:eastAsia="Arial" w:hAnsi="Arial"/>
                <w:sz w:val="14"/>
                <w:szCs w:val="14"/>
                <w:color w:val="auto"/>
                <w:w w:val="99"/>
              </w:rPr>
              <w:t>OTELS</w:t>
            </w:r>
            <w:r>
              <w:rPr>
                <w:rFonts w:ascii="Arial" w:cs="Arial" w:eastAsia="Arial" w:hAnsi="Arial"/>
                <w:sz w:val="18"/>
                <w:szCs w:val="18"/>
                <w:color w:val="auto"/>
                <w:w w:val="99"/>
              </w:rPr>
              <w:t>, I</w:t>
            </w:r>
            <w:r>
              <w:rPr>
                <w:rFonts w:ascii="Arial" w:cs="Arial" w:eastAsia="Arial" w:hAnsi="Arial"/>
                <w:sz w:val="14"/>
                <w:szCs w:val="14"/>
                <w:color w:val="auto"/>
                <w:w w:val="99"/>
              </w:rPr>
              <w:t>NNS</w:t>
            </w:r>
            <w:r>
              <w:rPr>
                <w:rFonts w:ascii="Arial" w:cs="Arial" w:eastAsia="Arial" w:hAnsi="Arial"/>
                <w:sz w:val="18"/>
                <w:szCs w:val="18"/>
                <w:color w:val="auto"/>
                <w:w w:val="99"/>
              </w:rPr>
              <w:t xml:space="preserve"> &amp; G</w:t>
            </w:r>
            <w:r>
              <w:rPr>
                <w:rFonts w:ascii="Arial" w:cs="Arial" w:eastAsia="Arial" w:hAnsi="Arial"/>
                <w:sz w:val="14"/>
                <w:szCs w:val="14"/>
                <w:color w:val="auto"/>
                <w:w w:val="99"/>
              </w:rPr>
              <w:t>AMING</w:t>
            </w:r>
          </w:p>
        </w:tc>
        <w:tc>
          <w:tcPr>
            <w:tcW w:w="120" w:type="dxa"/>
            <w:vAlign w:val="bottom"/>
          </w:tcPr>
          <w:p>
            <w:pPr>
              <w:spacing w:after="0"/>
              <w:rPr>
                <w:sz w:val="17"/>
                <w:szCs w:val="17"/>
                <w:color w:val="auto"/>
              </w:rPr>
            </w:pPr>
          </w:p>
        </w:tc>
        <w:tc>
          <w:tcPr>
            <w:tcW w:w="2380" w:type="dxa"/>
            <w:vAlign w:val="bottom"/>
          </w:tcPr>
          <w:p>
            <w:pPr>
              <w:jc w:val="center"/>
              <w:spacing w:after="0" w:line="201" w:lineRule="exact"/>
              <w:rPr>
                <w:sz w:val="20"/>
                <w:szCs w:val="20"/>
                <w:color w:val="auto"/>
              </w:rPr>
            </w:pPr>
            <w:r>
              <w:rPr>
                <w:rFonts w:ascii="Arial" w:cs="Arial" w:eastAsia="Arial" w:hAnsi="Arial"/>
                <w:sz w:val="18"/>
                <w:szCs w:val="18"/>
                <w:color w:val="auto"/>
                <w:w w:val="88"/>
              </w:rPr>
              <w:t>First Lien Secured Debt</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810 Y</w:t>
            </w:r>
            <w:r>
              <w:rPr>
                <w:rFonts w:ascii="Arial" w:cs="Arial" w:eastAsia="Arial" w:hAnsi="Arial"/>
                <w:sz w:val="14"/>
                <w:szCs w:val="14"/>
                <w:color w:val="auto"/>
              </w:rPr>
              <w:t>ONKERS</w:t>
            </w:r>
            <w:r>
              <w:rPr>
                <w:rFonts w:ascii="Arial" w:cs="Arial" w:eastAsia="Arial" w:hAnsi="Arial"/>
                <w:sz w:val="18"/>
                <w:szCs w:val="18"/>
                <w:color w:val="auto"/>
              </w:rPr>
              <w:t xml:space="preserve"> A</w:t>
            </w:r>
            <w:r>
              <w:rPr>
                <w:rFonts w:ascii="Arial" w:cs="Arial" w:eastAsia="Arial" w:hAnsi="Arial"/>
                <w:sz w:val="14"/>
                <w:szCs w:val="14"/>
                <w:color w:val="auto"/>
              </w:rPr>
              <w:t>VENUE</w:t>
            </w:r>
          </w:p>
        </w:tc>
        <w:tc>
          <w:tcPr>
            <w:tcW w:w="18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ONKERS</w:t>
            </w:r>
            <w:r>
              <w:rPr>
                <w:rFonts w:ascii="Arial" w:cs="Arial" w:eastAsia="Arial" w:hAnsi="Arial"/>
                <w:sz w:val="18"/>
                <w:szCs w:val="18"/>
                <w:color w:val="auto"/>
              </w:rPr>
              <w:t>, NY 10704</w:t>
            </w:r>
          </w:p>
        </w:tc>
        <w:tc>
          <w:tcPr>
            <w:tcW w:w="18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of class held refers only to common equity, preferred equity and warrants held, if any.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of class held represents less than 5% of the voting rights of securities.</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December 31,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CT Technologies Intermediate Holdings,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 Technologies is a leading outsource provider of “release of information” services to healthcare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i2 Holdings Ltd.</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company is a leading worldwide provider of visual investigative analysis software for law enforcement, intelligence, military and Fortune 500 organizations.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table below describes the portfolio by industry classification and enumerates the percentage, by fair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4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660" w:type="dxa"/>
            <w:vAlign w:val="bottom"/>
            <w:gridSpan w:val="2"/>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4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Home and Office Furnishings, Housewares and Durable Consumer Products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90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490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60" w:type="dxa"/>
            <w:vAlign w:val="bottom"/>
          </w:tcPr>
          <w:p>
            <w:pPr>
              <w:spacing w:after="0"/>
              <w:rPr>
                <w:sz w:val="18"/>
                <w:szCs w:val="18"/>
                <w:color w:val="auto"/>
              </w:rPr>
            </w:pPr>
          </w:p>
        </w:tc>
        <w:tc>
          <w:tcPr>
            <w:tcW w:w="2040" w:type="dxa"/>
            <w:vAlign w:val="bottom"/>
            <w:gridSpan w:val="2"/>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60" w:type="dxa"/>
            <w:vAlign w:val="bottom"/>
            <w:vMerge w:val="restart"/>
          </w:tcPr>
          <w:p>
            <w:pPr>
              <w:jc w:val="right"/>
              <w:ind w:right="2473"/>
              <w:spacing w:after="0"/>
              <w:rPr>
                <w:sz w:val="20"/>
                <w:szCs w:val="20"/>
                <w:color w:val="auto"/>
              </w:rPr>
            </w:pPr>
            <w:r>
              <w:rPr>
                <w:rFonts w:ascii="Arial" w:cs="Arial" w:eastAsia="Arial" w:hAnsi="Arial"/>
                <w:sz w:val="18"/>
                <w:szCs w:val="18"/>
                <w:color w:val="auto"/>
              </w:rPr>
              <w:t>73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5"/>
              </w:rPr>
              <w:t>Age</w:t>
            </w:r>
          </w:p>
        </w:tc>
        <w:tc>
          <w:tcPr>
            <w:tcW w:w="3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0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Since</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 Term</w:t>
            </w:r>
          </w:p>
        </w:tc>
      </w:tr>
      <w:tr>
        <w:trPr>
          <w:trHeight w:val="201"/>
        </w:trPr>
        <w:tc>
          <w:tcPr>
            <w:tcW w:w="38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46</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42</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2012</w:t>
            </w: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44</w:t>
            </w:r>
          </w:p>
        </w:tc>
        <w:tc>
          <w:tcPr>
            <w:tcW w:w="34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72"/>
              <w:spacing w:after="0"/>
              <w:rPr>
                <w:sz w:val="20"/>
                <w:szCs w:val="20"/>
                <w:color w:val="auto"/>
              </w:rPr>
            </w:pPr>
            <w:r>
              <w:rPr>
                <w:rFonts w:ascii="Arial" w:cs="Arial" w:eastAsia="Arial" w:hAnsi="Arial"/>
                <w:sz w:val="18"/>
                <w:szCs w:val="18"/>
                <w:color w:val="auto"/>
                <w:w w:val="84"/>
              </w:rPr>
              <w:t>2011</w:t>
            </w:r>
          </w:p>
        </w:tc>
      </w:tr>
      <w:tr>
        <w:trPr>
          <w:trHeight w:val="3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55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98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2010</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executive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28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45</w:t>
            </w:r>
          </w:p>
        </w:tc>
        <w:tc>
          <w:tcPr>
            <w:tcW w:w="56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140" w:type="dxa"/>
            <w:vAlign w:val="bottom"/>
          </w:tcPr>
          <w:p>
            <w:pPr>
              <w:spacing w:after="0"/>
              <w:rPr>
                <w:sz w:val="20"/>
                <w:szCs w:val="20"/>
                <w:color w:val="auto"/>
              </w:rPr>
            </w:pPr>
            <w:r>
              <w:rPr>
                <w:rFonts w:ascii="Arial" w:cs="Arial" w:eastAsia="Arial" w:hAnsi="Arial"/>
                <w:sz w:val="18"/>
                <w:szCs w:val="18"/>
                <w:color w:val="auto"/>
                <w:w w:val="85"/>
              </w:rPr>
              <w:t>Financial Officer and Treasurer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as of the Record Date, pertains to our officer who is not a director of the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8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1340" w:type="dxa"/>
            <w:vAlign w:val="bottom"/>
          </w:tcPr>
          <w:p>
            <w:pPr>
              <w:spacing w:after="0"/>
              <w:rPr>
                <w:sz w:val="14"/>
                <w:szCs w:val="14"/>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F. Talarico</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5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Chief</w:t>
            </w:r>
          </w:p>
        </w:tc>
        <w:tc>
          <w:tcPr>
            <w:tcW w:w="1340" w:type="dxa"/>
            <w:vAlign w:val="bottom"/>
          </w:tcPr>
          <w:p>
            <w:pPr>
              <w:spacing w:after="0"/>
              <w:rPr>
                <w:sz w:val="20"/>
                <w:szCs w:val="20"/>
                <w:color w:val="auto"/>
              </w:rPr>
            </w:pPr>
            <w:r>
              <w:rPr>
                <w:rFonts w:ascii="Arial" w:cs="Arial" w:eastAsia="Arial" w:hAnsi="Arial"/>
                <w:sz w:val="18"/>
                <w:szCs w:val="18"/>
                <w:color w:val="auto"/>
                <w:w w:val="86"/>
              </w:rPr>
              <w:t>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of executive office is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Adam K. Bernstein (46), Director. Mr. Bernstein became a director of PennantPark Investment in February 2007.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Marshall Brozost (42), Director. Mr. Brozost became a director of PennantPark Investment in February 2007.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Jeffrey Flug (47), Director. Mr. Flug became a director of PennantPark Investment in February 2007. Since 2009, Mr. Flug has been the Chief Operating and Financial Officer of Union Square Hospitality Group,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Samuel L. Katz (44), Director. Mr. Katz became a director of PennantPark Investment in February 2007.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Arthur H. Penn (46) Founder, Chief Executive Officer and Chairman of the Board of Directors. Mr. Penn became the chief executive officer and a director of PennantPark Investment at its inception in January 2007.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Aviv Efrat (45), Chief Financial Officer and Treasurer. Mr. Efrat joined PennantPark Investment in February 2007 as its Chief Financial Officer and Treasurer. Mr. Efrat is also a Managing Director of PennantPark Investment Administration, LLC. Mr. Efrat was a Director at BlackRock, Inc., where he was responsible for a variety of administrative, operational, and financial aspects of closed-end and open-end registered investment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Guy F. Talarico (54) Chief Compliance Officer. Mr. Talarico became PennantPark Investment’s Chief Compliance Officer in 2008.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For the fiscal year ended September 30, 2009, we held six board meetings, four Audit Committee meetings and two Nominating and Corporate Governance Committee meeting. All directors attended at least 75% of the aggregate number of meetings of the board of directors and of the respective committees on which they served. We require each director to make a diligent effort to attend all board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NASDAQ corporate governance regulations. Mr. Flug serves as 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and recommending to the board of directors whether the audited financial statements should be included in our annual report on Form 10-K; reviewing and discussing with management and the auditors our quarterly financial statements prior to the filing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debt and equity securities that are not publicly traded or for which current market values are not readily available. The board of directors and Audit Committee may use the services of nationally recognized independent valuation firms to help them determine the fair value of these securities. Our board of directors has determined that Mr. Flug is our “Audit Committee financial expert” as that term is defined under Item 401 of Regulation S-K under the Securities Exchange Act of 1934, as amended, or the Exchange Act. The Audit Committee Charter is available on our website: </w:t>
      </w:r>
      <w:r>
        <w:rPr>
          <w:rFonts w:ascii="Arial" w:cs="Arial" w:eastAsia="Arial" w:hAnsi="Arial"/>
          <w:sz w:val="16"/>
          <w:szCs w:val="16"/>
          <w:i w:val="1"/>
          <w:iCs w:val="1"/>
          <w:color w:val="auto"/>
        </w:rPr>
        <w:t>www.pennantpark.com</w:t>
      </w:r>
      <w:r>
        <w:rPr>
          <w:rFonts w:ascii="Arial" w:cs="Arial" w:eastAsia="Arial" w:hAnsi="Arial"/>
          <w:sz w:val="16"/>
          <w:szCs w:val="16"/>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corporate governance regulations of the NASDAQ. Messrs. Bernstein, Brozost and Katz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color w:val="auto"/>
        </w:rPr>
        <w:t>www.pennantpark.com</w:t>
      </w:r>
      <w:r>
        <w:rPr>
          <w:rFonts w:ascii="Arial" w:cs="Arial" w:eastAsia="Arial" w:hAnsi="Arial"/>
          <w:sz w:val="18"/>
          <w:szCs w:val="18"/>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current directorships on publicly held companies and investment companies; number of shares of our common stock owned, if any; and, a written consent of the individual to stand for election if nominated by our board of directors and to serve if elected by the stockholders.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members of the board of directors include compliance with the independence and other applicable requirements of the NASDAQ Corporate Governance and the 1940 Act, and all other applicable laws, rules, regulations and listing standards, the criteria, policies and principles set forth in the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also may consider such other factors as it may deem are in our best interests and our stockholders. Our board of directors also believes it is appropriate for a key member of our management to participate as a member of our board of directors.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 compensation committee because our executive officer does not receive compensation from 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2009. No compensation is paid by us to any interested director or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5"/>
              </w:rPr>
              <w:t>Pension or</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Aggregate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retirement</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benefits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paid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accrued as</w:t>
            </w:r>
          </w:p>
        </w:tc>
        <w:tc>
          <w:tcPr>
            <w:tcW w:w="5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36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88"/>
              </w:rPr>
              <w:t>PennantPark</w:t>
            </w: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part of our</w:t>
            </w:r>
          </w:p>
        </w:tc>
        <w:tc>
          <w:tcPr>
            <w:tcW w:w="5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director /</w:t>
            </w:r>
          </w:p>
        </w:tc>
        <w:tc>
          <w:tcPr>
            <w:tcW w:w="0" w:type="dxa"/>
            <w:vAlign w:val="bottom"/>
          </w:tcPr>
          <w:p>
            <w:pPr>
              <w:spacing w:after="0"/>
              <w:rPr>
                <w:sz w:val="1"/>
                <w:szCs w:val="1"/>
                <w:color w:val="auto"/>
              </w:rPr>
            </w:pPr>
          </w:p>
        </w:tc>
      </w:tr>
      <w:tr>
        <w:trPr>
          <w:trHeight w:val="176"/>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Investment</w:t>
            </w: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4"/>
              </w:rPr>
              <w:t>expense</w:t>
            </w:r>
            <w:r>
              <w:rPr>
                <w:rFonts w:ascii="Arial" w:cs="Arial" w:eastAsia="Arial" w:hAnsi="Arial"/>
                <w:sz w:val="20"/>
                <w:szCs w:val="20"/>
                <w:b w:val="1"/>
                <w:bCs w:val="1"/>
                <w:color w:val="auto"/>
                <w:w w:val="84"/>
                <w:vertAlign w:val="superscript"/>
              </w:rPr>
              <w:t>(1)</w:t>
            </w:r>
          </w:p>
        </w:tc>
        <w:tc>
          <w:tcPr>
            <w:tcW w:w="5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   92,500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92,500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97,500</w:t>
            </w:r>
          </w:p>
        </w:tc>
        <w:tc>
          <w:tcPr>
            <w:tcW w:w="640" w:type="dxa"/>
            <w:vAlign w:val="bottom"/>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91,250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Eftrat</w:t>
            </w:r>
            <w:r>
              <w:rPr>
                <w:rFonts w:ascii="Arial" w:cs="Arial" w:eastAsia="Arial" w:hAnsi="Arial"/>
                <w:sz w:val="11"/>
                <w:szCs w:val="11"/>
                <w:color w:val="auto"/>
              </w:rPr>
              <w:t>(2)</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Independent director receives an annual fee of $75,000 for services performed on behalf of the PennantPark Investment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the Chairman of the Audit Committee receives an annual fee of $7,500 and each chairman/co-chairman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1, 2010, to our knowledge, no person would be deemed to control us, as such term is defined in the 1940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consist of one interested director and four independent directors. An interested director is an “interested person” of us, as defined in the 1940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sets forth, as of February 1, 2010, certain ownership information with respect to our common stock for those persons who directly or indirectly own, control, or hold with the power to vote, 5 percent or more of our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7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Type of ownership</w:t>
            </w:r>
            <w:r>
              <w:rPr>
                <w:rFonts w:ascii="Arial" w:cs="Arial" w:eastAsia="Arial" w:hAnsi="Arial"/>
                <w:sz w:val="22"/>
                <w:szCs w:val="22"/>
                <w:b w:val="1"/>
                <w:bCs w:val="1"/>
                <w:color w:val="auto"/>
                <w:w w:val="84"/>
                <w:vertAlign w:val="superscript"/>
              </w:rPr>
              <w:t>(4)</w:t>
            </w:r>
          </w:p>
        </w:tc>
        <w:tc>
          <w:tcPr>
            <w:tcW w:w="440" w:type="dxa"/>
            <w:vAlign w:val="bottom"/>
          </w:tcPr>
          <w:p>
            <w:pPr>
              <w:spacing w:after="0"/>
              <w:rPr>
                <w:sz w:val="12"/>
                <w:szCs w:val="12"/>
                <w:color w:val="auto"/>
              </w:rPr>
            </w:pPr>
          </w:p>
        </w:tc>
        <w:tc>
          <w:tcPr>
            <w:tcW w:w="70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764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owned</w:t>
            </w:r>
          </w:p>
        </w:tc>
        <w:tc>
          <w:tcPr>
            <w:tcW w:w="46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Clough Capital Partners L.P.</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1,600,691</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One Post Office Square, 40th Floor</w:t>
            </w: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640" w:type="dxa"/>
            <w:vAlign w:val="bottom"/>
            <w:gridSpan w:val="3"/>
          </w:tcPr>
          <w:p>
            <w:pPr>
              <w:spacing w:after="0"/>
              <w:rPr>
                <w:sz w:val="20"/>
                <w:szCs w:val="20"/>
                <w:color w:val="auto"/>
              </w:rPr>
            </w:pPr>
            <w:r>
              <w:rPr>
                <w:rFonts w:ascii="Arial" w:cs="Arial" w:eastAsia="Arial" w:hAnsi="Arial"/>
                <w:sz w:val="18"/>
                <w:szCs w:val="18"/>
                <w:color w:val="auto"/>
              </w:rPr>
              <w:t>Wellington Management Company LLP</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2,827,541</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6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85,291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90,561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436,625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3"/>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30,907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Record/Beneficial</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734,153</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3"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held by JAM Investments, LLC.</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274,224 shares held by PennantPark Investment Advisers, LLC.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0" w:lineRule="exact"/>
        <w:rPr>
          <w:sz w:val="20"/>
          <w:szCs w:val="20"/>
          <w:color w:val="auto"/>
        </w:rPr>
      </w:pPr>
    </w:p>
    <w:p>
      <w:pPr>
        <w:ind w:left="460" w:hanging="408"/>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Range of Securities Beneficially Owned by Directors, Officers and Portfolio Managers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officers and portfolio managers as of February 1, 2010. Information as to the beneficial ownerships based on information furnished to the company by such persons. We are not part of a “family of investment companies,” as that term is defined in the 1940 Act.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Directors of PennantPark Investment</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Equity Securities in PennantPark Investment</w:t>
            </w:r>
            <w:r>
              <w:rPr>
                <w:rFonts w:ascii="Arial" w:cs="Arial" w:eastAsia="Arial" w:hAnsi="Arial"/>
                <w:sz w:val="22"/>
                <w:szCs w:val="22"/>
                <w:b w:val="1"/>
                <w:bCs w:val="1"/>
                <w:color w:val="auto"/>
                <w:w w:val="87"/>
                <w:vertAlign w:val="superscript"/>
              </w:rPr>
              <w:t>(1)</w:t>
            </w:r>
          </w:p>
        </w:tc>
      </w:tr>
      <w:tr>
        <w:trPr>
          <w:trHeight w:val="201"/>
        </w:trPr>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Independent directors</w:t>
            </w:r>
          </w:p>
        </w:tc>
        <w:tc>
          <w:tcPr>
            <w:tcW w:w="374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r>
              <w:rPr>
                <w:rFonts w:ascii="Arial" w:cs="Arial" w:eastAsia="Arial" w:hAnsi="Arial"/>
                <w:sz w:val="11"/>
                <w:szCs w:val="11"/>
                <w:color w:val="auto"/>
                <w:w w:val="88"/>
              </w:rPr>
              <w:t>(2)</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Over $1,000,000</w:t>
            </w:r>
            <w:r>
              <w:rPr>
                <w:rFonts w:ascii="Arial" w:cs="Arial" w:eastAsia="Arial" w:hAnsi="Arial"/>
                <w:sz w:val="11"/>
                <w:szCs w:val="11"/>
                <w:color w:val="auto"/>
                <w:w w:val="89"/>
              </w:rPr>
              <w:t>(3)</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 who is not a director</w:t>
            </w:r>
          </w:p>
        </w:tc>
        <w:tc>
          <w:tcPr>
            <w:tcW w:w="5360" w:type="dxa"/>
            <w:vAlign w:val="bottom"/>
          </w:tcPr>
          <w:p>
            <w:pPr>
              <w:spacing w:after="0"/>
              <w:rPr>
                <w:sz w:val="24"/>
                <w:szCs w:val="24"/>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Aviv Efrat</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31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Portfolio manager</w:t>
            </w:r>
          </w:p>
        </w:tc>
        <w:tc>
          <w:tcPr>
            <w:tcW w:w="5360" w:type="dxa"/>
            <w:vAlign w:val="bottom"/>
          </w:tcPr>
          <w:p>
            <w:pPr>
              <w:spacing w:after="0"/>
              <w:rPr>
                <w:sz w:val="24"/>
                <w:szCs w:val="2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 Whitridge Williams, Jr.</w:t>
            </w: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$100,001 - $500,000</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Jose A. Briones</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$50,001 -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Under the terms of our Investment Management Agreement, PennantPark Investment Advisers:</w:t>
      </w:r>
    </w:p>
    <w:p>
      <w:pPr>
        <w:spacing w:after="0" w:line="2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to other entities so long as its services to us are not impaired. The Investment Adviser has not yet undertaken any such services, but may do so at any time and without the prior approval of our stockholders or our board of directors.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“average adjusted gross assets”, if any). Although the base management fee is 2.00% of our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three months ended December 31, 2009 and 2008, the Investment Adviser earned a base management fees of $2.5 million and $1.8 million respectively. For the fiscal years ended September 30, 2009 and 2008, and for the period from January 11, 2007 (inception) through September 30, 2007, the Investment Adviser earned base management fees, after fee waiver, of $7.7 million, $6.7 million and $1.9 million, respectively.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3"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1" w:lineRule="exact"/>
        <w:rPr>
          <w:sz w:val="20"/>
          <w:szCs w:val="20"/>
          <w:color w:val="auto"/>
        </w:rPr>
      </w:pPr>
    </w:p>
    <w:p>
      <w:pPr>
        <w:ind w:right="160" w:firstLine="8"/>
        <w:spacing w:after="0" w:line="292"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8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58420</wp:posOffset>
            </wp:positionV>
            <wp:extent cx="2255520" cy="428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555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2009 and 2008, the Investment Adviser earned an incentive fee of $1.8 million and $1.4 million respectively, from us. For the fiscal years ended September 30, 2009 and 2008, the Investment Adviser earned an incentive fee of $5.7 million and $3.8 million, respectively, from us. For the period from April 24, 2007 (initial public offering) through September 30, 2007, the Investment Adviser did not receive an incentive fee from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net investment income does not exceed Hurdle; therefore there is no incentive fee.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05"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300" w:hanging="145"/>
        <w:spacing w:after="0"/>
        <w:tabs>
          <w:tab w:leader="none" w:pos="2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300" w:hanging="145"/>
        <w:spacing w:after="0"/>
        <w:tabs>
          <w:tab w:leader="none" w:pos="2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0.25%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Pre-Incentive Fee Net Investment Income</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20% x Pre-Incentive Fee Net Investment Income, subject to “catch-up”</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Catch-up = 2.1875% - 1.75%</w:t>
      </w:r>
    </w:p>
    <w:p>
      <w:pPr>
        <w:spacing w:after="0" w:line="90" w:lineRule="exact"/>
        <w:rPr>
          <w:sz w:val="20"/>
          <w:szCs w:val="20"/>
          <w:color w:val="auto"/>
        </w:rPr>
      </w:pPr>
    </w:p>
    <w:p>
      <w:pPr>
        <w:ind w:left="1040" w:hanging="137"/>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0.4375%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(100% x 0.4375%) + (20% x (2.3% - 2.1875%))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0" w:lineRule="exact"/>
        <w:rPr>
          <w:rFonts w:ascii="Arial" w:cs="Arial" w:eastAsia="Arial" w:hAnsi="Arial"/>
          <w:sz w:val="18"/>
          <w:szCs w:val="18"/>
          <w:color w:val="auto"/>
        </w:rPr>
      </w:pPr>
    </w:p>
    <w:p>
      <w:pPr>
        <w:ind w:left="1040" w:hanging="137"/>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0.46%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1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240" w:top="459" w:right="7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80" w:type="dxa"/>
            <w:vAlign w:val="bottom"/>
          </w:tcPr>
          <w:p>
            <w:pPr>
              <w:spacing w:after="0"/>
              <w:rPr>
                <w:sz w:val="20"/>
                <w:szCs w:val="20"/>
                <w:color w:val="auto"/>
              </w:rPr>
            </w:pPr>
            <w:r>
              <w:rPr>
                <w:rFonts w:ascii="Arial" w:cs="Arial" w:eastAsia="Arial" w:hAnsi="Arial"/>
                <w:sz w:val="18"/>
                <w:szCs w:val="18"/>
                <w:b w:val="1"/>
                <w:bCs w:val="1"/>
                <w:color w:val="auto"/>
              </w:rPr>
              <w:t>Management</w:t>
            </w:r>
          </w:p>
        </w:tc>
        <w:tc>
          <w:tcPr>
            <w:tcW w:w="1980" w:type="dxa"/>
            <w:vAlign w:val="bottom"/>
          </w:tcPr>
          <w:p>
            <w:pPr>
              <w:spacing w:after="0"/>
              <w:rPr>
                <w:sz w:val="19"/>
                <w:szCs w:val="19"/>
                <w:color w:val="auto"/>
              </w:rPr>
            </w:pPr>
          </w:p>
        </w:tc>
      </w:tr>
      <w:tr>
        <w:trPr>
          <w:trHeight w:val="291"/>
        </w:trPr>
        <w:tc>
          <w:tcPr>
            <w:tcW w:w="2580" w:type="dxa"/>
            <w:vAlign w:val="bottom"/>
          </w:tcPr>
          <w:p>
            <w:pPr>
              <w:ind w:left="460"/>
              <w:spacing w:after="0"/>
              <w:rPr>
                <w:sz w:val="20"/>
                <w:szCs w:val="20"/>
                <w:color w:val="auto"/>
              </w:rPr>
            </w:pPr>
            <w:r>
              <w:rPr>
                <w:rFonts w:ascii="Arial" w:cs="Arial" w:eastAsia="Arial" w:hAnsi="Arial"/>
                <w:sz w:val="18"/>
                <w:szCs w:val="18"/>
                <w:color w:val="auto"/>
              </w:rPr>
              <w:t>Year 1 incentive fee</w:t>
            </w:r>
          </w:p>
        </w:tc>
        <w:tc>
          <w:tcPr>
            <w:tcW w:w="1980" w:type="dxa"/>
            <w:vAlign w:val="bottom"/>
          </w:tcPr>
          <w:p>
            <w:pPr>
              <w:ind w:left="720"/>
              <w:spacing w:after="0"/>
              <w:rPr>
                <w:sz w:val="20"/>
                <w:szCs w:val="20"/>
                <w:color w:val="auto"/>
              </w:rPr>
            </w:pPr>
            <w:r>
              <w:rPr>
                <w:rFonts w:ascii="Arial" w:cs="Arial" w:eastAsia="Arial" w:hAnsi="Arial"/>
                <w:sz w:val="18"/>
                <w:szCs w:val="18"/>
                <w:color w:val="auto"/>
              </w:rPr>
              <w:t>= 20% x (0)</w:t>
            </w:r>
          </w:p>
        </w:tc>
      </w:tr>
      <w:tr>
        <w:trPr>
          <w:trHeight w:val="216"/>
        </w:trPr>
        <w:tc>
          <w:tcPr>
            <w:tcW w:w="2580" w:type="dxa"/>
            <w:vAlign w:val="bottom"/>
          </w:tcPr>
          <w:p>
            <w:pPr>
              <w:spacing w:after="0"/>
              <w:rPr>
                <w:sz w:val="18"/>
                <w:szCs w:val="18"/>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rPr>
              <w:t>= 0</w:t>
            </w:r>
          </w:p>
        </w:tc>
      </w:tr>
      <w:tr>
        <w:trPr>
          <w:trHeight w:val="222"/>
        </w:trPr>
        <w:tc>
          <w:tcPr>
            <w:tcW w:w="2580" w:type="dxa"/>
            <w:vAlign w:val="bottom"/>
          </w:tcPr>
          <w:p>
            <w:pPr>
              <w:spacing w:after="0"/>
              <w:rPr>
                <w:sz w:val="19"/>
                <w:szCs w:val="19"/>
                <w:color w:val="auto"/>
              </w:rPr>
            </w:pPr>
          </w:p>
        </w:tc>
        <w:tc>
          <w:tcPr>
            <w:tcW w:w="1980" w:type="dxa"/>
            <w:vAlign w:val="bottom"/>
          </w:tcPr>
          <w:p>
            <w:pPr>
              <w:ind w:left="720"/>
              <w:spacing w:after="0"/>
              <w:rPr>
                <w:sz w:val="20"/>
                <w:szCs w:val="20"/>
                <w:color w:val="auto"/>
              </w:rPr>
            </w:pPr>
            <w:r>
              <w:rPr>
                <w:rFonts w:ascii="Arial" w:cs="Arial" w:eastAsia="Arial" w:hAnsi="Arial"/>
                <w:sz w:val="18"/>
                <w:szCs w:val="18"/>
                <w:color w:val="auto"/>
                <w:w w:val="87"/>
              </w:rPr>
              <w:t>= no incentive fee</w:t>
            </w:r>
          </w:p>
        </w:tc>
      </w:tr>
    </w:tbl>
    <w:p>
      <w:pPr>
        <w:spacing w:after="0" w:line="61"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color w:val="auto"/>
        </w:rPr>
        <w:t>Year 2 incentive fee</w:t>
      </w:r>
      <w:r>
        <w:rPr>
          <w:sz w:val="20"/>
          <w:szCs w:val="20"/>
          <w:color w:val="auto"/>
        </w:rPr>
        <w:tab/>
      </w:r>
      <w:r>
        <w:rPr>
          <w:rFonts w:ascii="Arial" w:cs="Arial" w:eastAsia="Arial" w:hAnsi="Arial"/>
          <w:sz w:val="16"/>
          <w:szCs w:val="16"/>
          <w:color w:val="auto"/>
        </w:rPr>
        <w:t>= 20% x (6% - 1%)</w:t>
      </w:r>
    </w:p>
    <w:p>
      <w:pPr>
        <w:spacing w:after="0" w:line="15" w:lineRule="exact"/>
        <w:rPr>
          <w:sz w:val="20"/>
          <w:szCs w:val="20"/>
          <w:color w:val="auto"/>
        </w:rPr>
      </w:pPr>
    </w:p>
    <w:p>
      <w:pPr>
        <w:ind w:left="3440" w:hanging="137"/>
        <w:spacing w:after="0"/>
        <w:tabs>
          <w:tab w:leader="none" w:pos="34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440" w:hanging="137"/>
        <w:spacing w:after="0"/>
        <w:tabs>
          <w:tab w:leader="none" w:pos="34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76"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total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2010. Unless terminated earlier as described below, our Investment Management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Investment Management Agreement provides that, absent willful misfeasance, bad faith or gross negligence in the performance of its duties or by reason of the reckless disregard of its duties and obligations, PennantPark Investment Advisers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Advisers’ services under each respective agreement or otherwise as an investment adviser of PennantPark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For the three months ended December 31, 2009 and 2008, the Investment Adviser was reimbursed $0.3 million and $0.3 million, respectively, by PennantPark Investment, including expenses it incurred on behalf of the Administrator, for services described above. For the fiscal years ended September 30, 2009 and 2008, and for the period from January 11, 2007 (inception) through September 30, 2007, the Investment Adviser was reimbursed $1.7 million, $2.0 million and $0.5 million, respectively, by PennantPark Investment, including expenses it incurred on behalf of the Administrator for the services described above.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2010. Unless terminated earlier as described below, our Administration Agreement will continue in effect for a period of one year through February 2011.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PennantPark Investment Administration and its officers, managers, partners, agents, employees, controlling persons, members and any other person or entity affiliated with it are entitled to indemnification from PennantPark Investment for any damages, liabilities, costs and expenses (including reasonable attorneys’ fees and amounts reasonably paid in settlement) arising from the rendering of PennantPark Investment Administration’s services under our Administration Agreement or otherwise as Administrator for PennantPark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24, 2007, we sold 320,000 shares of common stock to our directors and officers, the Investment Adviser and the managers of the Investment Adviser at a price of $15.00 per share in a private placement. We received the full proceeds of this private placement, and no underwriting discounts or commissions were paid in respect of these shares. Under a registration rights agreement signed at the time of such private placement, the holders of these shares received registration rights that entitle them to make up to two demands on us to register their shares under the Securities Act. In addition, these stockholders have certain “piggy-back” registration rights that entitle them to include their shares in certain registration statements that we may file. We will bear the expenses incurred in connection with the filing of any such registration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All of our investments are recorded using broker/dealers quotes or at fair value as determined in good faith by our board of directors. Our board of directors generally uses market quotations to assess the value of our investments for which market quotations are readily available. We obtain these market values from an independent pricing service or at the bid prices, if available, obtained from at least two broker/dealers, or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Debt and equity investments that are not publicly traded or whose market prices are not readily available are valued at fair value as determined in good faith by or under the direction of our board of directors. Such determination of fair values involves subjective judgments and estimates. Investments, of sufficient credit quality, purchased within 60 days of maturity are valued at cost plus accreted discount, or minus amortized premium, which approximates value. With respect to unquoted securities, our board of directors, in consultation with independent third party valuation firms, values each investment considering, among other measures, discounted cash flow models, comparisons of financial ratios of peer companies that are public and other factors.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When an external event such as a purchase transaction, public offering or subsequent equity sale occurs in connection with one of our portfolio companies, our board of directors uses the pricing indicated by the external event to corroborate and/or assist us in our valuation of our investment in such portfolio company. Because there are not always readily available markets for most of the investments in our portfolio, we value certain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460" w:right="10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460" w:right="12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It is possible that future events unforeseen by us or our Investment Adviser, such as a disturbance in the global credit markets, a severe decline in the value of the U.S. dollar, a sharp economic downturn or other general market disturbance, will negatively impact the market for leveraged finance instruments. If the market for our investments is substantially eroded, we may not find purchasers for our portfolio securities at all, or we may be able to sell them only for a fraction of their previously recorded value. During such times, our board of directors, in conjunction with our Investment Adviser and one or more independent valuation firms will continue to determine the fair value of our investments in accordance with our valuation process enumerated above. They will take into account the applicable market conditions, the nature and realizable value of any collateral, the portfolio company’s ability to make payments, its earnings and cash flows, the markets in which the portfolio company does business, comparison to publicly traded companies and other relevant factors. Determining fair value requires that judgment be applied to the specific facts and circumstances of each portfolio investment while employing a consistently applied valuation process for the types of investments we make.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(stockholders have provided such consent on February 2, 2010 for a 12-month period), and our board of directors decides that such an offering is in the best interest of our common stockholders and we may undertake such an offering. For more information, see “Sales Of Common Stock Below Net Asset Value.”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NASDAQ Global Select Market on the valuation date for such distribution. Market price per share on that date will be the closing price for such shares on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31, 2009 our authorized capital stock consisted of 100,000,000 shares of stock, par value $0.001 per share, all of which is classified as common stock. Our common stock is quoted on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February 17, 2010 was $10.10 per share. As of December 31, 2009, we had 16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December 31,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Amount Held by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Amount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56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61"/>
        </w:trPr>
        <w:tc>
          <w:tcPr>
            <w:tcW w:w="766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Authorized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c>
          <w:tcPr>
            <w:tcW w:w="5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144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7"/>
              </w:rPr>
              <w:t>100,000,000</w:t>
            </w:r>
          </w:p>
        </w:tc>
        <w:tc>
          <w:tcPr>
            <w:tcW w:w="9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7"/>
              </w:rPr>
              <w:t>—</w:t>
            </w:r>
          </w:p>
        </w:tc>
        <w:tc>
          <w:tcPr>
            <w:tcW w:w="136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6"/>
              </w:rPr>
              <w:t>25,808,772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provision which eliminates directors’ and officers’ liability to the maximum extent permitted by Maryland law, subject to the requirements of the 1940 Act.</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2011,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59"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325"/>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will be quarterly and for any auction rate preferred stock, or ARPS, will be weekly or monthly and subject to extension. With respect to ARPS, we expect the dividend rate to be variable and determined for each dividend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 See “Description of our Debt Securities—Additional Information” for information on how to obtain a copy of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325"/>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business development company,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5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w:t>
      </w:r>
    </w:p>
    <w:p>
      <w:pPr>
        <w:spacing w:after="0" w:line="4" w:lineRule="exact"/>
        <w:rPr>
          <w:rFonts w:ascii="Arial" w:cs="Arial" w:eastAsia="Arial" w:hAnsi="Arial"/>
          <w:sz w:val="16"/>
          <w:szCs w:val="16"/>
          <w:color w:val="auto"/>
        </w:rPr>
      </w:pPr>
    </w:p>
    <w:p>
      <w:pPr>
        <w:ind w:left="900" w:right="120" w:hanging="325"/>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Securities—Holders of Registered Debt Securities”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325"/>
        <w:spacing w:after="0" w:line="294"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13" w:lineRule="exact"/>
        <w:rPr>
          <w:rFonts w:ascii="Arial" w:cs="Arial" w:eastAsia="Arial" w:hAnsi="Arial"/>
          <w:sz w:val="16"/>
          <w:szCs w:val="16"/>
          <w:color w:val="auto"/>
        </w:rPr>
      </w:pPr>
    </w:p>
    <w:p>
      <w:pPr>
        <w:ind w:left="900" w:right="300" w:hanging="325"/>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7"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00"/>
          </w:cols>
          <w:pgMar w:left="24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covenant defeasance have been complied with.</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right="40" w:hanging="325"/>
        <w:spacing w:after="0" w:line="318"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Investment Company Act of 1940, as amended, and a legal opinion and officers’ certificate stating that all conditions precedent to defeasance have been complied with.</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459" w:right="2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325"/>
        <w:spacing w:after="0" w:line="256"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Bank of New York Mellon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business development company under the 1940 Act, which has qualified and intends to continue to qualify to maintain an election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460" w:right="220" w:firstLine="443"/>
        <w:spacing w:after="0" w:line="284"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1940 Act to include any issuer which:</w:t>
      </w:r>
    </w:p>
    <w:p>
      <w:pPr>
        <w:spacing w:after="0" w:line="83" w:lineRule="exact"/>
        <w:rPr>
          <w:rFonts w:ascii="Arial" w:cs="Arial" w:eastAsia="Arial" w:hAnsi="Arial"/>
          <w:sz w:val="16"/>
          <w:szCs w:val="16"/>
          <w:color w:val="auto"/>
        </w:rPr>
      </w:pPr>
    </w:p>
    <w:p>
      <w:pPr>
        <w:ind w:left="1580" w:hanging="239"/>
        <w:spacing w:after="0"/>
        <w:tabs>
          <w:tab w:leader="none" w:pos="15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920" w:right="60" w:firstLine="421"/>
        <w:spacing w:after="0" w:line="357" w:lineRule="auto"/>
        <w:tabs>
          <w:tab w:leader="none" w:pos="1588" w:val="left"/>
        </w:tabs>
        <w:numPr>
          <w:ilvl w:val="1"/>
          <w:numId w:val="78"/>
        </w:numPr>
        <w:rPr>
          <w:rFonts w:ascii="Arial" w:cs="Arial" w:eastAsia="Arial" w:hAnsi="Arial"/>
          <w:sz w:val="15"/>
          <w:szCs w:val="15"/>
          <w:color w:val="auto"/>
        </w:rPr>
      </w:pPr>
      <w:r>
        <w:rPr>
          <w:rFonts w:ascii="Arial" w:cs="Arial" w:eastAsia="Arial" w:hAnsi="Arial"/>
          <w:sz w:val="15"/>
          <w:szCs w:val="15"/>
          <w:color w:val="auto"/>
        </w:rPr>
        <w:t>is not an investment company (other than a small business investment company wholly owned by the business development company) or a company that would be an investment company but is excluded from the definition of an investment company by Section 3(c) of the 1940 Act; and</w:t>
      </w:r>
    </w:p>
    <w:p>
      <w:pPr>
        <w:ind w:left="920" w:right="60" w:firstLine="421"/>
        <w:spacing w:after="0" w:line="259" w:lineRule="auto"/>
        <w:tabs>
          <w:tab w:leader="none" w:pos="1579" w:val="left"/>
        </w:tabs>
        <w:numPr>
          <w:ilvl w:val="1"/>
          <w:numId w:val="78"/>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the us which has an affiliated person who is a director of such portfolio company.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jc w:val="both"/>
        <w:ind w:left="460" w:right="140" w:firstLine="443"/>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 thereto, if such issuer is in bankruptcy and subject to reorganization or if the issuer, immediately prior to the purchase of its securities was unable to meet 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obligations as they came due without material assistance other than conventional lending or financing arrangements.</w:t>
      </w:r>
    </w:p>
    <w:p>
      <w:pPr>
        <w:spacing w:after="0" w:line="90" w:lineRule="exact"/>
        <w:rPr>
          <w:sz w:val="20"/>
          <w:szCs w:val="20"/>
          <w:color w:val="auto"/>
        </w:rPr>
      </w:pPr>
    </w:p>
    <w:p>
      <w:pPr>
        <w:ind w:left="460" w:right="12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the business development company, must either control the issuer of the securities or must offer to make available to the issuer of the securities significant managerial assistance. However, if a business development company purchases such securities in conjunction with one or more other persons acting together, one of the other persons in the group may make available such managerial assistance. Making available managerial assistance means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See “Material U.S. Federal Income Tax Considerations—Election to be Taxed as a RIC.”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amounts up to 5% of the value of our total assets for temporary or emergency purposes without regard to asset coverage. For a discussion of the risks associated with leverage, see “Risk Factors—Risks relating to our business and structure—Regulations governing our operation as a business development company will affect our ability to, and the way in which we, raise additional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PennantPark Investment Advisers have each adopted a joint code of ethics pursuant to Rule 17j-1 under the 1940 Act that establishes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joint code’s requirements. Our joint code of ethics is available, free of charge, on our website at www.pennantpark.com.You may read and copy the joint code of ethics at the SEC’s Public Reference Room in Washington, D.C. You may obtain information on the operation of the Public Reference Room by calling the SEC at (202) 551-8090. In addition, the joint code of ethics is referenced as an exhibit to this registration statement and is available on the EDGAR Database on the SEC’s Internet site at http://</w:t>
      </w:r>
      <w:r>
        <w:rPr>
          <w:rFonts w:ascii="Arial" w:cs="Arial" w:eastAsia="Arial" w:hAnsi="Arial"/>
          <w:sz w:val="16"/>
          <w:szCs w:val="16"/>
          <w:u w:val="single" w:color="auto"/>
          <w:color w:val="auto"/>
        </w:rPr>
        <w:t>www.sec.gov</w:t>
      </w:r>
      <w:r>
        <w:rPr>
          <w:rFonts w:ascii="Arial" w:cs="Arial" w:eastAsia="Arial" w:hAnsi="Arial"/>
          <w:sz w:val="16"/>
          <w:szCs w:val="16"/>
          <w:color w:val="auto"/>
        </w:rPr>
        <w:t>. You may also obtain copies of the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privacy policy is available, free of charge, on our website at www.pennantpark.com. In addition, the privacy policy is available on the EDGAR Database on the SEC’s Internet site at www.sec.gov. You may also obtain copies of our privacy policy, after paying a duplicating fee, by electronic request at the following Email address: publicinfo@sec.gov, or by writing the SEC’s Public Reference Section, 100 F Street, N.E., 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business development company,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Sarbanes-Oxley Act of 2002 imposes several regulatory requirements on publicly held companies and their insiders. Many of these requirements affect us. For example:</w:t>
      </w:r>
    </w:p>
    <w:p>
      <w:pPr>
        <w:spacing w:after="0" w:line="51" w:lineRule="exact"/>
        <w:rPr>
          <w:sz w:val="20"/>
          <w:szCs w:val="20"/>
          <w:color w:val="auto"/>
        </w:rPr>
      </w:pPr>
    </w:p>
    <w:p>
      <w:pPr>
        <w:ind w:left="900" w:right="38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 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71"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For a short period ending April 30, 2007, we were not a RIC and were subject to corporate-level income tax. To maintain RIC tax benefits, we must, among other requirements, meet certain source-of-income and quarterly asset diversification requirements (as described below). We also must meet the Annual Distribution Requirement. Although not required for us to maintain our RIC tax status, in order to preclude the imposition of a 4% nondeductible federal excise tax imposed on RICs, we may make distributions to satisfy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 an election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900" w:right="260" w:hanging="325"/>
        <w:spacing w:after="0" w:line="306"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are expected, except as provided below,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AGENT AND TRUSTEE</w:t>
      </w:r>
    </w:p>
    <w:p>
      <w:pPr>
        <w:spacing w:after="0" w:line="17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PNC Global Investment Servicing, Inc., a subsidiary of The PNC Financial Services Group, Inc., provides administrative and accounting services to us under a sub-administration and accounting services agreement. PFPC Trust Company, a subsidiary of The PNC Financial Services Group, Inc., provides custodian services to us pursuant to a custodian services agreement. American Stock Transfer &amp; Trust Company acts as our transfer agent, distribution paying agent and registrar. The principal business address of American Stock Transfer &amp; Trust Company is P.O. Box 922, Wall Street Station, New York, New York 10269, telephone number: (800) 937-5449. Bank of New York Mellon may also serve as trustee for offerings of our debt securities.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legal matters regarding the securities offered by this prospectus will be passed upon for PennantPark Investment by Dechert LLP, Washington, D.C.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by Venable LLP, as special Maryland counsel.</w:t>
      </w:r>
    </w:p>
    <w:p>
      <w:pPr>
        <w:spacing w:after="0" w:line="3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committed to maintaining the privacy of securityholders and to safeguarding our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securityholders, although certain nonpublic personal information of our stockholders may become available to us. We do not disclose any nonpublic personal information about our securityholders or former securityholders to anyone, except as permitted by law or as is necessary in order to service securityholders accounts (for example, to a transfer agent or third party administrator).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restrict access to nonpublic personal information about our securityholders to our Investment Adviser’s employees with a legitimate business need for the information. We maintain physical, electronic and procedural safeguards designed to protect the nonpublic personal information of our securityholders.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780" w:type="dxa"/>
            <w:vAlign w:val="bottom"/>
            <w:gridSpan w:val="14"/>
          </w:tcPr>
          <w:p>
            <w:pPr>
              <w:jc w:val="center"/>
              <w:ind w:right="3580"/>
              <w:spacing w:after="0"/>
              <w:rPr>
                <w:sz w:val="20"/>
                <w:szCs w:val="20"/>
                <w:color w:val="auto"/>
              </w:rPr>
            </w:pPr>
            <w:r>
              <w:rPr>
                <w:rFonts w:ascii="Arial" w:cs="Arial" w:eastAsia="Arial" w:hAnsi="Arial"/>
                <w:sz w:val="18"/>
                <w:szCs w:val="18"/>
                <w:b w:val="1"/>
                <w:bCs w:val="1"/>
                <w:color w:val="auto"/>
                <w:w w:val="99"/>
              </w:rPr>
              <w:t>INDEX TO FINANCIAL STATEMENTS</w:t>
            </w:r>
          </w:p>
        </w:tc>
        <w:tc>
          <w:tcPr>
            <w:tcW w:w="520" w:type="dxa"/>
            <w:vAlign w:val="bottom"/>
          </w:tcPr>
          <w:p>
            <w:pPr>
              <w:spacing w:after="0"/>
              <w:rPr>
                <w:sz w:val="19"/>
                <w:szCs w:val="19"/>
                <w:color w:val="auto"/>
              </w:rPr>
            </w:pPr>
          </w:p>
        </w:tc>
      </w:tr>
      <w:tr>
        <w:trPr>
          <w:trHeight w:val="419"/>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520" w:type="dxa"/>
            <w:vAlign w:val="bottom"/>
          </w:tcPr>
          <w:p>
            <w:pPr>
              <w:spacing w:after="0"/>
              <w:rPr>
                <w:sz w:val="24"/>
                <w:szCs w:val="24"/>
                <w:color w:val="auto"/>
              </w:rPr>
            </w:pPr>
          </w:p>
        </w:tc>
      </w:tr>
      <w:tr>
        <w:trPr>
          <w:trHeight w:val="324"/>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Annual Financial Statements</w:t>
            </w:r>
          </w:p>
        </w:tc>
        <w:tc>
          <w:tcPr>
            <w:tcW w:w="5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32">
              <w:r>
                <w:rPr>
                  <w:rFonts w:ascii="Arial" w:cs="Arial" w:eastAsia="Arial" w:hAnsi="Arial"/>
                  <w:sz w:val="18"/>
                  <w:szCs w:val="18"/>
                  <w:color w:val="0000EE"/>
                  <w:w w:val="89"/>
                </w:rPr>
                <w:t>Management’s Report on Internal Control over Financial Reporting</w:t>
              </w:r>
            </w:hyperlink>
          </w:p>
        </w:tc>
        <w:tc>
          <w:tcPr>
            <w:tcW w:w="614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 On Internal Control Over Financial Reporting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50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135">
              <w:r>
                <w:rPr>
                  <w:rFonts w:ascii="Arial" w:cs="Arial" w:eastAsia="Arial" w:hAnsi="Arial"/>
                  <w:sz w:val="18"/>
                  <w:szCs w:val="18"/>
                  <w:color w:val="0000EE"/>
                  <w:w w:val="87"/>
                </w:rPr>
                <w:t>Statements of Assets and Liabilities as of September 30, 2009 and 2008</w:t>
              </w:r>
            </w:hyperlink>
          </w:p>
        </w:tc>
        <w:tc>
          <w:tcPr>
            <w:tcW w:w="2320" w:type="dxa"/>
            <w:vAlign w:val="bottom"/>
            <w:tcBorders>
              <w:top w:val="single" w:sz="8" w:color="0000EE"/>
            </w:tcBorders>
            <w:gridSpan w:val="7"/>
          </w:tcPr>
          <w:p>
            <w:pPr>
              <w:spacing w:after="0"/>
              <w:rPr>
                <w:sz w:val="24"/>
                <w:szCs w:val="24"/>
                <w:color w:val="auto"/>
              </w:rPr>
            </w:pPr>
          </w:p>
        </w:tc>
        <w:tc>
          <w:tcPr>
            <w:tcW w:w="35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3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136">
              <w:r>
                <w:rPr>
                  <w:rFonts w:ascii="Arial" w:cs="Arial" w:eastAsia="Arial" w:hAnsi="Arial"/>
                  <w:sz w:val="18"/>
                  <w:szCs w:val="18"/>
                  <w:color w:val="0000EE"/>
                  <w:w w:val="87"/>
                </w:rPr>
                <w:t>Statements of Operations for the years ended September 30, 2009, 2008 and Consolidated Statement of Operations for the period from January 11,</w:t>
              </w:r>
            </w:hyperlink>
          </w:p>
        </w:tc>
        <w:tc>
          <w:tcPr>
            <w:tcW w:w="54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36">
              <w:r>
                <w:rPr>
                  <w:rFonts w:ascii="Arial" w:cs="Arial" w:eastAsia="Arial" w:hAnsi="Arial"/>
                  <w:sz w:val="18"/>
                  <w:szCs w:val="18"/>
                  <w:color w:val="0000EE"/>
                  <w:w w:val="88"/>
                </w:rPr>
                <w:t>2007 (inception) through September 30, 2007</w:t>
              </w:r>
            </w:hyperlink>
          </w:p>
        </w:tc>
        <w:tc>
          <w:tcPr>
            <w:tcW w:w="746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304"/>
        </w:trPr>
        <w:tc>
          <w:tcPr>
            <w:tcW w:w="10900" w:type="dxa"/>
            <w:vAlign w:val="bottom"/>
            <w:gridSpan w:val="20"/>
          </w:tcPr>
          <w:p>
            <w:pPr>
              <w:spacing w:after="0"/>
              <w:rPr>
                <w:rFonts w:ascii="Arial" w:cs="Arial" w:eastAsia="Arial" w:hAnsi="Arial"/>
                <w:sz w:val="18"/>
                <w:szCs w:val="18"/>
                <w:color w:val="0000EE"/>
                <w:w w:val="88"/>
              </w:rPr>
            </w:pPr>
            <w:hyperlink w:anchor="page137">
              <w:r>
                <w:rPr>
                  <w:rFonts w:ascii="Arial" w:cs="Arial" w:eastAsia="Arial" w:hAnsi="Arial"/>
                  <w:sz w:val="18"/>
                  <w:szCs w:val="18"/>
                  <w:color w:val="0000EE"/>
                  <w:w w:val="88"/>
                </w:rPr>
                <w:t>Statements of Changes in Net Assets for the years ended September 30, 2009, 2008 and Consolidated Statement of Changes in Net Assets for the period</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from January 11, 2007 (inception) through September 30, 2007</w:t>
              </w:r>
            </w:hyperlink>
          </w:p>
        </w:tc>
        <w:tc>
          <w:tcPr>
            <w:tcW w:w="20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900" w:type="dxa"/>
            <w:vAlign w:val="bottom"/>
            <w:gridSpan w:val="20"/>
          </w:tcPr>
          <w:p>
            <w:pPr>
              <w:spacing w:after="0"/>
              <w:rPr>
                <w:rFonts w:ascii="Arial" w:cs="Arial" w:eastAsia="Arial" w:hAnsi="Arial"/>
                <w:sz w:val="18"/>
                <w:szCs w:val="18"/>
                <w:color w:val="0000EE"/>
                <w:w w:val="91"/>
              </w:rPr>
            </w:pPr>
            <w:hyperlink w:anchor="page138">
              <w:r>
                <w:rPr>
                  <w:rFonts w:ascii="Arial" w:cs="Arial" w:eastAsia="Arial" w:hAnsi="Arial"/>
                  <w:sz w:val="18"/>
                  <w:szCs w:val="18"/>
                  <w:color w:val="0000EE"/>
                  <w:w w:val="91"/>
                </w:rPr>
                <w:t>Statements of Cash Flows for the years ended September 30, 2009, 2008 and Consolidated Statement of Cash Flows for the period from January 11,</w:t>
              </w:r>
            </w:hyperlink>
          </w:p>
        </w:tc>
        <w:tc>
          <w:tcPr>
            <w:tcW w:w="5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32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2007 (inception) through September 30, 2007</w:t>
              </w:r>
            </w:hyperlink>
          </w:p>
        </w:tc>
        <w:tc>
          <w:tcPr>
            <w:tcW w:w="7020" w:type="dxa"/>
            <w:vAlign w:val="bottom"/>
            <w:tcBorders>
              <w:top w:val="single" w:sz="8" w:color="0000EE"/>
            </w:tcBorders>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Schedules of Investments as of September 30, 2009 and September 30,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2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45">
              <w:r>
                <w:rPr>
                  <w:rFonts w:ascii="Arial" w:cs="Arial" w:eastAsia="Arial" w:hAnsi="Arial"/>
                  <w:sz w:val="18"/>
                  <w:szCs w:val="18"/>
                  <w:color w:val="0000EE"/>
                  <w:w w:val="87"/>
                </w:rPr>
                <w:t>Notes to Financial Statements</w:t>
              </w:r>
            </w:hyperlink>
          </w:p>
        </w:tc>
        <w:tc>
          <w:tcPr>
            <w:tcW w:w="3260" w:type="dxa"/>
            <w:vAlign w:val="bottom"/>
            <w:tcBorders>
              <w:top w:val="single" w:sz="8" w:color="0000EE"/>
            </w:tcBorders>
            <w:gridSpan w:val="6"/>
          </w:tcPr>
          <w:p>
            <w:pPr>
              <w:spacing w:after="0"/>
              <w:rPr>
                <w:sz w:val="24"/>
                <w:szCs w:val="24"/>
                <w:color w:val="auto"/>
              </w:rPr>
            </w:pPr>
          </w:p>
        </w:tc>
        <w:tc>
          <w:tcPr>
            <w:tcW w:w="5520" w:type="dxa"/>
            <w:vAlign w:val="bottom"/>
            <w:gridSpan w:val="10"/>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43"/>
        </w:trPr>
        <w:tc>
          <w:tcPr>
            <w:tcW w:w="10900" w:type="dxa"/>
            <w:vAlign w:val="bottom"/>
            <w:gridSpan w:val="20"/>
          </w:tcPr>
          <w:p>
            <w:pPr>
              <w:spacing w:after="0"/>
              <w:rPr>
                <w:sz w:val="20"/>
                <w:szCs w:val="20"/>
                <w:color w:val="auto"/>
              </w:rPr>
            </w:pPr>
            <w:r>
              <w:rPr>
                <w:rFonts w:ascii="Arial" w:cs="Arial" w:eastAsia="Arial" w:hAnsi="Arial"/>
                <w:sz w:val="18"/>
                <w:szCs w:val="18"/>
                <w:b w:val="1"/>
                <w:bCs w:val="1"/>
                <w:color w:val="auto"/>
              </w:rPr>
              <w:t>Interim Financial Statements</w:t>
            </w:r>
          </w:p>
        </w:tc>
        <w:tc>
          <w:tcPr>
            <w:tcW w:w="520" w:type="dxa"/>
            <w:vAlign w:val="bottom"/>
          </w:tcPr>
          <w:p>
            <w:pPr>
              <w:spacing w:after="0"/>
              <w:rPr>
                <w:sz w:val="24"/>
                <w:szCs w:val="24"/>
                <w:color w:val="auto"/>
              </w:rPr>
            </w:pPr>
          </w:p>
        </w:tc>
      </w:tr>
      <w:tr>
        <w:trPr>
          <w:trHeight w:val="286"/>
        </w:trPr>
        <w:tc>
          <w:tcPr>
            <w:tcW w:w="10900" w:type="dxa"/>
            <w:vAlign w:val="bottom"/>
            <w:gridSpan w:val="20"/>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69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Statements of Assets and Liabilities as of December 31, 2009 (unaudited) and September 30, 2009</w:t>
              </w:r>
            </w:hyperlink>
          </w:p>
        </w:tc>
        <w:tc>
          <w:tcPr>
            <w:tcW w:w="396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04"/>
        </w:trPr>
        <w:tc>
          <w:tcPr>
            <w:tcW w:w="66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62">
              <w:r>
                <w:rPr>
                  <w:rFonts w:ascii="Arial" w:cs="Arial" w:eastAsia="Arial" w:hAnsi="Arial"/>
                  <w:sz w:val="18"/>
                  <w:szCs w:val="18"/>
                  <w:color w:val="0000EE"/>
                  <w:w w:val="87"/>
                </w:rPr>
                <w:t>Statements of Operations for the three months ended December 31, 2009 and 2008 (unaudited)</w:t>
              </w:r>
            </w:hyperlink>
          </w:p>
        </w:tc>
        <w:tc>
          <w:tcPr>
            <w:tcW w:w="422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04"/>
        </w:trPr>
        <w:tc>
          <w:tcPr>
            <w:tcW w:w="66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163">
              <w:r>
                <w:rPr>
                  <w:rFonts w:ascii="Arial" w:cs="Arial" w:eastAsia="Arial" w:hAnsi="Arial"/>
                  <w:sz w:val="18"/>
                  <w:szCs w:val="18"/>
                  <w:color w:val="0000EE"/>
                  <w:w w:val="86"/>
                </w:rPr>
                <w:t>Statements of Changes in Net Assets for the three months ended December 31, 2009 and 2008</w:t>
              </w:r>
            </w:hyperlink>
          </w:p>
        </w:tc>
        <w:tc>
          <w:tcPr>
            <w:tcW w:w="42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63">
              <w:r>
                <w:rPr>
                  <w:rFonts w:ascii="Arial" w:cs="Arial" w:eastAsia="Arial" w:hAnsi="Arial"/>
                  <w:sz w:val="18"/>
                  <w:szCs w:val="18"/>
                  <w:color w:val="0000EE"/>
                  <w:w w:val="87"/>
                </w:rPr>
                <w:t>(unaudited)</w:t>
              </w:r>
            </w:hyperlink>
          </w:p>
        </w:tc>
        <w:tc>
          <w:tcPr>
            <w:tcW w:w="98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F-33</w:t>
            </w:r>
          </w:p>
        </w:tc>
      </w:tr>
      <w:tr>
        <w:trPr>
          <w:trHeight w:val="304"/>
        </w:trPr>
        <w:tc>
          <w:tcPr>
            <w:tcW w:w="67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64">
              <w:r>
                <w:rPr>
                  <w:rFonts w:ascii="Arial" w:cs="Arial" w:eastAsia="Arial" w:hAnsi="Arial"/>
                  <w:sz w:val="18"/>
                  <w:szCs w:val="18"/>
                  <w:color w:val="0000EE"/>
                  <w:w w:val="87"/>
                </w:rPr>
                <w:t>Statements of Cash Flows for the three months ended December 31, 2009 and 2008 (unaudited)</w:t>
              </w:r>
            </w:hyperlink>
          </w:p>
        </w:tc>
        <w:tc>
          <w:tcPr>
            <w:tcW w:w="416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04"/>
        </w:trPr>
        <w:tc>
          <w:tcPr>
            <w:tcW w:w="10900" w:type="dxa"/>
            <w:vAlign w:val="bottom"/>
            <w:gridSpan w:val="20"/>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Schedules of Investments as of December 31, 2009 (unaudited) and September 30, 2009</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304"/>
        </w:trPr>
        <w:tc>
          <w:tcPr>
            <w:tcW w:w="6200" w:type="dxa"/>
            <w:vAlign w:val="bottom"/>
            <w:tcBorders>
              <w:top w:val="single" w:sz="8" w:color="0000EE"/>
            </w:tcBorders>
            <w:gridSpan w:val="11"/>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Notes to Financial Statements</w:t>
              </w:r>
            </w:hyperlink>
          </w:p>
        </w:tc>
        <w:tc>
          <w:tcPr>
            <w:tcW w:w="470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F-41</w:t>
            </w:r>
          </w:p>
        </w:tc>
      </w:tr>
      <w:tr>
        <w:trPr>
          <w:trHeight w:val="383"/>
        </w:trPr>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20" w:type="dxa"/>
            <w:vAlign w:val="bottom"/>
            <w:gridSpan w:val="10"/>
          </w:tcPr>
          <w:p>
            <w:pPr>
              <w:jc w:val="center"/>
              <w:ind w:right="4840"/>
              <w:spacing w:after="0"/>
              <w:rPr>
                <w:sz w:val="20"/>
                <w:szCs w:val="20"/>
                <w:color w:val="auto"/>
              </w:rPr>
            </w:pPr>
            <w:r>
              <w:rPr>
                <w:rFonts w:ascii="Arial" w:cs="Arial" w:eastAsia="Arial" w:hAnsi="Arial"/>
                <w:sz w:val="18"/>
                <w:szCs w:val="18"/>
                <w:color w:val="auto"/>
                <w:w w:val="88"/>
              </w:rPr>
              <w:t>F-1</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PennantPark Investment’s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2009.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2009,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2009. This report appears on page F-4 of this registration statement.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audited the accompanying statements of assets and liabilities of PennantPark Investment Corporation (the “Company”) as of September 30, 2009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2008, including the schedules of investments, and the related statements of operations, changes in net assets, and cash flows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2008 and for the period from January 11, 2007 (inception) through September 30, 2007. These financial statements are the responsibility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management. Our responsibility is to express an opinion on these financial statements based on our audits.</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PennantPark Investment Corporation as of September 30, 2009 and 2008, and the results of its operations and its cash flows for the years ended September 30, 2009, 2008 and for the period from January 11, 2007 (inception) through September 30, 2007,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18, 2009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84"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We have audited PennantPark Investment Corporation’s (the “Company”) internal control over financial reporting as of September 30, 2009,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F-2 of this Registration Statement—Management’s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In our opinion, PennantPark Investment Corporation maintained, in all material respects, effective internal control over financial reporting as of September 30, 2009,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as of September 30, 2009 and 2008, including the schedules of investments, and the related statements of operations, changes in net assets, and cash flows for the years ended September 30, 2009, 2008 and for the period from January 11, 2007 (inception) through September 30, 2007, and our report dated November 18, 2009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Non-controlled, non-affiliated investments, at fair value (cost—$479,909,805 and $427,481,745, 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453,644,335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354,261,950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Non-controlled, affiliated investments, at fair value (cost—$17,378,081 and $16,692,261, respectively)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16,115,738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17,885,870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at fair value (cost—$497,287,886 and $444,174,006, respectively)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469,760,073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33,247,666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40,249,201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5,539,056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Receivables for investments sold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Distributions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5,056,505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19,489,525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Unfunded investments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(fair value: $175,475,380 and $160,204,000, respectively, and cost: $225,100,000 and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$202,000,000, respectively), (See Notes 5 and 11)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175,475,380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202,000,000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(See Note 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2,220,110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1,508,164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tcPr>
          <w:p>
            <w:pPr>
              <w:ind w:left="4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211,801,101</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209,082,439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w w:val="88"/>
              </w:rPr>
              <w:t>Common stock, par value $0.001 per share, 100,000,000 shares authorized and 25,368,772 and 21,068,772 shares issued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and outstanding,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25,369</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327,062,304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294,586,604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1,890,235</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(50,494,447)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(11,250,567)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investments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(27,527,813)</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(72,026,186)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 (See Note 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41,796,000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7,828,620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00" w:type="dxa"/>
            <w:vAlign w:val="bottom"/>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512,381,369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419,810,699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43,555,240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38,149,813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12,013,028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212,304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45,118,771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39,810,962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13,107,341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7,715,615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7,136,580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2,565,085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5,683,388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3,791,900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4,628,564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6,308,933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1,835,816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2,319,759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2,136,303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base management fee waiver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21,675,689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Base management fee waiver</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(420,731)</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(641,273)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22,399,856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21,254,958</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5,802,845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22,718,915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18,556,004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w w:val="98"/>
              </w:rPr>
              <w:t>Realized and unrealized gain (loss) on investments, cash equivalents and credit facility:</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(39,243,879)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(11,154,735)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and cash equivalents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46,954,325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(49,052,812)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(24,166,983)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(2,455,952)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948,604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(See Note 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52,326,993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(48,104,208)</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(23,921,978)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Net realized and unrealized gain (loss) from investments, cash equivalents and credit facility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13,083,114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(59,258,943)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(24,003,747)</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35,802,029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(40,702,939)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(16,699,251)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net assets resulting from operations per common share (See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net assets from operations: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18,556,004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7,304,496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(39,243,879)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(11,154,735)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w w:val="94"/>
              </w:rPr>
              <w:t>Net change in unrealized (appreciation) depreciation on investments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(48,104,208)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(23,921,978)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35,802,029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(40,702,939)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and distributions to stockholders: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capital</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dividends and distributions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(20,226,021)</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(18,961,895)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(7,573,814)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Issuance of shares of common stock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315,375,000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related to public share offerings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32,480,000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294,666,159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48,056,008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(59,664,834)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Beginning of period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210,728,260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270,393,094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41,796,000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40" w:type="dxa"/>
            <w:vAlign w:val="bottom"/>
            <w:gridSpan w:val="2"/>
          </w:tcPr>
          <w:p>
            <w:pPr>
              <w:spacing w:after="0"/>
              <w:rPr>
                <w:sz w:val="20"/>
                <w:szCs w:val="20"/>
                <w:color w:val="auto"/>
              </w:rPr>
            </w:pPr>
            <w:r>
              <w:rPr>
                <w:rFonts w:ascii="Arial" w:cs="Arial" w:eastAsia="Arial" w:hAnsi="Arial"/>
                <w:sz w:val="18"/>
                <w:szCs w:val="18"/>
                <w:color w:val="auto"/>
              </w:rPr>
              <w:t>Adjusted beginning of period balance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252,524,260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300,580,268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210,728,260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270,393,094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Undistributed (distributions in excess of) net investment income,</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at period end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1,890,235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(602,660)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(196,769)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Shares issued from subscriptions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increase in capital shares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35,802,029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(40,702,939)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(16,699,251)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9"/>
              </w:rPr>
              <w:t>Adjustments to reconcile net increase (decrease) in net assets resulting from operations to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used for operating activities: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w w:val="96"/>
              </w:rPr>
              <w:t>Net change in net unrealized (appreciation) depreciation on investments and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106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(44,498,373)</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48,104,208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23,921,978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(depreciation)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(7,828,620)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Net realized loss on investments and cash equivalents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11,154,735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(2,890,687)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(1,285,365)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(112,693,490)</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(206,790,979)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(413,972,173)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(4,729,590)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(2,434,562)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27,956,008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70,120,751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99,635,961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507,143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(1,528,349)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258,912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distributions payable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(Decrease) increase in payables for cash equivalents purchased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(252,759,931)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252,759,931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19,489,525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(16,583,921)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(decrease) in unfunded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6,331,385</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(3,989,948)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3,989,948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(652,529)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receivables for investments sold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(2,726,007)</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2,134,214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(288,585)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1,385,131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other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555,556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(42,355,514)</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(390,748,539)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(37,871,414)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34,400,000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315,375,000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(21,309,375)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Capitalized borrowing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(1,261,296)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and distributions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(20,226,021)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(18,961,895)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169,600,000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461,040,000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271,913,786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(146,500,000)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(269,040,000)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(261,913,786)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35,353,979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173,038,105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295,831,049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(7,001,535)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(217,710,434)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40,249,201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257,959,635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40,249,201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257,959,635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activity: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5,014,055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4,982,247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 consist of the reinvestment of dividends totaling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Basis Point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Spread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Above</w:t>
            </w:r>
          </w:p>
        </w:tc>
        <w:tc>
          <w:tcPr>
            <w:tcW w:w="680" w:type="dxa"/>
            <w:vAlign w:val="bottom"/>
          </w:tcPr>
          <w:p>
            <w:pPr>
              <w:jc w:val="right"/>
              <w:ind w:right="15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4"/>
              </w:rPr>
              <w:t>Fair Value</w:t>
            </w:r>
            <w:r>
              <w:rPr>
                <w:rFonts w:ascii="Arial" w:cs="Arial" w:eastAsia="Arial" w:hAnsi="Arial"/>
                <w:sz w:val="22"/>
                <w:szCs w:val="22"/>
                <w:b w:val="1"/>
                <w:bCs w:val="1"/>
                <w:color w:val="auto"/>
                <w:w w:val="84"/>
                <w:vertAlign w:val="superscript"/>
              </w:rPr>
              <w:t>(3)</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2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Companies—150.9%</w:t>
            </w:r>
            <w:r>
              <w:rPr>
                <w:rFonts w:ascii="Arial" w:cs="Arial" w:eastAsia="Arial" w:hAnsi="Arial"/>
                <w:sz w:val="16"/>
                <w:szCs w:val="16"/>
                <w:b w:val="1"/>
                <w:bCs w:val="1"/>
                <w:color w:val="auto"/>
                <w:vertAlign w:val="superscript"/>
              </w:rPr>
              <w:t>(1),(2)</w:t>
            </w: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Notes—50.6%</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03/01/2012</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8.27%</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04/17/2015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1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03/22/2014</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vMerge w:val="continue"/>
            <w:shd w:val="clear" w:color="auto" w:fill="CCEEFF"/>
          </w:tcPr>
          <w:p>
            <w:pPr>
              <w:spacing w:after="0"/>
              <w:rPr>
                <w:sz w:val="13"/>
                <w:szCs w:val="13"/>
                <w:color w:val="auto"/>
              </w:rPr>
            </w:pP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20,311,603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Digicel Limited</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06/06/2014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05/20/2012</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13.75%</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12/28/2015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04/15/2015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10/01/2016</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02/08/2015</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6.36%</w:t>
            </w:r>
          </w:p>
        </w:tc>
        <w:tc>
          <w:tcPr>
            <w:tcW w:w="10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L+600</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13,600,000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8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8"/>
              </w:rPr>
              <w:t>02/07/2015</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92"/>
              </w:rPr>
              <w:t>Energy/Utilities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7.44%</w:t>
            </w:r>
          </w:p>
        </w:tc>
        <w:tc>
          <w:tcPr>
            <w:tcW w:w="10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11,735,965</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11,364,000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04/30/2015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7.78%</w:t>
            </w:r>
          </w:p>
        </w:tc>
        <w:tc>
          <w:tcPr>
            <w:tcW w:w="102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L+750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03/01/2014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2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11/04/2014</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6.91%</w:t>
            </w:r>
            <w:r>
              <w:rPr>
                <w:rFonts w:ascii="Arial" w:cs="Arial" w:eastAsia="Arial" w:hAnsi="Arial"/>
                <w:sz w:val="17"/>
                <w:szCs w:val="17"/>
                <w:color w:val="auto"/>
                <w:vertAlign w:val="superscript"/>
              </w:rPr>
              <w:t>(7)</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L+650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10/15/2017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05/15/2015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8.19%</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L+775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05/15/2017</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8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11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6.00%</w:t>
            </w:r>
            <w:r>
              <w:rPr>
                <w:rFonts w:ascii="Arial" w:cs="Arial" w:eastAsia="Arial" w:hAnsi="Arial"/>
                <w:sz w:val="15"/>
                <w:szCs w:val="15"/>
                <w:color w:val="auto"/>
                <w:vertAlign w:val="superscript"/>
              </w:rPr>
              <w:t>(6)</w:t>
            </w:r>
          </w:p>
        </w:tc>
        <w:tc>
          <w:tcPr>
            <w:tcW w:w="102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4"/>
                <w:szCs w:val="14"/>
                <w:color w:val="auto"/>
              </w:rPr>
              <w:t>L+575</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12/15/2014</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7.25%</w:t>
            </w:r>
            <w:r>
              <w:rPr>
                <w:rFonts w:ascii="Arial" w:cs="Arial" w:eastAsia="Arial" w:hAnsi="Arial"/>
                <w:sz w:val="17"/>
                <w:szCs w:val="17"/>
                <w:color w:val="auto"/>
                <w:vertAlign w:val="superscript"/>
              </w:rPr>
              <w:t>(6)</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8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06/15/2015</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1"/>
                <w:szCs w:val="11"/>
                <w:color w:val="auto"/>
              </w:rPr>
              <w:t>7.04%</w:t>
            </w:r>
            <w:r>
              <w:rPr>
                <w:rFonts w:ascii="Arial" w:cs="Arial" w:eastAsia="Arial" w:hAnsi="Arial"/>
                <w:sz w:val="17"/>
                <w:szCs w:val="17"/>
                <w:color w:val="auto"/>
                <w:vertAlign w:val="superscript"/>
              </w:rPr>
              <w:t>(6)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L+675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—3.6%</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12.00%</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949,648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Insurance</w:t>
            </w:r>
          </w:p>
        </w:tc>
        <w:tc>
          <w:tcPr>
            <w:tcW w:w="1120" w:type="dxa"/>
            <w:vAlign w:val="bottom"/>
            <w:gridSpan w:val="3"/>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6.50%</w:t>
            </w: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0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tcPr>
          <w:p>
            <w:pPr>
              <w:jc w:val="center"/>
              <w:spacing w:after="0" w:line="159" w:lineRule="exact"/>
              <w:rPr>
                <w:sz w:val="20"/>
                <w:szCs w:val="20"/>
                <w:color w:val="auto"/>
              </w:rPr>
            </w:pPr>
            <w:r>
              <w:rPr>
                <w:rFonts w:ascii="Arial" w:cs="Arial" w:eastAsia="Arial" w:hAnsi="Arial"/>
                <w:sz w:val="14"/>
                <w:szCs w:val="14"/>
                <w:color w:val="auto"/>
                <w:w w:val="89"/>
              </w:rPr>
              <w:t>Oil and Gas</w:t>
            </w:r>
          </w:p>
        </w:tc>
        <w:tc>
          <w:tcPr>
            <w:tcW w:w="1120" w:type="dxa"/>
            <w:vAlign w:val="bottom"/>
            <w:gridSpan w:val="3"/>
          </w:tcPr>
          <w:p>
            <w:pPr>
              <w:jc w:val="right"/>
              <w:ind w:right="360"/>
              <w:spacing w:after="0" w:line="159" w:lineRule="exact"/>
              <w:rPr>
                <w:sz w:val="20"/>
                <w:szCs w:val="20"/>
                <w:color w:val="auto"/>
              </w:rPr>
            </w:pPr>
            <w:r>
              <w:rPr>
                <w:rFonts w:ascii="Arial" w:cs="Arial" w:eastAsia="Arial" w:hAnsi="Arial"/>
                <w:sz w:val="14"/>
                <w:szCs w:val="14"/>
                <w:color w:val="auto"/>
              </w:rPr>
              <w:t>8.00%</w:t>
            </w:r>
          </w:p>
        </w:tc>
        <w:tc>
          <w:tcPr>
            <w:tcW w:w="10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0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Basis Point</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0"/>
              </w:rPr>
              <w:t>Current</w:t>
            </w:r>
          </w:p>
        </w:tc>
        <w:tc>
          <w:tcPr>
            <w:tcW w:w="10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60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0"/>
              </w:rPr>
              <w:t>Fair Value</w:t>
            </w:r>
            <w:r>
              <w:rPr>
                <w:rFonts w:ascii="Arial" w:cs="Arial" w:eastAsia="Arial" w:hAnsi="Arial"/>
                <w:sz w:val="22"/>
                <w:szCs w:val="22"/>
                <w:b w:val="1"/>
                <w:bCs w:val="1"/>
                <w:color w:val="auto"/>
                <w:w w:val="80"/>
                <w:vertAlign w:val="superscript"/>
              </w:rPr>
              <w:t>(3)</w:t>
            </w:r>
          </w:p>
        </w:tc>
        <w:tc>
          <w:tcPr>
            <w:tcW w:w="0" w:type="dxa"/>
            <w:vAlign w:val="bottom"/>
          </w:tcPr>
          <w:p>
            <w:pPr>
              <w:spacing w:after="0"/>
              <w:rPr>
                <w:sz w:val="1"/>
                <w:szCs w:val="1"/>
                <w:color w:val="auto"/>
              </w:rPr>
            </w:pPr>
          </w:p>
        </w:tc>
      </w:tr>
      <w:tr>
        <w:trPr>
          <w:trHeight w:val="176"/>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Coupon</w:t>
            </w:r>
          </w:p>
        </w:tc>
        <w:tc>
          <w:tcPr>
            <w:tcW w:w="100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—4.5%</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7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3,005,163</w:t>
            </w:r>
          </w:p>
        </w:tc>
        <w:tc>
          <w:tcPr>
            <w:tcW w:w="240" w:type="dxa"/>
            <w:vAlign w:val="bottom"/>
          </w:tcPr>
          <w:p>
            <w:pPr>
              <w:ind w:left="18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8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6,696,281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2,391,463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7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3"/>
                <w:szCs w:val="13"/>
                <w:color w:val="auto"/>
              </w:rPr>
            </w:pPr>
          </w:p>
        </w:tc>
        <w:tc>
          <w:tcPr>
            <w:tcW w:w="94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1,656,350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7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11/06/2018</w:t>
            </w: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Debt—50.1%</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03/04/2015</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7.70%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P+295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05/28/2013</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2.57%</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10/01/2016</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11.63%</w:t>
            </w: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07/31/2016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12.38%</w:t>
            </w: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10,000,000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07/07/2012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P+775</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82"/>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2.49%</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04/15/2014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2.88%</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L+250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02/07/2014</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Home and Office</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2.53%</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 and</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Durable 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L+475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Lyondell Chemical Co.</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13.00%</w:t>
            </w: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2"/>
              </w:rPr>
              <w:t>12,668,615</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0"/>
                <w:szCs w:val="10"/>
                <w:color w:val="auto"/>
              </w:rPr>
              <w:t>Lyondell Chemical Co.</w:t>
            </w:r>
            <w:r>
              <w:rPr>
                <w:rFonts w:ascii="Arial" w:cs="Arial" w:eastAsia="Arial" w:hAnsi="Arial"/>
                <w:sz w:val="15"/>
                <w:szCs w:val="15"/>
                <w:color w:val="auto"/>
                <w:vertAlign w:val="superscript"/>
              </w:rPr>
              <w:t>(9)</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12/15/2009</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180" w:type="dxa"/>
            <w:vAlign w:val="bottom"/>
          </w:tcPr>
          <w:p>
            <w:pPr>
              <w:spacing w:after="0"/>
              <w:rPr>
                <w:sz w:val="11"/>
                <w:szCs w:val="11"/>
                <w:color w:val="auto"/>
              </w:rPr>
            </w:pPr>
          </w:p>
        </w:tc>
        <w:tc>
          <w:tcPr>
            <w:tcW w:w="940" w:type="dxa"/>
            <w:vAlign w:val="bottom"/>
            <w:gridSpan w:val="2"/>
          </w:tcPr>
          <w:p>
            <w:pPr>
              <w:jc w:val="right"/>
              <w:ind w:right="540"/>
              <w:spacing w:after="0" w:line="13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6,331,385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01/18/2014   Home and Office Furnishings,</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2.55%</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L+225</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03/28/2014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2.31%</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24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1"/>
              </w:rPr>
              <w:t>02/28/2013   Home and Office Furnishings,</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2.26%</w:t>
            </w:r>
          </w:p>
        </w:tc>
        <w:tc>
          <w:tcPr>
            <w:tcW w:w="1000" w:type="dxa"/>
            <w:vAlign w:val="bottom"/>
            <w:gridSpan w:val="2"/>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Housewares and Durable</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Consumer 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02/01/2013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2.73%</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L+225</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03/16/2014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2.25%</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05/04/2014</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1"/>
                <w:szCs w:val="11"/>
                <w:color w:val="auto"/>
              </w:rPr>
              <w:t>5.25%</w:t>
            </w:r>
            <w:r>
              <w:rPr>
                <w:rFonts w:ascii="Arial" w:cs="Arial" w:eastAsia="Arial" w:hAnsi="Arial"/>
                <w:sz w:val="17"/>
                <w:szCs w:val="17"/>
                <w:color w:val="auto"/>
                <w:vertAlign w:val="superscript"/>
              </w:rPr>
              <w:t>(7)</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06/30/2010</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4.50%</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L+425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Rexnord, L.L.C.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07/19/2013</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2.50%</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L+200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01/30/2014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5.95%</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L+550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Sugarhouse HSP Gaming Prop.</w:t>
            </w:r>
          </w:p>
        </w:tc>
        <w:tc>
          <w:tcPr>
            <w:tcW w:w="780" w:type="dxa"/>
            <w:vAlign w:val="bottom"/>
            <w:gridSpan w:val="2"/>
          </w:tcPr>
          <w:p>
            <w:pPr>
              <w:spacing w:after="0" w:line="138" w:lineRule="exact"/>
              <w:rPr>
                <w:sz w:val="20"/>
                <w:szCs w:val="20"/>
                <w:color w:val="auto"/>
              </w:rPr>
            </w:pPr>
            <w:r>
              <w:rPr>
                <w:rFonts w:ascii="Arial" w:cs="Arial" w:eastAsia="Arial" w:hAnsi="Arial"/>
                <w:sz w:val="14"/>
                <w:szCs w:val="14"/>
                <w:color w:val="auto"/>
              </w:rPr>
              <w:t>09/23/2014</w:t>
            </w:r>
          </w:p>
        </w:tc>
        <w:tc>
          <w:tcPr>
            <w:tcW w:w="1680" w:type="dxa"/>
            <w:vAlign w:val="bottom"/>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tcPr>
          <w:p>
            <w:pPr>
              <w:jc w:val="right"/>
              <w:ind w:right="360"/>
              <w:spacing w:after="0" w:line="138" w:lineRule="exact"/>
              <w:rPr>
                <w:sz w:val="20"/>
                <w:szCs w:val="20"/>
                <w:color w:val="auto"/>
              </w:rPr>
            </w:pPr>
            <w:r>
              <w:rPr>
                <w:rFonts w:ascii="Arial" w:cs="Arial" w:eastAsia="Arial" w:hAnsi="Arial"/>
                <w:sz w:val="14"/>
                <w:szCs w:val="14"/>
                <w:color w:val="auto"/>
              </w:rPr>
              <w:t>11.25%</w:t>
            </w:r>
          </w:p>
        </w:tc>
        <w:tc>
          <w:tcPr>
            <w:tcW w:w="1000" w:type="dxa"/>
            <w:vAlign w:val="bottom"/>
            <w:gridSpan w:val="2"/>
          </w:tcPr>
          <w:p>
            <w:pPr>
              <w:jc w:val="right"/>
              <w:ind w:right="220"/>
              <w:spacing w:after="0" w:line="138" w:lineRule="exact"/>
              <w:rPr>
                <w:sz w:val="20"/>
                <w:szCs w:val="20"/>
                <w:color w:val="auto"/>
              </w:rPr>
            </w:pPr>
            <w:r>
              <w:rPr>
                <w:rFonts w:ascii="Arial" w:cs="Arial" w:eastAsia="Arial" w:hAnsi="Arial"/>
                <w:sz w:val="10"/>
                <w:szCs w:val="10"/>
                <w:color w:val="auto"/>
              </w:rPr>
              <w:t>L+825</w:t>
            </w:r>
            <w:r>
              <w:rPr>
                <w:rFonts w:ascii="Arial" w:cs="Arial" w:eastAsia="Arial" w:hAnsi="Arial"/>
                <w:sz w:val="15"/>
                <w:szCs w:val="15"/>
                <w:color w:val="auto"/>
                <w:vertAlign w:val="superscript"/>
              </w:rPr>
              <w:t>(8)</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82"/>
              </w:rPr>
              <w:t>20,000,000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10/12/2014</w:t>
            </w: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11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4.26%</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L+400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07/21/2012</w:t>
            </w: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11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9.00%</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P+500</w:t>
            </w:r>
            <w:r>
              <w:rPr>
                <w:rFonts w:ascii="Arial" w:cs="Arial" w:eastAsia="Arial" w:hAnsi="Arial"/>
                <w:sz w:val="17"/>
                <w:szCs w:val="17"/>
                <w:color w:val="auto"/>
                <w:vertAlign w:val="superscript"/>
              </w:rPr>
              <w:t>(8)</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07/15/2016</w:t>
            </w:r>
          </w:p>
        </w:tc>
        <w:tc>
          <w:tcPr>
            <w:tcW w:w="16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Hotels, Motels, Inns and</w:t>
            </w:r>
          </w:p>
        </w:tc>
        <w:tc>
          <w:tcPr>
            <w:tcW w:w="1120" w:type="dxa"/>
            <w:vAlign w:val="bottom"/>
            <w:gridSpan w:val="3"/>
            <w:shd w:val="clear" w:color="auto" w:fill="CCEEFF"/>
          </w:tcPr>
          <w:p>
            <w:pPr>
              <w:jc w:val="right"/>
              <w:ind w:right="360"/>
              <w:spacing w:after="0" w:line="138" w:lineRule="exact"/>
              <w:rPr>
                <w:sz w:val="20"/>
                <w:szCs w:val="20"/>
                <w:color w:val="auto"/>
              </w:rPr>
            </w:pPr>
            <w:r>
              <w:rPr>
                <w:rFonts w:ascii="Arial" w:cs="Arial" w:eastAsia="Arial" w:hAnsi="Arial"/>
                <w:sz w:val="14"/>
                <w:szCs w:val="14"/>
                <w:color w:val="auto"/>
              </w:rPr>
              <w:t>11.38%</w:t>
            </w:r>
          </w:p>
        </w:tc>
        <w:tc>
          <w:tcPr>
            <w:tcW w:w="10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5,000,000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Gaming</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9"/>
              </w:rPr>
              <w:t>Fair Value</w:t>
            </w:r>
            <w:r>
              <w:rPr>
                <w:rFonts w:ascii="Arial" w:cs="Arial" w:eastAsia="Arial" w:hAnsi="Arial"/>
                <w:sz w:val="22"/>
                <w:szCs w:val="22"/>
                <w:b w:val="1"/>
                <w:bCs w:val="1"/>
                <w:color w:val="auto"/>
                <w:w w:val="89"/>
                <w:vertAlign w:val="superscript"/>
              </w:rPr>
              <w:t>(3)</w:t>
            </w:r>
          </w:p>
        </w:tc>
        <w:tc>
          <w:tcPr>
            <w:tcW w:w="0" w:type="dxa"/>
            <w:vAlign w:val="bottom"/>
          </w:tcPr>
          <w:p>
            <w:pPr>
              <w:spacing w:after="0"/>
              <w:rPr>
                <w:sz w:val="1"/>
                <w:szCs w:val="1"/>
                <w:color w:val="auto"/>
              </w:rPr>
            </w:pPr>
          </w:p>
        </w:tc>
      </w:tr>
      <w:tr>
        <w:trPr>
          <w:trHeight w:val="176"/>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Companies—5.4%</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Notes—1.7%</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07/02/2014</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Leisure, Amusement,</w:t>
            </w: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7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5,077,822</w:t>
            </w:r>
          </w:p>
        </w:tc>
        <w:tc>
          <w:tcPr>
            <w:tcW w:w="1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Debt—2.7%</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07/02/2013</w:t>
            </w: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6.24%</w:t>
            </w:r>
          </w:p>
        </w:tc>
        <w:tc>
          <w:tcPr>
            <w:tcW w:w="76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—1.0%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37,500</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Entertainment</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Investments—156.3%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8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Equivalents—11.1%</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2"/>
              </w:rPr>
              <w:t>33,247,666</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8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spacing w:after="0" w:line="68"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Non-income producing securities.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Basis Point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176"/>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Maturity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60" w:type="dxa"/>
            <w:vAlign w:val="bottom"/>
            <w:gridSpan w:val="4"/>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Companies—168.1%</w:t>
            </w:r>
            <w:r>
              <w:rPr>
                <w:rFonts w:ascii="Arial" w:cs="Arial" w:eastAsia="Arial" w:hAnsi="Arial"/>
                <w:sz w:val="16"/>
                <w:szCs w:val="16"/>
                <w:b w:val="1"/>
                <w:bCs w:val="1"/>
                <w:color w:val="auto"/>
                <w:vertAlign w:val="superscript"/>
              </w:rPr>
              <w:t>(1),(2)</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Notes—76.8%</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Advanstar,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11/30/2015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10.76%</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$ 16,268,634</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$ 16,268,634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$ 12,567,520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03/01/2012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9.37%</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21,587,384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04/17/2015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7,831,761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03/19/2014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19,502,246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06/06/2014</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21,649,325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22,041,438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05/20/2012</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19,555,782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12/28/2015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9,922,722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10,067,361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04/15/2015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26,337,698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9,520,000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10/01/2016</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19,811,785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02/08/2015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20,428,146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187,877,433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2"/>
              </w:rPr>
              <w:t>182,895,483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161,758,819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Debt—45.5%</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11,682,795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02/07/2015</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8.81%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13,068,290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12,342,000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04/30/2015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11.26%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L+750</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11,947,073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10,080,000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11/04/2014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9.31%</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05/15/2015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9,951,058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05/15/2017</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16,565,952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8.54%</w:t>
            </w:r>
            <w:r>
              <w:rPr>
                <w:rFonts w:ascii="Arial" w:cs="Arial" w:eastAsia="Arial" w:hAnsi="Arial"/>
                <w:sz w:val="15"/>
                <w:szCs w:val="15"/>
                <w:color w:val="auto"/>
                <w:vertAlign w:val="superscript"/>
              </w:rPr>
              <w:t>(6)</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L+575</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12,500,000</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11,838,114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12/15/2014</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10.70%</w:t>
            </w:r>
            <w:r>
              <w:rPr>
                <w:rFonts w:ascii="Arial" w:cs="Arial" w:eastAsia="Arial" w:hAnsi="Arial"/>
                <w:sz w:val="17"/>
                <w:szCs w:val="17"/>
                <w:color w:val="auto"/>
                <w:vertAlign w:val="superscript"/>
              </w:rPr>
              <w:t>(6)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22,485,895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06/15/2015</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9.77%</w:t>
            </w:r>
            <w:r>
              <w:rPr>
                <w:rFonts w:ascii="Arial" w:cs="Arial" w:eastAsia="Arial" w:hAnsi="Arial"/>
                <w:sz w:val="17"/>
                <w:szCs w:val="17"/>
                <w:color w:val="auto"/>
                <w:vertAlign w:val="superscript"/>
              </w:rPr>
              <w:t>(6)</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16,500,000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15,866,044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4"/>
                <w:szCs w:val="14"/>
                <w:color w:val="auto"/>
              </w:rPr>
              <w:t>Total Second Lien Secured Debt</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128,100,000</w:t>
            </w:r>
          </w:p>
        </w:tc>
        <w:tc>
          <w:tcPr>
            <w:tcW w:w="100" w:type="dxa"/>
            <w:vAlign w:val="bottom"/>
          </w:tcPr>
          <w:p>
            <w:pPr>
              <w:spacing w:after="0"/>
              <w:rPr>
                <w:sz w:val="13"/>
                <w:szCs w:val="13"/>
                <w:color w:val="auto"/>
              </w:rPr>
            </w:pPr>
          </w:p>
        </w:tc>
        <w:tc>
          <w:tcPr>
            <w:tcW w:w="8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2"/>
              </w:rPr>
              <w:t>123,405,221</w:t>
            </w: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95,894,500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Preferred Equity—4.4%</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 Class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12.00%</w:t>
            </w:r>
            <w:r>
              <w:rPr>
                <w:rFonts w:ascii="Arial" w:cs="Arial" w:eastAsia="Arial" w:hAnsi="Arial"/>
                <w:sz w:val="15"/>
                <w:szCs w:val="15"/>
                <w:color w:val="auto"/>
                <w:vertAlign w:val="superscript"/>
              </w:rPr>
              <w:t>(6)</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842</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841,927</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841,927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12.00%</w:t>
            </w:r>
            <w:r>
              <w:rPr>
                <w:rFonts w:ascii="Arial" w:cs="Arial" w:eastAsia="Arial" w:hAnsi="Arial"/>
                <w:sz w:val="17"/>
                <w:szCs w:val="17"/>
                <w:color w:val="auto"/>
                <w:vertAlign w:val="superscript"/>
              </w:rPr>
              <w:t>(6)</w:t>
            </w:r>
          </w:p>
        </w:tc>
        <w:tc>
          <w:tcPr>
            <w:tcW w:w="7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3,960,000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20" w:type="dxa"/>
            <w:vAlign w:val="bottom"/>
          </w:tcPr>
          <w:p>
            <w:pPr>
              <w:spacing w:after="0"/>
              <w:rPr>
                <w:sz w:val="11"/>
                <w:szCs w:val="11"/>
                <w:color w:val="auto"/>
              </w:rPr>
            </w:pPr>
          </w:p>
        </w:tc>
        <w:tc>
          <w:tcPr>
            <w:tcW w:w="860" w:type="dxa"/>
            <w:vAlign w:val="bottom"/>
            <w:gridSpan w:val="2"/>
          </w:tcPr>
          <w:p>
            <w:pPr>
              <w:jc w:val="right"/>
              <w:ind w:right="260"/>
              <w:spacing w:after="0" w:line="138"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(7)</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686</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685,820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4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98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0"/>
                <w:szCs w:val="10"/>
                <w:color w:val="auto"/>
              </w:rPr>
              <w:t>6.50%</w:t>
            </w:r>
            <w:r>
              <w:rPr>
                <w:rFonts w:ascii="Arial" w:cs="Arial" w:eastAsia="Arial" w:hAnsi="Arial"/>
                <w:sz w:val="15"/>
                <w:szCs w:val="15"/>
                <w:color w:val="auto"/>
                <w:vertAlign w:val="superscript"/>
              </w:rPr>
              <w:t>(6)</w:t>
            </w:r>
          </w:p>
        </w:tc>
        <w:tc>
          <w:tcPr>
            <w:tcW w:w="7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w:t>
            </w:r>
          </w:p>
        </w:tc>
        <w:tc>
          <w:tcPr>
            <w:tcW w:w="96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1,312,006</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1,312,006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40" w:type="dxa"/>
            <w:vAlign w:val="bottom"/>
            <w:gridSpan w:val="2"/>
          </w:tcPr>
          <w:p>
            <w:pPr>
              <w:ind w:left="4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980" w:type="dxa"/>
            <w:vAlign w:val="bottom"/>
            <w:gridSpan w:val="3"/>
          </w:tcPr>
          <w:p>
            <w:pPr>
              <w:jc w:val="right"/>
              <w:ind w:right="140"/>
              <w:spacing w:after="0" w:line="138" w:lineRule="exact"/>
              <w:rPr>
                <w:sz w:val="20"/>
                <w:szCs w:val="20"/>
                <w:color w:val="auto"/>
              </w:rPr>
            </w:pPr>
            <w:r>
              <w:rPr>
                <w:rFonts w:ascii="Arial" w:cs="Arial" w:eastAsia="Arial" w:hAnsi="Arial"/>
                <w:sz w:val="10"/>
                <w:szCs w:val="10"/>
                <w:color w:val="auto"/>
              </w:rPr>
              <w:t>8.00%</w:t>
            </w:r>
            <w:r>
              <w:rPr>
                <w:rFonts w:ascii="Arial" w:cs="Arial" w:eastAsia="Arial" w:hAnsi="Arial"/>
                <w:sz w:val="15"/>
                <w:szCs w:val="15"/>
                <w:color w:val="auto"/>
                <w:vertAlign w:val="superscript"/>
              </w:rPr>
              <w:t>(6)</w:t>
            </w:r>
          </w:p>
        </w:tc>
        <w:tc>
          <w:tcPr>
            <w:tcW w:w="7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2,499,066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2,499,066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4,054,448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9,298,819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22"/>
                <w:szCs w:val="22"/>
                <w:b w:val="1"/>
                <w:bCs w:val="1"/>
                <w:color w:val="auto"/>
                <w:w w:val="93"/>
                <w:vertAlign w:val="superscript"/>
              </w:rPr>
              <w:t>(3)</w:t>
            </w:r>
          </w:p>
        </w:tc>
        <w:tc>
          <w:tcPr>
            <w:tcW w:w="0" w:type="dxa"/>
            <w:vAlign w:val="bottom"/>
          </w:tcPr>
          <w:p>
            <w:pPr>
              <w:spacing w:after="0"/>
              <w:rPr>
                <w:sz w:val="1"/>
                <w:szCs w:val="1"/>
                <w:color w:val="auto"/>
              </w:rPr>
            </w:pPr>
          </w:p>
        </w:tc>
      </w:tr>
      <w:tr>
        <w:trPr>
          <w:trHeight w:val="176"/>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Maturity</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00" w:type="dxa"/>
            <w:vAlign w:val="bottom"/>
          </w:tcPr>
          <w:p>
            <w:pPr>
              <w:spacing w:after="0"/>
              <w:rPr>
                <w:sz w:val="15"/>
                <w:szCs w:val="15"/>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0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—4.0%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(Advanstar Inc.)</w:t>
            </w:r>
          </w:p>
        </w:tc>
        <w:tc>
          <w:tcPr>
            <w:tcW w:w="8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  3,000,000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998,883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1,627</w:t>
            </w:r>
          </w:p>
        </w:tc>
        <w:tc>
          <w:tcPr>
            <w:tcW w:w="11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16,271</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w w:val="98"/>
              </w:rPr>
              <w:t>CT Technologies Holdings, LLC (CT Technologies Intermediate Holdings,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3"/>
              </w:rPr>
              <w:t>Business Services</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3,200,000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8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9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2,173</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w:t>
            </w: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91,608</w:t>
            </w:r>
          </w:p>
        </w:tc>
        <w:tc>
          <w:tcPr>
            <w:tcW w:w="2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916</w:t>
            </w:r>
          </w:p>
        </w:tc>
        <w:tc>
          <w:tcPr>
            <w:tcW w:w="2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2,569,208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541,793</w:t>
            </w:r>
          </w:p>
        </w:tc>
        <w:tc>
          <w:tcPr>
            <w:tcW w:w="11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6,659,360</w:t>
            </w:r>
          </w:p>
        </w:tc>
        <w:tc>
          <w:tcPr>
            <w:tcW w:w="60" w:type="dxa"/>
            <w:vAlign w:val="bottom"/>
          </w:tcPr>
          <w:p>
            <w:pPr>
              <w:spacing w:after="0"/>
              <w:rPr>
                <w:sz w:val="13"/>
                <w:szCs w:val="13"/>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8,464,883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First Lien Secured Debt—37.4%</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05/28/2013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5.06%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7,896,473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7,889,120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5,401,187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Cohr Holdings, Inc.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01/31/2013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L+250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2,955,000</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2,955,000</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1,484,888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12.04%</w:t>
            </w:r>
            <w:r>
              <w:rPr>
                <w:rFonts w:ascii="Arial" w:cs="Arial" w:eastAsia="Arial" w:hAnsi="Arial"/>
                <w:sz w:val="17"/>
                <w:szCs w:val="17"/>
                <w:color w:val="auto"/>
                <w:vertAlign w:val="superscript"/>
              </w:rPr>
              <w:t>(6)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14,014,177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12,965,204</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12,192,334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08/07/2012</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Environmental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12.25%</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P+725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2,121</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Gatehouse Media Operating,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08/28/2014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Media</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4.81%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3,336,690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09/16/2013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3,410,095</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3,411,892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12/19/2013</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200" w:type="dxa"/>
            <w:vAlign w:val="bottom"/>
          </w:tcPr>
          <w:p>
            <w:pPr>
              <w:spacing w:after="0"/>
              <w:rPr>
                <w:sz w:val="12"/>
                <w:szCs w:val="12"/>
                <w:color w:val="auto"/>
              </w:rPr>
            </w:pPr>
          </w:p>
        </w:tc>
        <w:tc>
          <w:tcPr>
            <w:tcW w:w="960" w:type="dxa"/>
            <w:vAlign w:val="bottom"/>
            <w:gridSpan w:val="2"/>
          </w:tcPr>
          <w:p>
            <w:pPr>
              <w:ind w:lef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(7)</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6,912,500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6,912,500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5,149,813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4.83%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8,932,500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8,932,500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6,327,185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04/15/2014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02/07/2014</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5.35%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9,890,541</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9,890,541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6,156,861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03/08/2014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5.46%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4,564,563</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4,564,563</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2,639,837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Longview Power,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Utilities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5.54%</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2,630,001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01/18/2014</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5.96%</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L+225</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3,950,100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3,950,100</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2,567,565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Mitchell International,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03/28/2014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82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8"/>
              </w:rPr>
              <w:t>02/28/2013</w:t>
            </w: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87"/>
              </w:rPr>
              <w:t>Home and Office</w:t>
            </w:r>
          </w:p>
        </w:tc>
        <w:tc>
          <w:tcPr>
            <w:tcW w:w="116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4.62%</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6,895,000</w:t>
            </w:r>
          </w:p>
        </w:tc>
        <w:tc>
          <w:tcPr>
            <w:tcW w:w="11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6,900,583</w:t>
            </w: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5,274,675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Furnishings, Housewares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 Durable Consumer</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02/01/2013</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5.07%</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4,925,000</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4,925,000</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3,558,313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03/16/2014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1,474,667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1,474,667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1,194,480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05/04/2014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5.81%</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L+300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4,924,167</w:t>
            </w:r>
          </w:p>
        </w:tc>
        <w:tc>
          <w:tcPr>
            <w:tcW w:w="11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4,924,167</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4,825,683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Reader’s Digest Association, Inc.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03/02/2014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4.71%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L+200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985,000</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699,350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Rexnord , L.L.C.</w:t>
            </w:r>
          </w:p>
        </w:tc>
        <w:tc>
          <w:tcPr>
            <w:tcW w:w="8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07/19/2013</w:t>
            </w:r>
          </w:p>
        </w:tc>
        <w:tc>
          <w:tcPr>
            <w:tcW w:w="14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Manufacturing/Basic</w:t>
            </w:r>
          </w:p>
        </w:tc>
        <w:tc>
          <w:tcPr>
            <w:tcW w:w="116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5.76%</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L+200</w:t>
            </w: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2,917,576</w:t>
            </w:r>
          </w:p>
        </w:tc>
        <w:tc>
          <w:tcPr>
            <w:tcW w:w="11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2,917,576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2,625,819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7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Industry</w:t>
            </w: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5.30%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L+250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2,592,017</w:t>
            </w:r>
          </w:p>
        </w:tc>
        <w:tc>
          <w:tcPr>
            <w:tcW w:w="11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2,592,017</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8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01/30/2014</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P+150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90,311</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106,271,980</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105,222,862</w:t>
            </w: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78,844,929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427,481,745</w:t>
            </w:r>
          </w:p>
        </w:tc>
        <w:tc>
          <w:tcPr>
            <w:tcW w:w="2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354,261,950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7"/>
              </w:rPr>
              <w:t>Value</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7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6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Affiliated Portfolio Companies—8.5%</w:t>
            </w:r>
            <w:r>
              <w:rPr>
                <w:rFonts w:ascii="Arial" w:cs="Arial" w:eastAsia="Arial" w:hAnsi="Arial"/>
                <w:sz w:val="16"/>
                <w:szCs w:val="16"/>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Notes—2.1%</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14.25%</w:t>
            </w:r>
            <w:r>
              <w:rPr>
                <w:rFonts w:ascii="Arial" w:cs="Arial" w:eastAsia="Arial" w:hAnsi="Arial"/>
                <w:sz w:val="22"/>
                <w:szCs w:val="22"/>
                <w:color w:val="auto"/>
                <w:vertAlign w:val="superscript"/>
              </w:rPr>
              <w:t>(6)</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Performance Holdings, Inc.</w:t>
            </w:r>
          </w:p>
        </w:tc>
        <w:tc>
          <w:tcPr>
            <w:tcW w:w="72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8"/>
              </w:rPr>
              <w:t>07/02/2014</w:t>
            </w:r>
          </w:p>
        </w:tc>
        <w:tc>
          <w:tcPr>
            <w:tcW w:w="11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980" w:type="dxa"/>
            <w:vAlign w:val="bottom"/>
            <w:gridSpan w:val="3"/>
            <w:vMerge w:val="continue"/>
            <w:shd w:val="clear" w:color="auto" w:fill="CCEEFF"/>
          </w:tcPr>
          <w:p>
            <w:pPr>
              <w:spacing w:after="0"/>
              <w:rPr>
                <w:sz w:val="13"/>
                <w:szCs w:val="13"/>
                <w:color w:val="auto"/>
              </w:rPr>
            </w:pPr>
          </w:p>
        </w:tc>
        <w:tc>
          <w:tcPr>
            <w:tcW w:w="76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3"/>
              </w:rPr>
              <w:t>4,414,356</w:t>
            </w:r>
          </w:p>
        </w:tc>
        <w:tc>
          <w:tcPr>
            <w:tcW w:w="1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4,192,261</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4,414,356</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Debt—4.0%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Inc.</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07/02/2013</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Entertainment</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8.55%</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L+575</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8,750,000</w:t>
            </w:r>
          </w:p>
        </w:tc>
        <w:tc>
          <w:tcPr>
            <w:tcW w:w="1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8,347,500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Equity/Partnership Interest</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—2.4%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Motion Pictures,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160" w:type="dxa"/>
            <w:vAlign w:val="bottom"/>
            <w:gridSpan w:val="3"/>
          </w:tcPr>
          <w:p>
            <w:pPr>
              <w:spacing w:after="0" w:line="159" w:lineRule="exact"/>
              <w:rPr>
                <w:sz w:val="20"/>
                <w:szCs w:val="20"/>
                <w:color w:val="auto"/>
              </w:rPr>
            </w:pPr>
            <w:r>
              <w:rPr>
                <w:rFonts w:ascii="Arial" w:cs="Arial" w:eastAsia="Arial" w:hAnsi="Arial"/>
                <w:sz w:val="14"/>
                <w:szCs w:val="14"/>
                <w:color w:val="auto"/>
              </w:rPr>
              <w:t>NCP-Performance (Performance Holdings, Inc.)</w:t>
            </w:r>
          </w:p>
        </w:tc>
        <w:tc>
          <w:tcPr>
            <w:tcW w:w="720" w:type="dxa"/>
            <w:vAlign w:val="bottom"/>
            <w:gridSpan w:val="2"/>
          </w:tcPr>
          <w:p>
            <w:pPr>
              <w:ind w:left="420"/>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37,500</w:t>
            </w:r>
          </w:p>
        </w:tc>
        <w:tc>
          <w:tcPr>
            <w:tcW w:w="120" w:type="dxa"/>
            <w:vAlign w:val="bottom"/>
          </w:tcPr>
          <w:p>
            <w:pPr>
              <w:spacing w:after="0"/>
              <w:rPr>
                <w:sz w:val="14"/>
                <w:szCs w:val="14"/>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5,124,014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16,692,261</w:t>
            </w: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17,885,870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color w:val="auto"/>
              </w:rPr>
              <w:t>Total Investments—176.6%</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444,174,006</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372,147,820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Par</w:t>
            </w: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Equivalents—19.1%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line="149" w:lineRule="exact"/>
              <w:rPr>
                <w:sz w:val="20"/>
                <w:szCs w:val="20"/>
                <w:color w:val="auto"/>
              </w:rPr>
            </w:pPr>
            <w:r>
              <w:rPr>
                <w:rFonts w:ascii="Arial" w:cs="Arial" w:eastAsia="Arial" w:hAnsi="Arial"/>
                <w:sz w:val="14"/>
                <w:szCs w:val="14"/>
                <w:color w:val="auto"/>
              </w:rPr>
              <w:t>Money Market—Mutual Funds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40,249,201</w:t>
            </w: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40,249,201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40,249,201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Equivalents—195.7%</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484,423,207</w:t>
            </w:r>
          </w:p>
        </w:tc>
        <w:tc>
          <w:tcPr>
            <w:tcW w:w="1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412,397,021</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Assets—(95.7%)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u w:val="single" w:color="auto"/>
                <w:color w:val="auto"/>
                <w:w w:val="76"/>
              </w:rPr>
              <w:t>$</w:t>
            </w:r>
          </w:p>
        </w:tc>
        <w:tc>
          <w:tcPr>
            <w:tcW w:w="9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4"/>
              </w:rPr>
              <w:t>(201,668,761)</w:t>
            </w:r>
          </w:p>
        </w:tc>
        <w:tc>
          <w:tcPr>
            <w:tcW w:w="0" w:type="dxa"/>
            <w:vAlign w:val="bottom"/>
          </w:tcPr>
          <w:p>
            <w:pPr>
              <w:spacing w:after="0"/>
              <w:rPr>
                <w:sz w:val="1"/>
                <w:szCs w:val="1"/>
                <w:color w:val="auto"/>
              </w:rPr>
            </w:pPr>
          </w:p>
        </w:tc>
      </w:tr>
      <w:tr>
        <w:trPr>
          <w:trHeight w:val="156"/>
        </w:trPr>
        <w:tc>
          <w:tcPr>
            <w:tcW w:w="5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210,728,260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300" w:hanging="332"/>
        <w:spacing w:after="0" w:line="239"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Investment Company Act of 1940 (the “1940 Act”) “non-controlled” means we own less than 25% of a portfolio company’s voting securities.</w:t>
      </w:r>
    </w:p>
    <w:p>
      <w:pPr>
        <w:spacing w:after="0" w:line="57" w:lineRule="exact"/>
        <w:rPr>
          <w:rFonts w:ascii="Arial" w:cs="Arial" w:eastAsia="Arial" w:hAnsi="Arial"/>
          <w:sz w:val="14"/>
          <w:szCs w:val="14"/>
          <w:color w:val="auto"/>
        </w:rPr>
      </w:pPr>
    </w:p>
    <w:p>
      <w:pPr>
        <w:ind w:left="340" w:right="240" w:hanging="332"/>
        <w:spacing w:after="0" w:line="239"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more than 5% of a portfolio company’s voting securities.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91" w:lineRule="exact"/>
        <w:rPr>
          <w:rFonts w:ascii="Arial" w:cs="Arial" w:eastAsia="Arial" w:hAnsi="Arial"/>
          <w:sz w:val="12"/>
          <w:szCs w:val="12"/>
          <w:color w:val="auto"/>
        </w:rPr>
      </w:pPr>
    </w:p>
    <w:p>
      <w:pPr>
        <w:ind w:left="340" w:right="300" w:hanging="332"/>
        <w:spacing w:after="0" w:line="239"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Coupon payable in cash and/or payment-in-kind (“PIK”).</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Non-income producing.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Except where the context suggests otherwise, the terms “we,” “us,” “our” and “PennantPark Investment” refer to PennantPark Investment Corporation.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 and the purchase of first lien secured debt.</w:t>
      </w:r>
    </w:p>
    <w:p>
      <w:pPr>
        <w:spacing w:after="0" w:line="14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net proceeds of $3.3 million.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consolidated financial statements, for the period from January 11, 2007 (inception) through September 30, 2007, include the accounts of PennantPark Investment and its wholly owned special purpose subsidiary, Pennant SPV Company, LLC (“Pennant SPV”) a Delaware corporation. On April 24, 2007, Pennant SPV transferred all of its assets to PennantPark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Actual results could differ from these estimates. Certain prior period amounts have been reclassified to conform to current period presentation.</w:t>
      </w:r>
    </w:p>
    <w:p>
      <w:pPr>
        <w:spacing w:after="0" w:line="19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With respect to investments for which market quotations are not readily available, or are readily available but are deemed by our board of directors not reflective of the fair value of the investment, our board of directors undertakes a multi-step valuation process each quarter, as described below:</w:t>
      </w:r>
    </w:p>
    <w:p>
      <w:pPr>
        <w:spacing w:after="0" w:line="4" w:lineRule="exact"/>
        <w:rPr>
          <w:sz w:val="20"/>
          <w:szCs w:val="20"/>
          <w:color w:val="auto"/>
        </w:rPr>
      </w:pPr>
    </w:p>
    <w:p>
      <w:pPr>
        <w:ind w:left="900" w:right="48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Income Taxes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(formerly known as FASB Statement No. 109), “Income Taxes.”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corporate-level taxes in the future.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(formerly known as FASB Interpretation No. 48, Accounting for Uncertainty in Income Taxes) nor did we have any unrecognized tax benefits as of September 30, 2007, 2008 or 2009. Although we file federal and state tax returns, our major tax jurisdiction is federal. Our 2007 to 2009 federal tax years remain subject to examination by the Internal Revenue Service. See Note 7 to the financial statements.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New Accounting Pronouncements and Accounting Standards Updates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September 2006, FASB issued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clarifies the definition of fair value and requires companies to expand their disclosure about the use of fair value to measure assets and liabilities in interim and annual periods subsequent to initial recognition. With adoption of the Accounting Standards Codification in September 2009, or ASC, references to authoritative accounting literature refer to the relevant section of the ASC. Adoption of ASC 820 (formerly known as SFAS 157) requires the use of the price that would be received to sell an asset or paid to transfer a liability in an orderly transaction between market participants at the measurement date. ASC 820 is effective for financial statements issued for fiscal years beginning after November 15, 2007, and interim periods within those fiscal years. We have adopted ASC 820 on October 1, 2008. The adoption of ASC 820 did not affect our financial position or results of operations. See Note 2 and Note 5 to the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February 2007, FASB issued SFAS 159, </w:t>
      </w:r>
      <w:r>
        <w:rPr>
          <w:rFonts w:ascii="Arial" w:cs="Arial" w:eastAsia="Arial" w:hAnsi="Arial"/>
          <w:sz w:val="16"/>
          <w:szCs w:val="16"/>
          <w:i w:val="1"/>
          <w:iCs w:val="1"/>
          <w:color w:val="auto"/>
        </w:rPr>
        <w:t>The Fair Value Option for Financial Assets and Financial Liabilities—Including an Amendment of FASB 115</w:t>
      </w:r>
      <w:r>
        <w:rPr>
          <w:rFonts w:ascii="Arial" w:cs="Arial" w:eastAsia="Arial" w:hAnsi="Arial"/>
          <w:sz w:val="16"/>
          <w:szCs w:val="16"/>
          <w:color w:val="auto"/>
        </w:rPr>
        <w:t>. ASC 825 (formerly known as SFAS 159) permits an entity to choose to measure many financial instruments and certain other items at fair value. ASC 825 applies to all reporting entities, and contains financial statement presentation and disclosure requirements for assets and liabilities reported at fair value as a consequence of the election. This statement is effective for fiscal years beginning after November 15, 2007, and interim periods within those fiscal years. We have adopted ASC 825 on October 1, 2008 and have made an irrevocable election to apply the fair value option to our long-term credit facility liability. The fair value option was elected for our credit facility to align the measurement attributes of both the assets and liabilities while mitigating volatility in earnings from using different measurement attributes. Upon our adoption of ASC 825 our Net Asset Value increased by $41.8 million, or $1.99 per share, due to the fair value adjustment related to our credit facility. We have used a nationally recognized independent valuations firm to measure the fair value of our credit facility in a manner consistent with the valuation process that our board of directors uses to value our investments. After adoption, subsequent changes in the fair value of our credit facility have been recorded in the statement of operations. We have not elected to apply the fair value option to any other financial assets or liabilities. See Note 5 to the financial statements.</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In May 2009, FASB issued SFAS 165, or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In June 2009, FASB issued SFAS 168,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replacement of FASB 162 </w:t>
      </w:r>
      <w:r>
        <w:rPr>
          <w:rFonts w:ascii="Arial" w:cs="Arial" w:eastAsia="Arial" w:hAnsi="Arial"/>
          <w:sz w:val="18"/>
          <w:szCs w:val="18"/>
          <w:color w:val="auto"/>
        </w:rPr>
        <w:t>, SFAS 168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periods ending after September 15, 2009. On the effective date of ASC 105-10, the Accounting Standards Codification, or ASC, will supersede all then-existing GAAP for non-governmental entities and reporting standards, subject to certain grandfathered literature. The purpose of ASC is not change accounting literature but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rather to serve as a single source of authoritative accounting literature. The adoption of ASC 105-10 did not have a material impact on our financial statements.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w:t>
      </w:r>
      <w:r>
        <w:rPr>
          <w:rFonts w:ascii="Arial" w:cs="Arial" w:eastAsia="Arial" w:hAnsi="Arial"/>
          <w:sz w:val="16"/>
          <w:szCs w:val="16"/>
          <w:color w:val="auto"/>
        </w:rPr>
        <w:t xml:space="preserve">. ASU 2009-05 provides additional clarity in circumstances where a quoted price in an active market for the identical liability is not available. ASU 2009-05 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2009.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“adjusted gross assets”, if any, see Note 11). Although the base management fee is 2.00% of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equals 2.00% since March 31, 2008 and is payable quarterly in arrears. The base management fee is calculated based on the average value of adjusted gross assets at the end of the two most recently completed calendar quarters, and appropriately adjusted for any share issuances or repurchases during the current calendar quarter. For the fiscal years ended September 30, 2009 and 2008, the Investment Adviser received a net base management fee of $7.7 million and $6.7 million, respectively, from us. For the period from April 24, 2007 (initial public offering) through September 30, 2007, the Investment Adviser received a net base management fee of approximately $1.9 million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w:t>
      </w:r>
    </w:p>
    <w:p>
      <w:pPr>
        <w:spacing w:after="0" w:line="7" w:lineRule="exact"/>
        <w:rPr>
          <w:sz w:val="20"/>
          <w:szCs w:val="20"/>
          <w:color w:val="auto"/>
        </w:rPr>
      </w:pPr>
    </w:p>
    <w:p>
      <w:pPr>
        <w:ind w:firstLine="464"/>
        <w:spacing w:after="0" w:line="294"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commencing on 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fiscal years ended September 30, 2009 and 2008, the Investment Adviser received an incentive fee of $5.7 million and $3.8 million, respectively from us. For the period from April 24, 2007 (initial public offering) through September 30, 2007, the Investment Adviser did not receive an incentive fee from us.</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2009. Under this agreement PennantPark Investment Administration provides administrative services for PennantPark Investment. For providing these services, facilities and personnel, PennantPark Investment reimburses the Administrator for PennantPark Investment’s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provides on PennantPark Investment’s behalf managerial assistance to portfolio companies to which PennantPark Investment is required to provide such assistance. Reimbursement for certain of these costs is included in administrative services expenses in the statement of operations. For the fiscal years ended September 30, 2009 and 2008, the Investment Adviser was reimbursed $1.7 million and $2.0 million, respectively, from us, including expenses it incurred on behalf of the Administrator, for services described above. For the period from April 24, 2007 (initial public offering) through September 30, 2007, the Investment Adviser was reimbursed approximately $0.5 million from us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Purchases of long-term investments including PIK for the fiscal years ended September 30, 2009, 2008 and for the period from January 11, 2007 (inception) through September 30, 2007 totaled $117.4 million, $209.2 million and $414.6 million, respectively. Sales and repayments of long-term investments for the fiscal years ended September 30, 2009, 2008 and for the period from January 11, 2007 (inception) through September 30, 2007 totaled $28.0 million, $70.1 million and $99.6 million,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2009</w:t>
            </w:r>
          </w:p>
        </w:tc>
        <w:tc>
          <w:tcPr>
            <w:tcW w:w="180" w:type="dxa"/>
            <w:vAlign w:val="bottom"/>
          </w:tcPr>
          <w:p>
            <w:pPr>
              <w:spacing w:after="0"/>
              <w:rPr>
                <w:sz w:val="14"/>
                <w:szCs w:val="14"/>
                <w:color w:val="auto"/>
              </w:rPr>
            </w:pPr>
          </w:p>
        </w:tc>
        <w:tc>
          <w:tcPr>
            <w:tcW w:w="248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164,863,868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150,607,490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105,222,862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152,321,496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134,401,542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132,155,221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104,242,000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158,139,903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157,119,017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187,087,744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166,173,175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9,750,317</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10,934,053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9,298,819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9,298,819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12,212,302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16,697,971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10,409,360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equivalents</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33,247,666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40,249,201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40,249,201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530,535,552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503,007,739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484,423,207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412,397,021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2009 and September 30,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4"/>
                <w:szCs w:val="14"/>
                <w:color w:val="auto"/>
              </w:rPr>
            </w:pPr>
          </w:p>
        </w:tc>
        <w:tc>
          <w:tcPr>
            <w:tcW w:w="258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85"/>
              </w:rPr>
              <w:t>September 30, 2009</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60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9%</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Oil and Gas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Energy / Utilities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Home and Office Furnishings, Housewares, and Durable Consumer Products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Leisure, Amusement, Motion Picture, Entertainment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80" w:type="dxa"/>
            <w:vAlign w:val="bottom"/>
            <w:gridSpan w:val="3"/>
          </w:tcPr>
          <w:p>
            <w:pPr>
              <w:spacing w:after="0"/>
              <w:rPr>
                <w:sz w:val="20"/>
                <w:szCs w:val="20"/>
                <w:color w:val="auto"/>
              </w:rPr>
            </w:pPr>
            <w:r>
              <w:rPr>
                <w:rFonts w:ascii="Arial" w:cs="Arial" w:eastAsia="Arial" w:hAnsi="Arial"/>
                <w:sz w:val="18"/>
                <w:szCs w:val="18"/>
                <w:color w:val="auto"/>
              </w:rPr>
              <w:t>Total</w:t>
            </w:r>
          </w:p>
        </w:tc>
        <w:tc>
          <w:tcPr>
            <w:tcW w:w="4600" w:type="dxa"/>
            <w:vAlign w:val="bottom"/>
            <w:gridSpan w:val="3"/>
          </w:tcPr>
          <w:p>
            <w:pPr>
              <w:jc w:val="right"/>
              <w:ind w:right="130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600" w:type="dxa"/>
            <w:vAlign w:val="bottom"/>
            <w:gridSpan w:val="3"/>
          </w:tcPr>
          <w:p>
            <w:pPr>
              <w:jc w:val="right"/>
              <w:ind w:right="420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Effective October 1, 2008, we adopted ASC 820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April 2009, the FASB issued FASB Staff Position No. 157-4, Determining </w:t>
      </w:r>
      <w:r>
        <w:rPr>
          <w:rFonts w:ascii="Arial" w:cs="Arial" w:eastAsia="Arial" w:hAnsi="Arial"/>
          <w:sz w:val="16"/>
          <w:szCs w:val="16"/>
          <w:i w:val="1"/>
          <w:iCs w:val="1"/>
          <w:color w:val="auto"/>
        </w:rPr>
        <w:t>Fair Value When the Volume and Level of Activity for the Asset or 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Have Significantly Decreased and Identifying Transactions That Are Not Orderly </w:t>
      </w:r>
      <w:r>
        <w:rPr>
          <w:rFonts w:ascii="Arial" w:cs="Arial" w:eastAsia="Arial" w:hAnsi="Arial"/>
          <w:sz w:val="16"/>
          <w:szCs w:val="16"/>
          <w:color w:val="auto"/>
        </w:rPr>
        <w:t>(“FSP No. 157-4”). ASC 820-10-35-51A (formerly known as FSP No. 157-4)</w:t>
      </w:r>
      <w:r>
        <w:rPr>
          <w:rFonts w:ascii="Arial" w:cs="Arial" w:eastAsia="Arial" w:hAnsi="Arial"/>
          <w:sz w:val="16"/>
          <w:szCs w:val="16"/>
          <w:i w:val="1"/>
          <w:iCs w:val="1"/>
          <w:color w:val="auto"/>
        </w:rPr>
        <w:t xml:space="preserve"> </w:t>
      </w:r>
      <w:r>
        <w:rPr>
          <w:rFonts w:ascii="Arial" w:cs="Arial" w:eastAsia="Arial" w:hAnsi="Arial"/>
          <w:sz w:val="16"/>
          <w:szCs w:val="16"/>
          <w:color w:val="auto"/>
        </w:rPr>
        <w:t>made amendments to ASC 820 to provide additional guidance for estimating fair value in accordance with ASC 820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We adopted ASC 820-10-35-51A on June 30, 2009 and it did not have a material impact on our financial statements.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At September 30, 2009, our cash and cash equivalents, investments and our long-term credit facility were categorized as follows in the fair value hierarchy for ASC 820 purposes: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89"/>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6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78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8"/>
              </w:rPr>
              <w:t>Assets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inputs</w:t>
            </w:r>
          </w:p>
        </w:tc>
        <w:tc>
          <w:tcPr>
            <w:tcW w:w="62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7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62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$ 442,128,049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$ 442,128,049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33,247,666</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gridSpan w:val="3"/>
            <w:vMerge w:val="continue"/>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Loan and debt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349,260,104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22,887,716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372,147,820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(39,243,879)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42,008,505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2,489,868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44,498,373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118,059,327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2,254,440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120,313,767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(27,956,008)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(27,956,008)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442,128,049</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27,632,024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469,760,073</w:t>
            </w: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 (depreciation) for the year reported within the net change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40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unrealized appreciation on investments in our Statement of Operations attributable to our </w:t>
            </w:r>
            <w:r>
              <w:rPr>
                <w:rFonts w:ascii="Arial" w:cs="Arial" w:eastAsia="Arial" w:hAnsi="Arial"/>
                <w:sz w:val="18"/>
                <w:szCs w:val="18"/>
                <w:i w:val="1"/>
                <w:iCs w:val="1"/>
                <w:color w:val="auto"/>
                <w:w w:val="92"/>
              </w:rPr>
              <w:t>Level 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30,141,081</w:t>
            </w:r>
          </w:p>
        </w:tc>
        <w:tc>
          <w:tcPr>
            <w:tcW w:w="2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2,489,868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32,630,949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Long-Term</w:t>
            </w:r>
          </w:p>
        </w:tc>
      </w:t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Credit Facility</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162,000,000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(41,796,000)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108,200,000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(52,100,000)</w:t>
            </w:r>
          </w:p>
        </w:tc>
      </w:tr>
      <w:tr>
        <w:trPr>
          <w:trHeight w:val="223"/>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2009</w:t>
            </w:r>
          </w:p>
        </w:tc>
        <w:tc>
          <w:tcPr>
            <w:tcW w:w="5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168,475,380</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600" w:type="dxa"/>
            <w:vAlign w:val="bottom"/>
            <w:gridSpan w:val="2"/>
          </w:tcPr>
          <w:p>
            <w:pPr>
              <w:jc w:val="right"/>
              <w:ind w:right="4480"/>
              <w:spacing w:after="0"/>
              <w:rPr>
                <w:sz w:val="20"/>
                <w:szCs w:val="20"/>
                <w:color w:val="auto"/>
              </w:rPr>
            </w:pPr>
            <w:r>
              <w:rPr>
                <w:rFonts w:ascii="Arial" w:cs="Arial" w:eastAsia="Arial" w:hAnsi="Arial"/>
                <w:sz w:val="18"/>
                <w:szCs w:val="18"/>
                <w:color w:val="auto"/>
              </w:rPr>
              <w:t>F-23</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our fiscal year ended September 30, 2009, $7.8 million was recorded as the change in unrealized appreciation on the credit facility in the statement of operations. PennantPark Investment has used a nationally recognized independent valuation service to measure the fair value of its credit facility in a manner consistent with the valuation process that the board of directors uses to value investments.</w:t>
      </w:r>
    </w:p>
    <w:p>
      <w:pPr>
        <w:spacing w:after="0" w:line="12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eligible instrument for which PennantPark Investment elected the fair value option under ASC 825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2009 and for which a transition adjustment was recorded as of October 1,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Carrying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ind w:left="580"/>
              <w:spacing w:after="0" w:line="149" w:lineRule="exact"/>
              <w:rPr>
                <w:sz w:val="20"/>
                <w:szCs w:val="20"/>
                <w:color w:val="auto"/>
              </w:rPr>
            </w:pPr>
            <w:r>
              <w:rPr>
                <w:rFonts w:ascii="Arial" w:cs="Arial" w:eastAsia="Arial" w:hAnsi="Arial"/>
                <w:sz w:val="14"/>
                <w:szCs w:val="14"/>
                <w:b w:val="1"/>
                <w:bCs w:val="1"/>
                <w:color w:val="auto"/>
              </w:rPr>
              <w:t>September 30, 2009</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Cost 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Transition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Fair Value on</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restart"/>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w w:val="97"/>
              </w:rPr>
              <w:t>Adjustment to</w:t>
            </w: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restart"/>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October 1, 2008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0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6"/>
              </w:rPr>
              <w:t>before adoption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Retained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after adoption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02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of ASC 825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25"/>
              <w:spacing w:after="0"/>
              <w:rPr>
                <w:sz w:val="20"/>
                <w:szCs w:val="20"/>
                <w:color w:val="auto"/>
              </w:rPr>
            </w:pPr>
            <w:r>
              <w:rPr>
                <w:rFonts w:ascii="Arial" w:cs="Arial" w:eastAsia="Arial" w:hAnsi="Arial"/>
                <w:sz w:val="14"/>
                <w:szCs w:val="14"/>
                <w:b w:val="1"/>
                <w:bCs w:val="1"/>
                <w:color w:val="auto"/>
                <w:w w:val="86"/>
              </w:rPr>
              <w:t>of ASC 825</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Long-term</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218,100,000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168,475,380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162,000,000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120,204,000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Temporary draw</w:t>
            </w:r>
            <w:r>
              <w:rPr>
                <w:rFonts w:ascii="Arial" w:cs="Arial" w:eastAsia="Arial" w:hAnsi="Arial"/>
                <w:sz w:val="11"/>
                <w:szCs w:val="11"/>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225,100,000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175,475,380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202,000,000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180"/>
              <w:spacing w:after="0"/>
              <w:rPr>
                <w:sz w:val="20"/>
                <w:szCs w:val="20"/>
                <w:color w:val="auto"/>
              </w:rPr>
            </w:pPr>
            <w:r>
              <w:rPr>
                <w:rFonts w:ascii="Arial" w:cs="Arial" w:eastAsia="Arial" w:hAnsi="Arial"/>
                <w:sz w:val="18"/>
                <w:szCs w:val="18"/>
                <w:color w:val="auto"/>
                <w:w w:val="84"/>
              </w:rPr>
              <w:t>41,796,000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160,204,000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Temporary draw may include credit facility borrowings at the end of each quarter to maximize investment flexibility. See Note 11 to the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5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100" w:type="dxa"/>
            <w:vAlign w:val="bottom"/>
          </w:tcPr>
          <w:p>
            <w:pPr>
              <w:spacing w:after="0"/>
              <w:rPr>
                <w:sz w:val="14"/>
                <w:szCs w:val="14"/>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35,802,029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(40,702,939)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(16,699,251)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21,092,334**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21,068,772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4"/>
              </w:rPr>
              <w:t>20,936,149*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Since completion of IPO on April 24, 2007</w:t>
      </w:r>
    </w:p>
    <w:p>
      <w:pPr>
        <w:spacing w:after="0" w:line="1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Denominator for diluted weighted average shares is 21,094,745. See Note 13 to the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Dividends from net investment income and distributions from net realized capital gains are determined in accordance with U.S. federal tax regulations, which may differ from amounts determined in accordance with GAAP. These book/tax differences are either temporary or permanent in nature. To the extent these differences are permanent, they are reclassified to undistributed net investment income, accumulated net realized loss or paid-in-capital, as appropriate in the period that the differences arise. The following differences were reclassified for tax purposes for the year ended September 30,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7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(87,991)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2009, the cost of investments for federal income tax purposes was $497.3 million resulting in a gross unrealized appreciation and depreciation of $19.4 million and $46.9 million, respectively. The following reconciles net increase in net assets resulting from operations to taxable income for the year ended September 30,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$ 35,802,029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39,243,879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transactions</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(44,498,373)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(7,828,620)</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taxable income</w:t>
            </w:r>
          </w:p>
        </w:tc>
        <w:tc>
          <w:tcPr>
            <w:tcW w:w="6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841,335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deductible expenses</w:t>
            </w:r>
          </w:p>
        </w:tc>
        <w:tc>
          <w:tcPr>
            <w:tcW w:w="56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(13,808)</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564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$ 23,546,442</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80" w:type="dxa"/>
            <w:vAlign w:val="bottom"/>
            <w:gridSpan w:val="3"/>
          </w:tcPr>
          <w:p>
            <w:pPr>
              <w:jc w:val="right"/>
              <w:ind w:right="55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2009, the components of accumulated losses on tax basis and reconciliation to accumulated losses on a book basis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7,618,230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Capital loss carry forward*</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(11,250,565)</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Post-October capital losses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(39,331,872)</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Dividend payable and other temporary differences</w:t>
            </w: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(5,638,469)</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of investments and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22,096,807</w:t>
            </w:r>
          </w:p>
        </w:tc>
        <w:tc>
          <w:tcPr>
            <w:tcW w:w="100" w:type="dxa"/>
            <w:vAlign w:val="bottom"/>
            <w:shd w:val="clear" w:color="auto" w:fill="CCEEFF"/>
          </w:tcPr>
          <w:p>
            <w:pPr>
              <w:spacing w:after="0"/>
              <w:rPr>
                <w:sz w:val="18"/>
                <w:szCs w:val="18"/>
                <w:color w:val="auto"/>
              </w:rPr>
            </w:pPr>
          </w:p>
        </w:tc>
      </w:tr>
      <w:tr>
        <w:trPr>
          <w:trHeight w:val="222"/>
        </w:trPr>
        <w:tc>
          <w:tcPr>
            <w:tcW w:w="10280" w:type="dxa"/>
            <w:vAlign w:val="bottom"/>
            <w:gridSpan w:val="2"/>
          </w:tcPr>
          <w:p>
            <w:pPr>
              <w:spacing w:after="0"/>
              <w:rPr>
                <w:sz w:val="20"/>
                <w:szCs w:val="20"/>
                <w:color w:val="auto"/>
              </w:rPr>
            </w:pPr>
            <w:r>
              <w:rPr>
                <w:rFonts w:ascii="Arial" w:cs="Arial" w:eastAsia="Arial" w:hAnsi="Arial"/>
                <w:sz w:val="18"/>
                <w:szCs w:val="18"/>
                <w:color w:val="auto"/>
              </w:rPr>
              <w:t>Total accumulated losses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(26,505,869)</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220" w:right="40" w:hanging="212"/>
        <w:spacing w:after="0" w:line="268" w:lineRule="auto"/>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September 30, 2009, the Fund had a capital loss carryforward of $11.2 million. If not utilized against future capital gains, $0.2 million of this capital loss carryforward will expire in 2016 and $11.0 million will expire in 2017.</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tax character of dividends declared during the fiscal year ended September 30, 2009 was solely from ordinary income and totaled $20.2 million or $0.96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September 30, 2009 or 2008.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September 30, 2009 and 2008, PennantPark Investment’s total net assets and net asset value per share were $300.6 million and $210.7 million, respectively, and $11.85 and $10.00, respectively. On September 30, 2007, PennantPark Investment’s total net assets and net asset value per share were $270.4 million and $12.83, respectively. Below please find the financial highlights for the periods ending September 30, 2009, 2008 and 2007.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4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20" w:type="dxa"/>
            <w:vAlign w:val="bottom"/>
            <w:gridSpan w:val="2"/>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11.99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Net change in realized and unrealized loss</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0.62</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(0.96)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(0.90)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Dilutive effect of common stock issuance below net asset value</w:t>
            </w: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(0.79)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related to public offerings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11.85</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30.39%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25,368,772</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21,068,772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to average net assets</w:t>
            </w:r>
            <w:r>
              <w:rPr>
                <w:rFonts w:ascii="Arial" w:cs="Arial" w:eastAsia="Arial" w:hAnsi="Arial"/>
                <w:sz w:val="11"/>
                <w:szCs w:val="11"/>
                <w:color w:val="auto"/>
              </w:rPr>
              <w:t>(6)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300,580,268</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210,728,260</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Average debt outstanding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182,490,685</w:t>
            </w:r>
          </w:p>
        </w:tc>
        <w:tc>
          <w:tcPr>
            <w:tcW w:w="5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119,472,732</w:t>
            </w:r>
          </w:p>
        </w:tc>
        <w:tc>
          <w:tcPr>
            <w:tcW w:w="6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7.47%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Not annualized</w:t>
      </w:r>
    </w:p>
    <w:p>
      <w:pPr>
        <w:spacing w:after="0" w:line="69" w:lineRule="exact"/>
        <w:rPr>
          <w:sz w:val="20"/>
          <w:szCs w:val="20"/>
          <w:color w:val="auto"/>
        </w:rPr>
      </w:pPr>
    </w:p>
    <w:p>
      <w:pPr>
        <w:ind w:left="340" w:hanging="332"/>
        <w:spacing w:after="0" w:line="239" w:lineRule="auto"/>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Net investment income and net change in realized and unrealized loss per share data are calculated based on the weighted average shares outstanding for the respective period.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spacing w:after="0" w:line="5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50" w:lineRule="exact"/>
        <w:rPr>
          <w:rFonts w:ascii="Arial" w:cs="Arial" w:eastAsia="Arial" w:hAnsi="Arial"/>
          <w:sz w:val="18"/>
          <w:szCs w:val="18"/>
          <w:color w:val="auto"/>
        </w:rPr>
      </w:pPr>
    </w:p>
    <w:p>
      <w:pPr>
        <w:jc w:val="both"/>
        <w:ind w:left="460" w:right="320" w:hanging="452"/>
        <w:spacing w:after="0" w:line="306"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ratio of operating expenses to average net assets before adoption of ASC 825 for the fiscal year ended September 30, 2009 was 9.32%. The ratio of operating expenses to average net assets before management fee waiver was 6.47% and 4.28% for the fiscal year ended September 30, 2008 and for the period from April 24, 2007 (initial public offering) through September 30, 2007, respectively.</w:t>
      </w:r>
    </w:p>
    <w:p>
      <w:pPr>
        <w:spacing w:after="0" w:line="25"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ratio of total expenses to average net assets before adoption of ASC 825 for the fiscal year ended September 30, 2009 was 11.75%. the ratio of total expenses before management fee waiver to average net assets was 9.13% and 5.78% for the fiscal year ended September 30, 2008 and for the period from April 24, 2007 (initial public offering) through September 30, 2007, respectively.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September 30, 2009, there was $225.1 million in outstanding borrowings under the credit facility (including a $7.0 million temporary draw), with a weighted average interest rate at the time of 1.31% exclusive of the fee on undrawn commitment of 0.20%.</w:t>
      </w:r>
    </w:p>
    <w:p>
      <w:pPr>
        <w:spacing w:after="0" w:line="11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is approximately 271% including temporary draw as of September 30, 2009 or 278% excluding such draws, and restrictions on certain payments and issuance of debt. For a complete list of such covenants, see our report on Form 8-K, filed June 28, 2007.</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events after the Statement of Assets and Liabilities date have been evaluated through the November 18, 2009.</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13, 2009, the underwriters of the follow-on public offering of common stock exercised their over-allotment option under the underwriting agreement and elected to purchase an additional 440,000 shares of common stock from us at a price of $8.00 per share, resulting in proceeds, net of underwriting fees, of $3.3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60"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have reviewed the accompanying statement of assets and liabilities of PennantPark Investment Corporation (the “Company”) , including the schedules of investments, as of December 31, 2009, and the statements of operations, changes in net assets, and cash flows for the three month periods ended December 31, 2009 and 2008. These interim financial statements are the responsibility of the Company’s management.</w:t>
      </w:r>
    </w:p>
    <w:p>
      <w:pPr>
        <w:spacing w:after="0" w:line="26"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financial statements referred to above for them to be in conformity with U.S. generally accepted accounting principles.</w:t>
      </w:r>
    </w:p>
    <w:p>
      <w:pPr>
        <w:spacing w:after="0" w:line="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statement of assets and liabilities of PennantPark Investment Corporation, including the schedule of investments, as of September 30, 2009; and in our report dated November 18, 2009, we expressed an unqualified opinion on that financial statement and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526540" cy="3175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00"/>
          </w:cols>
          <w:pgMar w:left="240" w:top="460"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ind w:left="2940"/>
              <w:spacing w:after="0"/>
              <w:rPr>
                <w:sz w:val="20"/>
                <w:szCs w:val="20"/>
                <w:color w:val="auto"/>
              </w:rPr>
            </w:pPr>
            <w:r>
              <w:rPr>
                <w:rFonts w:ascii="Arial" w:cs="Arial" w:eastAsia="Arial" w:hAnsi="Arial"/>
                <w:sz w:val="18"/>
                <w:szCs w:val="18"/>
                <w:b w:val="1"/>
                <w:bCs w:val="1"/>
                <w:color w:val="auto"/>
              </w:rPr>
              <w:t>PENNANTPARK INVESTMENT CORPORATION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3040"/>
              <w:spacing w:after="0"/>
              <w:rPr>
                <w:sz w:val="20"/>
                <w:szCs w:val="20"/>
                <w:color w:val="auto"/>
              </w:rPr>
            </w:pPr>
            <w:r>
              <w:rPr>
                <w:rFonts w:ascii="Arial" w:cs="Arial" w:eastAsia="Arial" w:hAnsi="Arial"/>
                <w:sz w:val="18"/>
                <w:szCs w:val="18"/>
                <w:b w:val="1"/>
                <w:bCs w:val="1"/>
                <w:color w:val="auto"/>
              </w:rPr>
              <w:t>STATEMENTS OF ASSETS AND LIABILITIES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2009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Non-controlled, non-affiliated investments, at fair value (cost—$499,221,096 and $479,909,805,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497,049,288</w:t>
            </w:r>
          </w:p>
        </w:tc>
        <w:tc>
          <w:tcPr>
            <w:tcW w:w="3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453,644,335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Non-controlled, affiliated investments, at fair value (cost—$17,566,905 and $17,378,081, respectively)</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16,092,038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16,115,738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of Investments, at fair value (cost—$516,788,001 and $497,287,886,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513,141,326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7,051,165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Receivables for investments sold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45,891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Liabilities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6,452,193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6,455,018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(cost—$245,700,000 and $225,100,000, respectively)</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(See Notes 5 and 10)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201,914,294</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175,475,380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1,809,453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1,532,027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220,749,472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211,801,101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7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3"/>
              </w:rPr>
              <w:t>Net Assets</w:t>
            </w: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w w:val="94"/>
              </w:rPr>
              <w:t>Common stock, par value $0.001 per share, 100,000,000 shares authorized, 25,808,772 and 25,368,772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ind w:left="200"/>
              <w:spacing w:after="0"/>
              <w:rPr>
                <w:sz w:val="20"/>
                <w:szCs w:val="20"/>
                <w:color w:val="auto"/>
              </w:rPr>
            </w:pPr>
            <w:r>
              <w:rPr>
                <w:rFonts w:ascii="Arial" w:cs="Arial" w:eastAsia="Arial" w:hAnsi="Arial"/>
                <w:sz w:val="18"/>
                <w:szCs w:val="18"/>
                <w:color w:val="auto"/>
              </w:rPr>
              <w:t>issued and outstanding, respectively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25,809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330,405,864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327,062,304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Undistributed net investment income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2,675,930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1,890,235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and cash equivalents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(67,098,312)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(50,494,447)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(3,646,675)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(27,527,813)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 (See Note 5)</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43,785,706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340" w:type="dxa"/>
            <w:vAlign w:val="bottom"/>
          </w:tcPr>
          <w:p>
            <w:pPr>
              <w:spacing w:after="0"/>
              <w:rPr>
                <w:sz w:val="19"/>
                <w:szCs w:val="19"/>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300,580,268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526,897,794</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512,381,369</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3"/>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11.86</w:t>
            </w:r>
          </w:p>
        </w:tc>
        <w:tc>
          <w:tcPr>
            <w:tcW w:w="34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5"/>
              </w:rPr>
              <w:t>Three months ended</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12,951,233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11,712,010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319,603</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Interest</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327,649</w:t>
            </w: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13,598,485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12,076,509</w:t>
            </w: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2,524,653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1,809,380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credit facility 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818,683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557,504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Expenses before taxes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6,253,635</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 (See Note 2)</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106,962</w:t>
            </w:r>
          </w:p>
        </w:tc>
        <w:tc>
          <w:tcPr>
            <w:tcW w:w="7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6,360,597</w:t>
            </w: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6,308,580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7,237,888</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21"/>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(16,603,865)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24,093,662</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(40,663,091)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(212,524)</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(1,693,186)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unrealized (appreciation) depreciation (See Note 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(5,838,914)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restart"/>
          </w:tcPr>
          <w:p>
            <w:pPr>
              <w:ind w:left="420"/>
              <w:spacing w:after="0"/>
              <w:rPr>
                <w:sz w:val="20"/>
                <w:szCs w:val="20"/>
                <w:color w:val="auto"/>
              </w:rPr>
            </w:pPr>
            <w:r>
              <w:rPr>
                <w:rFonts w:ascii="Arial" w:cs="Arial" w:eastAsia="Arial" w:hAnsi="Arial"/>
                <w:sz w:val="18"/>
                <w:szCs w:val="18"/>
                <w:color w:val="auto"/>
              </w:rPr>
              <w:t>Net change in unrealized appreciation (depreciation)</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18,042,224</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(36,637,583)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1,438,359</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(37,524,653)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7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(31,756,724)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 operations per common share (See Note 8)</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assets from operations: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7,237,888</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5,767,929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on investments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(16,603,865)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23,881,138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(5,838,914)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8,676,247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(31,756,724)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to Stockholders: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Dividends from net investment income</w:t>
            </w:r>
          </w:p>
        </w:tc>
        <w:tc>
          <w:tcPr>
            <w:tcW w:w="1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(6,452,193)</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Issuance of shares of common stock, net of offering costs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3,344,000</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(decrease) in net assets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5,568,054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(36,813,229)</w:t>
            </w:r>
          </w:p>
        </w:tc>
        <w:tc>
          <w:tcPr>
            <w:tcW w:w="0" w:type="dxa"/>
            <w:vAlign w:val="bottom"/>
          </w:tcPr>
          <w:p>
            <w:pPr>
              <w:spacing w:after="0"/>
              <w:rPr>
                <w:sz w:val="1"/>
                <w:szCs w:val="1"/>
                <w:color w:val="auto"/>
              </w:rPr>
            </w:pPr>
          </w:p>
        </w:tc>
      </w:tr>
      <w:tr>
        <w:trPr>
          <w:trHeight w:val="32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210,728,260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(See Note 5)</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period balance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300,580,268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252,524,260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306,148,322</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215,711,031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period end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2,675,930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Capital Share Activity: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in connection with public offering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89"/>
              </w:rPr>
              <w:t>Three Months Ended</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December 31,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8,676,247</w:t>
            </w:r>
          </w:p>
        </w:tc>
        <w:tc>
          <w:tcPr>
            <w:tcW w:w="8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(31,756,724)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increase (decrease) in net assets resulting from operations to net cash</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for) provided by operating activities: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(23,881,138)</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5,838,914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(5,718,694)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16,603,865</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(1,271,930)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(50,481,259)</w:t>
            </w: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(803,896)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(1,159,733)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16,808,942</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interest receivable</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(175,073)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2,680,116</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 payables for investments purchased</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(19,489,525)</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unfunded investments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(Decrease) increase in interest payable on credit facility</w:t>
            </w:r>
          </w:p>
        </w:tc>
        <w:tc>
          <w:tcPr>
            <w:tcW w:w="18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(10,954)</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304,543</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301,289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(115,217)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720"/>
              <w:spacing w:after="0"/>
              <w:rPr>
                <w:sz w:val="20"/>
                <w:szCs w:val="20"/>
                <w:color w:val="auto"/>
              </w:rPr>
            </w:pPr>
            <w:r>
              <w:rPr>
                <w:rFonts w:ascii="Arial" w:cs="Arial" w:eastAsia="Arial" w:hAnsi="Arial"/>
                <w:sz w:val="18"/>
                <w:szCs w:val="18"/>
                <w:color w:val="auto"/>
              </w:rPr>
              <w:t>Net cash (used for) provided by operating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(45,083,996)</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10,008,844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Issuance of shares of common stock, net of offering costs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3,344,000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(5,056,505)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(5,056,505)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51,300,000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10)</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(30,700,000)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(52,100,000)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18,887,495</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(49,656,505)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(26,196,501)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(39,647,661)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33,247,666</w:t>
            </w:r>
          </w:p>
        </w:tc>
        <w:tc>
          <w:tcPr>
            <w:tcW w:w="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40,249,201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7,051,165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601,540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762,328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1,757,177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41,796,000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00" w:type="dxa"/>
            <w:vAlign w:val="bottom"/>
          </w:tcPr>
          <w:p>
            <w:pPr>
              <w:spacing w:after="0"/>
              <w:rPr>
                <w:sz w:val="15"/>
                <w:szCs w:val="15"/>
                <w:color w:val="auto"/>
              </w:rPr>
            </w:pPr>
          </w:p>
        </w:tc>
        <w:tc>
          <w:tcPr>
            <w:tcW w:w="68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8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6"/>
              </w:rPr>
              <w:t>Par / Shares</w:t>
            </w:r>
          </w:p>
        </w:tc>
        <w:tc>
          <w:tcPr>
            <w:tcW w:w="86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162.4% </w:t>
            </w:r>
            <w:r>
              <w:rPr>
                <w:rFonts w:ascii="Arial" w:cs="Arial" w:eastAsia="Arial" w:hAnsi="Arial"/>
                <w:sz w:val="17"/>
                <w:szCs w:val="17"/>
                <w:b w:val="1"/>
                <w:bCs w:val="1"/>
                <w:color w:val="auto"/>
                <w:vertAlign w:val="superscript"/>
              </w:rPr>
              <w:t>(1),(2)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56.1%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03/01/2012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$ 23,572,133</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$ 22,993,485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$ 22,346,382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12/15/2016</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9"/>
              </w:rPr>
              <w:t>Diversified / Conglomerate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11.13%</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9,596,022</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9,975,000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center"/>
              <w:spacing w:after="0" w:line="159" w:lineRule="exact"/>
              <w:rPr>
                <w:sz w:val="20"/>
                <w:szCs w:val="20"/>
                <w:color w:val="auto"/>
              </w:rPr>
            </w:pPr>
            <w:r>
              <w:rPr>
                <w:rFonts w:ascii="Arial" w:cs="Arial" w:eastAsia="Arial" w:hAnsi="Arial"/>
                <w:sz w:val="14"/>
                <w:szCs w:val="14"/>
                <w:color w:val="auto"/>
                <w:w w:val="90"/>
              </w:rPr>
              <w:t>Manufacturing</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04/17/2015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8,109,468</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7,957,538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Intermediate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03/22/2014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vMerge w:val="restart"/>
          </w:tcPr>
          <w:p>
            <w:pPr>
              <w:jc w:val="right"/>
              <w:ind w:right="104"/>
              <w:spacing w:after="0"/>
              <w:rPr>
                <w:sz w:val="20"/>
                <w:szCs w:val="20"/>
                <w:color w:val="auto"/>
              </w:rPr>
            </w:pPr>
            <w:r>
              <w:rPr>
                <w:rFonts w:ascii="Arial" w:cs="Arial" w:eastAsia="Arial" w:hAnsi="Arial"/>
                <w:sz w:val="11"/>
                <w:szCs w:val="11"/>
                <w:color w:val="auto"/>
                <w:w w:val="88"/>
              </w:rPr>
              <w:t>(6)</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7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14.00%</w:t>
            </w:r>
          </w:p>
        </w:tc>
        <w:tc>
          <w:tcPr>
            <w:tcW w:w="300" w:type="dxa"/>
            <w:vAlign w:val="bottom"/>
            <w:vMerge w:val="continue"/>
          </w:tcPr>
          <w:p>
            <w:pPr>
              <w:spacing w:after="0"/>
              <w:rPr>
                <w:sz w:val="13"/>
                <w:szCs w:val="13"/>
                <w:color w:val="auto"/>
              </w:rPr>
            </w:pPr>
          </w:p>
        </w:tc>
        <w:tc>
          <w:tcPr>
            <w:tcW w:w="680" w:type="dxa"/>
            <w:vAlign w:val="bottom"/>
            <w:gridSpan w:val="2"/>
          </w:tcPr>
          <w:p>
            <w:pPr>
              <w:jc w:val="center"/>
              <w:ind w:right="20"/>
              <w:spacing w:after="0" w:line="15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20,413,161</w:t>
            </w: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19,995,129</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21,025,556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04/01/2014</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995,803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06/06/2014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22,810,883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22,451,159</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22,993,370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05/20/2012</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14,746,483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12/28/2015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10,390,942</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10,267,437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9,975,304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8,955,185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12/29/2015</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11,126,218</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11,470,560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20,349,340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20,165,943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20,807,200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02/08/2015</w:t>
            </w:r>
          </w:p>
        </w:tc>
        <w:tc>
          <w:tcPr>
            <w:tcW w:w="100" w:type="dxa"/>
            <w:vAlign w:val="bottom"/>
          </w:tcPr>
          <w:p>
            <w:pPr>
              <w:spacing w:after="0"/>
              <w:rPr>
                <w:sz w:val="13"/>
                <w:szCs w:val="13"/>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3"/>
                <w:szCs w:val="13"/>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21,000,000</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20,489,864</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21,000,000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169,740,266</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171,668,935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45.5%</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6.31%</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L+600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13,600,000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13,167,599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12,185,600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02/07/2015</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7.29%</w:t>
            </w:r>
          </w:p>
        </w:tc>
        <w:tc>
          <w:tcPr>
            <w:tcW w:w="300" w:type="dxa"/>
            <w:vAlign w:val="bottom"/>
          </w:tcPr>
          <w:p>
            <w:pPr>
              <w:spacing w:after="0"/>
              <w:rPr>
                <w:sz w:val="11"/>
                <w:szCs w:val="11"/>
                <w:color w:val="auto"/>
              </w:rPr>
            </w:pPr>
          </w:p>
        </w:tc>
        <w:tc>
          <w:tcPr>
            <w:tcW w:w="68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11,745,828</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11,124,000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04/30/2015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7.75%</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L+750</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12,000,000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11,951,224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11,496,000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03/01/2014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center"/>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11/01/2017</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4,814,489</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QMG Acquisition, LLC, Term Loan A</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9.50%</w:t>
            </w:r>
          </w:p>
        </w:tc>
        <w:tc>
          <w:tcPr>
            <w:tcW w:w="300" w:type="dxa"/>
            <w:vAlign w:val="bottom"/>
          </w:tcPr>
          <w:p>
            <w:pPr>
              <w:spacing w:after="0"/>
              <w:rPr>
                <w:sz w:val="11"/>
                <w:szCs w:val="11"/>
                <w:color w:val="auto"/>
              </w:rPr>
            </w:pPr>
          </w:p>
        </w:tc>
        <w:tc>
          <w:tcPr>
            <w:tcW w:w="680" w:type="dxa"/>
            <w:vAlign w:val="bottom"/>
            <w:gridSpan w:val="2"/>
          </w:tcPr>
          <w:p>
            <w:pPr>
              <w:jc w:val="center"/>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3,243,646</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3,243,646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 Term Loan B</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12/15/2015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11.50%</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0"/>
                <w:szCs w:val="10"/>
                <w:color w:val="auto"/>
              </w:rPr>
              <w:t xml:space="preserve">L+850 </w:t>
            </w:r>
            <w:r>
              <w:rPr>
                <w:rFonts w:ascii="Arial" w:cs="Arial" w:eastAsia="Arial" w:hAnsi="Arial"/>
                <w:sz w:val="15"/>
                <w:szCs w:val="15"/>
                <w:color w:val="auto"/>
                <w:vertAlign w:val="superscript"/>
              </w:rPr>
              <w:t>(8)</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1,629,488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10,566,670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05/15/2015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8.02%</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9,943,805</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05/15/2017</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Transportation</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16,930,027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15,983,750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5.98%</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L+575</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21,500,000</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18,938,779</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19,694,000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Childcare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12/15/2014</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7.23%</w:t>
            </w:r>
          </w:p>
        </w:tc>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22,488,167</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06/15/2015</w:t>
            </w: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7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7.01%</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88"/>
              </w:rPr>
              <w:t>(6)</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L+675</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17,094,214</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16,569,492</w:t>
            </w:r>
          </w:p>
        </w:tc>
        <w:tc>
          <w:tcPr>
            <w:tcW w:w="1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15,675,394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143,731,888</w:t>
            </w:r>
          </w:p>
        </w:tc>
        <w:tc>
          <w:tcPr>
            <w:tcW w:w="12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139,020,391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2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319</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318,896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12.00%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797,288</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978,806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0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4,137,240</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4,137,240</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4,927,099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80" w:type="dxa"/>
            <w:vAlign w:val="bottom"/>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72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6.50%</w:t>
            </w:r>
          </w:p>
        </w:tc>
        <w:tc>
          <w:tcPr>
            <w:tcW w:w="300" w:type="dxa"/>
            <w:vAlign w:val="bottom"/>
          </w:tcPr>
          <w:p>
            <w:pPr>
              <w:spacing w:after="0"/>
              <w:rPr>
                <w:sz w:val="11"/>
                <w:szCs w:val="11"/>
                <w:color w:val="auto"/>
              </w:rPr>
            </w:pPr>
          </w:p>
        </w:tc>
        <w:tc>
          <w:tcPr>
            <w:tcW w:w="680" w:type="dxa"/>
            <w:vAlign w:val="bottom"/>
            <w:gridSpan w:val="2"/>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1,312</w:t>
            </w:r>
          </w:p>
        </w:tc>
        <w:tc>
          <w:tcPr>
            <w:tcW w:w="10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1,312,006</w:t>
            </w:r>
          </w:p>
        </w:tc>
        <w:tc>
          <w:tcPr>
            <w:tcW w:w="12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UP Holdings Inc., Class A-1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72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8.00%</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91,608</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2,499,066</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2,879,746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9,750,316</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10,882,075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6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2140" w:type="dxa"/>
            <w:vAlign w:val="bottom"/>
          </w:tcPr>
          <w:p>
            <w:pPr>
              <w:ind w:left="72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3"/>
              </w:rPr>
              <w:t>Par / Shares</w:t>
            </w:r>
          </w:p>
        </w:tc>
        <w:tc>
          <w:tcPr>
            <w:tcW w:w="24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 xml:space="preserve">Value </w:t>
            </w:r>
            <w:r>
              <w:rPr>
                <w:rFonts w:ascii="Arial" w:cs="Arial" w:eastAsia="Arial" w:hAnsi="Arial"/>
                <w:sz w:val="20"/>
                <w:szCs w:val="20"/>
                <w:b w:val="1"/>
                <w:bCs w:val="1"/>
                <w:color w:val="auto"/>
                <w:w w:val="91"/>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4.8%</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line="138"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1,627</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245,762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5,556</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6,977,888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(CT Technologies Intermediate</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Holdings,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i2 Holdings Ltd.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3"/>
              </w:rPr>
              <w:t>Aerospace and Defense</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457,322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1,043,777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1,306,126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B</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531</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160,323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12/29/2019</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137,923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2,433,112</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3,449,041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1,242,185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9"/>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7,446,363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14,767,267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 – 52.2%</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1-800 Contacts,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03/04/2015</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13,894,737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11,907,829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13,269,474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10/01/2016</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7,500,000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7,289,802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7,696,875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07/31/2016</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9,436,259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11/20/2014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Communication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11.50%</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07/07/2012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14,228,928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13,502,355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10,628,954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Fairway Group Acquisition Company</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10/01/2014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8"/>
              </w:rPr>
              <w:t>Grocery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L+950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9,701,353</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03/08/2014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8,797,500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5,225,715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Headwaters Incorporated </w:t>
            </w:r>
            <w:r>
              <w:rPr>
                <w:rFonts w:ascii="Arial" w:cs="Arial" w:eastAsia="Arial" w:hAnsi="Arial"/>
                <w:sz w:val="15"/>
                <w:szCs w:val="15"/>
                <w:color w:val="auto"/>
                <w:vertAlign w:val="superscript"/>
              </w:rPr>
              <w:t>(5)</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11/01/2014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Diversified /Conglomerate</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3,000,000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2,972,827</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3,127,500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0"/>
              </w:rPr>
              <w:t>Manufacturing</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Hughes Network Systems,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04/15/2014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02/07/2014</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9,799,324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6,712,537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12,668,615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13,002,337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13,175,360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04/06/2010</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6,331,385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6,488,872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6,584,640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01/18/2014</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2.51%</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3,900,225</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2,730,158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National Bedding Co., L.L.C.</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02/28/2013</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w w:val="96"/>
              </w:rPr>
              <w:t>6,790,000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6,793,783</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6,207,194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4"/>
                <w:szCs w:val="14"/>
                <w:color w:val="auto"/>
                <w:w w:val="83"/>
              </w:rPr>
              <w:t>Products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Penton Media,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02/01/2013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3,215,328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Philosophy,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03/16/2014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2.24%</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Acquisition, LLC</w:t>
            </w:r>
          </w:p>
        </w:tc>
        <w:tc>
          <w:tcPr>
            <w:tcW w:w="76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shd w:val="clear" w:color="auto" w:fill="CCEEFF"/>
          </w:tcPr>
          <w:p>
            <w:pPr>
              <w:spacing w:after="0"/>
              <w:rPr>
                <w:sz w:val="11"/>
                <w:szCs w:val="11"/>
                <w:color w:val="auto"/>
              </w:rPr>
            </w:pPr>
          </w:p>
        </w:tc>
        <w:tc>
          <w:tcPr>
            <w:tcW w:w="21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10.50%</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0"/>
                <w:szCs w:val="10"/>
                <w:color w:val="auto"/>
              </w:rPr>
              <w:t xml:space="preserve">L+650 </w:t>
            </w:r>
            <w:r>
              <w:rPr>
                <w:rFonts w:ascii="Arial" w:cs="Arial" w:eastAsia="Arial" w:hAnsi="Arial"/>
                <w:sz w:val="15"/>
                <w:szCs w:val="15"/>
                <w:color w:val="auto"/>
                <w:vertAlign w:val="superscript"/>
              </w:rPr>
              <w:t>(8)</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277,174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0"/>
                <w:szCs w:val="10"/>
                <w:color w:val="auto"/>
              </w:rPr>
              <w:t>QMG Acquisition, LLC</w:t>
            </w:r>
            <w:r>
              <w:rPr>
                <w:rFonts w:ascii="Arial" w:cs="Arial" w:eastAsia="Arial" w:hAnsi="Arial"/>
                <w:sz w:val="15"/>
                <w:szCs w:val="15"/>
                <w:color w:val="auto"/>
                <w:vertAlign w:val="superscript"/>
              </w:rPr>
              <w:t>(9)</w:t>
            </w:r>
          </w:p>
        </w:tc>
        <w:tc>
          <w:tcPr>
            <w:tcW w:w="76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4"/>
              </w:rPr>
              <w:t>04/03/2010</w:t>
            </w:r>
          </w:p>
        </w:tc>
        <w:tc>
          <w:tcPr>
            <w:tcW w:w="180" w:type="dxa"/>
            <w:vAlign w:val="bottom"/>
          </w:tcPr>
          <w:p>
            <w:pPr>
              <w:spacing w:after="0"/>
              <w:rPr>
                <w:sz w:val="11"/>
                <w:szCs w:val="11"/>
                <w:color w:val="auto"/>
              </w:rPr>
            </w:pPr>
          </w:p>
        </w:tc>
        <w:tc>
          <w:tcPr>
            <w:tcW w:w="214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123,634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(formerly Questex Media Group, Inc.)</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Rexnord, L.L.C.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07/19/2013</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2,880,457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Sitel, L.L.C.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01/30/2014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5.77%</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2,320,214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09/23/2014</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20,000,000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19,241,573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19,625,000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U.S. Xpress Enterprises, Inc.</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10/12/2014</w:t>
            </w: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Transportation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6.50%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L+450 </w:t>
            </w:r>
            <w:r>
              <w:rPr>
                <w:rFonts w:ascii="Arial" w:cs="Arial" w:eastAsia="Arial" w:hAnsi="Arial"/>
                <w:sz w:val="17"/>
                <w:szCs w:val="17"/>
                <w:color w:val="auto"/>
                <w:vertAlign w:val="superscript"/>
              </w:rPr>
              <w:t>(8)</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14,915,634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10,407,364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12,230,820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Color Press Inc.</w:t>
            </w: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07/21/2012</w:t>
            </w: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Printing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3,493,681</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3,196,579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3,502,415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07/15/2016</w:t>
            </w:r>
          </w:p>
        </w:tc>
        <w:tc>
          <w:tcPr>
            <w:tcW w:w="180" w:type="dxa"/>
            <w:vAlign w:val="bottom"/>
          </w:tcPr>
          <w:p>
            <w:pPr>
              <w:spacing w:after="0"/>
              <w:rPr>
                <w:sz w:val="13"/>
                <w:szCs w:val="13"/>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tcPr>
          <w:p>
            <w:pPr>
              <w:spacing w:after="0"/>
              <w:rPr>
                <w:sz w:val="13"/>
                <w:szCs w:val="13"/>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5,000,000</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4,861,682</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5,250,000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First Lien Secured Debt</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168,552,263</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160,710,620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6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499,221,096</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497,049,288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rPr>
              <w:t>Maturity</w:t>
            </w:r>
          </w:p>
        </w:tc>
        <w:tc>
          <w:tcPr>
            <w:tcW w:w="2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2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6"/>
              </w:rPr>
              <w:t>Par / Shares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 – 5.3% </w:t>
            </w:r>
            <w:r>
              <w:rPr>
                <w:rFonts w:ascii="Arial" w:cs="Arial" w:eastAsia="Arial" w:hAnsi="Arial"/>
                <w:sz w:val="17"/>
                <w:szCs w:val="17"/>
                <w:b w:val="1"/>
                <w:bCs w:val="1"/>
                <w:color w:val="auto"/>
                <w:vertAlign w:val="superscript"/>
              </w:rPr>
              <w:t>(1),(2)</w:t>
            </w: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1.7%</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07/02/2014</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0"/>
                <w:szCs w:val="10"/>
                <w:color w:val="auto"/>
              </w:rPr>
              <w:t xml:space="preserve">14.25% </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5,258,719</w:t>
            </w:r>
          </w:p>
        </w:tc>
        <w:tc>
          <w:tcPr>
            <w:tcW w:w="1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5,066,905</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5,127,251</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2.7%</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07/02/2013</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1200" w:type="dxa"/>
            <w:vAlign w:val="bottom"/>
            <w:gridSpan w:val="3"/>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6.04%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89"/>
              </w:rPr>
              <w:t>8,750,000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8,115,625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 </w:t>
            </w:r>
            <w:r>
              <w:rPr>
                <w:rFonts w:ascii="Arial" w:cs="Arial" w:eastAsia="Arial" w:hAnsi="Arial"/>
                <w:sz w:val="18"/>
                <w:szCs w:val="18"/>
                <w:b w:val="1"/>
                <w:bCs w:val="1"/>
                <w:color w:val="auto"/>
                <w:vertAlign w:val="superscript"/>
              </w:rPr>
              <w:t>(7)</w:t>
            </w:r>
            <w:r>
              <w:rPr>
                <w:rFonts w:ascii="Arial" w:cs="Arial" w:eastAsia="Arial" w:hAnsi="Arial"/>
                <w:sz w:val="12"/>
                <w:szCs w:val="12"/>
                <w:b w:val="1"/>
                <w:bCs w:val="1"/>
                <w:color w:val="auto"/>
              </w:rPr>
              <w:t xml:space="preserve"> – 0.9%</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Leisure, Amusement, Motion</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3,750,000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2,849,162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(Performance Holdings, Inc.)</w:t>
            </w: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Pictures and Entertainment</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9"/>
              </w:rPr>
              <w:t>Investments in Non-Controlled, Affiliated Portfolio Companies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17,566,905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16,092,038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167.6%</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516,788,001</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513,141,326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2.3%</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89"/>
              </w:rPr>
              <w:t>7,051,165</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7,051,165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169.9%</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523,839,166</w:t>
            </w: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520,192,491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(69.9%)</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(214,044,169)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306,148,322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87"/>
              </w:rPr>
              <w:t>Index</w:t>
            </w:r>
            <w:r>
              <w:rPr>
                <w:rFonts w:ascii="Arial" w:cs="Arial" w:eastAsia="Arial" w:hAnsi="Arial"/>
                <w:sz w:val="20"/>
                <w:szCs w:val="20"/>
                <w:b w:val="1"/>
                <w:bCs w:val="1"/>
                <w:color w:val="auto"/>
                <w:w w:val="87"/>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7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80" w:type="dxa"/>
            <w:vAlign w:val="bottom"/>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 – 150.9% </w:t>
            </w:r>
            <w:r>
              <w:rPr>
                <w:rFonts w:ascii="Arial" w:cs="Arial" w:eastAsia="Arial" w:hAnsi="Arial"/>
                <w:sz w:val="16"/>
                <w:szCs w:val="16"/>
                <w:b w:val="1"/>
                <w:bCs w:val="1"/>
                <w:color w:val="auto"/>
                <w:vertAlign w:val="superscript"/>
              </w:rPr>
              <w:t>(1),(2)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 – 50.6%</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03/01/2012</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$ 23,572,133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$ 22,930,475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$ 21,497,875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04/17/2015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8,109,468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7,952,769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8,190,563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03/22/2014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20,311,603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19,875,880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20,463,940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Digicel Limited </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995,610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06/06/2014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14.75%</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22,653,857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22,279,800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22,880,395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IDQ Holdings,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05/20/2012</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13.75%</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19,632,400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20,060,000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12/28/2015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10,324,976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10,190,682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10,324,976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04/15/2015</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8,921,187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5,525,000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10/01/2016</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20,197,856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20,010,210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20,652,308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02/08/2015</w:t>
            </w:r>
          </w:p>
        </w:tc>
        <w:tc>
          <w:tcPr>
            <w:tcW w:w="180" w:type="dxa"/>
            <w:vAlign w:val="bottom"/>
          </w:tcPr>
          <w:p>
            <w:pPr>
              <w:spacing w:after="0"/>
              <w:rPr>
                <w:sz w:val="13"/>
                <w:szCs w:val="13"/>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21,000,000</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20,472,809</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21,420,000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153,261,822</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152,130,057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 – 42.1%</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6.36%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L+600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13,600,000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13,153,077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12,416,800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w w:val="96"/>
              </w:rPr>
              <w:t>02/07/2015</w:t>
            </w:r>
          </w:p>
        </w:tc>
        <w:tc>
          <w:tcPr>
            <w:tcW w:w="180" w:type="dxa"/>
            <w:vAlign w:val="bottom"/>
          </w:tcPr>
          <w:p>
            <w:pPr>
              <w:spacing w:after="0"/>
              <w:rPr>
                <w:sz w:val="11"/>
                <w:szCs w:val="11"/>
                <w:color w:val="auto"/>
              </w:rPr>
            </w:pPr>
          </w:p>
        </w:tc>
        <w:tc>
          <w:tcPr>
            <w:tcW w:w="1760" w:type="dxa"/>
            <w:vAlign w:val="bottom"/>
          </w:tcPr>
          <w:p>
            <w:pPr>
              <w:jc w:val="center"/>
              <w:spacing w:after="0" w:line="138"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3"/>
          </w:tcPr>
          <w:p>
            <w:pPr>
              <w:jc w:val="right"/>
              <w:ind w:right="20"/>
              <w:spacing w:after="0" w:line="138" w:lineRule="exact"/>
              <w:rPr>
                <w:sz w:val="20"/>
                <w:szCs w:val="20"/>
                <w:color w:val="auto"/>
              </w:rPr>
            </w:pPr>
            <w:r>
              <w:rPr>
                <w:rFonts w:ascii="Arial" w:cs="Arial" w:eastAsia="Arial" w:hAnsi="Arial"/>
                <w:sz w:val="14"/>
                <w:szCs w:val="14"/>
                <w:color w:val="auto"/>
              </w:rPr>
              <w:t>7.44%</w:t>
            </w:r>
          </w:p>
        </w:tc>
        <w:tc>
          <w:tcPr>
            <w:tcW w:w="380" w:type="dxa"/>
            <w:vAlign w:val="bottom"/>
          </w:tcPr>
          <w:p>
            <w:pPr>
              <w:spacing w:after="0"/>
              <w:rPr>
                <w:sz w:val="11"/>
                <w:szCs w:val="11"/>
                <w:color w:val="auto"/>
              </w:rPr>
            </w:pPr>
          </w:p>
        </w:tc>
        <w:tc>
          <w:tcPr>
            <w:tcW w:w="8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11,735,965</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11,364,000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Services, Inc.</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Generics International (U.S.),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04/30/2015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7.78%</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L+750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12,000,000</w:t>
            </w:r>
          </w:p>
        </w:tc>
        <w:tc>
          <w:tcPr>
            <w:tcW w:w="112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11,949,634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11,376,000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03/01/2014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1"/>
                <w:szCs w:val="11"/>
                <w:color w:val="auto"/>
              </w:rPr>
              <w:t xml:space="preserve">L+700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2,309,343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2,309,344</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2,309,344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11/04/2014</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6.91%</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10/15/2017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10,387,500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05/15/2015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9,941,121</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05/15/2017</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16,890,972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14,250,000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w:t>
            </w:r>
          </w:p>
        </w:tc>
        <w:tc>
          <w:tcPr>
            <w:tcW w:w="80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6.00%</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L+575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21,500,000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18,855,728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19,414,500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Childcare</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6"/>
              </w:rPr>
              <w:t>12/15/2014</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L+700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22,500,000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22,488,166</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6"/>
              </w:rPr>
              <w:t>06/15/2015</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7.04%</w:t>
            </w:r>
          </w:p>
        </w:tc>
        <w:tc>
          <w:tcPr>
            <w:tcW w:w="38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L+675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16,792,105</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16,247,489</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15,264,023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20" w:type="dxa"/>
            <w:vAlign w:val="bottom"/>
            <w:gridSpan w:val="3"/>
          </w:tcPr>
          <w:p>
            <w:pPr>
              <w:spacing w:after="0" w:line="155" w:lineRule="exact"/>
              <w:rPr>
                <w:sz w:val="20"/>
                <w:szCs w:val="20"/>
                <w:color w:val="auto"/>
              </w:rPr>
            </w:pPr>
            <w:r>
              <w:rPr>
                <w:rFonts w:ascii="Arial" w:cs="Arial" w:eastAsia="Arial" w:hAnsi="Arial"/>
                <w:sz w:val="14"/>
                <w:szCs w:val="14"/>
                <w:color w:val="auto"/>
              </w:rPr>
              <w:t>Total Second Lien Secured Debt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143,571,496</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2"/>
              </w:rPr>
              <w:t>126,382,167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w:t>
            </w:r>
            <w:r>
              <w:rPr>
                <w:rFonts w:ascii="Arial" w:cs="Arial" w:eastAsia="Arial" w:hAnsi="Arial"/>
                <w:sz w:val="17"/>
                <w:szCs w:val="17"/>
                <w:color w:val="auto"/>
                <w:vertAlign w:val="superscript"/>
              </w:rPr>
              <w:t>(7)</w:t>
            </w:r>
            <w:r>
              <w:rPr>
                <w:rFonts w:ascii="Arial" w:cs="Arial" w:eastAsia="Arial" w:hAnsi="Arial"/>
                <w:sz w:val="11"/>
                <w:szCs w:val="11"/>
                <w:b w:val="1"/>
                <w:bCs w:val="1"/>
                <w:color w:val="auto"/>
              </w:rPr>
              <w:t xml:space="preserve"> – 3.6%</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 Class A (Consolidated Foundries, Inc.)</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797,288</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949,648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200" w:type="dxa"/>
            <w:vAlign w:val="bottom"/>
          </w:tcPr>
          <w:p>
            <w:pPr>
              <w:spacing w:after="0"/>
              <w:rPr>
                <w:sz w:val="13"/>
                <w:szCs w:val="13"/>
                <w:color w:val="auto"/>
              </w:rPr>
            </w:pPr>
          </w:p>
        </w:tc>
        <w:tc>
          <w:tcPr>
            <w:tcW w:w="6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686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685,820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Insurance</w:t>
            </w:r>
          </w:p>
        </w:tc>
        <w:tc>
          <w:tcPr>
            <w:tcW w:w="8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6.50%</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78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8.00%</w:t>
            </w:r>
          </w:p>
        </w:tc>
        <w:tc>
          <w:tcPr>
            <w:tcW w:w="380" w:type="dxa"/>
            <w:vAlign w:val="bottom"/>
          </w:tcPr>
          <w:p>
            <w:pPr>
              <w:spacing w:after="0"/>
              <w:rPr>
                <w:sz w:val="13"/>
                <w:szCs w:val="13"/>
                <w:color w:val="auto"/>
              </w:rPr>
            </w:pPr>
          </w:p>
        </w:tc>
        <w:tc>
          <w:tcPr>
            <w:tcW w:w="84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2,499,067</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3,094,252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LLC</w:t>
            </w: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w:t>
            </w:r>
          </w:p>
        </w:tc>
        <w:tc>
          <w:tcPr>
            <w:tcW w:w="7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180"/>
              <w:spacing w:after="0" w:line="15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w:t>
            </w: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318,896</w:t>
            </w: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9,750,317</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10,934,053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0"/>
              </w:rPr>
              <w:t>Basis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Point</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Spread</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6"/>
              </w:rPr>
              <w:t>Current</w:t>
            </w:r>
          </w:p>
        </w:tc>
        <w:tc>
          <w:tcPr>
            <w:tcW w:w="380" w:type="dxa"/>
            <w:vAlign w:val="bottom"/>
          </w:tcPr>
          <w:p>
            <w:pPr>
              <w:spacing w:after="0"/>
              <w:rPr>
                <w:sz w:val="11"/>
                <w:szCs w:val="11"/>
                <w:color w:val="auto"/>
              </w:rPr>
            </w:pPr>
          </w:p>
        </w:tc>
        <w:tc>
          <w:tcPr>
            <w:tcW w:w="84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Above</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3"/>
              </w:rPr>
              <w:t>Coupon</w:t>
            </w:r>
          </w:p>
        </w:tc>
        <w:tc>
          <w:tcPr>
            <w:tcW w:w="380" w:type="dxa"/>
            <w:vAlign w:val="bottom"/>
          </w:tcPr>
          <w:p>
            <w:pPr>
              <w:spacing w:after="0"/>
              <w:rPr>
                <w:sz w:val="15"/>
                <w:szCs w:val="15"/>
                <w:color w:val="auto"/>
              </w:rPr>
            </w:pPr>
          </w:p>
        </w:tc>
        <w:tc>
          <w:tcPr>
            <w:tcW w:w="840" w:type="dxa"/>
            <w:vAlign w:val="bottom"/>
            <w:gridSpan w:val="2"/>
          </w:tcPr>
          <w:p>
            <w:pPr>
              <w:jc w:val="center"/>
              <w:ind w:right="36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3"/>
              </w:rPr>
              <w:t>Par / Shares</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6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Common Equity/Warrants/Partnership Interests </w:t>
            </w:r>
            <w:r>
              <w:rPr>
                <w:rFonts w:ascii="Arial" w:cs="Arial" w:eastAsia="Arial" w:hAnsi="Arial"/>
                <w:sz w:val="16"/>
                <w:szCs w:val="16"/>
                <w:b w:val="1"/>
                <w:bCs w:val="1"/>
                <w:color w:val="auto"/>
                <w:vertAlign w:val="superscript"/>
              </w:rPr>
              <w:t>(7)</w:t>
            </w:r>
            <w:r>
              <w:rPr>
                <w:rFonts w:ascii="Arial" w:cs="Arial" w:eastAsia="Arial" w:hAnsi="Arial"/>
                <w:sz w:val="11"/>
                <w:szCs w:val="11"/>
                <w:b w:val="1"/>
                <w:bCs w:val="1"/>
                <w:color w:val="auto"/>
              </w:rPr>
              <w:t xml:space="preserve"> – 4.5%</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3,000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  3,005,163</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1,627</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16,271</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215,547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3"/>
              </w:rPr>
              <w:t>Business Services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5,556</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3,200,000</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6,696,281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i2 Holdings Ltd.</w:t>
            </w: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457,322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454,030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1,293,476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106,299</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1,779,455</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2,391,463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w:t>
            </w:r>
          </w:p>
        </w:tc>
        <w:tc>
          <w:tcPr>
            <w:tcW w:w="660" w:type="dxa"/>
            <w:vAlign w:val="bottom"/>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6,467</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1,337,451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w:t>
            </w:r>
          </w:p>
        </w:tc>
        <w:tc>
          <w:tcPr>
            <w:tcW w:w="660" w:type="dxa"/>
            <w:vAlign w:val="bottom"/>
          </w:tcPr>
          <w:p>
            <w:pPr>
              <w:ind w:left="46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96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80" w:type="dxa"/>
            <w:vAlign w:val="bottom"/>
          </w:tcPr>
          <w:p>
            <w:pPr>
              <w:spacing w:after="0"/>
              <w:rPr>
                <w:sz w:val="11"/>
                <w:szCs w:val="11"/>
                <w:color w:val="auto"/>
              </w:rPr>
            </w:pP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84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91,608</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916</w:t>
            </w:r>
          </w:p>
        </w:tc>
        <w:tc>
          <w:tcPr>
            <w:tcW w:w="24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1,656,350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VSS-AHC Holdings, Inc.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11/06/2018</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(Advanstar Inc.) (Warrant)</w:t>
            </w: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8,462,302</w:t>
            </w:r>
          </w:p>
        </w:tc>
        <w:tc>
          <w:tcPr>
            <w:tcW w:w="240" w:type="dxa"/>
            <w:vAlign w:val="bottom"/>
          </w:tcPr>
          <w:p>
            <w:pPr>
              <w:spacing w:after="0"/>
              <w:rPr>
                <w:sz w:val="14"/>
                <w:szCs w:val="14"/>
                <w:color w:val="auto"/>
              </w:rPr>
            </w:pPr>
          </w:p>
        </w:tc>
        <w:tc>
          <w:tcPr>
            <w:tcW w:w="7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w w:val="94"/>
              </w:rPr>
              <w:t>13,590,568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w:t>
            </w:r>
            <w:r>
              <w:rPr>
                <w:rFonts w:ascii="Arial" w:cs="Arial" w:eastAsia="Arial" w:hAnsi="Arial"/>
                <w:sz w:val="14"/>
                <w:szCs w:val="14"/>
                <w:b w:val="1"/>
                <w:bCs w:val="1"/>
                <w:color w:val="auto"/>
              </w:rPr>
              <w:t>irst Lien Secured Debt – 50.1%</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1-800 Contacts,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03/04/2015</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Distribution</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P+295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13,929,825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11,941,660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13,720,877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Burlington Coat Factory Warehouse Corp.</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05/28/2013</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Retail Store</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2,837,374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2,835,299</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10/01/2016</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1"/>
              </w:rPr>
              <w:t>Logistics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11.63%</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7,284,525</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7,284,525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07/31/2016</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1"/>
                <w:szCs w:val="11"/>
                <w:color w:val="auto"/>
              </w:rPr>
              <w:t xml:space="preserve">L+988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9,421,220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10,050,000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07/07/2012</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11.00%</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(6)</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P+775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14,175,260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13,391,908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12,715,207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Hanley-Wood,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2.49%</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8,842,500</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6,225,120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Hughes Network Systems,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04/15/2014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2.88%</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4,562,500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Jacuzzi Brands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02/07/2014</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2.53%</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9,817,568</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4,810,608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Levlad,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03/08/2014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7.75%</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L+475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4,434,548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4,434,548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1,064,292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Lyondell Chemical Co.</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13.00%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1"/>
                <w:szCs w:val="11"/>
                <w:color w:val="auto"/>
              </w:rPr>
              <w:t xml:space="preserve">L+1,000 </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12,668,615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12,965,067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13,169,026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Lyondell Chemical Co. </w:t>
            </w:r>
            <w:r>
              <w:rPr>
                <w:rFonts w:ascii="Arial" w:cs="Arial" w:eastAsia="Arial" w:hAnsi="Arial"/>
                <w:sz w:val="17"/>
                <w:szCs w:val="17"/>
                <w:color w:val="auto"/>
                <w:vertAlign w:val="superscript"/>
              </w:rPr>
              <w:t>(9)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12/15/2009</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6,331,385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6,458,897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6,581,474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01/18/2014</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2.55%</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L+225</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3,910,200</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3,022,585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Mitchell International,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03/28/2014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2.31%</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1,910,204</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1,910,204</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1,687,346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National Bedding Co., L.L.C.</w:t>
            </w:r>
          </w:p>
        </w:tc>
        <w:tc>
          <w:tcPr>
            <w:tcW w:w="6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02/28/2013</w:t>
            </w:r>
          </w:p>
        </w:tc>
        <w:tc>
          <w:tcPr>
            <w:tcW w:w="180" w:type="dxa"/>
            <w:vAlign w:val="bottom"/>
            <w:shd w:val="clear" w:color="auto" w:fill="CCEEFF"/>
          </w:tcPr>
          <w:p>
            <w:pPr>
              <w:spacing w:after="0"/>
              <w:rPr>
                <w:sz w:val="11"/>
                <w:szCs w:val="11"/>
                <w:color w:val="auto"/>
              </w:rPr>
            </w:pPr>
          </w:p>
        </w:tc>
        <w:tc>
          <w:tcPr>
            <w:tcW w:w="19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3"/>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2.26%</w:t>
            </w:r>
          </w:p>
        </w:tc>
        <w:tc>
          <w:tcPr>
            <w:tcW w:w="3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6,825,000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6,829,243</w:t>
            </w:r>
          </w:p>
        </w:tc>
        <w:tc>
          <w:tcPr>
            <w:tcW w:w="2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6,142,500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Products</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02/01/2013</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2.73%</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4,875,000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4,875,000</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3,568,500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Philosophy,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03/16/2014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1,426,506</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1,148,337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05/04/2014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5.25%</w:t>
            </w:r>
          </w:p>
        </w:tc>
        <w:tc>
          <w:tcPr>
            <w:tcW w:w="380" w:type="dxa"/>
            <w:vAlign w:val="bottom"/>
          </w:tcPr>
          <w:p>
            <w:pPr>
              <w:jc w:val="right"/>
              <w:ind w:right="184"/>
              <w:spacing w:after="0"/>
              <w:rPr>
                <w:sz w:val="20"/>
                <w:szCs w:val="20"/>
                <w:color w:val="auto"/>
              </w:rPr>
            </w:pPr>
            <w:r>
              <w:rPr>
                <w:rFonts w:ascii="Arial" w:cs="Arial" w:eastAsia="Arial" w:hAnsi="Arial"/>
                <w:sz w:val="11"/>
                <w:szCs w:val="11"/>
                <w:color w:val="auto"/>
                <w:w w:val="88"/>
              </w:rPr>
              <w:t>(7)</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4,886,667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4,886,667</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Rexair,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06/30/2010</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4.50%</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6,695,795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5,507,847</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5,189,241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Rexnord , L.L.C.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07/19/2013</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9"/>
              </w:rPr>
              <w:t>Manufacturing/Basic Industry</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3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L+200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2,887,881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2,887,881</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2,768,756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Sitel, L.L.C.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01/30/2014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5.95%</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L+550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2,682,328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2,226,332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Sugarhouse HSP Gaming Prop.</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09/23/2014</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11.25%</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L+825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19,203,528</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19,600,000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Xpress Enterprises,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10/12/2014</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Cargo Transportation</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4.26%</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L+400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14,966,254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10,315,732</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10,887,950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World Color Press Inc.</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8"/>
              </w:rPr>
              <w:t>07/21/2012</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2"/>
              </w:rPr>
              <w:t>Printing</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9.00%</w:t>
            </w:r>
          </w:p>
        </w:tc>
        <w:tc>
          <w:tcPr>
            <w:tcW w:w="3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1"/>
                <w:szCs w:val="11"/>
                <w:color w:val="auto"/>
              </w:rPr>
              <w:t xml:space="preserve">P+500 </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3,177,842</w:t>
            </w:r>
          </w:p>
        </w:tc>
        <w:tc>
          <w:tcPr>
            <w:tcW w:w="2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07/15/2016</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11.38%</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4,857,698</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164,863,868</w:t>
            </w:r>
          </w:p>
        </w:tc>
        <w:tc>
          <w:tcPr>
            <w:tcW w:w="240" w:type="dxa"/>
            <w:vAlign w:val="bottom"/>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150,607,490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Investments in Non-Controlled, Non-Affiliated Portfolio Companies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479,909,805</w:t>
            </w:r>
          </w:p>
        </w:tc>
        <w:tc>
          <w:tcPr>
            <w:tcW w:w="2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453,644,335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Maturity</w:t>
            </w:r>
          </w:p>
        </w:tc>
        <w:tc>
          <w:tcPr>
            <w:tcW w:w="2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20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Coupon</w:t>
            </w:r>
          </w:p>
        </w:tc>
        <w:tc>
          <w:tcPr>
            <w:tcW w:w="5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 / Shares</w:t>
            </w:r>
          </w:p>
        </w:tc>
        <w:tc>
          <w:tcPr>
            <w:tcW w:w="80" w:type="dxa"/>
            <w:vAlign w:val="bottom"/>
          </w:tcPr>
          <w:p>
            <w:pPr>
              <w:spacing w:after="0"/>
              <w:rPr>
                <w:sz w:val="15"/>
                <w:szCs w:val="15"/>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line="176" w:lineRule="exact"/>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20"/>
                <w:szCs w:val="20"/>
                <w:b w:val="1"/>
                <w:bCs w:val="1"/>
                <w:color w:val="auto"/>
                <w:w w:val="98"/>
                <w:vertAlign w:val="superscript"/>
              </w:rPr>
              <w:t>(3)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gridSpan w:val="3"/>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Companies—5.4% </w:t>
            </w:r>
            <w:r>
              <w:rPr>
                <w:rFonts w:ascii="Arial" w:cs="Arial" w:eastAsia="Arial" w:hAnsi="Arial"/>
                <w:sz w:val="17"/>
                <w:szCs w:val="17"/>
                <w:b w:val="1"/>
                <w:bCs w:val="1"/>
                <w:color w:val="auto"/>
                <w:vertAlign w:val="superscript"/>
              </w:rPr>
              <w:t>(1),(2)</w:t>
            </w: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Subordinated Debt/Corporate Notes – 1.7%</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07/02/2014</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5,077,822</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4,878,081</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4,988,960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 – 2.7%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07/02/2013</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18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6.24%</w:t>
            </w:r>
          </w:p>
        </w:tc>
        <w:tc>
          <w:tcPr>
            <w:tcW w:w="58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rPr>
              <w:t>L+575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w w:val="96"/>
              </w:rPr>
              <w:t>8,750,000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8,019,375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Common Equity/Partnership Interest </w:t>
            </w:r>
            <w:r>
              <w:rPr>
                <w:rFonts w:ascii="Arial" w:cs="Arial" w:eastAsia="Arial" w:hAnsi="Arial"/>
                <w:sz w:val="22"/>
                <w:szCs w:val="22"/>
                <w:b w:val="1"/>
                <w:bCs w:val="1"/>
                <w:color w:val="auto"/>
                <w:vertAlign w:val="superscript"/>
              </w:rPr>
              <w:t>(7)</w:t>
            </w:r>
            <w:r>
              <w:rPr>
                <w:rFonts w:ascii="Arial" w:cs="Arial" w:eastAsia="Arial" w:hAnsi="Arial"/>
                <w:sz w:val="14"/>
                <w:szCs w:val="14"/>
                <w:b w:val="1"/>
                <w:bCs w:val="1"/>
                <w:color w:val="auto"/>
              </w:rPr>
              <w:t xml:space="preserve"> – 1.0%</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6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4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560"/>
              <w:spacing w:after="0" w:line="13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37,500</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3,750,000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3,107,403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 Holdings, Inc.)</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Motion Pictures and</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17,378,081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9"/>
              </w:rPr>
              <w:t>16,115,738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156.3%</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497,287,886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469,760,073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 – 11.1%</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w w:val="85"/>
              </w:rPr>
              <w:t>33,247,666</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33,247,666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33,247,666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 – 167.4%</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530,535,552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503,007,739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 – (67.4%)</w:t>
            </w: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84"/>
              </w:rPr>
              <w:t>(202,427,471)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 – 100.0%</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300,580,268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“non-controlled” means we own less than 25% of a portfolio company’s voting securities.</w:t>
      </w:r>
    </w:p>
    <w:p>
      <w:pPr>
        <w:ind w:left="340" w:right="20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As used in this Schedule of Investments and in accordance with the 1940 Act, “non-affiliated” means we own less than 5% of a portfolio company’s voting securities and “affiliated” means that we own 5% or more, but less than 25%, of a portfolio company’s voting securities.</w:t>
      </w: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financial statements).</w:t>
      </w:r>
    </w:p>
    <w:p>
      <w:pPr>
        <w:ind w:left="340" w:hanging="332"/>
        <w:spacing w:after="0"/>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tabs>
          <w:tab w:leader="none" w:pos="3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Investment’s objective is to generate both current income and capital appreciation through debt and equity investments. PennantPark Investment invests primarily in U.S. middle-market companies in the form of mezzanine debt, senior secured loans and equity investments. Before the completion of its initial public offering on April 24, 2007, PennantPark Investment had limited operations other than the sale and issuance of 80,000 shares of common stock at a price of $15.00 per share to PennantPark Investment Advisers, LLC (the “Investment Adviser” or “PennantPark Investment Advisers”), resulting in net proceeds of $1.2 million.</w:t>
      </w:r>
    </w:p>
    <w:p>
      <w:pPr>
        <w:spacing w:after="0" w:line="11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April 24, 2007 PennantPark Investment closed its initial public offering and sold 20,000,000 shares of common stock at a price of $15.00 per share, resulting in net proceeds of $279.6 million. Also, on April 24, 2007 PennantPark Investment closed a private placement to officers, directors, the Investment Adviser and managers of the Investment Adviser, pursuant to Regulation D promulgated under the Securities Act of 1933, and issued an additional 320,000 shares of common stock at a price of $15.00 per share, resulting in net proceeds of $4.8 million. On May 21, 2007, the underwriters of the initial public offering exercised their over-allotment option under the Underwriting Agreement and elected to purchase 625,000 shares of common stock at a price of $15.00 per share, resulting in net proceeds of $8.8 million.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29, 2009 PennantPark Investment closed a secondary public offering and sold 4,300,000 shares of common stock at a price of $8.00 per share, resulting in proceeds of $32.5 million. On October 13, 2009, the underwriters of the secondary offering exercised their over-allotment option under the underwriting agreement and elected to purchase an additional 440,000 shares of common stock at a price of $8.00 per share resulting in additional net proceeds of $3.3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reported amount of assets and liabilities at the date of the financial statements and the reported amounts of income and expenses during the reported period. Actual results could differ from these estimates. Certain prior period amounts have been reclassified to conform to current period presentation. References to the Accounting Standards Codification, or ASC, serve as a single source of accounting literature and are not intended to change accounting literature.</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financial statements are prepared in accordance with GAAP and pursuant to the requirements for reporting on Form 10-K and Article 6 or 10 of Regulation S-X, as appropriate. In accordance with Article 6-09 of Regulation S-X under the Exchange Act, we are providing a Statement of Changes in Net Assets in lieu of a Statement of Changes in Stockholders’ Equity.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consistently followed by PennantPark Investment are:</w:t>
      </w:r>
    </w:p>
    <w:p>
      <w:pPr>
        <w:spacing w:after="0" w:line="9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Investment Valuations</w:t>
      </w:r>
    </w:p>
    <w:p>
      <w:pPr>
        <w:spacing w:after="0" w:line="17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Subordinated debt, first lien secured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 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valuation methods include, but are not limited to, comparisons of financial ratios of the portfolio companies that issued such private securities to peer companies that are public.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financial statements.</w:t>
      </w:r>
    </w:p>
    <w:p>
      <w:pPr>
        <w:spacing w:after="0" w:line="12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Security Transactions, Revenue Recognition, and Realized/Unrealized Gains or Losses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and market discount or premium are capitalized, and we then accrete or amortize such amounts using the effective interest method as interest income. We record prepayment premiums on loans and debt investments as interest income. Dividend income, if any, is recognized on an accrual basis on the ex-dividend date to the extent that we expect to collect such amounts.</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71"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 xml:space="preserve">Since May 1, 2007, PennantPark Investment has complied with the requirements of Subchapter M of the Internal Revenue Code of 1986, as amended, (the “Code”) and expects to be subject to tax as a regulated investment company, or “RIC”. As a RIC, PennantPark Investment accounts for income taxes using the asset liability method prescribed by ASC 740, </w:t>
      </w:r>
      <w:r>
        <w:rPr>
          <w:rFonts w:ascii="Arial" w:cs="Arial" w:eastAsia="Arial" w:hAnsi="Arial"/>
          <w:sz w:val="15"/>
          <w:szCs w:val="15"/>
          <w:i w:val="1"/>
          <w:iCs w:val="1"/>
          <w:color w:val="auto"/>
        </w:rPr>
        <w:t>Income Taxes</w:t>
      </w:r>
      <w:r>
        <w:rPr>
          <w:rFonts w:ascii="Arial" w:cs="Arial" w:eastAsia="Arial" w:hAnsi="Arial"/>
          <w:sz w:val="15"/>
          <w:szCs w:val="15"/>
          <w:color w:val="auto"/>
        </w:rPr>
        <w:t>. Under this method, income taxes were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taxes in the future. Although we are subject to tax as a RIC, we have elected to retain a portion of our calendar year income and record an excise tax of $0.1 million for the three months ended December 31, 2009. PennantPark Investment recognizes in its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inception-to-date federal tax years remain subject to examination by the Internal Revenue Service.</w:t>
      </w:r>
    </w:p>
    <w:p>
      <w:pPr>
        <w:spacing w:after="0" w:line="28"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Dividends, Distributions, and Capital Transactions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New Accounting Pronouncements and Accounting Standards Updates</w:t>
      </w:r>
    </w:p>
    <w:p>
      <w:pPr>
        <w:spacing w:after="0" w:line="17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 xml:space="preserve">In April 2009, the FASB issued guidance on, </w:t>
      </w:r>
      <w:r>
        <w:rPr>
          <w:rFonts w:ascii="Arial" w:cs="Arial" w:eastAsia="Arial" w:hAnsi="Arial"/>
          <w:sz w:val="16"/>
          <w:szCs w:val="16"/>
          <w:i w:val="1"/>
          <w:iCs w:val="1"/>
          <w:color w:val="auto"/>
        </w:rPr>
        <w:t>Determining Fair Value When the Volume and Level of Activity for the Asset or Liability Have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Decreased and Identifying Transactions That Are Not Orderly</w:t>
      </w:r>
      <w:r>
        <w:rPr>
          <w:rFonts w:ascii="Arial" w:cs="Arial" w:eastAsia="Arial" w:hAnsi="Arial"/>
          <w:sz w:val="16"/>
          <w:szCs w:val="16"/>
          <w:color w:val="auto"/>
        </w:rPr>
        <w:t>, or ASC 820-10-35-51A. ASC 820-10-35-51A amends ASC 820 to provide additional guidance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fair value when the volume and level of activity for the asset or liability have significantly decreased and includes guidance on identifying circumstances that indicate a transaction is not orderly. It emphasizes that even if there has been a significant decrease in the volume and level of activity for the asset or liability and regardless of the valuation technique used, the objective of a fair value measurement remains the same that the fair value is the price that would be received to sell an asset or paid to transfer a liability in an orderly transaction (that is, not a forced liquidation or distressed sale) between market participants at the measurement date under current market conditions. The guidance in ASC 820-10-35-51A is effective for periods ending after June 15, 2009. PennantPark Investment adopted ASC 820-10-35-51A on June 30, 2009, and it did not have a material impact on our financial statements.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May 2009, FASB issued guidance on, </w:t>
      </w:r>
      <w:r>
        <w:rPr>
          <w:rFonts w:ascii="Arial" w:cs="Arial" w:eastAsia="Arial" w:hAnsi="Arial"/>
          <w:sz w:val="18"/>
          <w:szCs w:val="18"/>
          <w:i w:val="1"/>
          <w:iCs w:val="1"/>
          <w:color w:val="auto"/>
        </w:rPr>
        <w:t>Subsequent Events</w:t>
      </w:r>
      <w:r>
        <w:rPr>
          <w:rFonts w:ascii="Arial" w:cs="Arial" w:eastAsia="Arial" w:hAnsi="Arial"/>
          <w:sz w:val="18"/>
          <w:szCs w:val="18"/>
          <w:color w:val="auto"/>
        </w:rPr>
        <w:t>, or ASC 855, which establishes general accounting standards for and disclosure of events that occur after the balance sheet date but before the financial statements are issued. The adoption of ASC 855 did not have a material impact on our financial statements.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In June 2009, FASB issued guidance on, </w:t>
      </w:r>
      <w:r>
        <w:rPr>
          <w:rFonts w:ascii="Arial" w:cs="Arial" w:eastAsia="Arial" w:hAnsi="Arial"/>
          <w:sz w:val="18"/>
          <w:szCs w:val="18"/>
          <w:i w:val="1"/>
          <w:iCs w:val="1"/>
          <w:color w:val="auto"/>
        </w:rPr>
        <w:t>The FASB Accounting Standards Codification and the Hierarchy of Generally Accepted Accounting Principles—a</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FASB 162</w:t>
      </w:r>
      <w:r>
        <w:rPr>
          <w:rFonts w:ascii="Arial" w:cs="Arial" w:eastAsia="Arial" w:hAnsi="Arial"/>
          <w:sz w:val="18"/>
          <w:szCs w:val="18"/>
          <w:color w:val="auto"/>
        </w:rPr>
        <w:t>, or ASC 105-10,</w:t>
      </w:r>
      <w:r>
        <w:rPr>
          <w:rFonts w:ascii="Arial" w:cs="Arial" w:eastAsia="Arial" w:hAnsi="Arial"/>
          <w:sz w:val="18"/>
          <w:szCs w:val="18"/>
          <w:i w:val="1"/>
          <w:iCs w:val="1"/>
          <w:color w:val="auto"/>
        </w:rPr>
        <w:t xml:space="preserve"> Generally Accepted Accounting Principles</w:t>
      </w:r>
      <w:r>
        <w:rPr>
          <w:rFonts w:ascii="Arial" w:cs="Arial" w:eastAsia="Arial" w:hAnsi="Arial"/>
          <w:sz w:val="18"/>
          <w:szCs w:val="18"/>
          <w:color w:val="auto"/>
        </w:rPr>
        <w:t>. ASC 105-10 is effective for financial statements issued for interim and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periods ending after September 15, 2009. On the effective date of ASC 105-10, the Accounting Standards Codification, or ASC, has superseded all then-existing GAAP for non-governmental entities and reporting standards, subject to certain grandfathered literature. The purpose of ASC is not to change accounting literature but rather to serve as a single source of authoritative accounting literature. The adoption of ASC 105-10 did not have a material impact on our financial statements.</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2009, the FASB released Accounting Standards Update No. 2009-05 (ASU 2009-05) as an update to ASC 820, </w:t>
      </w:r>
      <w:r>
        <w:rPr>
          <w:rFonts w:ascii="Arial" w:cs="Arial" w:eastAsia="Arial" w:hAnsi="Arial"/>
          <w:sz w:val="16"/>
          <w:szCs w:val="16"/>
          <w:i w:val="1"/>
          <w:iCs w:val="1"/>
          <w:color w:val="auto"/>
        </w:rPr>
        <w:t>Measuring Liabilities at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w:t>
      </w:r>
      <w:r>
        <w:rPr>
          <w:rFonts w:ascii="Arial" w:cs="Arial" w:eastAsia="Arial" w:hAnsi="Arial"/>
          <w:sz w:val="16"/>
          <w:szCs w:val="16"/>
          <w:color w:val="auto"/>
        </w:rPr>
        <w:t>. ASU 2009-05 provides additional clarity in circumstances where a quoted price in an active market for the identical liability is not available. ASU 2009-05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clarifies that a liability is required to measure fair value by using one or more of the following techniques: (a) The quoted price of the identical liability when traded as an asset; (b) Quoted prices for similar liabilities or similar liabilities when traded as an asset; or (c) Another valuation technique that is consistent with principles of ASC 820. This update also clarifies that when estimating fair value of a liability, a reporting entity is not required to include a separate adjustment to an input relating to the existence of a restriction that prevents the transfer of the liability. The update also states that both a quoted price in an active market for a liability at the measurement date and the quoted price for the same liability when traded as an asset in an active market when no adjustments are made to the quoted price are </w:t>
      </w:r>
      <w:r>
        <w:rPr>
          <w:rFonts w:ascii="Arial" w:cs="Arial" w:eastAsia="Arial" w:hAnsi="Arial"/>
          <w:sz w:val="16"/>
          <w:szCs w:val="16"/>
          <w:i w:val="1"/>
          <w:iCs w:val="1"/>
          <w:color w:val="auto"/>
        </w:rPr>
        <w:t>Level 1</w:t>
      </w:r>
      <w:r>
        <w:rPr>
          <w:rFonts w:ascii="Arial" w:cs="Arial" w:eastAsia="Arial" w:hAnsi="Arial"/>
          <w:sz w:val="16"/>
          <w:szCs w:val="16"/>
          <w:color w:val="auto"/>
        </w:rPr>
        <w:t xml:space="preserve"> fair value measurements. We adopted ASU 2009-05 on September 30, 2009 and it did not have a material impact on our financial statements. See Note 5 to the financial statements.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PennantPark Investment has entered into an Investment Management Agreement with the Investment Adviser, which was re-approved by our board of directors, including a majority of our directors who are not interested persons of PennantPark Investment in February 2010. Under this agreement the Investment Adviser, subject to the overall supervision of PennantPark Investment’s board of directors, manages the day-to-day operations of and provides investment advisory services to, PennantPark Investment. For providing these services, the Investment Adviser receives a fee from PennantPark Investment, consisting of two components—a base management fee and an incentive fee (collectively, “Management Fees”).</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on PennantPark Investment’s gross assets (net of U.S. Treasury Bills and/or temporary draws on the credit facility, “average adjusted gross assets”, if any, see Note 10). Although the base management fee is 2.00% our of average adjusted gross assets, the Investment Adviser agreed to waive a portion of the base management fee such that the base management fee equaled 1.50% from the consummation of the initial public offering through September 30, 2007 and 1.75% from October 1, 2007 through March 31, 2008. The base management fee has been 2.00% since March 31, 2008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the three months ended December 31, 2009 and 2008, the Investment Adviser earned a base management fee of $2.5 million and $1.8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2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commencing 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40"/>
          </w:cols>
          <w:pgMar w:left="240" w:top="460" w:right="3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December 31, 2007,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However, the incentive fee determined as of December 31, 2007 was calculated for a period of shorter than twelve calendar months to take into account any realized capital gains computed net of all realized capital losses and unrealized capital depreciation from inception. For the three months ended December 31, 2009 and 2008, the Investment Adviser earned an incentive fee of $1.8 million and $1.4 million, respectively from us.</w:t>
      </w:r>
    </w:p>
    <w:p>
      <w:pPr>
        <w:spacing w:after="0" w:line="116"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color w:val="auto"/>
        </w:rPr>
        <w:t>PennantPark Investment has also entered into an Administration Agreement with PennantPark Investment Administration, LLC (the “Administrator” or “PennantPark Investment Administration”), which was re-approved by our board of directors including a majority of our directors who are not interested persons of PennantPark Investment in February 2010.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provides on our behalf managerial assistance to those portfolio companies to which we are required to provide such assistance. To the extent that our Administrator outsources any of its functions, we pay the fees associated with such functions on a direct basis without profit to the Administrator. Reimbursement for certain of these costs is included in administrative services expenses in the statement of operations. For the three months ended December 31, 2009 and 2008, the Investment Adviser was reimbursed $0.3 million and $0.3 million, respectively, from us, including expenses it incurred on behalf of the Administrator, for services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2009 and 2008 totaled $51.6 million and $1.7 million, respectively. Sales and repayments of long-term investments for the three months ended December 31, 2009 and 2008 totaled $16.8 million and $2.3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2009</w:t>
            </w:r>
          </w:p>
        </w:tc>
        <w:tc>
          <w:tcPr>
            <w:tcW w:w="18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First lien</w:t>
            </w:r>
          </w:p>
        </w:tc>
        <w:tc>
          <w:tcPr>
            <w:tcW w:w="1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168,552,263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160,710,620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164,863,868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150,607,490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Second lien</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152,481,888</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147,136,016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152,321,496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134,401,542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174,807,171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176,796,186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158,139,903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157,119,017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Preferred equity</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9,750,316</w:t>
            </w:r>
          </w:p>
        </w:tc>
        <w:tc>
          <w:tcPr>
            <w:tcW w:w="1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10,882,075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9,750,317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10,934,053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11,196,363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17,616,429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12,212,302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Investments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516,788,001</w:t>
            </w:r>
          </w:p>
        </w:tc>
        <w:tc>
          <w:tcPr>
            <w:tcW w:w="1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513,141,326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497,287,886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469,760,073</w:t>
            </w: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7,051,165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8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523,839,166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520,192,491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530,535,552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503,007,739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F-46</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December 31, 2009 and September 30, 2009.</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88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3"/>
              </w:rPr>
              <w:t>December 31,</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08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6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Chemicals, Plastic and Rubber</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 Conglomerate Manufacturing</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and Durable Consumer Products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Leisure, Amusement, Motion Picture and Entertainment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Logistics</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Effective October 1, 2008, we adopted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cash and cash equivalents, investments and long-term credit facility. We realized no gain or loss as a result of the adoption of ASC 820. 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PennantPark Investment. Unobservable inputs are inputs that reflect the assumptions market participants would use in pricing an asset or liability developed based on the best information available in the circumstances.</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320"/>
          </w:cols>
          <w:pgMar w:left="24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that are quoted prices for similar assets or liabilities in active markets, or that are quoted prices for identical or similar assets or liabilities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Inputs that are unobservable for an asset or liability because they are based on our own assumptions about how market participants would price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132"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 xml:space="preserve">A financial instrument’s categorization within the valuation hierarchy is based upon the lowest level of input that is significant to the fair value measurement. All of our investments and long-term credit facility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addition to using the above inputs in cash and cash equivalents, investments and long-term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Our investments are generally structured as debt and equity investments in the form of mezzanine debt, senior secured loans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w:t>
      </w:r>
      <w:r>
        <w:rPr>
          <w:rFonts w:ascii="Arial" w:cs="Arial" w:eastAsia="Arial" w:hAnsi="Arial"/>
          <w:sz w:val="16"/>
          <w:szCs w:val="16"/>
          <w:i w:val="1"/>
          <w:iCs w:val="1"/>
          <w:color w:val="auto"/>
        </w:rPr>
        <w:t>Level 3</w:t>
      </w:r>
      <w:r>
        <w:rPr>
          <w:rFonts w:ascii="Arial" w:cs="Arial" w:eastAsia="Arial" w:hAnsi="Arial"/>
          <w:sz w:val="16"/>
          <w:szCs w:val="16"/>
          <w:color w:val="auto"/>
        </w:rPr>
        <w:t xml:space="preserve"> of the fair value hierarchy.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2009 and September 30, 2009, our cash and cash equivalents, investments and our long-term credit facility were categorized as follows in the fair value hierarchy for ASC 820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2009</w:t>
            </w: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$ 484,642,822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$ 484,642,822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28,498,504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513,141,326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513,141,326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7,051,165</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520,192,491</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7,051,165</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(201,914,294)</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September 30, 2009</w:t>
            </w: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4360" w:type="dxa"/>
            <w:vAlign w:val="bottom"/>
            <w:gridSpan w:val="3"/>
            <w:vMerge w:val="continue"/>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85"/>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40" w:type="dxa"/>
            <w:vAlign w:val="bottom"/>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inputs</w:t>
            </w:r>
          </w:p>
        </w:tc>
        <w:tc>
          <w:tcPr>
            <w:tcW w:w="5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54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$ 442,128,049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$ 442,128,049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3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469,760,073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469,760,073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33,247,666</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Investments and cash equivalents</w:t>
            </w:r>
          </w:p>
        </w:tc>
        <w:tc>
          <w:tcPr>
            <w:tcW w:w="16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503,007,739</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33,247,666</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469,760,073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gridSpan w:val="3"/>
            <w:vMerge w:val="continue"/>
          </w:tcPr>
          <w:p>
            <w:pPr>
              <w:spacing w:after="0"/>
              <w:rPr>
                <w:sz w:val="18"/>
                <w:szCs w:val="18"/>
                <w:color w:val="auto"/>
              </w:rPr>
            </w:pPr>
          </w:p>
        </w:tc>
        <w:tc>
          <w:tcPr>
            <w:tcW w:w="330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(168,475,380)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300" w:type="dxa"/>
            <w:vAlign w:val="bottom"/>
            <w:gridSpan w:val="3"/>
          </w:tcPr>
          <w:p>
            <w:pPr>
              <w:jc w:val="right"/>
              <w:ind w:right="1780"/>
              <w:spacing w:after="0"/>
              <w:rPr>
                <w:sz w:val="20"/>
                <w:szCs w:val="20"/>
                <w:color w:val="auto"/>
              </w:rPr>
            </w:pPr>
            <w:r>
              <w:rPr>
                <w:rFonts w:ascii="Arial" w:cs="Arial" w:eastAsia="Arial" w:hAnsi="Arial"/>
                <w:sz w:val="18"/>
                <w:szCs w:val="18"/>
                <w:color w:val="auto"/>
              </w:rPr>
              <w:t>F-49</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Ended December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442,128,049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27,632,024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469,760,073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(13,598,702)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(3,005,163)</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(16,603,865)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21,998,720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1,882,418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23,881,138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52,229,864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683,058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52,912,922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(16,808,942)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(16,808,942)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Non-cash exchanges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(1,306,167)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0" w:type="dxa"/>
            <w:vAlign w:val="bottom"/>
            <w:gridSpan w:val="3"/>
          </w:tcPr>
          <w:p>
            <w:pPr>
              <w:spacing w:after="0"/>
              <w:rPr>
                <w:sz w:val="20"/>
                <w:szCs w:val="20"/>
                <w:color w:val="auto"/>
              </w:rPr>
            </w:pPr>
            <w:r>
              <w:rPr>
                <w:rFonts w:ascii="Arial" w:cs="Arial" w:eastAsia="Arial" w:hAnsi="Arial"/>
                <w:sz w:val="18"/>
                <w:szCs w:val="18"/>
                <w:color w:val="auto"/>
              </w:rPr>
              <w:t>Ending Balance,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484,642,822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28,498,504</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513,141,326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change in unrealized appreciation (depreciation) for the year reported within the net change in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unrealized appreciation on investments in our Statement of Operations attributable to our Level 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5,856,098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(1,122,745)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Period Ended December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Loan and debt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investments</w:t>
            </w:r>
          </w:p>
        </w:tc>
        <w:tc>
          <w:tcPr>
            <w:tcW w:w="1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349,260,104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22,887,716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372,147,820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(887,070)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(887,070)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 / (depreciation)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(39,885,419)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(42,356,277)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1,870,146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318,896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(2,280,140)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(2,280,140)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gridSpan w:val="2"/>
          </w:tcPr>
          <w:p>
            <w:pPr>
              <w:ind w:left="420"/>
              <w:spacing w:after="0"/>
              <w:rPr>
                <w:sz w:val="20"/>
                <w:szCs w:val="20"/>
                <w:color w:val="auto"/>
              </w:rPr>
            </w:pPr>
            <w:r>
              <w:rPr>
                <w:rFonts w:ascii="Arial" w:cs="Arial" w:eastAsia="Arial" w:hAnsi="Arial"/>
                <w:sz w:val="18"/>
                <w:szCs w:val="18"/>
                <w:color w:val="auto"/>
              </w:rPr>
              <w:t xml:space="preserve">Transfers in and /or out of </w:t>
            </w:r>
            <w:r>
              <w:rPr>
                <w:rFonts w:ascii="Arial" w:cs="Arial" w:eastAsia="Arial" w:hAnsi="Arial"/>
                <w:sz w:val="18"/>
                <w:szCs w:val="18"/>
                <w:i w:val="1"/>
                <w:iCs w:val="1"/>
                <w:color w:val="auto"/>
              </w:rPr>
              <w:t>Level 3</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308,077,621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20,735,754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328,813,375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8"/>
                <w:szCs w:val="18"/>
                <w:color w:val="auto"/>
                <w:w w:val="98"/>
              </w:rPr>
              <w:t>Net change in unrealized depreciation for the year reported within the net change in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74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w w:val="92"/>
              </w:rPr>
              <w:t xml:space="preserve">depreciation on investments in our Statement of Operations attributable to our </w:t>
            </w:r>
            <w:r>
              <w:rPr>
                <w:rFonts w:ascii="Arial" w:cs="Arial" w:eastAsia="Arial" w:hAnsi="Arial"/>
                <w:sz w:val="18"/>
                <w:szCs w:val="18"/>
                <w:i w:val="1"/>
                <w:iCs w:val="1"/>
                <w:color w:val="auto"/>
                <w:w w:val="92"/>
              </w:rPr>
              <w:t>Level 3</w:t>
            </w:r>
            <w:r>
              <w:rPr>
                <w:rFonts w:ascii="Arial" w:cs="Arial" w:eastAsia="Arial" w:hAnsi="Arial"/>
                <w:sz w:val="18"/>
                <w:szCs w:val="18"/>
                <w:color w:val="auto"/>
                <w:w w:val="92"/>
              </w:rPr>
              <w:t xml:space="preserve"> assets still</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2"/>
          </w:tcPr>
          <w:p>
            <w:pPr>
              <w:ind w:left="200"/>
              <w:spacing w:after="0"/>
              <w:rPr>
                <w:sz w:val="20"/>
                <w:szCs w:val="20"/>
                <w:color w:val="auto"/>
              </w:rPr>
            </w:pPr>
            <w:r>
              <w:rPr>
                <w:rFonts w:ascii="Arial" w:cs="Arial" w:eastAsia="Arial" w:hAnsi="Arial"/>
                <w:sz w:val="18"/>
                <w:szCs w:val="18"/>
                <w:color w:val="auto"/>
              </w:rPr>
              <w:t>held at the reporting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(40,255,417)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(2,470,858)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(42,726,275)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80" w:type="dxa"/>
            <w:vAlign w:val="bottom"/>
            <w:vMerge w:val="restart"/>
          </w:tcPr>
          <w:p>
            <w:pPr>
              <w:ind w:left="4820"/>
              <w:spacing w:after="0"/>
              <w:rPr>
                <w:sz w:val="20"/>
                <w:szCs w:val="20"/>
                <w:color w:val="auto"/>
              </w:rPr>
            </w:pPr>
            <w:r>
              <w:rPr>
                <w:rFonts w:ascii="Arial" w:cs="Arial" w:eastAsia="Arial" w:hAnsi="Arial"/>
                <w:sz w:val="18"/>
                <w:szCs w:val="18"/>
                <w:color w:val="auto"/>
              </w:rPr>
              <w:t>F-50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w:t>
      </w:r>
      <w:r>
        <w:rPr>
          <w:rFonts w:ascii="Arial" w:cs="Arial" w:eastAsia="Arial" w:hAnsi="Arial"/>
          <w:sz w:val="18"/>
          <w:szCs w:val="18"/>
          <w:i w:val="1"/>
          <w:iCs w:val="1"/>
          <w:color w:val="auto"/>
        </w:rPr>
        <w:t>Level 3</w:t>
      </w:r>
      <w:r>
        <w:rPr>
          <w:rFonts w:ascii="Arial" w:cs="Arial" w:eastAsia="Arial" w:hAnsi="Arial"/>
          <w:sz w:val="18"/>
          <w:szCs w:val="18"/>
          <w:color w:val="auto"/>
        </w:rPr>
        <w:t>) for the three months ended December 31, 2009 and 2008:</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Period Ended December 31, 2009*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2009 (Cost – $218,100,000)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$ 168,475,380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040" w:type="dxa"/>
            <w:vAlign w:val="bottom"/>
          </w:tcPr>
          <w:p>
            <w:pPr>
              <w:jc w:val="right"/>
              <w:spacing w:after="0"/>
              <w:rPr>
                <w:sz w:val="20"/>
                <w:szCs w:val="20"/>
                <w:color w:val="auto"/>
              </w:rPr>
            </w:pPr>
            <w:r>
              <w:rPr>
                <w:rFonts w:ascii="Arial" w:cs="Arial" w:eastAsia="Arial" w:hAnsi="Arial"/>
                <w:sz w:val="18"/>
                <w:szCs w:val="18"/>
                <w:color w:val="auto"/>
              </w:rPr>
              <w:t>5,838,914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Ending Balance, December 31, 2009 (Cost – $245,700,000)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$ 201,914,294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  There was no temporary draw as of December 31, 2009.</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3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20" w:type="dxa"/>
            <w:vAlign w:val="bottom"/>
          </w:tcPr>
          <w:p>
            <w:pPr>
              <w:spacing w:after="0"/>
              <w:rPr>
                <w:sz w:val="24"/>
                <w:szCs w:val="24"/>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rPr>
              <w:t>Period Ended December 31, 2008*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920" w:type="dxa"/>
            <w:vAlign w:val="bottom"/>
          </w:tcPr>
          <w:p>
            <w:pPr>
              <w:spacing w:after="0"/>
              <w:rPr>
                <w:sz w:val="21"/>
                <w:szCs w:val="21"/>
                <w:color w:val="auto"/>
              </w:rPr>
            </w:pPr>
          </w:p>
        </w:tc>
        <w:tc>
          <w:tcPr>
            <w:tcW w:w="842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84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September 30, 2008 (Cost – $162,000,000)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Cumulative effect of adoption of fair value option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unrealized appreciation included in earnings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(5,718,694)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Borrowings</w:t>
            </w:r>
          </w:p>
        </w:tc>
        <w:tc>
          <w:tcPr>
            <w:tcW w:w="1040" w:type="dxa"/>
            <w:vAlign w:val="bottom"/>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420" w:type="dxa"/>
            <w:vAlign w:val="bottom"/>
          </w:tcPr>
          <w:p>
            <w:pPr>
              <w:ind w:left="440"/>
              <w:spacing w:after="0"/>
              <w:rPr>
                <w:sz w:val="20"/>
                <w:szCs w:val="20"/>
                <w:color w:val="auto"/>
              </w:rPr>
            </w:pPr>
            <w:r>
              <w:rPr>
                <w:rFonts w:ascii="Arial" w:cs="Arial" w:eastAsia="Arial" w:hAnsi="Arial"/>
                <w:sz w:val="18"/>
                <w:szCs w:val="18"/>
                <w:color w:val="auto"/>
              </w:rPr>
              <w:t xml:space="preserve">Transfers in and/or out of </w:t>
            </w:r>
            <w:r>
              <w:rPr>
                <w:rFonts w:ascii="Arial" w:cs="Arial" w:eastAsia="Arial" w:hAnsi="Arial"/>
                <w:sz w:val="18"/>
                <w:szCs w:val="18"/>
                <w:i w:val="1"/>
                <w:iCs w:val="1"/>
                <w:color w:val="auto"/>
              </w:rPr>
              <w:t>Level 3</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 2008 (Cost – $157,400,000)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$ 109,885,306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There was no temporary draw as of December 31, 2008.</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financial instruments approximates fair value. Effective October 1, 2008, we adopted ASC 825-10, which provides companies with an option to report selected financial assets and liabilities at fair value, and made an irrevocable election to apply ASC 825-10 to our long-term credit facility. PennantPark Investment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balance sheet and changes in fair value of the credit facility are recorded in the statement of operations. We elected not to apply ASC 825-10 to any other financial assets or liabilities. For the three month periods ended December 31, 2009 and 2008, our credit facility had a net change in unrealized (appreciation) depreciation of $(5.8) million and $5.7 million, respectively. On December 31, 2009 and September 30, 2009, net unrealized appreciation on our long-term credit facility totaled $43.8 million and $49.6 million, respectively, which included the cumulative effect of adoption of ASC 825-10 on our credit facility of $41.8 million. PennantPark Investment uses a nationally recognized independent valuation service to measure the fair value of its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EQUIVALENTS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Cash equivalents represents cash pending investment in longer-term portfolio holdings, PennantPark Investment may invest temporarily in U.S. Treasury Bills (of varying maturities), repurchase agreements, money markets or repo-like treasury securities. These temporary investments with maturities of 90 days or less are deemed cash equivalents and are included in the Schedule of Investments. At the end of each fiscal quarter, PennantPark Investment could take proactive steps to preserve investment flexibility for the next quarter, which is dependent upon the composition of its total assets at quarter end. PennantPark Investment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Investment’s valuation policy.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REPURCHASE AGREEMENTS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PennantPark Investment may enter into repurchase agreements as part of its investment program. In these transactions, PennantPark Investment’s custodian takes possession of collateral pledged by the counterparty. The collateral is marked-to-market daily to ensure that the value, plus accrued interest, is at least equal to the repurchase price. In the event of default of the obligor to repurchase, PennantPark Investment will have the right to liquidate the collateral and apply the proceeds in satisfaction of the obligation. Under certain circumstances, in the event of default or bankruptcy by the counterparty to the agreement, realization and/or retention of the collateral or proceeds may be subject to legal proceedings. There were no repurchase agreements outstanding on December 31, 2009 or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7160" w:type="dxa"/>
            <w:vAlign w:val="bottom"/>
            <w:gridSpan w:val="3"/>
          </w:tcPr>
          <w:p>
            <w:pPr>
              <w:spacing w:after="0"/>
              <w:rPr>
                <w:sz w:val="20"/>
                <w:szCs w:val="20"/>
                <w:color w:val="auto"/>
              </w:rPr>
            </w:pPr>
            <w:r>
              <w:rPr>
                <w:rFonts w:ascii="Arial" w:cs="Arial" w:eastAsia="Arial" w:hAnsi="Arial"/>
                <w:sz w:val="14"/>
                <w:szCs w:val="14"/>
                <w:b w:val="1"/>
                <w:bCs w:val="1"/>
                <w:color w:val="auto"/>
              </w:rPr>
              <w:t>Class and Year</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80"/>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38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net increase (decrease) in net assets resulting from operations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8,676,247</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(31,756,724)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25,751,381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Basic and diluted net increase (decrease) in net assets per share resulting from operations</w:t>
            </w:r>
          </w:p>
        </w:tc>
        <w:tc>
          <w:tcPr>
            <w:tcW w:w="10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20" w:type="dxa"/>
            <w:vAlign w:val="bottom"/>
          </w:tcPr>
          <w:p>
            <w:pPr>
              <w:ind w:left="4600"/>
              <w:spacing w:after="0"/>
              <w:rPr>
                <w:sz w:val="20"/>
                <w:szCs w:val="20"/>
                <w:color w:val="auto"/>
              </w:rPr>
            </w:pPr>
            <w:r>
              <w:rPr>
                <w:rFonts w:ascii="Arial" w:cs="Arial" w:eastAsia="Arial" w:hAnsi="Arial"/>
                <w:sz w:val="18"/>
                <w:szCs w:val="18"/>
                <w:color w:val="auto"/>
              </w:rPr>
              <w:t>F-52</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PennantPark Investment’s net assets and net asset value per share on December 31, 2009 and 2008 were $306.1 million and $215.7 million, respectively, and $11.86 and $10.24, respectively. Below are the financial highlights for the three months ended December 31, 2009 and 2008.</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4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Three months</w:t>
            </w:r>
          </w:p>
        </w:tc>
        <w:tc>
          <w:tcPr>
            <w:tcW w:w="280" w:type="dxa"/>
            <w:vAlign w:val="bottom"/>
          </w:tcPr>
          <w:p>
            <w:pPr>
              <w:spacing w:after="0"/>
              <w:rPr>
                <w:sz w:val="14"/>
                <w:szCs w:val="14"/>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change in realized and unrealized gain/(loss)</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(3)</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common stock issuance below net asset value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25,808,772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3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Ratios ** / Supplemental Data:</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306,148,322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215,711,031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Weighted average debt outstanding</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224,010,870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164,316,304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13.71%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540" w:firstLine="8"/>
        <w:spacing w:after="0" w:line="286" w:lineRule="auto"/>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right="180" w:hanging="452"/>
        <w:spacing w:after="0" w:line="300" w:lineRule="auto"/>
        <w:tabs>
          <w:tab w:leader="none" w:pos="4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right="180" w:hanging="452"/>
        <w:spacing w:after="0" w:line="261"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Net investment income, net change in realized and unrealized loss and net increase (decrease) in net assets resulting from operations per share data are calculated based on the weighted average shares outstanding for the respective periods.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hanging="452"/>
        <w:spacing w:after="0" w:line="25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accounting principles generally accepted in the United States of America.</w:t>
      </w:r>
    </w:p>
    <w:p>
      <w:pPr>
        <w:ind w:left="460" w:right="440" w:hanging="452"/>
        <w:spacing w:after="0" w:line="261"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On June 25, 2007, we entered into a senior secured revolving credit agreement, or our credit facility, among us, various lenders and SunTrust Bank, as administrative agent for the lenders. SunTrust Robinson Humphrey Capital Markets acted as the joint lead arranger and book-runner, and JPMorgan Chase (Chase Lincoln First Commercial successor interest of Bear Stearns Corporate Lending Inc.) acted as joint lead arranger and syndication agent. As of December 31, 2009 and September 30, 2009, there were $245.7 million and $225.1 million (including a $7.0 million temporary draw) in outstanding borrowings under the credit facility, respectively, with a weighted average interest rate at the time of 1.23% and 1.31%, respectively, exclusive of the fee on undrawn commitment of 0.20%.</w:t>
      </w:r>
    </w:p>
    <w:p>
      <w:pPr>
        <w:spacing w:after="0" w:line="10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Under the credit facility, the lenders agreed to extend credit to PennantPark Investment in an initial aggregate principal or face amount not exceeding $300.0 million at any one time outstanding. The credit facility is a five-year revolving facility (with a stated maturity date of June 25, 2012) and is secured by substantially all of the assets in PennantPark Investment’s portfolio. Pricing is set at 100 basis points over LIBOR.</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credit facility contains customary affirmative and negative covenants, including the maintenance of a minimum stockholders’ equity, the maintenance of a ratio not less than 200% of total assets (less total liabilities other than indebtedness) to total indebtedness and restrictions on certain payments and issuance of debt. For a complete list of such covenants, see our report on Form 8-K, filed June 28, 2007.</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depends on many factors, some of which are beyond our control. Material net asset devaluation could have a material adverse effect on our operations and could require us to reduce our borrowings under our credit facility in order to comply with certain of the covenants we made when we entered into the credit facility, including the ratio of total assets to total indebtedness.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From time to time, PennantPark Investment,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statement of assets and liabilities represent unfunded delayed draws on investments in first lien secured debt.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PennantPark Investment has evaluated subsequent events and has no material events to report subsequent to the measurement date of these financial statements through the date of issuance on February 3,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Index to Financial Statements on page F-1 of this Registration Statement is hereby incorporated by reference.</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Exhibits</w:t>
      </w:r>
    </w:p>
    <w:p>
      <w:pPr>
        <w:spacing w:after="0" w:line="117" w:lineRule="exact"/>
        <w:rPr>
          <w:sz w:val="20"/>
          <w:szCs w:val="20"/>
          <w:color w:val="auto"/>
        </w:rPr>
      </w:pPr>
    </w:p>
    <w:p>
      <w:pPr>
        <w:ind w:left="1380" w:right="160" w:hanging="1372"/>
        <w:spacing w:after="0" w:line="268" w:lineRule="auto"/>
        <w:tabs>
          <w:tab w:leader="none" w:pos="1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77" w:lineRule="exact"/>
        <w:rPr>
          <w:rFonts w:ascii="Arial" w:cs="Arial" w:eastAsia="Arial" w:hAnsi="Arial"/>
          <w:sz w:val="18"/>
          <w:szCs w:val="18"/>
          <w:color w:val="auto"/>
        </w:rPr>
      </w:pPr>
    </w:p>
    <w:p>
      <w:pPr>
        <w:ind w:left="1380" w:hanging="1372"/>
        <w:spacing w:after="0" w:line="268" w:lineRule="auto"/>
        <w:tabs>
          <w:tab w:leader="none" w:pos="1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December 13, 2007).</w:t>
      </w:r>
    </w:p>
    <w:p>
      <w:pPr>
        <w:sectPr>
          <w:pgSz w:w="11900" w:h="16838" w:orient="portrait"/>
          <w:cols w:equalWidth="0" w:num="1">
            <w:col w:w="11400"/>
          </w:cols>
          <w:pgMar w:left="240" w:top="460" w:right="259" w:bottom="1440" w:gutter="0" w:footer="0" w:header="0"/>
        </w:sectPr>
      </w:pP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(d)(1)*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Specimen Stock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Certificate.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Indenture.</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Subscription Agent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(d)(5)*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Warrant Agreement.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Dividend Reinvestment Plan.</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Investment Management Agreement between the Registrant and PennantPark Investment Advisers, LLC.</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equity.</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(h)(2)*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Underwriting Agreement for debt.</w:t>
      </w:r>
    </w:p>
    <w:p>
      <w:pPr>
        <w:spacing w:after="0" w:line="14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Custodian Agreement between the Registrant and PFPC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Administration Agreement between the Registrant and PennantPark Investment Administration, LLC.</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Stock Transfer Agency Agreement between the Registrant and American Stock Transfer and Trust Company.</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Trademark License Agreement.</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6"/>
          <w:szCs w:val="16"/>
          <w:color w:val="auto"/>
        </w:rPr>
        <w:t>(k)(4)</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Senior Secured Revolving Credit Agreement between Registrant and various lenders (Incorporated by reference to Exhibit 99.2 to the Registrant’s Report on Form 8-K (File No. 814-00736), filed on June 28, 2007).</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(k)(5)*</w:t>
      </w:r>
    </w:p>
    <w:p>
      <w:pPr>
        <w:spacing w:after="0" w:line="20" w:lineRule="exact"/>
        <w:rPr>
          <w:sz w:val="20"/>
          <w:szCs w:val="20"/>
          <w:color w:val="auto"/>
        </w:rPr>
      </w:pPr>
      <w:r>
        <w:rPr>
          <w:sz w:val="20"/>
          <w:szCs w:val="20"/>
          <w:color w:val="auto"/>
        </w:rPr>
        <w:br w:type="column"/>
      </w:r>
    </w:p>
    <w:p>
      <w:pPr>
        <w:ind w:right="340"/>
        <w:spacing w:after="0" w:line="268" w:lineRule="auto"/>
        <w:rPr>
          <w:sz w:val="20"/>
          <w:szCs w:val="20"/>
          <w:color w:val="auto"/>
        </w:rPr>
      </w:pPr>
      <w:r>
        <w:rPr>
          <w:rFonts w:ascii="Arial" w:cs="Arial" w:eastAsia="Arial" w:hAnsi="Arial"/>
          <w:sz w:val="18"/>
          <w:szCs w:val="18"/>
          <w:color w:val="auto"/>
        </w:rPr>
        <w:t>Registration Rights Agreement among the Registrant and the purchasers in a private placement of 320,000 shares of common stock of the Registrant.</w:t>
      </w:r>
    </w:p>
    <w:p>
      <w:pPr>
        <w:spacing w:after="0" w:line="78"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Opinion and Consent of Venable LLP.</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39"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Awareness Letter of Independent Registered Public Accounting Firm.</w:t>
      </w:r>
    </w:p>
    <w:p>
      <w:pPr>
        <w:spacing w:after="0" w:line="151"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rPr>
          <w:sz w:val="20"/>
          <w:szCs w:val="20"/>
          <w:color w:val="auto"/>
        </w:rPr>
      </w:pPr>
      <w:r>
        <w:rPr>
          <w:rFonts w:ascii="Arial" w:cs="Arial" w:eastAsia="Arial" w:hAnsi="Arial"/>
          <w:sz w:val="18"/>
          <w:szCs w:val="18"/>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80"/>
        <w:spacing w:after="0" w:line="268" w:lineRule="auto"/>
        <w:rPr>
          <w:sz w:val="20"/>
          <w:szCs w:val="20"/>
          <w:color w:val="auto"/>
        </w:rPr>
      </w:pPr>
      <w:r>
        <w:rPr>
          <w:rFonts w:ascii="Arial" w:cs="Arial" w:eastAsia="Arial" w:hAnsi="Arial"/>
          <w:sz w:val="18"/>
          <w:szCs w:val="18"/>
          <w:color w:val="auto"/>
        </w:rPr>
        <w:t>Joint Code of Ethics of the Registrant and PennantPark Investment Advisers, LLC (Incorporated by reference to Exhibit 14.1 to the Registrant’s Report on Form 10-K (File No. 814-00736), filed on November 18, 2009).</w:t>
      </w:r>
    </w:p>
    <w:p>
      <w:pPr>
        <w:spacing w:after="0" w:line="200" w:lineRule="exact"/>
        <w:rPr>
          <w:sz w:val="20"/>
          <w:szCs w:val="20"/>
          <w:color w:val="auto"/>
        </w:rPr>
      </w:pPr>
    </w:p>
    <w:p>
      <w:pPr>
        <w:sectPr>
          <w:pgSz w:w="11900" w:h="16838" w:orient="portrait"/>
          <w:cols w:equalWidth="0" w:num="2">
            <w:col w:w="660" w:space="720"/>
            <w:col w:w="10020"/>
          </w:cols>
          <w:pgMar w:left="240" w:top="460" w:right="259" w:bottom="1440" w:gutter="0" w:footer="0" w:header="0"/>
          <w:type w:val="continuous"/>
        </w:sectPr>
      </w:pPr>
    </w:p>
    <w:p>
      <w:pPr>
        <w:spacing w:after="0" w:line="67" w:lineRule="exact"/>
        <w:rPr>
          <w:sz w:val="20"/>
          <w:szCs w:val="20"/>
          <w:color w:val="auto"/>
        </w:rPr>
      </w:pPr>
    </w:p>
    <w:p>
      <w:pPr>
        <w:ind w:right="9780" w:firstLine="8"/>
        <w:spacing w:after="0" w:line="431" w:lineRule="auto"/>
        <w:tabs>
          <w:tab w:leader="none" w:pos="44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38" w:orient="portrait"/>
          <w:cols w:equalWidth="0" w:num="1">
            <w:col w:w="11400"/>
          </w:cols>
          <w:pgMar w:left="240" w:top="460" w:right="25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NASDAQ listing fee</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Printing (other than certificates)</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974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97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34,675</w:t>
            </w:r>
          </w:p>
        </w:tc>
        <w:tc>
          <w:tcPr>
            <w:tcW w:w="0" w:type="dxa"/>
            <w:vAlign w:val="bottom"/>
          </w:tcPr>
          <w:p>
            <w:pPr>
              <w:spacing w:after="0"/>
              <w:rPr>
                <w:sz w:val="1"/>
                <w:szCs w:val="1"/>
                <w:color w:val="auto"/>
              </w:rPr>
            </w:pPr>
          </w:p>
        </w:tc>
      </w:tr>
      <w:tr>
        <w:trPr>
          <w:trHeight w:val="221"/>
        </w:trPr>
        <w:tc>
          <w:tcPr>
            <w:tcW w:w="8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1,000,000</w:t>
            </w:r>
          </w:p>
        </w:tc>
        <w:tc>
          <w:tcPr>
            <w:tcW w:w="0" w:type="dxa"/>
            <w:vAlign w:val="bottom"/>
          </w:tcPr>
          <w:p>
            <w:pPr>
              <w:spacing w:after="0"/>
              <w:rPr>
                <w:sz w:val="1"/>
                <w:szCs w:val="1"/>
                <w:color w:val="auto"/>
              </w:rPr>
            </w:pPr>
          </w:p>
        </w:tc>
      </w:tr>
      <w:tr>
        <w:trPr>
          <w:trHeight w:val="20"/>
        </w:trPr>
        <w:tc>
          <w:tcPr>
            <w:tcW w:w="9740" w:type="dxa"/>
            <w:vAlign w:val="bottom"/>
            <w:gridSpan w:val="4"/>
            <w:vMerge w:val="restart"/>
          </w:tcPr>
          <w:p>
            <w:pPr>
              <w:ind w:left="460"/>
              <w:spacing w:after="0"/>
              <w:rPr>
                <w:sz w:val="20"/>
                <w:szCs w:val="20"/>
                <w:color w:val="auto"/>
              </w:rPr>
            </w:pPr>
            <w:r>
              <w:rPr>
                <w:rFonts w:ascii="Arial" w:cs="Arial" w:eastAsia="Arial" w:hAnsi="Arial"/>
                <w:sz w:val="18"/>
                <w:szCs w:val="18"/>
                <w:color w:val="auto"/>
              </w:rPr>
              <w:t>All of the expense set forth above shall be borne by the Registrant.</w:t>
            </w: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74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28.</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Not Applicable.</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892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holders of shares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740" w:type="dxa"/>
            <w:vAlign w:val="bottom"/>
            <w:gridSpan w:val="4"/>
          </w:tcPr>
          <w:p>
            <w:pPr>
              <w:ind w:left="460"/>
              <w:spacing w:after="0"/>
              <w:rPr>
                <w:sz w:val="20"/>
                <w:szCs w:val="20"/>
                <w:color w:val="auto"/>
              </w:rPr>
            </w:pPr>
            <w:r>
              <w:rPr>
                <w:rFonts w:ascii="Arial" w:cs="Arial" w:eastAsia="Arial" w:hAnsi="Arial"/>
                <w:sz w:val="18"/>
                <w:szCs w:val="18"/>
                <w:color w:val="auto"/>
              </w:rPr>
              <w:t>As of February 1, 2010</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6780" w:type="dxa"/>
            <w:vAlign w:val="bottom"/>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Number of Record Holders</w:t>
            </w: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18"/>
                <w:szCs w:val="18"/>
                <w:color w:val="auto"/>
              </w:rPr>
            </w:pPr>
          </w:p>
        </w:tc>
        <w:tc>
          <w:tcPr>
            <w:tcW w:w="8920" w:type="dxa"/>
            <w:vAlign w:val="bottom"/>
            <w:gridSpan w:val="3"/>
            <w:shd w:val="clear" w:color="auto" w:fill="CCEEFF"/>
          </w:tcPr>
          <w:p>
            <w:pPr>
              <w:jc w:val="center"/>
              <w:ind w:right="5440"/>
              <w:spacing w:after="0"/>
              <w:rPr>
                <w:sz w:val="20"/>
                <w:szCs w:val="20"/>
                <w:color w:val="auto"/>
              </w:rPr>
            </w:pPr>
            <w:r>
              <w:rPr>
                <w:rFonts w:ascii="Arial" w:cs="Arial" w:eastAsia="Arial" w:hAnsi="Arial"/>
                <w:sz w:val="18"/>
                <w:szCs w:val="18"/>
                <w:color w:val="auto"/>
                <w:w w:val="88"/>
              </w:rPr>
              <w:t>Common Stock, $0.001 par value</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9"/>
              </w:rPr>
              <w:t>16</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contained under the heading “Limitation on Liability of Directors and Officers; Indemnification and Advance of Expenses”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Securities and Exchange Commission (SEC File No. 801-67622), and is incorporated herein by reference.</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accounts, books and other documents required to be maintained by Section 31(a) of the 1940 Act, and the rules thereunder are maintained at the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84" w:lineRule="exact"/>
        <w:rPr>
          <w:sz w:val="20"/>
          <w:szCs w:val="20"/>
          <w:color w:val="auto"/>
        </w:rPr>
      </w:pPr>
    </w:p>
    <w:p>
      <w:pPr>
        <w:ind w:left="5580" w:right="2560" w:hanging="4677"/>
        <w:spacing w:after="0" w:line="440" w:lineRule="auto"/>
        <w:tabs>
          <w:tab w:leader="none" w:pos="11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 C-2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Transfer Agent, American Stock Transfer and Trust Company, 59 Maiden Lane, New York, NY 10038;</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Custodian, PFPC Trust Company, 8800 Tinicum Boulevard, 4th Floor, Philadelphia, PA 19153;</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90" w:lineRule="exact"/>
        <w:rPr>
          <w:sz w:val="20"/>
          <w:szCs w:val="20"/>
          <w:color w:val="auto"/>
        </w:rPr>
      </w:pPr>
    </w:p>
    <w:p>
      <w:pPr>
        <w:jc w:val="both"/>
        <w:ind w:left="460" w:right="18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net asset value declines more than 10 percent from its net asset value as of the effective date of the Registration Statement or (b) the net asset value increases to an amount greater than its net proceeds as stated in the prospectus.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920" w:firstLine="421"/>
        <w:spacing w:after="0" w:line="259" w:lineRule="auto"/>
        <w:tabs>
          <w:tab w:leader="none" w:pos="159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and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purchaser by means of any of the following communications, the undersigned Registrant will be a seller to the purchaser and will be considered to offer or sell such securities to the purchaser:</w:t>
      </w:r>
    </w:p>
    <w:p>
      <w:pPr>
        <w:spacing w:after="0" w:line="51" w:lineRule="exact"/>
        <w:rPr>
          <w:sz w:val="20"/>
          <w:szCs w:val="20"/>
          <w:color w:val="auto"/>
        </w:rPr>
      </w:pPr>
    </w:p>
    <w:p>
      <w:pPr>
        <w:ind w:left="920" w:right="340" w:firstLine="421"/>
        <w:spacing w:after="0" w:line="268" w:lineRule="auto"/>
        <w:tabs>
          <w:tab w:leader="none" w:pos="154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920" w:right="380" w:firstLine="421"/>
        <w:spacing w:after="0" w:line="332" w:lineRule="auto"/>
        <w:tabs>
          <w:tab w:leader="none" w:pos="159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firstLine="443"/>
        <w:spacing w:after="0" w:line="254"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 (i) the Registrant receives, or has been advised by its independent registered accounting firm that it will receive, an audit report reflecting substantial doubt regarding the Registrant’s ability to continue as a going concern or (ii) the Registrant has concluded that a material adverse change has occurred in its financial position or results of operations that has caused the financial statements and other disclosures on the basis of which the offering would be made to be materially misleading.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Pursuant to the requirements of the Securities Act of 1933, the Registrant has duly caused this post effective amendment no. 4 to the Registration Statement to be signed on its behalf by the undersigned, thereunto duly authorized, in the City of New York, and State of New York, on the 22</w:t>
      </w:r>
      <w:r>
        <w:rPr>
          <w:rFonts w:ascii="Arial" w:cs="Arial" w:eastAsia="Arial" w:hAnsi="Arial"/>
          <w:sz w:val="10"/>
          <w:szCs w:val="10"/>
          <w:color w:val="auto"/>
        </w:rPr>
        <w:t>nd</w:t>
      </w:r>
      <w:r>
        <w:rPr>
          <w:rFonts w:ascii="Arial" w:cs="Arial" w:eastAsia="Arial" w:hAnsi="Arial"/>
          <w:sz w:val="15"/>
          <w:szCs w:val="15"/>
          <w:color w:val="auto"/>
        </w:rPr>
        <w:t xml:space="preserve"> day of February, 2010.</w:t>
      </w:r>
    </w:p>
    <w:p>
      <w:pPr>
        <w:spacing w:after="0" w:line="3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31"/>
        </w:trPr>
        <w:tc>
          <w:tcPr>
            <w:tcW w:w="380" w:type="dxa"/>
            <w:vAlign w:val="bottom"/>
          </w:tcPr>
          <w:p>
            <w:pPr>
              <w:spacing w:after="0" w:line="131" w:lineRule="exact"/>
              <w:rPr>
                <w:sz w:val="20"/>
                <w:szCs w:val="20"/>
                <w:color w:val="auto"/>
              </w:rPr>
            </w:pPr>
            <w:r>
              <w:rPr>
                <w:rFonts w:ascii="Arial" w:cs="Arial" w:eastAsia="Arial" w:hAnsi="Arial"/>
                <w:sz w:val="14"/>
                <w:szCs w:val="14"/>
                <w:b w:val="1"/>
                <w:bCs w:val="1"/>
                <w:color w:val="auto"/>
                <w:w w:val="84"/>
              </w:rPr>
              <w:t>Name:</w:t>
            </w:r>
          </w:p>
        </w:tc>
        <w:tc>
          <w:tcPr>
            <w:tcW w:w="4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Arthur H. Penn</w:t>
            </w:r>
          </w:p>
        </w:tc>
      </w:tr>
      <w:tr>
        <w:trPr>
          <w:trHeight w:val="174"/>
        </w:trPr>
        <w:tc>
          <w:tcPr>
            <w:tcW w:w="38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 Board</w:t>
            </w:r>
          </w:p>
        </w:tc>
      </w:tr>
    </w:tbl>
    <w:p>
      <w:pPr>
        <w:spacing w:after="0" w:line="141" w:lineRule="exact"/>
        <w:rPr>
          <w:sz w:val="20"/>
          <w:szCs w:val="20"/>
          <w:color w:val="auto"/>
        </w:rPr>
      </w:pPr>
    </w:p>
    <w:p>
      <w:pPr>
        <w:jc w:val="both"/>
        <w:ind w:right="5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 effective amendment no. 4 to the Registration Statement has been signed by the following persons in the capacities set forth below on the 22</w:t>
      </w:r>
      <w:r>
        <w:rPr>
          <w:rFonts w:ascii="Arial" w:cs="Arial" w:eastAsia="Arial" w:hAnsi="Arial"/>
          <w:sz w:val="11"/>
          <w:szCs w:val="11"/>
          <w:color w:val="auto"/>
        </w:rPr>
        <w:t>nd</w:t>
      </w:r>
      <w:r>
        <w:rPr>
          <w:rFonts w:ascii="Arial" w:cs="Arial" w:eastAsia="Arial" w:hAnsi="Arial"/>
          <w:sz w:val="18"/>
          <w:szCs w:val="18"/>
          <w:color w:val="auto"/>
        </w:rPr>
        <w:t xml:space="preserve"> day of February, 2010.</w:t>
      </w:r>
    </w:p>
    <w:p>
      <w:pPr>
        <w:spacing w:after="0" w:line="168" w:lineRule="exact"/>
        <w:rPr>
          <w:sz w:val="20"/>
          <w:szCs w:val="20"/>
          <w:color w:val="auto"/>
        </w:rPr>
      </w:pPr>
    </w:p>
    <w:p>
      <w:pPr>
        <w:ind w:left="2360"/>
        <w:spacing w:after="0"/>
        <w:tabs>
          <w:tab w:leader="none" w:pos="836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Title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17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r>
      <w:tr>
        <w:trPr>
          <w:trHeight w:val="202"/>
        </w:trPr>
        <w:tc>
          <w:tcPr>
            <w:tcW w:w="44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3"/>
              </w:rPr>
              <w:t>Arthur H. Penn</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2"/>
              </w:rPr>
              <w:t>Executive Officer)</w:t>
            </w:r>
          </w:p>
        </w:tc>
      </w:tr>
      <w:tr>
        <w:trPr>
          <w:trHeight w:val="426"/>
        </w:trPr>
        <w:tc>
          <w:tcPr>
            <w:tcW w:w="4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right"/>
              <w:ind w:right="198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6100" w:type="dxa"/>
            <w:vAlign w:val="bottom"/>
          </w:tcPr>
          <w:p>
            <w:pPr>
              <w:jc w:val="center"/>
              <w:ind w:left="772"/>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r>
      <w:tr>
        <w:trPr>
          <w:trHeight w:val="202"/>
        </w:trPr>
        <w:tc>
          <w:tcPr>
            <w:tcW w:w="440" w:type="dxa"/>
            <w:vAlign w:val="bottom"/>
          </w:tcPr>
          <w:p>
            <w:pPr>
              <w:spacing w:after="0"/>
              <w:rPr>
                <w:sz w:val="17"/>
                <w:szCs w:val="17"/>
                <w:color w:val="auto"/>
              </w:rPr>
            </w:pPr>
          </w:p>
        </w:tc>
        <w:tc>
          <w:tcPr>
            <w:tcW w:w="4600" w:type="dxa"/>
            <w:vAlign w:val="bottom"/>
          </w:tcPr>
          <w:p>
            <w:pPr>
              <w:jc w:val="center"/>
              <w:ind w:right="367"/>
              <w:spacing w:after="0"/>
              <w:rPr>
                <w:sz w:val="20"/>
                <w:szCs w:val="20"/>
                <w:color w:val="auto"/>
              </w:rPr>
            </w:pPr>
            <w:r>
              <w:rPr>
                <w:rFonts w:ascii="Arial" w:cs="Arial" w:eastAsia="Arial" w:hAnsi="Arial"/>
                <w:sz w:val="14"/>
                <w:szCs w:val="14"/>
                <w:b w:val="1"/>
                <w:bCs w:val="1"/>
                <w:color w:val="auto"/>
                <w:w w:val="91"/>
              </w:rPr>
              <w:t>Aviv Efrat</w:t>
            </w:r>
          </w:p>
        </w:tc>
        <w:tc>
          <w:tcPr>
            <w:tcW w:w="610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4"/>
              </w:rPr>
              <w:t>Officer)</w:t>
            </w:r>
          </w:p>
        </w:tc>
      </w:tr>
      <w:tr>
        <w:trPr>
          <w:trHeight w:val="426"/>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9"/>
              </w:rPr>
              <w:t>Adam K. Bernstein</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5"/>
              </w:rPr>
              <w:t>Jeffrey Flug</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Marshall Brozost</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417"/>
        </w:trPr>
        <w:tc>
          <w:tcPr>
            <w:tcW w:w="5040" w:type="dxa"/>
            <w:vAlign w:val="bottom"/>
            <w:gridSpan w:val="2"/>
          </w:tcPr>
          <w:p>
            <w:pPr>
              <w:jc w:val="right"/>
              <w:ind w:right="2287"/>
              <w:spacing w:after="0"/>
              <w:rPr>
                <w:sz w:val="20"/>
                <w:szCs w:val="20"/>
                <w:color w:val="auto"/>
              </w:rPr>
            </w:pPr>
            <w:r>
              <w:rPr>
                <w:rFonts w:ascii="Arial" w:cs="Arial" w:eastAsia="Arial" w:hAnsi="Arial"/>
                <w:sz w:val="18"/>
                <w:szCs w:val="18"/>
                <w:color w:val="auto"/>
              </w:rPr>
              <w:t>*</w:t>
            </w:r>
          </w:p>
        </w:tc>
        <w:tc>
          <w:tcPr>
            <w:tcW w:w="610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4600" w:type="dxa"/>
            <w:vAlign w:val="bottom"/>
            <w:tcBorders>
              <w:top w:val="single" w:sz="8" w:color="auto"/>
            </w:tcBorders>
          </w:tcPr>
          <w:p>
            <w:pPr>
              <w:jc w:val="center"/>
              <w:ind w:right="367"/>
              <w:spacing w:after="0"/>
              <w:rPr>
                <w:sz w:val="20"/>
                <w:szCs w:val="20"/>
                <w:color w:val="auto"/>
              </w:rPr>
            </w:pPr>
            <w:r>
              <w:rPr>
                <w:rFonts w:ascii="Arial" w:cs="Arial" w:eastAsia="Arial" w:hAnsi="Arial"/>
                <w:sz w:val="14"/>
                <w:szCs w:val="14"/>
                <w:b w:val="1"/>
                <w:bCs w:val="1"/>
                <w:color w:val="auto"/>
                <w:w w:val="88"/>
              </w:rPr>
              <w:t>Samuel L. Katz</w:t>
            </w:r>
          </w:p>
        </w:tc>
        <w:tc>
          <w:tcPr>
            <w:tcW w:w="610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bl>
    <w:p>
      <w:pPr>
        <w:spacing w:after="0" w:line="181" w:lineRule="exact"/>
        <w:rPr>
          <w:sz w:val="20"/>
          <w:szCs w:val="20"/>
          <w:color w:val="auto"/>
        </w:rPr>
      </w:pPr>
    </w:p>
    <w:p>
      <w:pPr>
        <w:ind w:left="5580" w:right="1660" w:hanging="5572"/>
        <w:spacing w:after="0" w:line="440" w:lineRule="auto"/>
        <w:tabs>
          <w:tab w:leader="none" w:pos="45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April 1, 2008. C-5</w:t>
      </w:r>
    </w:p>
    <w:p>
      <w:pPr>
        <w:sectPr>
          <w:pgSz w:w="11900" w:h="16838" w:orient="portrait"/>
          <w:cols w:equalWidth="0" w:num="1">
            <w:col w:w="11420"/>
          </w:cols>
          <w:pgMar w:left="240" w:top="460"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(h)(1)</w:t>
      </w:r>
    </w:p>
    <w:p>
      <w:pPr>
        <w:spacing w:after="0" w:line="177"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-13970</wp:posOffset>
            </wp:positionV>
            <wp:extent cx="4457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5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Common Stock</w:t>
      </w:r>
    </w:p>
    <w:p>
      <w:pPr>
        <w:spacing w:after="0" w:line="1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($.001 Par Value Per Share)</w:t>
      </w:r>
    </w:p>
    <w:p>
      <w:pPr>
        <w:spacing w:after="0" w:line="159"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-13970</wp:posOffset>
            </wp:positionV>
            <wp:extent cx="4457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ectPr>
          <w:pgSz w:w="11900" w:h="16838" w:orient="portrait"/>
          <w:cols w:equalWidth="0" w:num="1">
            <w:col w:w="10700"/>
          </w:cols>
          <w:pgMar w:left="960" w:top="125"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UNDERWRITING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[MONTH DAY,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PennantPark Investment Corporation, a Maryland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proposes to issue and sell an aggregate of [ ] shares (the </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xml:space="preserve"> ) of common stock, $.001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xml:space="preserve"> ), of the Company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xml:space="preserve"> ). It is understood that, subject to the conditions hereinafter stated, the Firm Shares will be sold by the Company to the several Underwriters named in Schedule A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xml:space="preserve"> ) in connection with the offer and sale of such Firm Shares. [Underwriters] shall act as joint book-running managers (the </w:t>
      </w:r>
      <w:r>
        <w:rPr>
          <w:rFonts w:ascii="Arial" w:cs="Arial" w:eastAsia="Arial" w:hAnsi="Arial"/>
          <w:sz w:val="16"/>
          <w:szCs w:val="16"/>
          <w:b w:val="1"/>
          <w:bCs w:val="1"/>
          <w:i w:val="1"/>
          <w:iCs w:val="1"/>
          <w:color w:val="auto"/>
        </w:rPr>
        <w:t>“Joint Book-Running Managers”</w:t>
      </w:r>
      <w:r>
        <w:rPr>
          <w:rFonts w:ascii="Arial" w:cs="Arial" w:eastAsia="Arial" w:hAnsi="Arial"/>
          <w:sz w:val="16"/>
          <w:szCs w:val="16"/>
          <w:color w:val="auto"/>
        </w:rPr>
        <w:t xml:space="preserve"> ).</w:t>
      </w:r>
    </w:p>
    <w:p>
      <w:pPr>
        <w:spacing w:after="0" w:line="11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In addition, solely for the purpose of covering over-allotments, the Company proposes to grant to the Underwriters the option to purchase from the Company up to an additional [ ] shares of Common Stock (the </w:t>
      </w:r>
      <w:r>
        <w:rPr>
          <w:rFonts w:ascii="Arial" w:cs="Arial" w:eastAsia="Arial" w:hAnsi="Arial"/>
          <w:sz w:val="16"/>
          <w:szCs w:val="16"/>
          <w:b w:val="1"/>
          <w:bCs w:val="1"/>
          <w:i w:val="1"/>
          <w:iCs w:val="1"/>
          <w:color w:val="auto"/>
        </w:rPr>
        <w:t>“Additional Shares”</w:t>
      </w:r>
      <w:r>
        <w:rPr>
          <w:rFonts w:ascii="Arial" w:cs="Arial" w:eastAsia="Arial" w:hAnsi="Arial"/>
          <w:sz w:val="16"/>
          <w:szCs w:val="16"/>
          <w:color w:val="auto"/>
        </w:rPr>
        <w:t xml:space="preserve"> ). The Firm Shares and the Additional Shares are hereinafter collectively sometimes referred to as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The Shares are described in the Prospectus which is referred to below.</w:t>
      </w:r>
    </w:p>
    <w:p>
      <w:pPr>
        <w:sectPr>
          <w:pgSz w:w="11900" w:h="16838" w:orient="portrait"/>
          <w:cols w:equalWidth="0" w:num="1">
            <w:col w:w="11420"/>
          </w:cols>
          <w:pgMar w:left="240" w:top="274" w:right="239" w:bottom="1440" w:gutter="0" w:footer="0" w:header="0"/>
        </w:sectPr>
      </w:pPr>
    </w:p>
    <w:bookmarkStart w:id="191" w:name="page192"/>
    <w:bookmarkEnd w:id="191"/>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xml:space="preserve"> ),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xml:space="preserve"> ) a registration statement on Form N-2 (File No. 333-[ ]) including a prospectus, relating to the Shares (the </w:t>
      </w:r>
      <w:r>
        <w:rPr>
          <w:rFonts w:ascii="Arial" w:cs="Arial" w:eastAsia="Arial" w:hAnsi="Arial"/>
          <w:sz w:val="16"/>
          <w:szCs w:val="16"/>
          <w:b w:val="1"/>
          <w:bCs w:val="1"/>
          <w:i w:val="1"/>
          <w:iCs w:val="1"/>
          <w:color w:val="auto"/>
        </w:rPr>
        <w:t>“Initial Registration Statement”</w:t>
      </w:r>
      <w:r>
        <w:rPr>
          <w:rFonts w:ascii="Arial" w:cs="Arial" w:eastAsia="Arial" w:hAnsi="Arial"/>
          <w:sz w:val="16"/>
          <w:szCs w:val="16"/>
          <w:color w:val="auto"/>
        </w:rPr>
        <w:t xml:space="preserve"> ). Any preliminary prospectus included in such Initial Registration Statement or filed with the Commission pursuant to Rule 497 under the Act is hereinafter referred to as a </w:t>
      </w:r>
      <w:r>
        <w:rPr>
          <w:rFonts w:ascii="Arial" w:cs="Arial" w:eastAsia="Arial" w:hAnsi="Arial"/>
          <w:sz w:val="16"/>
          <w:szCs w:val="16"/>
          <w:b w:val="1"/>
          <w:bCs w:val="1"/>
          <w:i w:val="1"/>
          <w:iCs w:val="1"/>
          <w:color w:val="auto"/>
        </w:rPr>
        <w:t>“Preliminary Prospectus;”</w:t>
      </w:r>
      <w:r>
        <w:rPr>
          <w:rFonts w:ascii="Arial" w:cs="Arial" w:eastAsia="Arial" w:hAnsi="Arial"/>
          <w:sz w:val="16"/>
          <w:szCs w:val="16"/>
          <w:color w:val="auto"/>
        </w:rPr>
        <w:t xml:space="preserve"> the Initial Registration Statement, as it may have heretofore been amended at the time it became effective or any amendment became effective, including the information (if any) deemed to be part of the registration statement at the time of effectiveness pursuant to Rule 430A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xml:space="preserve"> the Preliminary Prospectus, dated as of [MONTH DAY, YEAR], in the form in which it was distributed, is hereinafter referred to as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xml:space="preserve"> the prospectus to be filed with the Commission pursuant to Rule 497 after the Execution Time (as defined below) and to be used to confirm sales of Shares is hereinafter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A Form N-54A – Notification of Election to be Subject to Sections 55 through 65 of the Investment Company Act of 1940 Filed Pursuant to Section 54(a) of the Act (File No. 814-00736) (the </w:t>
      </w:r>
      <w:r>
        <w:rPr>
          <w:rFonts w:ascii="Arial" w:cs="Arial" w:eastAsia="Arial" w:hAnsi="Arial"/>
          <w:sz w:val="16"/>
          <w:szCs w:val="16"/>
          <w:b w:val="1"/>
          <w:bCs w:val="1"/>
          <w:i w:val="1"/>
          <w:iCs w:val="1"/>
          <w:color w:val="auto"/>
        </w:rPr>
        <w:t xml:space="preserve">“Notification of Election” </w:t>
      </w:r>
      <w:r>
        <w:rPr>
          <w:rFonts w:ascii="Arial" w:cs="Arial" w:eastAsia="Arial" w:hAnsi="Arial"/>
          <w:sz w:val="16"/>
          <w:szCs w:val="16"/>
          <w:color w:val="auto"/>
        </w:rPr>
        <w:t>) was filed with the Commission on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April 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2007 under the Investment Company Act of 1940, as amended, and the rules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xml:space="preserve"> ).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xml:space="preserve"> shall mean a day on which the New York Stock Exchange is open for trading.</w:t>
      </w:r>
    </w:p>
    <w:p>
      <w:pPr>
        <w:spacing w:after="0" w:line="12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The Company has entered into an investment advisory and management agreement, dated as of </w:t>
      </w:r>
      <w:r>
        <w:rPr>
          <w:rFonts w:ascii="Arial" w:cs="Arial" w:eastAsia="Arial" w:hAnsi="Arial"/>
          <w:sz w:val="16"/>
          <w:szCs w:val="16"/>
          <w:u w:val="single" w:color="auto"/>
          <w:color w:val="auto"/>
        </w:rPr>
        <w:t>April 18</w:t>
      </w:r>
      <w:r>
        <w:rPr>
          <w:rFonts w:ascii="Arial" w:cs="Arial" w:eastAsia="Arial" w:hAnsi="Arial"/>
          <w:sz w:val="16"/>
          <w:szCs w:val="16"/>
          <w:color w:val="auto"/>
        </w:rPr>
        <w:t xml:space="preserve">, 2007, as renewed [MONTH DAY, YEAR], (the </w:t>
      </w:r>
      <w:r>
        <w:rPr>
          <w:rFonts w:ascii="Arial" w:cs="Arial" w:eastAsia="Arial" w:hAnsi="Arial"/>
          <w:sz w:val="16"/>
          <w:szCs w:val="16"/>
          <w:b w:val="1"/>
          <w:bCs w:val="1"/>
          <w:i w:val="1"/>
          <w:iCs w:val="1"/>
          <w:color w:val="auto"/>
        </w:rPr>
        <w:t xml:space="preserve">“Investment Advisory Agreement” </w:t>
      </w:r>
      <w:r>
        <w:rPr>
          <w:rFonts w:ascii="Arial" w:cs="Arial" w:eastAsia="Arial" w:hAnsi="Arial"/>
          <w:sz w:val="16"/>
          <w:szCs w:val="16"/>
          <w:color w:val="auto"/>
        </w:rPr>
        <w:t>), with PennantPark Investment Advisers, LLC, a Delaware limited liability company registered as an investment adviser (the</w:t>
      </w:r>
      <w:r>
        <w:rPr>
          <w:rFonts w:ascii="Arial" w:cs="Arial" w:eastAsia="Arial" w:hAnsi="Arial"/>
          <w:sz w:val="16"/>
          <w:szCs w:val="16"/>
          <w:b w:val="1"/>
          <w:bCs w:val="1"/>
          <w:i w:val="1"/>
          <w:iCs w:val="1"/>
          <w:color w:val="auto"/>
        </w:rPr>
        <w:t xml:space="preserve"> “Adviser” </w:t>
      </w:r>
      <w:r>
        <w:rPr>
          <w:rFonts w:ascii="Arial" w:cs="Arial" w:eastAsia="Arial" w:hAnsi="Arial"/>
          <w:sz w:val="16"/>
          <w:szCs w:val="16"/>
          <w:color w:val="auto"/>
        </w:rPr>
        <w:t>) under the Investment Advisers Act of 1940, as amended, and the rules and regulations thereunder (collectively, the</w:t>
      </w:r>
      <w:r>
        <w:rPr>
          <w:rFonts w:ascii="Arial" w:cs="Arial" w:eastAsia="Arial" w:hAnsi="Arial"/>
          <w:sz w:val="16"/>
          <w:szCs w:val="16"/>
          <w:b w:val="1"/>
          <w:bCs w:val="1"/>
          <w:i w:val="1"/>
          <w:iCs w:val="1"/>
          <w:color w:val="auto"/>
        </w:rPr>
        <w:t xml:space="preserve"> “Advisers Act” </w:t>
      </w:r>
      <w:r>
        <w:rPr>
          <w:rFonts w:ascii="Arial" w:cs="Arial" w:eastAsia="Arial" w:hAnsi="Arial"/>
          <w:sz w:val="16"/>
          <w:szCs w:val="16"/>
          <w:color w:val="auto"/>
        </w:rPr>
        <w:t>).</w:t>
      </w:r>
    </w:p>
    <w:p>
      <w:pPr>
        <w:spacing w:after="0" w:line="10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 xml:space="preserve">The Company has entered into an administration agreement, dated as of </w:t>
      </w:r>
      <w:r>
        <w:rPr>
          <w:rFonts w:ascii="Arial" w:cs="Arial" w:eastAsia="Arial" w:hAnsi="Arial"/>
          <w:sz w:val="16"/>
          <w:szCs w:val="16"/>
          <w:u w:val="single" w:color="auto"/>
          <w:color w:val="auto"/>
        </w:rPr>
        <w:t>April 18</w:t>
      </w:r>
      <w:r>
        <w:rPr>
          <w:rFonts w:ascii="Arial" w:cs="Arial" w:eastAsia="Arial" w:hAnsi="Arial"/>
          <w:sz w:val="16"/>
          <w:szCs w:val="16"/>
          <w:color w:val="auto"/>
        </w:rPr>
        <w:t xml:space="preserve">, 2007, as renewed [MONTH DAY, YEAR], (the </w:t>
      </w: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with PennantPark Investment Administration, LLC, a Delaware limited liability company (the</w:t>
      </w:r>
      <w:r>
        <w:rPr>
          <w:rFonts w:ascii="Arial" w:cs="Arial" w:eastAsia="Arial" w:hAnsi="Arial"/>
          <w:sz w:val="16"/>
          <w:szCs w:val="16"/>
          <w:b w:val="1"/>
          <w:bCs w:val="1"/>
          <w:i w:val="1"/>
          <w:iCs w:val="1"/>
          <w:color w:val="auto"/>
        </w:rPr>
        <w:t xml:space="preserve"> “Administrator”</w:t>
      </w:r>
      <w:r>
        <w:rPr>
          <w:rFonts w:ascii="Arial" w:cs="Arial" w:eastAsia="Arial" w:hAnsi="Arial"/>
          <w:sz w:val="16"/>
          <w:szCs w:val="16"/>
          <w:color w:val="auto"/>
        </w:rPr>
        <w: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Company, the Adviser, the Administrator and the Underwriters agree as follows </w:t>
      </w:r>
      <w:r>
        <w:rPr>
          <w:rFonts w:ascii="Arial" w:cs="Arial" w:eastAsia="Arial" w:hAnsi="Arial"/>
          <w:sz w:val="11"/>
          <w:szCs w:val="11"/>
          <w:b w:val="1"/>
          <w:bCs w:val="1"/>
          <w:color w:val="auto"/>
        </w:rPr>
        <w:t>(i)</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303" w:lineRule="auto"/>
        <w:tabs>
          <w:tab w:leader="none" w:pos="632"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t>Sale and Purchase</w:t>
      </w:r>
      <w:r>
        <w:rPr>
          <w:rFonts w:ascii="Arial" w:cs="Arial" w:eastAsia="Arial" w:hAnsi="Arial"/>
          <w:sz w:val="15"/>
          <w:szCs w:val="15"/>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purchase price of $ per Share. The Company is advised by you that the Underwriters intend (i) to make a public offering of their respective portions of the Firm Shares as soon after the effective date of the Registration Statement as in your judgment is advisable and (ii) initially to offer the Firm Shares upon the terms set forth in the Prospectus. You may from time to time increase or decrease the public offering price after the public offering to such extent as you may determine.</w:t>
      </w:r>
    </w:p>
    <w:p>
      <w:pPr>
        <w:spacing w:after="0" w:line="14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 xml:space="preserve">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as may be necessary to cover over-allotments made in connection with the offering of the Firm Shares, at the same purchase price per share to be paid by the Underwriters to the Company for the Firm Shares. This option may be exercised by the Joint Book-Running Managers, acting together, on behalf of the several Underwriters at any time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 xml:space="preserve">“additional time of purchase”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that the additional time of purchase shall not be earlier than the time of purchase (as defined below) nor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earlier than the second business day after the date on which the option shall have been exercised nor later than the tenth business day after the date on which the option shall have been exercised.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w:t>
      </w:r>
    </w:p>
    <w:p>
      <w:pPr>
        <w:spacing w:after="0" w:line="121" w:lineRule="exact"/>
        <w:rPr>
          <w:sz w:val="20"/>
          <w:szCs w:val="20"/>
          <w:color w:val="auto"/>
        </w:rPr>
      </w:pPr>
    </w:p>
    <w:p>
      <w:pPr>
        <w:ind w:firstLine="464"/>
        <w:spacing w:after="0" w:line="254" w:lineRule="auto"/>
        <w:tabs>
          <w:tab w:leader="none" w:pos="632"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 xml:space="preserve">. Payment of the purchase price for the Firm Shares shall be made to the Company by Federal Funds wire transfer, against delivery of the certificates for the Firm Shares to you through the facilities of The Depository Trust Company ( </w:t>
      </w:r>
      <w:r>
        <w:rPr>
          <w:rFonts w:ascii="Arial" w:cs="Arial" w:eastAsia="Arial" w:hAnsi="Arial"/>
          <w:sz w:val="18"/>
          <w:szCs w:val="18"/>
          <w:b w:val="1"/>
          <w:bCs w:val="1"/>
          <w:i w:val="1"/>
          <w:iCs w:val="1"/>
          <w:color w:val="auto"/>
        </w:rPr>
        <w:t>“DTC”</w:t>
      </w:r>
      <w:r>
        <w:rPr>
          <w:rFonts w:ascii="Arial" w:cs="Arial" w:eastAsia="Arial" w:hAnsi="Arial"/>
          <w:sz w:val="18"/>
          <w:szCs w:val="18"/>
          <w:color w:val="auto"/>
        </w:rPr>
        <w:t xml:space="preserve"> ) for the respective accounts of the Underwriters. Such payment and delivery shall be made at [TIME], New York City time, on [MONTH DAY, YEAR] (unless another time shall be agreed to by you and the Company or unless postponed in accordance with the provisions of Section 8 hereof). The time at which such payment and delivery are to be made is hereinafter sometimes called </w:t>
      </w:r>
      <w:r>
        <w:rPr>
          <w:rFonts w:ascii="Arial" w:cs="Arial" w:eastAsia="Arial" w:hAnsi="Arial"/>
          <w:sz w:val="18"/>
          <w:szCs w:val="18"/>
          <w:b w:val="1"/>
          <w:bCs w:val="1"/>
          <w:i w:val="1"/>
          <w:iCs w:val="1"/>
          <w:color w:val="auto"/>
        </w:rPr>
        <w:t>“the time of purchase.”</w:t>
      </w:r>
      <w:r>
        <w:rPr>
          <w:rFonts w:ascii="Arial" w:cs="Arial" w:eastAsia="Arial" w:hAnsi="Arial"/>
          <w:sz w:val="18"/>
          <w:szCs w:val="18"/>
          <w:color w:val="auto"/>
        </w:rPr>
        <w:t xml:space="preserve"> Electronic transfer of the Firm Shares shall be made to you at the time of purchase in such names and in such denominations as you shall specify.</w:t>
      </w:r>
    </w:p>
    <w:p>
      <w:pPr>
        <w:spacing w:after="0" w:line="14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Payment of the purchase price for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[UNDERWRITER’S ATTORNEY AND ATTORNEY ADDRESS] at [TIME] New York City time, on the date of the closing of the purchase of the Firm Shares or the Additional Shares, as the case may be.</w:t>
      </w:r>
    </w:p>
    <w:p>
      <w:pPr>
        <w:sectPr>
          <w:pgSz w:w="11900" w:h="16838" w:orient="portrait"/>
          <w:cols w:equalWidth="0" w:num="1">
            <w:col w:w="11400"/>
          </w:cols>
          <w:pgMar w:left="240" w:top="280" w:right="259" w:bottom="1440" w:gutter="0" w:footer="0" w:header="0"/>
        </w:sectPr>
      </w:pPr>
    </w:p>
    <w:bookmarkStart w:id="192" w:name="page193"/>
    <w:bookmarkEnd w:id="192"/>
    <w:p>
      <w:pPr>
        <w:ind w:left="-464" w:right="280" w:firstLine="464"/>
        <w:spacing w:after="0" w:line="332" w:lineRule="auto"/>
        <w:tabs>
          <w:tab w:leader="none" w:pos="168"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the Company</w:t>
      </w:r>
      <w:r>
        <w:rPr>
          <w:rFonts w:ascii="Arial" w:cs="Arial" w:eastAsia="Arial" w:hAnsi="Arial"/>
          <w:sz w:val="16"/>
          <w:szCs w:val="16"/>
          <w:color w:val="auto"/>
        </w:rPr>
        <w:t>. The Company represents and warrants to and agrees with each of the Underwriters, and the Adviser and the Administrator, jointly and severally, represent and warrant to and agree with each of the Underwriters that:</w:t>
      </w:r>
    </w:p>
    <w:p>
      <w:pPr>
        <w:spacing w:after="0" w:line="85" w:lineRule="exact"/>
        <w:rPr>
          <w:sz w:val="20"/>
          <w:szCs w:val="20"/>
          <w:color w:val="auto"/>
        </w:rPr>
      </w:pPr>
    </w:p>
    <w:p>
      <w:pPr>
        <w:ind w:left="-464" w:right="40" w:firstLine="464"/>
        <w:spacing w:after="0" w:line="284" w:lineRule="auto"/>
        <w:tabs>
          <w:tab w:leader="none" w:pos="23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Registration Statement has been declared effective under the Act; no stop order of the Commission preventing or suspending the use of any Preliminary Prospectus or the Prospectus or the effectiveness of the Registration Statement has been issued and no proceedings for such purpose have been instituted or, to the Company’s knowledge, are contemplated by the Commission; the Pricing Prospectus taken together with the information set forth on Exhibit G hereto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xml:space="preserve"> ), as of the date and time that this Agreement is executed and delivered by the parties hereto (the </w:t>
      </w:r>
      <w:r>
        <w:rPr>
          <w:rFonts w:ascii="Arial" w:cs="Arial" w:eastAsia="Arial" w:hAnsi="Arial"/>
          <w:sz w:val="16"/>
          <w:szCs w:val="16"/>
          <w:b w:val="1"/>
          <w:bCs w:val="1"/>
          <w:i w:val="1"/>
          <w:iCs w:val="1"/>
          <w:color w:val="auto"/>
        </w:rPr>
        <w:t>“Execution Time”</w:t>
      </w:r>
      <w:r>
        <w:rPr>
          <w:rFonts w:ascii="Arial" w:cs="Arial" w:eastAsia="Arial" w:hAnsi="Arial"/>
          <w:sz w:val="16"/>
          <w:szCs w:val="16"/>
          <w:color w:val="auto"/>
        </w:rPr>
        <w:t xml:space="preserve"> ),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 accordance with Rule 497 and at the time of purchase and the additional time of purchase, if any, in all material respects with the requirements of the Act and the Prospectus (and any supplements thereto), as of the date it is first filed in accordance with Rule 497 and at the time of purchase and any additional time of purchase, will comply in all material respects with the requirements of the Act, and any statutes, regulations, contracts or other documents that are required to be described in the Registration Statement, the Pricing Prospectus or the Prospectus or to be filed as exhibits to the Registration Statement have been and will be so described or filed; the Company is eligible to use Form N-2;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the Company makes no warranty or representation with respect to any statement contained in the Pricing Prospectus, the Registration Statement or the Prospectus in reliance upon and in conformity with information concerning an Underwriter and furnished in writing by or on behalf of such Underwriter through you to the Company expressly for use in the Pricing Prospectus, the Registration Statement or the Prospectus; and the Company has not distributed and will not distribute any offering material in connection with the offering or sale of the Shares other than the Registration Statement, the Pricing Prospectus and the Prospectus;</w:t>
      </w:r>
    </w:p>
    <w:p>
      <w:pPr>
        <w:spacing w:after="0" w:line="129" w:lineRule="exact"/>
        <w:rPr>
          <w:rFonts w:ascii="Arial" w:cs="Arial" w:eastAsia="Arial" w:hAnsi="Arial"/>
          <w:sz w:val="16"/>
          <w:szCs w:val="16"/>
          <w:color w:val="auto"/>
        </w:rPr>
      </w:pPr>
    </w:p>
    <w:p>
      <w:pPr>
        <w:ind w:left="-464" w:right="260" w:firstLine="464"/>
        <w:spacing w:after="0" w:line="312" w:lineRule="auto"/>
        <w:tabs>
          <w:tab w:leader="none" w:pos="241"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as of the Execution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105" w:lineRule="exact"/>
        <w:rPr>
          <w:rFonts w:ascii="Arial" w:cs="Arial" w:eastAsia="Arial" w:hAnsi="Arial"/>
          <w:sz w:val="15"/>
          <w:szCs w:val="15"/>
          <w:color w:val="auto"/>
        </w:rPr>
      </w:pPr>
    </w:p>
    <w:p>
      <w:pPr>
        <w:jc w:val="both"/>
        <w:ind w:left="-464" w:right="340" w:firstLine="464"/>
        <w:spacing w:after="0" w:line="306" w:lineRule="auto"/>
        <w:tabs>
          <w:tab w:leader="none" w:pos="23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with full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106" w:lineRule="exact"/>
        <w:rPr>
          <w:rFonts w:ascii="Arial" w:cs="Arial" w:eastAsia="Arial" w:hAnsi="Arial"/>
          <w:sz w:val="16"/>
          <w:szCs w:val="16"/>
          <w:color w:val="auto"/>
        </w:rPr>
      </w:pPr>
    </w:p>
    <w:p>
      <w:pPr>
        <w:jc w:val="both"/>
        <w:ind w:left="-464" w:right="100" w:firstLine="464"/>
        <w:spacing w:after="0" w:line="256" w:lineRule="auto"/>
        <w:tabs>
          <w:tab w:leader="none" w:pos="24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results of operation or prospects of the Company (a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 xml:space="preserve"> );</w:t>
      </w:r>
    </w:p>
    <w:p>
      <w:pPr>
        <w:spacing w:after="0" w:line="143" w:lineRule="exact"/>
        <w:rPr>
          <w:rFonts w:ascii="Arial" w:cs="Arial" w:eastAsia="Arial" w:hAnsi="Arial"/>
          <w:sz w:val="18"/>
          <w:szCs w:val="18"/>
          <w:color w:val="auto"/>
        </w:rPr>
      </w:pPr>
    </w:p>
    <w:p>
      <w:pPr>
        <w:ind w:left="-464" w:firstLine="464"/>
        <w:spacing w:after="0" w:line="290" w:lineRule="auto"/>
        <w:tabs>
          <w:tab w:leader="none" w:pos="23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Company has no subsidiaries (as defined in the Act) other than Pennant SPV Company, LLC (the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the Subsidiary has been duly formed and is validly existing as a Delaware limited liability company in good standing under the laws of the State of Delaware, with full power and authority to own, lease and operate its properties and to conduct its business as described in the Pricing Prospectus, the Prospectus and the Registration Statement; except as disclosed in the Pricing Prospectus, the Prospectus and the Registration Statement, the Company does not own, directly or indirectly, any shares of stock or any other equity or long-term debt securities of any corporation or have any equity interest in any firm, partnership, joint venture, association or other entity; complete and correct copies of the articles of incorporation, certificate of formation, limited liability company operating agreement and bylaws, as applicable, of each of the Company and the Subsidiary, and all amendments thereto through the date hereof, have been delivered to you;</w:t>
      </w:r>
    </w:p>
    <w:p>
      <w:pPr>
        <w:spacing w:after="0" w:line="118" w:lineRule="exact"/>
        <w:rPr>
          <w:rFonts w:ascii="Arial" w:cs="Arial" w:eastAsia="Arial" w:hAnsi="Arial"/>
          <w:sz w:val="16"/>
          <w:szCs w:val="16"/>
          <w:color w:val="auto"/>
        </w:rPr>
      </w:pPr>
    </w:p>
    <w:p>
      <w:pPr>
        <w:ind w:left="-464" w:right="280" w:firstLine="464"/>
        <w:spacing w:after="0" w:line="259" w:lineRule="auto"/>
        <w:tabs>
          <w:tab w:leader="none" w:pos="21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Subsidiary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140" w:lineRule="exact"/>
        <w:rPr>
          <w:rFonts w:ascii="Arial" w:cs="Arial" w:eastAsia="Arial" w:hAnsi="Arial"/>
          <w:sz w:val="18"/>
          <w:szCs w:val="18"/>
          <w:color w:val="auto"/>
        </w:rPr>
      </w:pPr>
    </w:p>
    <w:p>
      <w:pPr>
        <w:ind w:left="-464" w:right="140" w:firstLine="464"/>
        <w:spacing w:after="0" w:line="332" w:lineRule="auto"/>
        <w:tabs>
          <w:tab w:leader="none" w:pos="24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Shares have been duly and validly authorized and, when issued and delivered against payment therefor by you as provided herein, will be duly and validly issued, fully paid and non-assessable and free of statutory and contractual preemptive rights or rights of first refusal;</w:t>
      </w:r>
    </w:p>
    <w:p>
      <w:pPr>
        <w:spacing w:after="0" w:line="85" w:lineRule="exact"/>
        <w:rPr>
          <w:rFonts w:ascii="Arial" w:cs="Arial" w:eastAsia="Arial" w:hAnsi="Arial"/>
          <w:sz w:val="16"/>
          <w:szCs w:val="16"/>
          <w:color w:val="auto"/>
        </w:rPr>
      </w:pPr>
    </w:p>
    <w:p>
      <w:pPr>
        <w:ind w:left="-464" w:right="500" w:firstLine="464"/>
        <w:spacing w:after="0" w:line="259" w:lineRule="auto"/>
        <w:tabs>
          <w:tab w:leader="none" w:pos="24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w:t>
      </w:r>
    </w:p>
    <w:p>
      <w:pPr>
        <w:spacing w:after="0" w:line="140" w:lineRule="exact"/>
        <w:rPr>
          <w:rFonts w:ascii="Arial" w:cs="Arial" w:eastAsia="Arial" w:hAnsi="Arial"/>
          <w:sz w:val="18"/>
          <w:szCs w:val="18"/>
          <w:color w:val="auto"/>
        </w:rPr>
      </w:pPr>
    </w:p>
    <w:p>
      <w:pPr>
        <w:ind w:left="-464" w:right="460" w:firstLine="464"/>
        <w:spacing w:after="0" w:line="268" w:lineRule="auto"/>
        <w:tabs>
          <w:tab w:leader="none" w:pos="20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this Agreement, the Investment Advisory Agreement and the Administration Agreement have been duly authorized, executed and delivered by the Company;</w:t>
      </w:r>
    </w:p>
    <w:p>
      <w:pPr>
        <w:spacing w:after="0" w:line="131" w:lineRule="exact"/>
        <w:rPr>
          <w:rFonts w:ascii="Arial" w:cs="Arial" w:eastAsia="Arial" w:hAnsi="Arial"/>
          <w:sz w:val="18"/>
          <w:szCs w:val="18"/>
          <w:color w:val="auto"/>
        </w:rPr>
      </w:pPr>
    </w:p>
    <w:p>
      <w:pPr>
        <w:ind w:left="-464" w:right="120" w:firstLine="464"/>
        <w:spacing w:after="0" w:line="259" w:lineRule="auto"/>
        <w:tabs>
          <w:tab w:leader="none" w:pos="20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neither the Company nor the Subsidiary is in breach or violation of or in default under (nor has any event occurred which with notice, lapse of time or both would reasonably be expected to result in any breach or violation of, constitute a default under or give the holder of any indebtedness (or a person acting on such holder’s behalf) the right to require the repurchase, redemption or repayment of all or a part of such</w:t>
      </w:r>
    </w:p>
    <w:p>
      <w:pPr>
        <w:sectPr>
          <w:pgSz w:w="11900" w:h="16838" w:orient="portrait"/>
          <w:cols w:equalWidth="0" w:num="1">
            <w:col w:w="10956"/>
          </w:cols>
          <w:pgMar w:left="704" w:top="280" w:right="239" w:bottom="1440" w:gutter="0" w:footer="0" w:header="0"/>
        </w:sectPr>
      </w:pPr>
    </w:p>
    <w:bookmarkStart w:id="193" w:name="page194"/>
    <w:bookmarkEnd w:id="19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indebtedness under) (i) its charter, by-laws, certificate of formation, limited liability company operating agreement, or other organizational documents of the Company or the Adviser, as applicable, or (ii) any indenture, mortgage, deed of trust, bank loan or credit agreement or other evidence of indebtedness, or any license, lease, contract or other agreement or instrument to which the Company or the Subsidiary, as the case may be, is a party, except, with respect to clause (ii), to the extent that any such contravention would not have a Material Adverse Effect, and the execution, delivery and performance by the Company of this Agreement, the Investment Advisory Agreement and Administration Agreement, the issuance and sale of the Shares and the consummation of the transactions contemplated hereby will not conflict with, result in any breach or violation of or constitute a default under (nor constitute any event which with notice, lapse of time or both would result in any breach or violation of or constitute a default under) (i) the charter, by-laws, certificate of formation, limited liability company operating agreement, or other organizational documents of the Company or the Subsidiary, or (ii) any indenture, mortgage, deed of trust, bank loan or credit agreement or other evidence of indebtedness, or any license, lease, contract or other agreement or instrument to which the Company or the Subsidiary is a party, or (iii) any federal, state, local or foreign law, regulation or rule or any decree, judgment or order applicable to the Company or the Subsidiary, except, with respect to clause (ii) and (iii), to the extent that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121" w:lineRule="exact"/>
        <w:rPr>
          <w:sz w:val="20"/>
          <w:szCs w:val="20"/>
          <w:color w:val="auto"/>
        </w:rPr>
      </w:pPr>
    </w:p>
    <w:p>
      <w:pPr>
        <w:ind w:right="40" w:firstLine="464"/>
        <w:spacing w:after="0" w:line="294"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federal, state, local or foreign governmental or regulatory commission, board, body, authority or agency is required in connection with the issuance and sale of the Shares or the consummation by the Company of the transactions contemplated hereby other than (i)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Regulation Authority (</w:t>
      </w:r>
      <w:r>
        <w:rPr>
          <w:rFonts w:ascii="Arial" w:cs="Arial" w:eastAsia="Arial" w:hAnsi="Arial"/>
          <w:sz w:val="16"/>
          <w:szCs w:val="16"/>
          <w:b w:val="1"/>
          <w:bCs w:val="1"/>
          <w:i w:val="1"/>
          <w:iCs w:val="1"/>
          <w:color w:val="auto"/>
        </w:rPr>
        <w:t>“FINRA”</w:t>
      </w:r>
      <w:r>
        <w:rPr>
          <w:rFonts w:ascii="Arial" w:cs="Arial" w:eastAsia="Arial" w:hAnsi="Arial"/>
          <w:sz w:val="16"/>
          <w:szCs w:val="16"/>
          <w:i w:val="1"/>
          <w:iCs w:val="1"/>
          <w:color w:val="auto"/>
        </w:rPr>
        <w:t>)</w:t>
      </w:r>
      <w:r>
        <w:rPr>
          <w:rFonts w:ascii="Arial" w:cs="Arial" w:eastAsia="Arial" w:hAnsi="Arial"/>
          <w:sz w:val="16"/>
          <w:szCs w:val="16"/>
          <w:color w:val="auto"/>
        </w:rPr>
        <w:t xml:space="preserve"> and (ii) filing of the Notification of Election under the Investment Company Act, which has been effected;</w:t>
      </w:r>
    </w:p>
    <w:p>
      <w:pPr>
        <w:spacing w:after="0" w:line="115" w:lineRule="exact"/>
        <w:rPr>
          <w:rFonts w:ascii="Arial" w:cs="Arial" w:eastAsia="Arial" w:hAnsi="Arial"/>
          <w:sz w:val="16"/>
          <w:szCs w:val="16"/>
          <w:color w:val="auto"/>
        </w:rPr>
      </w:pPr>
    </w:p>
    <w:p>
      <w:pPr>
        <w:ind w:firstLine="464"/>
        <w:spacing w:after="0" w:line="289" w:lineRule="auto"/>
        <w:tabs>
          <w:tab w:leader="none" w:pos="66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contractual or otherwise, to cause the Company to issue or sell to it any shares of Common Stock or shares of any other capital stock or other equity interests of the Company, (ii) no person has any preemptive rights or rights of first refusal to purchase any shares of Common Stock or shares of any other capital stock or other equity interests of the Company, and (iii) no person has the right to act as an underwriter or as a financial advisor to the Company in connection with the offer and sale of the Shares, in the case of each of the foregoing clauses (i), (ii) and (iii), whether as a result of the filing or effectiveness of the Registration Statement or the sale of the Shares as contemplated thereby or otherwise; no person has the right, contractual or otherwise, to cause the Company to register under the Act any shares of Common Stock or shares of any other capital stock or other equity interests of the Company, or to include any such shares or interests in the Registration Statement or the offering contemplated thereby;</w:t>
      </w:r>
    </w:p>
    <w:p>
      <w:pPr>
        <w:spacing w:after="0" w:line="118" w:lineRule="exact"/>
        <w:rPr>
          <w:rFonts w:ascii="Arial" w:cs="Arial" w:eastAsia="Arial" w:hAnsi="Arial"/>
          <w:sz w:val="16"/>
          <w:szCs w:val="16"/>
          <w:color w:val="auto"/>
        </w:rPr>
      </w:pPr>
    </w:p>
    <w:p>
      <w:pPr>
        <w:ind w:right="40" w:firstLine="464"/>
        <w:spacing w:after="0" w:line="253" w:lineRule="auto"/>
        <w:tabs>
          <w:tab w:leader="none" w:pos="75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each of the Company and the Subsidiary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xml:space="preserve"> )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147"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contracts, licenses, agreements, leases or documents of a character required to be described in the Pricing Prospectus and the Prospectus or to be filed as an exhibit to the Registration Statement have been so described or filed as required;</w:t>
      </w:r>
    </w:p>
    <w:p>
      <w:pPr>
        <w:spacing w:after="0" w:line="140" w:lineRule="exact"/>
        <w:rPr>
          <w:rFonts w:ascii="Arial" w:cs="Arial" w:eastAsia="Arial" w:hAnsi="Arial"/>
          <w:sz w:val="18"/>
          <w:szCs w:val="18"/>
          <w:color w:val="auto"/>
        </w:rPr>
      </w:pPr>
    </w:p>
    <w:p>
      <w:pPr>
        <w:ind w:right="100" w:firstLine="464"/>
        <w:spacing w:after="0" w:line="294"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there are no actions, suits, claims, investigations or proceedings pending or, to the Company’s knowledge, threatened to which the Company or the Subsidiary, or any of their respective directors, managing members or officers is or would be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Subsidiary, as the case may be, have, individually or in the aggregate, a Material Adverse Effect or prevent consummation of the transactions contemplated hereby;</w:t>
      </w:r>
    </w:p>
    <w:p>
      <w:pPr>
        <w:spacing w:after="0" w:line="115" w:lineRule="exact"/>
        <w:rPr>
          <w:rFonts w:ascii="Arial" w:cs="Arial" w:eastAsia="Arial" w:hAnsi="Arial"/>
          <w:sz w:val="16"/>
          <w:szCs w:val="16"/>
          <w:color w:val="auto"/>
        </w:rPr>
      </w:pPr>
    </w:p>
    <w:p>
      <w:pPr>
        <w:ind w:right="700" w:firstLine="464"/>
        <w:spacing w:after="0" w:line="268" w:lineRule="auto"/>
        <w:tabs>
          <w:tab w:leader="none" w:pos="7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KPMG LLP, whose report on the statement of assets and liabilities of the Company is filed with the Commission as part of the Prospectus, are independent public accountants as required by the Act;</w:t>
      </w:r>
    </w:p>
    <w:p>
      <w:pPr>
        <w:spacing w:after="0" w:line="131" w:lineRule="exact"/>
        <w:rPr>
          <w:rFonts w:ascii="Arial" w:cs="Arial" w:eastAsia="Arial" w:hAnsi="Arial"/>
          <w:sz w:val="18"/>
          <w:szCs w:val="18"/>
          <w:color w:val="auto"/>
        </w:rPr>
      </w:pPr>
    </w:p>
    <w:p>
      <w:pPr>
        <w:ind w:right="60" w:firstLine="464"/>
        <w:spacing w:after="0" w:line="307" w:lineRule="auto"/>
        <w:tabs>
          <w:tab w:leader="none" w:pos="70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 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Item 10 of Regulation S-K under the Act, to the extent applicable;</w:t>
      </w:r>
    </w:p>
    <w:p>
      <w:pPr>
        <w:sectPr>
          <w:pgSz w:w="11900" w:h="16838" w:orient="portrait"/>
          <w:cols w:equalWidth="0" w:num="1">
            <w:col w:w="11400"/>
          </w:cols>
          <w:pgMar w:left="240" w:top="280" w:right="259" w:bottom="1440" w:gutter="0" w:footer="0" w:header="0"/>
        </w:sectPr>
      </w:pPr>
    </w:p>
    <w:bookmarkStart w:id="194" w:name="page195"/>
    <w:bookmarkEnd w:id="194"/>
    <w:p>
      <w:pPr>
        <w:ind w:left="-464" w:right="200" w:firstLine="464"/>
        <w:spacing w:after="0" w:line="291" w:lineRule="auto"/>
        <w:tabs>
          <w:tab w:leader="none" w:pos="211" w:val="left"/>
        </w:tabs>
        <w:numPr>
          <w:ilvl w:val="0"/>
          <w:numId w:val="1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the date of the Registration Statement, the Pricing Prospectus and the Prospectus (exclusive of any amendments or supplements thereto subsequent to the date of this Agreement), there has not been (i) any material adverse change, or any development involving a prospective material adverse change, in the business, management, financial condition or results of operations of the Company or the Subsidiary, (ii) any transaction which is material to the Company or the Subsidiary, (iii) any obligation, direct or contingent (including any off-balance sheet obligations), incurred by the Company or the Subsidiary, which is material to the Company or the Subsidiary, as the case may be; (iv) any change in the capital stock or outstanding indebtedness of the Company or the Subsidiary; or (v) any dividend of any kind declared, paid, or made on the capital stock of the Company or the Subsidiary;</w:t>
      </w:r>
    </w:p>
    <w:p>
      <w:pPr>
        <w:spacing w:after="0" w:line="120" w:lineRule="exact"/>
        <w:rPr>
          <w:rFonts w:ascii="Arial" w:cs="Arial" w:eastAsia="Arial" w:hAnsi="Arial"/>
          <w:sz w:val="16"/>
          <w:szCs w:val="16"/>
          <w:color w:val="auto"/>
        </w:rPr>
      </w:pPr>
    </w:p>
    <w:p>
      <w:pPr>
        <w:ind w:left="-464" w:right="300" w:firstLine="464"/>
        <w:spacing w:after="0" w:line="268" w:lineRule="auto"/>
        <w:tabs>
          <w:tab w:leader="none" w:pos="2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131" w:lineRule="exact"/>
        <w:rPr>
          <w:rFonts w:ascii="Arial" w:cs="Arial" w:eastAsia="Arial" w:hAnsi="Arial"/>
          <w:sz w:val="18"/>
          <w:szCs w:val="18"/>
          <w:color w:val="auto"/>
        </w:rPr>
      </w:pPr>
    </w:p>
    <w:p>
      <w:pPr>
        <w:ind w:left="-464" w:right="180" w:firstLine="464"/>
        <w:spacing w:after="0" w:line="370" w:lineRule="auto"/>
        <w:tabs>
          <w:tab w:leader="none" w:pos="20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Each of the Company and the Subsidiary is not and, after giving effect to the offering and sale of the Shares, will not be a “registered management investment company” or an entity “controlled” by a “registered management investment company,” as such terms are used under the Investment Company Act;</w:t>
      </w:r>
    </w:p>
    <w:p>
      <w:pPr>
        <w:spacing w:after="0" w:line="62" w:lineRule="exact"/>
        <w:rPr>
          <w:rFonts w:ascii="Arial" w:cs="Arial" w:eastAsia="Arial" w:hAnsi="Arial"/>
          <w:sz w:val="15"/>
          <w:szCs w:val="15"/>
          <w:color w:val="auto"/>
        </w:rPr>
      </w:pPr>
    </w:p>
    <w:p>
      <w:pPr>
        <w:ind w:left="-464" w:right="60" w:firstLine="464"/>
        <w:spacing w:after="0" w:line="259" w:lineRule="auto"/>
        <w:tabs>
          <w:tab w:leader="none" w:pos="24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when the Notification of Election was filed with the Commission, it (i) contained all statements required to be stated therein in accordance with, and compiled in all material respects with the requirements of, the Investment Company Act and (ii) did not include any untrue statement of a material fact or omit to state a material fact necessary to make the statements therein not misleading;</w:t>
      </w:r>
    </w:p>
    <w:p>
      <w:pPr>
        <w:spacing w:after="0" w:line="140" w:lineRule="exact"/>
        <w:rPr>
          <w:rFonts w:ascii="Arial" w:cs="Arial" w:eastAsia="Arial" w:hAnsi="Arial"/>
          <w:sz w:val="18"/>
          <w:szCs w:val="18"/>
          <w:color w:val="auto"/>
        </w:rPr>
      </w:pPr>
    </w:p>
    <w:p>
      <w:pPr>
        <w:ind w:left="-464" w:firstLine="464"/>
        <w:spacing w:after="0" w:line="288" w:lineRule="auto"/>
        <w:tabs>
          <w:tab w:leader="none" w:pos="24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each of the Company and the Subsidiary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6"/>
          <w:szCs w:val="16"/>
          <w:b w:val="1"/>
          <w:bCs w:val="1"/>
          <w:i w:val="1"/>
          <w:iCs w:val="1"/>
          <w:color w:val="auto"/>
        </w:rPr>
        <w:t xml:space="preserve">“Intellectual Property” </w:t>
      </w:r>
      <w:r>
        <w:rPr>
          <w:rFonts w:ascii="Arial" w:cs="Arial" w:eastAsia="Arial" w:hAnsi="Arial"/>
          <w:sz w:val="16"/>
          <w:szCs w:val="16"/>
          <w:color w:val="auto"/>
        </w:rPr>
        <w:t>), except where the failure to own, license or have such rights would not, individually or in the aggregate, have a Material Adverse Effect;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disclosed in the Registration Statement, the Pricing Prospectus and the Prospectus, neither the Company nor the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the Subsidiary, as the case may be, therein, and which infringement or conflict (if the subject of any unfavorable decision, ruling or finding) or invalidity or inadequacy, would result in a Material Adverse Effect;</w:t>
      </w:r>
    </w:p>
    <w:p>
      <w:pPr>
        <w:spacing w:after="0" w:line="119" w:lineRule="exact"/>
        <w:rPr>
          <w:rFonts w:ascii="Arial" w:cs="Arial" w:eastAsia="Arial" w:hAnsi="Arial"/>
          <w:sz w:val="16"/>
          <w:szCs w:val="16"/>
          <w:color w:val="auto"/>
        </w:rPr>
      </w:pPr>
    </w:p>
    <w:p>
      <w:pPr>
        <w:ind w:left="-464" w:right="220" w:firstLine="464"/>
        <w:spacing w:after="0" w:line="306" w:lineRule="auto"/>
        <w:tabs>
          <w:tab w:leader="none" w:pos="2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106" w:lineRule="exact"/>
        <w:rPr>
          <w:rFonts w:ascii="Arial" w:cs="Arial" w:eastAsia="Arial" w:hAnsi="Arial"/>
          <w:sz w:val="16"/>
          <w:szCs w:val="16"/>
          <w:color w:val="auto"/>
        </w:rPr>
      </w:pPr>
    </w:p>
    <w:p>
      <w:pPr>
        <w:ind w:left="-464" w:right="20" w:firstLine="464"/>
        <w:spacing w:after="0" w:line="306" w:lineRule="auto"/>
        <w:tabs>
          <w:tab w:leader="none" w:pos="24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neither the Company nor the Subsidiary has sent or received any communication regarding termination of, or intent not to renew, any of the contracts or agreements referred to or described in, or filed as an exhibit to, the Registration Statement, and no such termination or non-renewal has been threatened by the Company or the Subsidiary or, to the Company’s knowledge, any other party to any such contract or agreement;</w:t>
      </w:r>
    </w:p>
    <w:p>
      <w:pPr>
        <w:spacing w:after="0" w:line="106" w:lineRule="exact"/>
        <w:rPr>
          <w:rFonts w:ascii="Arial" w:cs="Arial" w:eastAsia="Arial" w:hAnsi="Arial"/>
          <w:sz w:val="16"/>
          <w:szCs w:val="16"/>
          <w:color w:val="auto"/>
        </w:rPr>
      </w:pPr>
    </w:p>
    <w:p>
      <w:pPr>
        <w:ind w:left="-464" w:right="380" w:firstLine="464"/>
        <w:spacing w:after="0" w:line="294" w:lineRule="auto"/>
        <w:tabs>
          <w:tab w:leader="none" w:pos="24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15" w:lineRule="exact"/>
        <w:rPr>
          <w:rFonts w:ascii="Arial" w:cs="Arial" w:eastAsia="Arial" w:hAnsi="Arial"/>
          <w:sz w:val="16"/>
          <w:szCs w:val="16"/>
          <w:color w:val="auto"/>
        </w:rPr>
      </w:pPr>
    </w:p>
    <w:p>
      <w:pPr>
        <w:jc w:val="both"/>
        <w:ind w:left="-464" w:firstLine="464"/>
        <w:spacing w:after="0" w:line="323" w:lineRule="auto"/>
        <w:tabs>
          <w:tab w:leader="none" w:pos="231"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98" w:lineRule="exact"/>
        <w:rPr>
          <w:sz w:val="20"/>
          <w:szCs w:val="20"/>
          <w:color w:val="auto"/>
        </w:rPr>
      </w:pPr>
    </w:p>
    <w:p>
      <w:pPr>
        <w:ind w:left="-464" w:right="60" w:firstLine="464"/>
        <w:spacing w:after="0" w:line="290" w:lineRule="auto"/>
        <w:tabs>
          <w:tab w:leader="none" w:pos="30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118" w:lineRule="exact"/>
        <w:rPr>
          <w:rFonts w:ascii="Arial" w:cs="Arial" w:eastAsia="Arial" w:hAnsi="Arial"/>
          <w:sz w:val="16"/>
          <w:szCs w:val="16"/>
          <w:color w:val="auto"/>
        </w:rPr>
      </w:pPr>
    </w:p>
    <w:p>
      <w:pPr>
        <w:jc w:val="both"/>
        <w:ind w:left="-464" w:right="200" w:firstLine="464"/>
        <w:spacing w:after="0" w:line="332" w:lineRule="auto"/>
        <w:tabs>
          <w:tab w:leader="none" w:pos="32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has not, directly or indirectly, extended credit, arranged to extend credit, or renewed any extension of credit, in the form of a personal loan, to or for any director or executive officer of the Company, or to or for any family member or affiliate of any director or executive officer of the Company;</w:t>
      </w:r>
    </w:p>
    <w:p>
      <w:pPr>
        <w:spacing w:after="0" w:line="85" w:lineRule="exact"/>
        <w:rPr>
          <w:rFonts w:ascii="Arial" w:cs="Arial" w:eastAsia="Arial" w:hAnsi="Arial"/>
          <w:sz w:val="16"/>
          <w:szCs w:val="16"/>
          <w:color w:val="auto"/>
        </w:rPr>
      </w:pPr>
    </w:p>
    <w:p>
      <w:pPr>
        <w:ind w:left="-464" w:right="60" w:firstLine="464"/>
        <w:spacing w:after="0" w:line="259" w:lineRule="auto"/>
        <w:tabs>
          <w:tab w:leader="none" w:pos="30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employee or agent of the Company has made any payment of funds of the Company or received or retained any funds in violation of any law, rule or regulation, which payment, receipt or retention of funds is of a character required to be disclosed in the Prospectus;</w:t>
      </w:r>
    </w:p>
    <w:p>
      <w:pPr>
        <w:spacing w:after="0" w:line="140" w:lineRule="exact"/>
        <w:rPr>
          <w:rFonts w:ascii="Arial" w:cs="Arial" w:eastAsia="Arial" w:hAnsi="Arial"/>
          <w:sz w:val="18"/>
          <w:szCs w:val="18"/>
          <w:color w:val="auto"/>
        </w:rPr>
      </w:pPr>
    </w:p>
    <w:p>
      <w:pPr>
        <w:ind w:left="-464" w:right="140" w:firstLine="464"/>
        <w:spacing w:after="0" w:line="259" w:lineRule="auto"/>
        <w:tabs>
          <w:tab w:leader="none" w:pos="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w:t>
      </w:r>
    </w:p>
    <w:p>
      <w:pPr>
        <w:sectPr>
          <w:pgSz w:w="11900" w:h="16838" w:orient="portrait"/>
          <w:cols w:equalWidth="0" w:num="1">
            <w:col w:w="10936"/>
          </w:cols>
          <w:pgMar w:left="704" w:top="280" w:right="259" w:bottom="1440" w:gutter="0" w:footer="0" w:header="0"/>
        </w:sectPr>
      </w:pPr>
    </w:p>
    <w:bookmarkStart w:id="195" w:name="page196"/>
    <w:bookmarkEnd w:id="195"/>
    <w:p>
      <w:pPr>
        <w:ind w:right="60" w:firstLine="464"/>
        <w:spacing w:after="0" w:line="306" w:lineRule="auto"/>
        <w:tabs>
          <w:tab w:leader="none" w:pos="773" w:val="left"/>
        </w:tabs>
        <w:numPr>
          <w:ilvl w:val="0"/>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106" w:lineRule="exact"/>
        <w:rPr>
          <w:rFonts w:ascii="Arial" w:cs="Arial" w:eastAsia="Arial" w:hAnsi="Arial"/>
          <w:sz w:val="16"/>
          <w:szCs w:val="16"/>
          <w:color w:val="auto"/>
        </w:rPr>
      </w:pPr>
    </w:p>
    <w:p>
      <w:pPr>
        <w:ind w:right="80" w:firstLine="464"/>
        <w:spacing w:after="0" w:line="268" w:lineRule="auto"/>
        <w:tabs>
          <w:tab w:leader="none" w:pos="73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the FINRA and any of the Company’s officers, directors or securityholders, except as set forth in the Registration Statement, Pricing Prospectus and the Prospectus;</w:t>
      </w:r>
    </w:p>
    <w:p>
      <w:pPr>
        <w:spacing w:after="0" w:line="131" w:lineRule="exact"/>
        <w:rPr>
          <w:rFonts w:ascii="Arial" w:cs="Arial" w:eastAsia="Arial" w:hAnsi="Arial"/>
          <w:sz w:val="18"/>
          <w:szCs w:val="18"/>
          <w:color w:val="auto"/>
        </w:rPr>
      </w:pPr>
    </w:p>
    <w:p>
      <w:pPr>
        <w:ind w:right="140" w:firstLine="464"/>
        <w:spacing w:after="0" w:line="268" w:lineRule="auto"/>
        <w:tabs>
          <w:tab w:leader="none" w:pos="7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131" w:lineRule="exact"/>
        <w:rPr>
          <w:rFonts w:ascii="Arial" w:cs="Arial" w:eastAsia="Arial" w:hAnsi="Arial"/>
          <w:sz w:val="18"/>
          <w:szCs w:val="18"/>
          <w:color w:val="auto"/>
        </w:rPr>
      </w:pPr>
    </w:p>
    <w:p>
      <w:pPr>
        <w:ind w:right="240" w:firstLine="464"/>
        <w:spacing w:after="0" w:line="259" w:lineRule="auto"/>
        <w:tabs>
          <w:tab w:leader="none" w:pos="7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140" w:lineRule="exact"/>
        <w:rPr>
          <w:rFonts w:ascii="Arial" w:cs="Arial" w:eastAsia="Arial" w:hAnsi="Arial"/>
          <w:sz w:val="18"/>
          <w:szCs w:val="18"/>
          <w:color w:val="auto"/>
        </w:rPr>
      </w:pPr>
    </w:p>
    <w:p>
      <w:pPr>
        <w:jc w:val="both"/>
        <w:ind w:right="100" w:firstLine="464"/>
        <w:spacing w:after="0" w:line="256" w:lineRule="auto"/>
        <w:tabs>
          <w:tab w:leader="none" w:pos="7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143" w:lineRule="exact"/>
        <w:rPr>
          <w:rFonts w:ascii="Arial" w:cs="Arial" w:eastAsia="Arial" w:hAnsi="Arial"/>
          <w:sz w:val="18"/>
          <w:szCs w:val="18"/>
          <w:color w:val="auto"/>
        </w:rPr>
      </w:pPr>
    </w:p>
    <w:p>
      <w:pPr>
        <w:jc w:val="both"/>
        <w:ind w:right="80" w:firstLine="464"/>
        <w:spacing w:after="0" w:line="256" w:lineRule="auto"/>
        <w:tabs>
          <w:tab w:leader="none" w:pos="7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has duly elected to be treated by the Commission under the Investment Company Act as a business development company, such election is effective and all required action has been taken by the Company under the Investment Company Act and the Act to make the public offering and consummate the sale of the Shares as provided in this Agreement; the provisions of the corporate charter and by-laws of the Company comply in all material respects with the requirements of the Investment Company Act;</w:t>
      </w:r>
    </w:p>
    <w:p>
      <w:pPr>
        <w:spacing w:after="0" w:line="143" w:lineRule="exact"/>
        <w:rPr>
          <w:rFonts w:ascii="Arial" w:cs="Arial" w:eastAsia="Arial" w:hAnsi="Arial"/>
          <w:sz w:val="18"/>
          <w:szCs w:val="18"/>
          <w:color w:val="auto"/>
        </w:rPr>
      </w:pPr>
    </w:p>
    <w:p>
      <w:pPr>
        <w:ind w:right="240" w:firstLine="464"/>
        <w:spacing w:after="0" w:line="259" w:lineRule="auto"/>
        <w:tabs>
          <w:tab w:leader="none" w:pos="7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Investment Company Act applicable to business development companies and the rules and regulations of the Commission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with Section 17(i) of the Investment Company Act;</w:t>
      </w:r>
    </w:p>
    <w:p>
      <w:pPr>
        <w:spacing w:after="0" w:line="140" w:lineRule="exact"/>
        <w:rPr>
          <w:rFonts w:ascii="Arial" w:cs="Arial" w:eastAsia="Arial" w:hAnsi="Arial"/>
          <w:sz w:val="18"/>
          <w:szCs w:val="18"/>
          <w:color w:val="auto"/>
        </w:rPr>
      </w:pPr>
    </w:p>
    <w:p>
      <w:pPr>
        <w:ind w:right="60" w:firstLine="464"/>
        <w:spacing w:after="0" w:line="268" w:lineRule="auto"/>
        <w:tabs>
          <w:tab w:leader="none" w:pos="7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Company and, to its knowledge, its directors and officers (in such capacity) are in compliance with the applicable provisions of the Sarbanes-Oxley Act of 2002 (the </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xml:space="preserve"> ) and the Commission’s published rules promulgated thereunder;</w:t>
      </w:r>
    </w:p>
    <w:p>
      <w:pPr>
        <w:spacing w:after="0" w:line="131" w:lineRule="exact"/>
        <w:rPr>
          <w:rFonts w:ascii="Arial" w:cs="Arial" w:eastAsia="Arial" w:hAnsi="Arial"/>
          <w:sz w:val="18"/>
          <w:szCs w:val="18"/>
          <w:color w:val="auto"/>
        </w:rPr>
      </w:pPr>
    </w:p>
    <w:p>
      <w:pPr>
        <w:ind w:right="40" w:firstLine="464"/>
        <w:spacing w:after="0" w:line="256" w:lineRule="auto"/>
        <w:tabs>
          <w:tab w:leader="none" w:pos="89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the Company and the Subsidiary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143" w:lineRule="exact"/>
        <w:rPr>
          <w:rFonts w:ascii="Arial" w:cs="Arial" w:eastAsia="Arial" w:hAnsi="Arial"/>
          <w:sz w:val="18"/>
          <w:szCs w:val="18"/>
          <w:color w:val="auto"/>
        </w:rPr>
      </w:pPr>
    </w:p>
    <w:p>
      <w:pPr>
        <w:jc w:val="both"/>
        <w:ind w:right="200" w:firstLine="464"/>
        <w:spacing w:after="0" w:line="259" w:lineRule="auto"/>
        <w:tabs>
          <w:tab w:leader="none" w:pos="79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director, officer, employee or affiliate of the Company is aware of or has taken any action, directly or indirectly, that would result in a violation by such entities or persons of the Foreign Corrupt Practices Act of 1977, as amended, and the rules and regulations thereunder; and</w:t>
      </w:r>
    </w:p>
    <w:p>
      <w:pPr>
        <w:spacing w:after="0" w:line="140" w:lineRule="exact"/>
        <w:rPr>
          <w:rFonts w:ascii="Arial" w:cs="Arial" w:eastAsia="Arial" w:hAnsi="Arial"/>
          <w:sz w:val="18"/>
          <w:szCs w:val="18"/>
          <w:color w:val="auto"/>
        </w:rPr>
      </w:pPr>
    </w:p>
    <w:p>
      <w:pPr>
        <w:ind w:right="180" w:firstLine="464"/>
        <w:spacing w:after="0" w:line="298" w:lineRule="auto"/>
        <w:tabs>
          <w:tab w:leader="none" w:pos="79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director, officer, agent, employee or affiliate of the Company is currently subject to any U.S. sanctions administered by the Office of Foreign Assets Control of the U.S. Treasury Department (“OFAC”); and the Company will not directly or indirectly use the proceeds of the offering, or lend, contribute or otherwise make available such proceeds to any other person or entity, for the purpose of financing the activities of any person currently subject to any U.S. sanctions administered by OFAC.</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40" w:lineRule="exact"/>
        <w:rPr>
          <w:sz w:val="20"/>
          <w:szCs w:val="20"/>
          <w:color w:val="auto"/>
        </w:rPr>
      </w:pPr>
    </w:p>
    <w:p>
      <w:pPr>
        <w:ind w:right="80" w:firstLine="464"/>
        <w:spacing w:after="0" w:line="268" w:lineRule="auto"/>
        <w:tabs>
          <w:tab w:leader="none" w:pos="63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132" w:lineRule="exact"/>
        <w:rPr>
          <w:sz w:val="20"/>
          <w:szCs w:val="20"/>
          <w:color w:val="auto"/>
        </w:rPr>
      </w:pPr>
    </w:p>
    <w:p>
      <w:pPr>
        <w:ind w:right="60" w:firstLine="464"/>
        <w:spacing w:after="0" w:line="288"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6"/>
          <w:szCs w:val="16"/>
          <w:b w:val="1"/>
          <w:bCs w:val="1"/>
          <w:i w:val="1"/>
          <w:iCs w:val="1"/>
          <w:color w:val="auto"/>
        </w:rPr>
        <w:t>“Adviser/Administrator Material Adverse Effect”</w:t>
      </w:r>
      <w:r>
        <w:rPr>
          <w:rFonts w:ascii="Arial" w:cs="Arial" w:eastAsia="Arial" w:hAnsi="Arial"/>
          <w:sz w:val="16"/>
          <w:szCs w:val="16"/>
          <w:color w:val="auto"/>
        </w:rPr>
        <w:t xml:space="preserve"> );</w:t>
      </w:r>
    </w:p>
    <w:p>
      <w:pPr>
        <w:spacing w:after="0" w:line="119" w:lineRule="exact"/>
        <w:rPr>
          <w:rFonts w:ascii="Arial" w:cs="Arial" w:eastAsia="Arial" w:hAnsi="Arial"/>
          <w:sz w:val="16"/>
          <w:szCs w:val="16"/>
          <w:color w:val="auto"/>
        </w:rPr>
      </w:pPr>
    </w:p>
    <w:p>
      <w:pPr>
        <w:ind w:firstLine="464"/>
        <w:spacing w:after="0" w:line="298" w:lineRule="auto"/>
        <w:tabs>
          <w:tab w:leader="none" w:pos="7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ectPr>
          <w:pgSz w:w="11900" w:h="16838" w:orient="portrait"/>
          <w:cols w:equalWidth="0" w:num="1">
            <w:col w:w="11400"/>
          </w:cols>
          <w:pgMar w:left="240" w:top="280" w:right="259" w:bottom="1440" w:gutter="0" w:footer="0" w:header="0"/>
        </w:sectPr>
      </w:pPr>
    </w:p>
    <w:bookmarkStart w:id="196" w:name="page197"/>
    <w:bookmarkEnd w:id="196"/>
    <w:p>
      <w:pPr>
        <w:ind w:firstLine="464"/>
        <w:spacing w:after="0" w:line="318" w:lineRule="auto"/>
        <w:tabs>
          <w:tab w:leader="none" w:pos="695" w:val="left"/>
        </w:tabs>
        <w:numPr>
          <w:ilvl w:val="1"/>
          <w:numId w:val="12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(A) have, individually or in the aggregate, an Adviser/Administrator Material Adverse Effect, or (B) prevent the consummation of the transactions contemplated hereby;</w:t>
      </w:r>
    </w:p>
    <w:p>
      <w:pPr>
        <w:spacing w:after="0" w:line="99" w:lineRule="exact"/>
        <w:rPr>
          <w:rFonts w:ascii="Arial" w:cs="Arial" w:eastAsia="Arial" w:hAnsi="Arial"/>
          <w:sz w:val="15"/>
          <w:szCs w:val="15"/>
          <w:color w:val="auto"/>
        </w:rPr>
      </w:pPr>
    </w:p>
    <w:p>
      <w:pPr>
        <w:ind w:right="20" w:firstLine="464"/>
        <w:spacing w:after="0" w:line="282" w:lineRule="auto"/>
        <w:tabs>
          <w:tab w:leader="none" w:pos="705" w:val="left"/>
        </w:tabs>
        <w:numPr>
          <w:ilvl w:val="1"/>
          <w:numId w:val="124"/>
        </w:numPr>
        <w:rPr>
          <w:rFonts w:ascii="Arial" w:cs="Arial" w:eastAsia="Arial" w:hAnsi="Arial"/>
          <w:sz w:val="16"/>
          <w:szCs w:val="16"/>
          <w:color w:val="auto"/>
        </w:rPr>
      </w:pPr>
      <w:r>
        <w:rPr>
          <w:rFonts w:ascii="Arial" w:cs="Arial" w:eastAsia="Arial" w:hAnsi="Arial"/>
          <w:sz w:val="16"/>
          <w:szCs w:val="16"/>
          <w:color w:val="auto"/>
        </w:rPr>
        <w:t>neither the Adviser nor the Administrator is in breach or violation of, or in default under (nor has any event occurred which with notice, lapse of time, or both would reasonably be expected to result in any breach or violation of, constitute a default under or give the holder of any indebtedness (or person acting on such holder’s behalf), the right to require the repurchase, redemption or repayment of all or part of such indebtedness under) (i) its limited liability company operating agreement, or (ii) any indenture, mortgage, deed of trust, bank loan or credit agreement or other evidence of indebtedness, or any license, lease, contract or other agreement or instrument to which the Adviser or the Administrator is a party, or (iii) under any federal, state, local or foreign law, regulation or rule or any decree, judgment or order applicable to the Adviser or the Administrator, as the case may be, except, with respect to clauses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w:t>
      </w:r>
    </w:p>
    <w:p>
      <w:pPr>
        <w:spacing w:after="0" w:line="5" w:lineRule="exact"/>
        <w:rPr>
          <w:rFonts w:ascii="Arial" w:cs="Arial" w:eastAsia="Arial" w:hAnsi="Arial"/>
          <w:sz w:val="16"/>
          <w:szCs w:val="16"/>
          <w:color w:val="auto"/>
        </w:rPr>
      </w:pPr>
    </w:p>
    <w:p>
      <w:pPr>
        <w:ind w:right="40" w:firstLine="8"/>
        <w:spacing w:after="0" w:line="253" w:lineRule="auto"/>
        <w:tabs>
          <w:tab w:leader="none" w:pos="2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its limited liability company operating agreement, or (ii) or other organizational documents of the Adviser or the Administrator 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 (iii) and (iv), to the extent that any such contravention would not have an Adviser/Administrator Material Adverse Effect;</w:t>
      </w:r>
    </w:p>
    <w:p>
      <w:pPr>
        <w:spacing w:after="0" w:line="145" w:lineRule="exact"/>
        <w:rPr>
          <w:rFonts w:ascii="Arial" w:cs="Arial" w:eastAsia="Arial" w:hAnsi="Arial"/>
          <w:sz w:val="18"/>
          <w:szCs w:val="18"/>
          <w:color w:val="auto"/>
        </w:rPr>
      </w:pPr>
    </w:p>
    <w:p>
      <w:pPr>
        <w:ind w:right="140" w:firstLine="464"/>
        <w:spacing w:after="0" w:line="291" w:lineRule="auto"/>
        <w:tabs>
          <w:tab w:leader="none" w:pos="69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the Investment Advisory Agreement and the Administration Agreement constitute valid and legally binding agreements of the Adviser and the Administrator, respectively, except as (i) the enforceability thereof may be limited by bankruptcy, insolvency (including, without limitation, all laws relating to fraudulent transfers) or similar laws affecting creditors’ rights generally and (ii) rights to indemnification and contribution may be limited to equitable principles of general applicability or by state or federal securities laws or the policies underlying such law;</w:t>
      </w:r>
    </w:p>
    <w:p>
      <w:pPr>
        <w:spacing w:after="0" w:line="120" w:lineRule="exact"/>
        <w:rPr>
          <w:rFonts w:ascii="Arial" w:cs="Arial" w:eastAsia="Arial" w:hAnsi="Arial"/>
          <w:sz w:val="16"/>
          <w:szCs w:val="16"/>
          <w:color w:val="auto"/>
        </w:rPr>
      </w:pPr>
    </w:p>
    <w:p>
      <w:pPr>
        <w:ind w:right="80" w:firstLine="464"/>
        <w:spacing w:after="0" w:line="268" w:lineRule="auto"/>
        <w:tabs>
          <w:tab w:leader="none" w:pos="67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description of the Adviser and the Administrator contained in the Pricing Prospectus, the Prospectus and the Registration Statement is true, accurate and complete in all material respects;</w:t>
      </w:r>
    </w:p>
    <w:p>
      <w:pPr>
        <w:spacing w:after="0" w:line="131" w:lineRule="exact"/>
        <w:rPr>
          <w:rFonts w:ascii="Arial" w:cs="Arial" w:eastAsia="Arial" w:hAnsi="Arial"/>
          <w:sz w:val="18"/>
          <w:szCs w:val="18"/>
          <w:color w:val="auto"/>
        </w:rPr>
      </w:pPr>
    </w:p>
    <w:p>
      <w:pPr>
        <w:ind w:right="360" w:firstLine="464"/>
        <w:spacing w:after="0" w:line="306" w:lineRule="auto"/>
        <w:tabs>
          <w:tab w:leader="none" w:pos="705"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106" w:lineRule="exact"/>
        <w:rPr>
          <w:rFonts w:ascii="Arial" w:cs="Arial" w:eastAsia="Arial" w:hAnsi="Arial"/>
          <w:sz w:val="16"/>
          <w:szCs w:val="16"/>
          <w:color w:val="auto"/>
        </w:rPr>
      </w:pPr>
    </w:p>
    <w:p>
      <w:pPr>
        <w:ind w:right="100" w:firstLine="464"/>
        <w:spacing w:after="0" w:line="256" w:lineRule="auto"/>
        <w:tabs>
          <w:tab w:leader="none" w:pos="705"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143" w:lineRule="exact"/>
        <w:rPr>
          <w:rFonts w:ascii="Arial" w:cs="Arial" w:eastAsia="Arial" w:hAnsi="Arial"/>
          <w:sz w:val="18"/>
          <w:szCs w:val="18"/>
          <w:color w:val="auto"/>
        </w:rPr>
      </w:pPr>
    </w:p>
    <w:p>
      <w:pPr>
        <w:ind w:right="140" w:firstLine="464"/>
        <w:spacing w:after="0" w:line="291" w:lineRule="auto"/>
        <w:tabs>
          <w:tab w:leader="none" w:pos="666"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120" w:lineRule="exact"/>
        <w:rPr>
          <w:rFonts w:ascii="Arial" w:cs="Arial" w:eastAsia="Arial" w:hAnsi="Arial"/>
          <w:sz w:val="16"/>
          <w:szCs w:val="16"/>
          <w:color w:val="auto"/>
        </w:rPr>
      </w:pPr>
    </w:p>
    <w:p>
      <w:pPr>
        <w:ind w:right="120" w:firstLine="464"/>
        <w:spacing w:after="0" w:line="259" w:lineRule="auto"/>
        <w:tabs>
          <w:tab w:leader="none" w:pos="6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neither the Adviser, the Administrator nor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Adviser is not aware that (i) any executive, key employee or significant group of employees of the Company, if any, the Adviser or the</w:t>
      </w:r>
    </w:p>
    <w:p>
      <w:pPr>
        <w:spacing w:after="0" w:line="38" w:lineRule="exact"/>
        <w:rPr>
          <w:rFonts w:ascii="Arial" w:cs="Arial" w:eastAsia="Arial" w:hAnsi="Arial"/>
          <w:sz w:val="16"/>
          <w:szCs w:val="16"/>
          <w:color w:val="auto"/>
        </w:rPr>
      </w:pPr>
    </w:p>
    <w:p>
      <w:pPr>
        <w:ind w:right="100"/>
        <w:spacing w:after="0" w:line="302" w:lineRule="auto"/>
        <w:rPr>
          <w:rFonts w:ascii="Arial" w:cs="Arial" w:eastAsia="Arial" w:hAnsi="Arial"/>
          <w:sz w:val="16"/>
          <w:szCs w:val="16"/>
          <w:color w:val="auto"/>
        </w:rPr>
      </w:pPr>
      <w:r>
        <w:rPr>
          <w:rFonts w:ascii="Arial" w:cs="Arial" w:eastAsia="Arial" w:hAnsi="Arial"/>
          <w:sz w:val="16"/>
          <w:szCs w:val="16"/>
          <w:color w:val="auto"/>
        </w:rPr>
        <w:t>Administrator, as applicable, plans to terminate employment with the Company, the Adviser or the Administrator or (ii) any such executive or key employee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109" w:lineRule="exact"/>
        <w:rPr>
          <w:rFonts w:ascii="Arial" w:cs="Arial" w:eastAsia="Arial" w:hAnsi="Arial"/>
          <w:sz w:val="16"/>
          <w:szCs w:val="16"/>
          <w:color w:val="auto"/>
        </w:rPr>
      </w:pPr>
    </w:p>
    <w:p>
      <w:pPr>
        <w:ind w:right="80" w:firstLine="464"/>
        <w:spacing w:after="0" w:line="259" w:lineRule="auto"/>
        <w:tabs>
          <w:tab w:leader="none" w:pos="66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 and</w:t>
      </w:r>
    </w:p>
    <w:p>
      <w:pPr>
        <w:sectPr>
          <w:pgSz w:w="11900" w:h="16838" w:orient="portrait"/>
          <w:cols w:equalWidth="0" w:num="1">
            <w:col w:w="11420"/>
          </w:cols>
          <w:pgMar w:left="240" w:top="280" w:right="239" w:bottom="1440" w:gutter="0" w:footer="0" w:header="0"/>
        </w:sectPr>
      </w:pPr>
    </w:p>
    <w:bookmarkStart w:id="197" w:name="page198"/>
    <w:bookmarkEnd w:id="197"/>
    <w:p>
      <w:pPr>
        <w:ind w:right="280" w:firstLine="464"/>
        <w:spacing w:after="0" w:line="298" w:lineRule="auto"/>
        <w:tabs>
          <w:tab w:leader="none" w:pos="754" w:val="left"/>
        </w:tabs>
        <w:numPr>
          <w:ilvl w:val="0"/>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maintains a system of internal accounting controls sufficient to provide reasonable assurance that (i) transactions for which it has bookkeeping and record keeping responsibility for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113" w:lineRule="exact"/>
        <w:rPr>
          <w:sz w:val="20"/>
          <w:szCs w:val="20"/>
          <w:color w:val="auto"/>
        </w:rPr>
      </w:pPr>
    </w:p>
    <w:p>
      <w:pPr>
        <w:ind w:right="620" w:firstLine="464"/>
        <w:spacing w:after="0" w:line="268" w:lineRule="auto"/>
        <w:tabs>
          <w:tab w:leader="none" w:pos="63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132" w:lineRule="exact"/>
        <w:rPr>
          <w:sz w:val="20"/>
          <w:szCs w:val="20"/>
          <w:color w:val="auto"/>
        </w:rPr>
      </w:pPr>
    </w:p>
    <w:p>
      <w:pPr>
        <w:ind w:right="60" w:firstLine="464"/>
        <w:spacing w:after="0" w:line="291"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20" w:lineRule="exact"/>
        <w:rPr>
          <w:rFonts w:ascii="Arial" w:cs="Arial" w:eastAsia="Arial" w:hAnsi="Arial"/>
          <w:sz w:val="16"/>
          <w:szCs w:val="16"/>
          <w:color w:val="auto"/>
        </w:rPr>
      </w:pPr>
    </w:p>
    <w:p>
      <w:pPr>
        <w:ind w:right="20" w:firstLine="464"/>
        <w:spacing w:after="0" w:line="283"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10(a)(3) of the Act;</w:t>
      </w:r>
    </w:p>
    <w:p>
      <w:pPr>
        <w:spacing w:after="0" w:line="164" w:lineRule="exact"/>
        <w:rPr>
          <w:rFonts w:ascii="Arial" w:cs="Arial" w:eastAsia="Arial" w:hAnsi="Arial"/>
          <w:sz w:val="16"/>
          <w:szCs w:val="16"/>
          <w:color w:val="auto"/>
        </w:rPr>
      </w:pPr>
    </w:p>
    <w:p>
      <w:pPr>
        <w:ind w:firstLine="464"/>
        <w:spacing w:after="0" w:line="294" w:lineRule="auto"/>
        <w:tabs>
          <w:tab w:leader="none" w:pos="69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that if, at the time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 (i) 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115" w:lineRule="exact"/>
        <w:rPr>
          <w:rFonts w:ascii="Arial" w:cs="Arial" w:eastAsia="Arial" w:hAnsi="Arial"/>
          <w:sz w:val="16"/>
          <w:szCs w:val="16"/>
          <w:color w:val="auto"/>
        </w:rPr>
      </w:pPr>
    </w:p>
    <w:p>
      <w:pPr>
        <w:ind w:right="100" w:firstLine="464"/>
        <w:spacing w:after="0" w:line="253"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advise you promptly, and, if requested, confirming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w:t>
      </w:r>
    </w:p>
    <w:p>
      <w:pPr>
        <w:spacing w:after="0" w:line="147" w:lineRule="exact"/>
        <w:rPr>
          <w:rFonts w:ascii="Arial" w:cs="Arial" w:eastAsia="Arial" w:hAnsi="Arial"/>
          <w:sz w:val="18"/>
          <w:szCs w:val="18"/>
          <w:color w:val="auto"/>
        </w:rPr>
      </w:pPr>
    </w:p>
    <w:p>
      <w:pPr>
        <w:ind w:right="500" w:firstLine="464"/>
        <w:spacing w:after="0" w:line="259" w:lineRule="auto"/>
        <w:tabs>
          <w:tab w:leader="none" w:pos="69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furnish to its shareholders as soon as practicable after the end of each fiscal year an annual report (including a consolidated balance sheet and statements of income, shareholders’ equity and cash flow of the Company for such fiscal year accompanied by a copy of the certificate or report thereon of nationally recognized independent certified public accountants);</w:t>
      </w:r>
    </w:p>
    <w:p>
      <w:pPr>
        <w:spacing w:after="0" w:line="140" w:lineRule="exact"/>
        <w:rPr>
          <w:rFonts w:ascii="Arial" w:cs="Arial" w:eastAsia="Arial" w:hAnsi="Arial"/>
          <w:sz w:val="18"/>
          <w:szCs w:val="18"/>
          <w:color w:val="auto"/>
        </w:rPr>
      </w:pPr>
    </w:p>
    <w:p>
      <w:pPr>
        <w:jc w:val="both"/>
        <w:ind w:right="160" w:firstLine="464"/>
        <w:spacing w:after="0" w:line="259" w:lineRule="auto"/>
        <w:tabs>
          <w:tab w:leader="none" w:pos="6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subject to Section 5(d) hereof, to file promptly all reports and any definitive proxy or information statement required to be filed by the Company with the Commission in order to comply with the Exchange Act subsequent to the date of the Prospectus and for so long as the delivery of a prospectus is required in connection with the offering or sale of the Shares; and to promptly notify you of such filing;</w:t>
      </w:r>
    </w:p>
    <w:p>
      <w:pPr>
        <w:spacing w:after="0" w:line="140" w:lineRule="exact"/>
        <w:rPr>
          <w:rFonts w:ascii="Arial" w:cs="Arial" w:eastAsia="Arial" w:hAnsi="Arial"/>
          <w:sz w:val="18"/>
          <w:szCs w:val="18"/>
          <w:color w:val="auto"/>
        </w:rPr>
      </w:pPr>
    </w:p>
    <w:p>
      <w:pPr>
        <w:ind w:right="60" w:firstLine="464"/>
        <w:spacing w:after="0" w:line="294"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15" w:lineRule="exact"/>
        <w:rPr>
          <w:rFonts w:ascii="Arial" w:cs="Arial" w:eastAsia="Arial" w:hAnsi="Arial"/>
          <w:sz w:val="16"/>
          <w:szCs w:val="16"/>
          <w:color w:val="auto"/>
        </w:rPr>
      </w:pPr>
    </w:p>
    <w:p>
      <w:pPr>
        <w:ind w:right="100" w:firstLine="464"/>
        <w:spacing w:after="0" w:line="298" w:lineRule="auto"/>
        <w:tabs>
          <w:tab w:leader="none" w:pos="70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31" w:lineRule="exact"/>
        <w:rPr>
          <w:rFonts w:ascii="Arial" w:cs="Arial" w:eastAsia="Arial" w:hAnsi="Arial"/>
          <w:sz w:val="16"/>
          <w:szCs w:val="16"/>
          <w:color w:val="auto"/>
        </w:rPr>
      </w:pPr>
    </w:p>
    <w:p>
      <w:pPr>
        <w:ind w:left="680" w:hanging="216"/>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71" w:lineRule="exact"/>
        <w:rPr>
          <w:rFonts w:ascii="Arial" w:cs="Arial" w:eastAsia="Arial" w:hAnsi="Arial"/>
          <w:sz w:val="18"/>
          <w:szCs w:val="18"/>
          <w:color w:val="auto"/>
        </w:rPr>
      </w:pPr>
    </w:p>
    <w:p>
      <w:pPr>
        <w:ind w:right="180" w:firstLine="464"/>
        <w:spacing w:after="0" w:line="290" w:lineRule="auto"/>
        <w:tabs>
          <w:tab w:leader="none" w:pos="66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ectPr>
          <w:pgSz w:w="11900" w:h="16838" w:orient="portrait"/>
          <w:cols w:equalWidth="0" w:num="1">
            <w:col w:w="11400"/>
          </w:cols>
          <w:pgMar w:left="240" w:top="280" w:right="259" w:bottom="1440" w:gutter="0" w:footer="0" w:header="0"/>
        </w:sectPr>
      </w:pPr>
    </w:p>
    <w:bookmarkStart w:id="198" w:name="page199"/>
    <w:bookmarkEnd w:id="198"/>
    <w:p>
      <w:pPr>
        <w:ind w:left="-464" w:right="400" w:firstLine="464"/>
        <w:spacing w:after="0" w:line="268" w:lineRule="auto"/>
        <w:tabs>
          <w:tab w:leader="none" w:pos="241"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as soon as practicable, the Company will make generally available to its security holders an earnings statement or statements of the Company which will satisfy the provisions of Section 11(a) of the Act and Rule 158 under the Act;</w:t>
      </w:r>
    </w:p>
    <w:p>
      <w:pPr>
        <w:spacing w:after="0" w:line="131" w:lineRule="exact"/>
        <w:rPr>
          <w:rFonts w:ascii="Arial" w:cs="Arial" w:eastAsia="Arial" w:hAnsi="Arial"/>
          <w:sz w:val="18"/>
          <w:szCs w:val="18"/>
          <w:color w:val="auto"/>
        </w:rPr>
      </w:pPr>
    </w:p>
    <w:p>
      <w:pPr>
        <w:ind w:left="-464" w:right="120" w:firstLine="464"/>
        <w:spacing w:after="0" w:line="268" w:lineRule="auto"/>
        <w:tabs>
          <w:tab w:leader="none" w:pos="20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will promptly deliver to each Underwriter and [Underwriter’s Attorney], counsel for the Underwriters, a signed copy of the Registration Statement, as initially filed and all amendments thereto, including all consents and exhibits filed therewith.</w:t>
      </w:r>
    </w:p>
    <w:p>
      <w:pPr>
        <w:spacing w:after="0" w:line="131" w:lineRule="exact"/>
        <w:rPr>
          <w:rFonts w:ascii="Arial" w:cs="Arial" w:eastAsia="Arial" w:hAnsi="Arial"/>
          <w:sz w:val="18"/>
          <w:szCs w:val="18"/>
          <w:color w:val="auto"/>
        </w:rPr>
      </w:pPr>
    </w:p>
    <w:p>
      <w:pPr>
        <w:ind w:left="-464" w:right="380" w:firstLine="464"/>
        <w:spacing w:after="0" w:line="268" w:lineRule="auto"/>
        <w:tabs>
          <w:tab w:leader="none" w:pos="28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apply the net proceeds from the sale of the Shares in the manner set forth under the caption “Use of Proceeds” in the Pricing Prospectus and the Prospectus;</w:t>
      </w:r>
    </w:p>
    <w:p>
      <w:pPr>
        <w:spacing w:after="0" w:line="131" w:lineRule="exact"/>
        <w:rPr>
          <w:rFonts w:ascii="Arial" w:cs="Arial" w:eastAsia="Arial" w:hAnsi="Arial"/>
          <w:sz w:val="18"/>
          <w:szCs w:val="18"/>
          <w:color w:val="auto"/>
        </w:rPr>
      </w:pPr>
    </w:p>
    <w:p>
      <w:pPr>
        <w:ind w:left="-464" w:right="40" w:firstLine="464"/>
        <w:spacing w:after="0" w:line="256" w:lineRule="auto"/>
        <w:tabs>
          <w:tab w:leader="none" w:pos="24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Company, during a period of two years from the effective date of the Company’s election to be a business development company, will use its best efforts to maintain its status as a business development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143" w:lineRule="exact"/>
        <w:rPr>
          <w:rFonts w:ascii="Arial" w:cs="Arial" w:eastAsia="Arial" w:hAnsi="Arial"/>
          <w:sz w:val="18"/>
          <w:szCs w:val="18"/>
          <w:color w:val="auto"/>
        </w:rPr>
      </w:pPr>
    </w:p>
    <w:p>
      <w:pPr>
        <w:ind w:left="-464" w:right="100" w:firstLine="464"/>
        <w:spacing w:after="0" w:line="335" w:lineRule="auto"/>
        <w:tabs>
          <w:tab w:leader="none" w:pos="241" w:val="left"/>
        </w:tabs>
        <w:numPr>
          <w:ilvl w:val="0"/>
          <w:numId w:val="129"/>
        </w:numPr>
        <w:rPr>
          <w:rFonts w:ascii="Arial" w:cs="Arial" w:eastAsia="Arial" w:hAnsi="Arial"/>
          <w:sz w:val="15"/>
          <w:szCs w:val="15"/>
          <w:color w:val="auto"/>
        </w:rPr>
      </w:pPr>
      <w:r>
        <w:rPr>
          <w:rFonts w:ascii="Arial" w:cs="Arial" w:eastAsia="Arial" w:hAnsi="Arial"/>
          <w:sz w:val="15"/>
          <w:szCs w:val="15"/>
          <w:color w:val="auto"/>
        </w:rPr>
        <w:t xml:space="preserve">that the Company will use its best efforts to qualify for and elect to be treated as a regulated investment company under Subchapter M of the Internal Revenue Code of 1986, 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xml:space="preserve"> ), and to maintain such qualification and election in effect for each full fiscal year during which it is a business development company under the Investment Company 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at the discretion of the Company’s board of directors, it may elect not to be so treated;</w:t>
      </w:r>
    </w:p>
    <w:p>
      <w:pPr>
        <w:spacing w:after="0" w:line="88" w:lineRule="exact"/>
        <w:rPr>
          <w:rFonts w:ascii="Arial" w:cs="Arial" w:eastAsia="Arial" w:hAnsi="Arial"/>
          <w:sz w:val="15"/>
          <w:szCs w:val="15"/>
          <w:color w:val="auto"/>
        </w:rPr>
      </w:pPr>
    </w:p>
    <w:p>
      <w:pPr>
        <w:ind w:left="-464" w:firstLine="464"/>
        <w:spacing w:after="0" w:line="285" w:lineRule="auto"/>
        <w:tabs>
          <w:tab w:leader="none" w:pos="24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Market, (v) any filing for review of the public offering of the Shares by the FINRA, including the reasonable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(vii) the offer and sale of the Reserved Shares, including all reasonable costs and expenses of the Underwriters, including the reasonable fees and disbursements of counsel for the Underwriters, [(viii) [#] percent of “road show” expenses (including but not limited to travel and accommodations),] and (viii) the performance of the Company’s other obligations hereunder which are not specifically provided for in this Section 5(p);</w:t>
      </w:r>
    </w:p>
    <w:p>
      <w:pPr>
        <w:spacing w:after="0" w:line="128" w:lineRule="exact"/>
        <w:rPr>
          <w:rFonts w:ascii="Arial" w:cs="Arial" w:eastAsia="Arial" w:hAnsi="Arial"/>
          <w:sz w:val="16"/>
          <w:szCs w:val="16"/>
          <w:color w:val="auto"/>
        </w:rPr>
      </w:pPr>
    </w:p>
    <w:p>
      <w:pPr>
        <w:ind w:left="-464" w:firstLine="464"/>
        <w:spacing w:after="0" w:line="286" w:lineRule="auto"/>
        <w:tabs>
          <w:tab w:leader="none" w:pos="24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xml:space="preserve"> ), without the prior written consent of each of the Joint Book-Running Managers, except for (i) the registration of the Shares and the sales to the Underwriters pursuant to this Agreement and (ii) any issuance of shares of Common Stock pursuant to the Company’s dividend reinvestment plan. Notwithstanding the foregoing, for the purpose of allowing the Underwriters to comply with FINRA Rule 2711(f)(4), if (i) during the last 17 days of the Lock-Up Period, the Company releases earnings results or publicly announces other material news or a material event relating to the Company occurs or (ii) prior to the expiration of the Lock-Up Period, the Company announces that it will release earnings results during the 16 day period beginning on the last day of the Lock-Up Period, then in each case the Lock-Up Period will be extended until the expiration of the 18-day period beginning on the date of release of the earnings results or the public announcement regarding the material news or the occurrence of the material event, as applicable, unless each of the Joint Book-Running Managers waives, in writing, such extension;</w:t>
      </w:r>
    </w:p>
    <w:p>
      <w:pPr>
        <w:spacing w:after="0" w:line="120" w:lineRule="exact"/>
        <w:rPr>
          <w:rFonts w:ascii="Arial" w:cs="Arial" w:eastAsia="Arial" w:hAnsi="Arial"/>
          <w:sz w:val="16"/>
          <w:szCs w:val="16"/>
          <w:color w:val="auto"/>
        </w:rPr>
      </w:pPr>
    </w:p>
    <w:p>
      <w:pPr>
        <w:ind w:left="-464" w:right="240" w:firstLine="464"/>
        <w:spacing w:after="0" w:line="268" w:lineRule="auto"/>
        <w:tabs>
          <w:tab w:leader="none" w:pos="21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use its best efforts to cause the Common Stock to be quoted on the Nasdaq Global Market, and thereafter to comply with all of the requirements of the Nasdaq Global Market applicable to the Company;</w:t>
      </w:r>
    </w:p>
    <w:p>
      <w:pPr>
        <w:spacing w:after="0" w:line="131" w:lineRule="exact"/>
        <w:rPr>
          <w:rFonts w:ascii="Arial" w:cs="Arial" w:eastAsia="Arial" w:hAnsi="Arial"/>
          <w:sz w:val="18"/>
          <w:szCs w:val="18"/>
          <w:color w:val="auto"/>
        </w:rPr>
      </w:pPr>
    </w:p>
    <w:p>
      <w:pPr>
        <w:ind w:left="236" w:hanging="236"/>
        <w:spacing w:after="0"/>
        <w:tabs>
          <w:tab w:leader="none" w:pos="23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to maintain a transfer agent and, if necessary under the jurisdiction of incorporation of the Company, a registrar for the Common Stock; and</w:t>
      </w:r>
    </w:p>
    <w:p>
      <w:pPr>
        <w:spacing w:after="0" w:line="194" w:lineRule="exact"/>
        <w:rPr>
          <w:sz w:val="20"/>
          <w:szCs w:val="20"/>
          <w:color w:val="auto"/>
        </w:rPr>
      </w:pPr>
    </w:p>
    <w:p>
      <w:pPr>
        <w:jc w:val="both"/>
        <w:ind w:left="-464" w:right="200" w:firstLine="464"/>
        <w:spacing w:after="0" w:line="256" w:lineRule="auto"/>
        <w:tabs>
          <w:tab w:leader="none" w:pos="16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43" w:lineRule="exact"/>
        <w:rPr>
          <w:sz w:val="20"/>
          <w:szCs w:val="20"/>
          <w:color w:val="auto"/>
        </w:rPr>
      </w:pPr>
    </w:p>
    <w:p>
      <w:pPr>
        <w:ind w:left="-464" w:right="120" w:firstLine="464"/>
        <w:spacing w:after="0" w:line="256" w:lineRule="auto"/>
        <w:tabs>
          <w:tab w:leader="none" w:pos="23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Company shall furnish to you at the time of purchase and, if applicable, at the additional time of purchase, an opinion of Dechert LLP, counsel for the Company, addressed to the Underwriters, and dated the time of purchase or the additional time of purchase, as the case may be, with reproduced copies for each of the other Underwriters and in form and substance satisfactory to [Underwriter’s Attorney], counsel for the Underwriters, to the effect set forth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hereto.</w:t>
      </w:r>
    </w:p>
    <w:p>
      <w:pPr>
        <w:sectPr>
          <w:pgSz w:w="11900" w:h="16838" w:orient="portrait"/>
          <w:cols w:equalWidth="0" w:num="1">
            <w:col w:w="10936"/>
          </w:cols>
          <w:pgMar w:left="704" w:top="280" w:right="259" w:bottom="1440" w:gutter="0" w:footer="0" w:header="0"/>
        </w:sectPr>
      </w:pPr>
    </w:p>
    <w:bookmarkStart w:id="199" w:name="page200"/>
    <w:bookmarkEnd w:id="199"/>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(b)(1) You shall have received an opinion of Venable LLP, special counsel for the Company, addressed to the Underwriters, and dated the time of purchase or the additional time of purchase, as the case may be, with reproduced copies for each of the other Underwriters and in form and substance satisfactory to [Underwriter’s Attorney], counsel for the Underwriters, to the effect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40" w:lineRule="exact"/>
        <w:rPr>
          <w:sz w:val="20"/>
          <w:szCs w:val="20"/>
          <w:color w:val="auto"/>
        </w:rPr>
      </w:pPr>
    </w:p>
    <w:p>
      <w:pPr>
        <w:ind w:left="720" w:hanging="256"/>
        <w:spacing w:after="0"/>
        <w:tabs>
          <w:tab w:leader="none" w:pos="7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You shall have received an opinion of Dechert LLP, special counsel for the Subsidiary, the Adviser and the Administrator, addressed to the</w:t>
      </w:r>
    </w:p>
    <w:p>
      <w:pPr>
        <w:spacing w:after="0" w:line="38" w:lineRule="exact"/>
        <w:rPr>
          <w:rFonts w:ascii="Arial" w:cs="Arial" w:eastAsia="Arial" w:hAnsi="Arial"/>
          <w:sz w:val="16"/>
          <w:szCs w:val="16"/>
          <w:color w:val="auto"/>
        </w:rPr>
      </w:pPr>
    </w:p>
    <w:p>
      <w:pPr>
        <w:ind w:right="260"/>
        <w:spacing w:after="0" w:line="323" w:lineRule="auto"/>
        <w:rPr>
          <w:rFonts w:ascii="Arial" w:cs="Arial" w:eastAsia="Arial" w:hAnsi="Arial"/>
          <w:sz w:val="16"/>
          <w:szCs w:val="16"/>
          <w:color w:val="auto"/>
        </w:rPr>
      </w:pPr>
      <w:r>
        <w:rPr>
          <w:rFonts w:ascii="Arial" w:cs="Arial" w:eastAsia="Arial" w:hAnsi="Arial"/>
          <w:sz w:val="16"/>
          <w:szCs w:val="16"/>
          <w:color w:val="auto"/>
        </w:rPr>
        <w:t xml:space="preserve">Underwriters, and dated the time of purchase or the additional time of purchase, as the case may be, with reproduced copies for each of the other Underwriters and in form and substance satisfactory to [Underwriter’s Attorney], counsel for the Underwriters, to the effect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w:t>
      </w:r>
    </w:p>
    <w:p>
      <w:pPr>
        <w:spacing w:after="0" w:line="93" w:lineRule="exact"/>
        <w:rPr>
          <w:sz w:val="20"/>
          <w:szCs w:val="20"/>
          <w:color w:val="auto"/>
        </w:rPr>
      </w:pPr>
    </w:p>
    <w:p>
      <w:pPr>
        <w:ind w:right="80" w:firstLine="464"/>
        <w:spacing w:after="0" w:line="298" w:lineRule="auto"/>
        <w:tabs>
          <w:tab w:leader="none" w:pos="69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You shall have received from KPMG LLP letters dated, respectively, the Execution Time, the time of purchase and, if applicable, the additional time of purchase, and addressed to the Underwriters (with reproduced copies for each of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2" w:lineRule="exact"/>
        <w:rPr>
          <w:rFonts w:ascii="Arial" w:cs="Arial" w:eastAsia="Arial" w:hAnsi="Arial"/>
          <w:sz w:val="16"/>
          <w:szCs w:val="16"/>
          <w:color w:val="auto"/>
        </w:rPr>
      </w:pPr>
    </w:p>
    <w:p>
      <w:pPr>
        <w:ind w:right="140" w:firstLine="464"/>
        <w:spacing w:after="0" w:line="259" w:lineRule="auto"/>
        <w:tabs>
          <w:tab w:leader="none" w:pos="70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You shall have received at the time of purchase and, if applicable, at the additional time of purchase, the favorable opinion of Sutherland Asbill &amp; Brennan LLP, counsel for the Underwriters, dated the time of purchase or the additional time of purchase, as the case may be, with respect the sale of the Shares and other related matters as the Underwriters may require.</w:t>
      </w:r>
    </w:p>
    <w:p>
      <w:pPr>
        <w:spacing w:after="0" w:line="140" w:lineRule="exact"/>
        <w:rPr>
          <w:rFonts w:ascii="Arial" w:cs="Arial" w:eastAsia="Arial" w:hAnsi="Arial"/>
          <w:sz w:val="18"/>
          <w:szCs w:val="18"/>
          <w:color w:val="auto"/>
        </w:rPr>
      </w:pPr>
    </w:p>
    <w:p>
      <w:pPr>
        <w:ind w:firstLine="464"/>
        <w:spacing w:after="0" w:line="298" w:lineRule="auto"/>
        <w:tabs>
          <w:tab w:leader="none" w:pos="69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Registration Statement shall become effective not later than [TIME] New York City time on the date of this Agreement and, if Rule 430A under the Act is used, the Prospectus shall have been filed with the Commission pursuant to Rule 497(h) under the Act at or before [TIME] New York City time on the second full business day after the date of this Agreement and any registration statement pursuant to Rule 462(b) under the Act required in connection with the offering and sale of the Shares shall have been filed and become effective no later than [TIME]. New York City time on the date of this Agreement.</w:t>
      </w:r>
    </w:p>
    <w:p>
      <w:pPr>
        <w:spacing w:after="0" w:line="112" w:lineRule="exact"/>
        <w:rPr>
          <w:rFonts w:ascii="Arial" w:cs="Arial" w:eastAsia="Arial" w:hAnsi="Arial"/>
          <w:sz w:val="16"/>
          <w:szCs w:val="16"/>
          <w:color w:val="auto"/>
        </w:rPr>
      </w:pPr>
    </w:p>
    <w:p>
      <w:pPr>
        <w:ind w:firstLine="464"/>
        <w:spacing w:after="0" w:line="254" w:lineRule="auto"/>
        <w:tabs>
          <w:tab w:leader="none" w:pos="67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44" w:lineRule="exact"/>
        <w:rPr>
          <w:rFonts w:ascii="Arial" w:cs="Arial" w:eastAsia="Arial" w:hAnsi="Arial"/>
          <w:sz w:val="18"/>
          <w:szCs w:val="18"/>
          <w:color w:val="auto"/>
        </w:rPr>
      </w:pPr>
    </w:p>
    <w:p>
      <w:pPr>
        <w:ind w:right="100" w:firstLine="464"/>
        <w:spacing w:after="0" w:line="259" w:lineRule="auto"/>
        <w:tabs>
          <w:tab w:leader="none" w:pos="70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140"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its Chief Financial Officer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3(s) hereof.</w:t>
      </w:r>
    </w:p>
    <w:p>
      <w:pPr>
        <w:spacing w:after="0" w:line="171" w:lineRule="exact"/>
        <w:rPr>
          <w:rFonts w:ascii="Arial" w:cs="Arial" w:eastAsia="Arial" w:hAnsi="Arial"/>
          <w:sz w:val="18"/>
          <w:szCs w:val="18"/>
          <w:color w:val="auto"/>
        </w:rPr>
      </w:pPr>
    </w:p>
    <w:p>
      <w:pPr>
        <w:ind w:right="140" w:firstLine="464"/>
        <w:spacing w:after="0" w:line="268" w:lineRule="auto"/>
        <w:tabs>
          <w:tab w:leader="none" w:pos="66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the Nasdaq Global Market, subject only to notice of issuance at or prior to the time of purchase and the additional time of purchase, as the case may be.</w:t>
      </w:r>
    </w:p>
    <w:p>
      <w:pPr>
        <w:spacing w:after="0" w:line="131" w:lineRule="exact"/>
        <w:rPr>
          <w:rFonts w:ascii="Arial" w:cs="Arial" w:eastAsia="Arial" w:hAnsi="Arial"/>
          <w:sz w:val="18"/>
          <w:szCs w:val="18"/>
          <w:color w:val="auto"/>
        </w:rPr>
      </w:pPr>
    </w:p>
    <w:p>
      <w:pPr>
        <w:ind w:right="500" w:firstLine="464"/>
        <w:spacing w:after="0" w:line="259" w:lineRule="auto"/>
        <w:tabs>
          <w:tab w:leader="none" w:pos="70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40" w:lineRule="exact"/>
        <w:rPr>
          <w:rFonts w:ascii="Arial" w:cs="Arial" w:eastAsia="Arial" w:hAnsi="Arial"/>
          <w:sz w:val="18"/>
          <w:szCs w:val="18"/>
          <w:color w:val="auto"/>
        </w:rPr>
      </w:pPr>
    </w:p>
    <w:p>
      <w:pPr>
        <w:ind w:firstLine="464"/>
        <w:spacing w:after="0" w:line="268" w:lineRule="auto"/>
        <w:tabs>
          <w:tab w:leader="none" w:pos="666"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Arthur H. Penn shall, on the date of this Agreement, at the time of purchase and, if applicable, at the additional time of purchase, have delivered to you a certificate signed by him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w:t>
      </w:r>
    </w:p>
    <w:p>
      <w:pPr>
        <w:spacing w:after="0" w:line="131" w:lineRule="exact"/>
        <w:rPr>
          <w:rFonts w:ascii="Arial" w:cs="Arial" w:eastAsia="Arial" w:hAnsi="Arial"/>
          <w:sz w:val="18"/>
          <w:szCs w:val="18"/>
          <w:color w:val="auto"/>
        </w:rPr>
      </w:pPr>
    </w:p>
    <w:p>
      <w:pPr>
        <w:ind w:firstLine="359"/>
        <w:spacing w:after="0" w:line="285" w:lineRule="auto"/>
        <w:tabs>
          <w:tab w:leader="none" w:pos="52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obligations of the several Underwriters hereunder shall be subject to termination in the absolute discretion of any of the Joint Book-Running Managers, or any group of Underwriters (which may include any of the Joint Book-Running Managers) which has agreed to purchase in the aggregate at least [#%] of the Firm Shares, if (x) since the time of execution of this Agreement or the earlier respective dates as of which information is given in the Registration Statement, the Pricing Prospectus and the Prospectus, there has been any material adverse change or any development involving a prospective material adverse change in the business, properties, management, financial condition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the American Stock Exchange or the Nasdaq Global Market; (ii) a suspension or material limitation in trading in the Company’s securities on the Nasdaq Global Market; (iii) a general moratorium on commercial banking activities declared by either federal or New York State authorities or a material disruption in commercial banking or securities settlement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ectPr>
          <w:pgSz w:w="11900" w:h="16838" w:orient="portrait"/>
          <w:cols w:equalWidth="0" w:num="1">
            <w:col w:w="11400"/>
          </w:cols>
          <w:pgMar w:left="240" w:top="280" w:right="259" w:bottom="1440" w:gutter="0" w:footer="0" w:header="0"/>
        </w:sectPr>
      </w:pPr>
    </w:p>
    <w:bookmarkStart w:id="200" w:name="page201"/>
    <w:bookmarkEnd w:id="200"/>
    <w:p>
      <w:pPr>
        <w:ind w:right="1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13" w:lineRule="exact"/>
        <w:rPr>
          <w:sz w:val="20"/>
          <w:szCs w:val="20"/>
          <w:color w:val="auto"/>
        </w:rPr>
      </w:pPr>
    </w:p>
    <w:p>
      <w:pPr>
        <w:ind w:firstLine="464"/>
        <w:spacing w:after="0" w:line="288" w:lineRule="auto"/>
        <w:tabs>
          <w:tab w:leader="none" w:pos="632"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Increase in Underwriters’ Commitments</w:t>
      </w:r>
      <w:r>
        <w:rPr>
          <w:rFonts w:ascii="Arial" w:cs="Arial" w:eastAsia="Arial" w:hAnsi="Arial"/>
          <w:sz w:val="16"/>
          <w:szCs w:val="16"/>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20" w:lineRule="exact"/>
        <w:rPr>
          <w:sz w:val="20"/>
          <w:szCs w:val="20"/>
          <w:color w:val="auto"/>
        </w:rPr>
      </w:pPr>
    </w:p>
    <w:p>
      <w:pPr>
        <w:ind w:right="20" w:firstLine="464"/>
        <w:spacing w:after="0" w:line="285" w:lineRule="auto"/>
        <w:tabs>
          <w:tab w:leader="none" w:pos="632" w:val="left"/>
        </w:tabs>
        <w:numPr>
          <w:ilvl w:val="2"/>
          <w:numId w:val="136"/>
        </w:numPr>
        <w:rPr>
          <w:rFonts w:ascii="Arial" w:cs="Arial" w:eastAsia="Arial" w:hAnsi="Arial"/>
          <w:sz w:val="16"/>
          <w:szCs w:val="16"/>
          <w:color w:val="auto"/>
        </w:rPr>
      </w:pPr>
      <w:r>
        <w:rPr>
          <w:rFonts w:ascii="Arial" w:cs="Arial" w:eastAsia="Arial" w:hAnsi="Arial"/>
          <w:sz w:val="16"/>
          <w:szCs w:val="16"/>
          <w:u w:val="single" w:color="auto"/>
          <w:color w:val="auto"/>
        </w:rPr>
        <w:t>Indemnity and Contribution</w:t>
      </w:r>
      <w:r>
        <w:rPr>
          <w:rFonts w:ascii="Arial" w:cs="Arial" w:eastAsia="Arial" w:hAnsi="Arial"/>
          <w:sz w:val="16"/>
          <w:szCs w:val="16"/>
          <w:color w:val="auto"/>
        </w:rPr>
        <w:t>. (a)(1)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any Preliminary Prospectus, the Pricing Prospectus together with the Pricing Information, or the Prospectus (as amended or supplemented by the Company), or arises out of or is based upon any omission or alleged omission to state a material fact required to be stated in either the Registration Statement, any Preliminary Prospectus, the Pricing Prospectus together with the Pricing Information,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any Preliminary Prospectus, the Pricing Prospectus together with the Pricing Information, or the Prospectus or arises out of or is based upon any omission or alleged omission to state a material fact in connection with such information required to be stated in the Registration Statement, any Preliminary Prospectus, the Pricing Prospectus together with the Pricing Information,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21" w:lineRule="exact"/>
        <w:rPr>
          <w:rFonts w:ascii="Arial" w:cs="Arial" w:eastAsia="Arial" w:hAnsi="Arial"/>
          <w:sz w:val="16"/>
          <w:szCs w:val="16"/>
          <w:color w:val="auto"/>
        </w:rPr>
      </w:pPr>
    </w:p>
    <w:p>
      <w:pPr>
        <w:ind w:right="40" w:firstLine="359"/>
        <w:spacing w:after="0" w:line="301" w:lineRule="auto"/>
        <w:tabs>
          <w:tab w:leader="none" w:pos="600"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any Preliminary Prospectus, the Pricing Prospectus or the Prospectus (as amended or supplemented by the Company) regarding the Adviser or the Administrator, or arises out of or is based upon any omission or alleged omission to state a material fact regarding the Adviser or the Administrator required to be stated in either the Registration Statement, any Preliminary Prospectus, the Pricing Prospectus or the Prospectus or necessary to make the statements made therein not misleading with respect to the Adviser or the Administrator or</w:t>
      </w:r>
    </w:p>
    <w:p>
      <w:pPr>
        <w:spacing w:after="0" w:line="4" w:lineRule="exact"/>
        <w:rPr>
          <w:rFonts w:ascii="Arial" w:cs="Arial" w:eastAsia="Arial" w:hAnsi="Arial"/>
          <w:sz w:val="15"/>
          <w:szCs w:val="15"/>
          <w:color w:val="auto"/>
        </w:rPr>
      </w:pPr>
    </w:p>
    <w:p>
      <w:pPr>
        <w:ind w:left="260" w:hanging="252"/>
        <w:spacing w:after="0"/>
        <w:tabs>
          <w:tab w:leader="none" w:pos="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untrue statement or alleged untrue statement made by the Adviser or the Administrator in Section 4 hereof.</w:t>
      </w:r>
    </w:p>
    <w:p>
      <w:pPr>
        <w:spacing w:after="0" w:line="165" w:lineRule="exact"/>
        <w:rPr>
          <w:sz w:val="20"/>
          <w:szCs w:val="20"/>
          <w:color w:val="auto"/>
        </w:rPr>
      </w:pPr>
    </w:p>
    <w:p>
      <w:pPr>
        <w:ind w:right="360" w:firstLine="464"/>
        <w:spacing w:after="0" w:line="259"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any action, suit or proceeding (each, a “Proceeding”)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w:t>
      </w:r>
    </w:p>
    <w:p>
      <w:pPr>
        <w:sectPr>
          <w:pgSz w:w="11900" w:h="16838" w:orient="portrait"/>
          <w:cols w:equalWidth="0" w:num="1">
            <w:col w:w="11420"/>
          </w:cols>
          <w:pgMar w:left="240" w:top="280" w:right="239" w:bottom="1440" w:gutter="0" w:footer="0" w:header="0"/>
        </w:sectPr>
      </w:pPr>
    </w:p>
    <w:bookmarkStart w:id="201" w:name="page202"/>
    <w:bookmarkEnd w:id="20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 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40" w:lineRule="exact"/>
        <w:rPr>
          <w:sz w:val="20"/>
          <w:szCs w:val="20"/>
          <w:color w:val="auto"/>
        </w:rPr>
      </w:pPr>
    </w:p>
    <w:p>
      <w:pPr>
        <w:ind w:firstLine="464"/>
        <w:spacing w:after="0" w:line="287" w:lineRule="auto"/>
        <w:tabs>
          <w:tab w:leader="none" w:pos="70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Company agrees, and the Adviser and the Administrator, jointly and severally, agree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investigation) which, jointly or severally, any such Underwriter or any such person may incur under the Act, the Exchange Act, the common law or otherwise, insofar as such loss, damage, expense, liability or claim arises out of or is based upon (a) any of the matters referred to in clauses (i) through (iii) of the first paragraph of this Section 9(a)(1). or (b) any untrue statement or alleged untrue statement of a material fact contained herein. The second sentence of this Section 9(a)(3) shall apply equally to any Proceeding brought against any such Underwriter or any such person in respect of which indemnity may be sought against the Company, the Adviser or the Administrator pursuant to the foregoing sentence; except that the Company, the Adviser and the Administrator shall be liable for the expenses of one separate counsel (in addition to any local counsel) for any such Underwriter and any such person, separate and in addition to counsel for the Underwriters, in any such Proceeding.</w:t>
      </w:r>
    </w:p>
    <w:p>
      <w:pPr>
        <w:spacing w:after="0" w:line="123" w:lineRule="exact"/>
        <w:rPr>
          <w:sz w:val="20"/>
          <w:szCs w:val="20"/>
          <w:color w:val="auto"/>
        </w:rPr>
      </w:pPr>
    </w:p>
    <w:p>
      <w:pPr>
        <w:ind w:right="100" w:firstLine="464"/>
        <w:spacing w:after="0" w:line="286" w:lineRule="auto"/>
        <w:tabs>
          <w:tab w:leader="none" w:pos="70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Each Underwriter severally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any Preliminary Prospectus, the Pricing Prospectus together with the Pricing Information, or the Prospectus, or arises out of or is based upon any omission or alleged omission to state a material fact in connection with such information required to be stated in the Registration Statement, any Preliminary Prospectus, the Pricing Prospectus together with the Pricing Information or the Prospectus or necessary to make such information not misleading.</w:t>
      </w:r>
    </w:p>
    <w:p>
      <w:pPr>
        <w:spacing w:after="0" w:line="127"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 xml:space="preserve">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 Underwriter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w:t>
      </w:r>
    </w:p>
    <w:p>
      <w:pPr>
        <w:sectPr>
          <w:pgSz w:w="11900" w:h="16838" w:orient="portrait"/>
          <w:cols w:equalWidth="0" w:num="1">
            <w:col w:w="11420"/>
          </w:cols>
          <w:pgMar w:left="240" w:top="280" w:right="239" w:bottom="1440" w:gutter="0" w:footer="0" w:header="0"/>
        </w:sectPr>
      </w:pPr>
    </w:p>
    <w:bookmarkStart w:id="202" w:name="page203"/>
    <w:bookmarkEnd w:id="202"/>
    <w:p>
      <w:pPr>
        <w:jc w:val="both"/>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w:t>
      </w:r>
    </w:p>
    <w:p>
      <w:pPr>
        <w:spacing w:after="0" w:line="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24" w:lineRule="exact"/>
        <w:rPr>
          <w:sz w:val="20"/>
          <w:szCs w:val="20"/>
          <w:color w:val="auto"/>
        </w:rPr>
      </w:pPr>
    </w:p>
    <w:p>
      <w:pPr>
        <w:ind w:firstLine="464"/>
        <w:spacing w:after="0" w:line="285" w:lineRule="auto"/>
        <w:tabs>
          <w:tab w:leader="none" w:pos="69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w:t>
      </w:r>
    </w:p>
    <w:p>
      <w:pPr>
        <w:spacing w:after="0" w:line="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23" w:lineRule="exact"/>
        <w:rPr>
          <w:sz w:val="20"/>
          <w:szCs w:val="20"/>
          <w:color w:val="auto"/>
        </w:rPr>
      </w:pPr>
    </w:p>
    <w:p>
      <w:pPr>
        <w:ind w:right="20" w:firstLine="464"/>
        <w:spacing w:after="0" w:line="287" w:lineRule="auto"/>
        <w:tabs>
          <w:tab w:leader="none" w:pos="695" w:val="left"/>
        </w:tabs>
        <w:numPr>
          <w:ilvl w:val="2"/>
          <w:numId w:val="143"/>
        </w:numPr>
        <w:rPr>
          <w:rFonts w:ascii="Arial" w:cs="Arial" w:eastAsia="Arial" w:hAnsi="Arial"/>
          <w:sz w:val="16"/>
          <w:szCs w:val="16"/>
          <w:color w:val="auto"/>
        </w:rPr>
      </w:pPr>
      <w:r>
        <w:rPr>
          <w:rFonts w:ascii="Arial" w:cs="Arial" w:eastAsia="Arial" w:hAnsi="Arial"/>
          <w:sz w:val="16"/>
          <w:szCs w:val="16"/>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any Preliminary Prospectus, the Pricing Prospectus or the Prospectus.</w:t>
      </w:r>
    </w:p>
    <w:p>
      <w:pPr>
        <w:spacing w:after="0" w:line="122" w:lineRule="exact"/>
        <w:rPr>
          <w:rFonts w:ascii="Arial" w:cs="Arial" w:eastAsia="Arial" w:hAnsi="Arial"/>
          <w:sz w:val="16"/>
          <w:szCs w:val="16"/>
          <w:color w:val="auto"/>
        </w:rPr>
      </w:pPr>
    </w:p>
    <w:p>
      <w:pPr>
        <w:ind w:right="80" w:firstLine="359"/>
        <w:spacing w:after="0" w:line="286" w:lineRule="auto"/>
        <w:tabs>
          <w:tab w:leader="none" w:pos="615"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Underwriters</w:t>
      </w:r>
      <w:r>
        <w:rPr>
          <w:rFonts w:ascii="Arial" w:cs="Arial" w:eastAsia="Arial" w:hAnsi="Arial"/>
          <w:sz w:val="16"/>
          <w:szCs w:val="16"/>
          <w:color w:val="auto"/>
        </w:rPr>
        <w:t>. [The Company acknowledges that (i) the statements regarding delivery of the Firm Units set forth in the last paragraph of the cover page and in the second paragraph under the heading “Underwriting,” (ii) the sentences relating to concessions and reallowances and</w:t>
      </w:r>
    </w:p>
    <w:p>
      <w:pPr>
        <w:ind w:right="580" w:firstLine="8"/>
        <w:spacing w:after="0" w:line="323" w:lineRule="auto"/>
        <w:tabs>
          <w:tab w:leader="none" w:pos="30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sentences related to stabilization, syndicate covering transactions and penalty bids in the Pricing Prospectus and the Prospectus constitute the only information furnished by or on behalf of the several Underwriters for inclusion in the Pricing Prospectus and the Prospectus.]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and, if to the</w:t>
      </w:r>
    </w:p>
    <w:p>
      <w:pPr>
        <w:spacing w:after="0" w:line="38" w:lineRule="exact"/>
        <w:rPr>
          <w:sz w:val="20"/>
          <w:szCs w:val="20"/>
          <w:color w:val="auto"/>
        </w:rPr>
      </w:pPr>
    </w:p>
    <w:p>
      <w:pPr>
        <w:spacing w:after="0"/>
        <w:tabs>
          <w:tab w:leader="none" w:pos="7800" w:val="left"/>
          <w:tab w:leader="none" w:pos="9080" w:val="left"/>
          <w:tab w:leader="none" w:pos="9300" w:val="left"/>
          <w:tab w:leader="none" w:pos="9900" w:val="left"/>
        </w:tabs>
        <w:rPr>
          <w:sz w:val="20"/>
          <w:szCs w:val="20"/>
          <w:color w:val="auto"/>
        </w:rPr>
      </w:pPr>
      <w:r>
        <w:rPr>
          <w:rFonts w:ascii="Arial" w:cs="Arial" w:eastAsia="Arial" w:hAnsi="Arial"/>
          <w:sz w:val="18"/>
          <w:szCs w:val="18"/>
          <w:color w:val="auto"/>
        </w:rPr>
        <w:t>Underwriters, shall be sufficient in all respects if delivered, faxed or sent to [UNDERWRITER]. at</w:t>
      </w:r>
      <w:r>
        <w:rPr>
          <w:sz w:val="20"/>
          <w:szCs w:val="20"/>
          <w:color w:val="auto"/>
        </w:rPr>
        <w:tab/>
      </w:r>
      <w:r>
        <w:rPr>
          <w:rFonts w:ascii="Arial" w:cs="Arial" w:eastAsia="Arial" w:hAnsi="Arial"/>
          <w:sz w:val="18"/>
          <w:szCs w:val="18"/>
          <w:color w:val="auto"/>
        </w:rPr>
        <w:t>, facsimile no. (</w:t>
        <w:tab/>
        <w:t>)</w:t>
        <w:tab/>
        <w:t>-</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 and, if to the Company, shall be sufficient in all respects if delivered or sent to the Company at the offices of the Company at 590 Madison</w:t>
      </w:r>
    </w:p>
    <w:p>
      <w:pPr>
        <w:spacing w:after="0" w:line="44" w:lineRule="exact"/>
        <w:rPr>
          <w:sz w:val="20"/>
          <w:szCs w:val="20"/>
          <w:color w:val="auto"/>
        </w:rPr>
      </w:pPr>
    </w:p>
    <w:p>
      <w:pPr>
        <w:spacing w:after="0"/>
        <w:tabs>
          <w:tab w:leader="none" w:pos="4180" w:val="left"/>
          <w:tab w:leader="none" w:pos="4460" w:val="left"/>
          <w:tab w:leader="none" w:pos="5040" w:val="left"/>
        </w:tabs>
        <w:rPr>
          <w:sz w:val="20"/>
          <w:szCs w:val="20"/>
          <w:color w:val="auto"/>
        </w:rPr>
      </w:pPr>
      <w:r>
        <w:rPr>
          <w:rFonts w:ascii="Arial" w:cs="Arial" w:eastAsia="Arial" w:hAnsi="Arial"/>
          <w:sz w:val="16"/>
          <w:szCs w:val="16"/>
          <w:color w:val="auto"/>
        </w:rPr>
        <w:t xml:space="preserve">Avenue 15 </w:t>
      </w:r>
      <w:r>
        <w:rPr>
          <w:rFonts w:ascii="Arial" w:cs="Arial" w:eastAsia="Arial" w:hAnsi="Arial"/>
          <w:sz w:val="10"/>
          <w:szCs w:val="10"/>
          <w:color w:val="auto"/>
        </w:rPr>
        <w:t>th</w:t>
      </w:r>
      <w:r>
        <w:rPr>
          <w:rFonts w:ascii="Arial" w:cs="Arial" w:eastAsia="Arial" w:hAnsi="Arial"/>
          <w:sz w:val="16"/>
          <w:szCs w:val="16"/>
          <w:color w:val="auto"/>
        </w:rPr>
        <w:t xml:space="preserve"> Floor, New York, NY 10022, facsimile no. (</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 Attention: Arthur Penn.</w:t>
      </w:r>
    </w:p>
    <w:p>
      <w:pPr>
        <w:spacing w:after="0" w:line="165" w:lineRule="exact"/>
        <w:rPr>
          <w:sz w:val="20"/>
          <w:szCs w:val="20"/>
          <w:color w:val="auto"/>
        </w:rPr>
      </w:pPr>
    </w:p>
    <w:p>
      <w:pPr>
        <w:ind w:right="240" w:firstLine="464"/>
        <w:spacing w:after="0" w:line="332" w:lineRule="auto"/>
        <w:tabs>
          <w:tab w:leader="none" w:pos="72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Governing Law; Construction</w:t>
      </w:r>
      <w:r>
        <w:rPr>
          <w:rFonts w:ascii="Arial" w:cs="Arial" w:eastAsia="Arial" w:hAnsi="Arial"/>
          <w:sz w:val="16"/>
          <w:szCs w:val="16"/>
          <w:color w:val="auto"/>
        </w:rPr>
        <w:t xml:space="preserve">. This Agreement and any claim, counterclaim or dispute of any kind or nature whatsoever arising out of or in any way relating to this Agreement (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xml:space="preserve"> ), directly or indirectly, shall be governed by, and construed in accordance with, the laws of</w:t>
      </w:r>
    </w:p>
    <w:p>
      <w:pPr>
        <w:sectPr>
          <w:pgSz w:w="11900" w:h="16838" w:orient="portrait"/>
          <w:cols w:equalWidth="0" w:num="1">
            <w:col w:w="11420"/>
          </w:cols>
          <w:pgMar w:left="240" w:top="280" w:right="239" w:bottom="1440" w:gutter="0" w:footer="0" w:header="0"/>
        </w:sectPr>
      </w:pPr>
    </w:p>
    <w:bookmarkStart w:id="203" w:name="page204"/>
    <w:bookmarkEnd w:id="203"/>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07" w:lineRule="exact"/>
        <w:rPr>
          <w:sz w:val="20"/>
          <w:szCs w:val="20"/>
          <w:color w:val="auto"/>
        </w:rPr>
      </w:pPr>
    </w:p>
    <w:p>
      <w:pPr>
        <w:ind w:right="40" w:firstLine="464"/>
        <w:spacing w:after="0" w:line="286" w:lineRule="auto"/>
        <w:tabs>
          <w:tab w:leader="none" w:pos="72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27" w:lineRule="exact"/>
        <w:rPr>
          <w:rFonts w:ascii="Arial" w:cs="Arial" w:eastAsia="Arial" w:hAnsi="Arial"/>
          <w:sz w:val="16"/>
          <w:szCs w:val="16"/>
          <w:color w:val="auto"/>
        </w:rPr>
      </w:pPr>
    </w:p>
    <w:p>
      <w:pPr>
        <w:ind w:right="180" w:firstLine="464"/>
        <w:spacing w:after="0" w:line="298" w:lineRule="auto"/>
        <w:tabs>
          <w:tab w:leader="none" w:pos="72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and officers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12" w:lineRule="exact"/>
        <w:rPr>
          <w:rFonts w:ascii="Arial" w:cs="Arial" w:eastAsia="Arial" w:hAnsi="Arial"/>
          <w:sz w:val="16"/>
          <w:szCs w:val="16"/>
          <w:color w:val="auto"/>
        </w:rPr>
      </w:pPr>
    </w:p>
    <w:p>
      <w:pPr>
        <w:ind w:right="240" w:firstLine="464"/>
        <w:spacing w:after="0" w:line="268" w:lineRule="auto"/>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31" w:lineRule="exact"/>
        <w:rPr>
          <w:rFonts w:ascii="Arial" w:cs="Arial" w:eastAsia="Arial" w:hAnsi="Arial"/>
          <w:sz w:val="18"/>
          <w:szCs w:val="18"/>
          <w:color w:val="auto"/>
        </w:rPr>
      </w:pPr>
    </w:p>
    <w:p>
      <w:pPr>
        <w:ind w:firstLine="464"/>
        <w:spacing w:after="0" w:line="259" w:lineRule="auto"/>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40" w:lineRule="exact"/>
        <w:rPr>
          <w:rFonts w:ascii="Arial" w:cs="Arial" w:eastAsia="Arial" w:hAnsi="Arial"/>
          <w:sz w:val="18"/>
          <w:szCs w:val="18"/>
          <w:color w:val="auto"/>
        </w:rPr>
      </w:pPr>
    </w:p>
    <w:p>
      <w:pPr>
        <w:ind w:firstLine="464"/>
        <w:spacing w:after="0" w:line="286" w:lineRule="auto"/>
        <w:tabs>
          <w:tab w:leader="none" w:pos="72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deemed appropriate.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360"/>
          </w:cols>
          <w:pgMar w:left="240" w:top="280" w:right="299" w:bottom="1440" w:gutter="0" w:footer="0" w:header="0"/>
        </w:sectPr>
      </w:pPr>
    </w:p>
    <w:bookmarkStart w:id="204" w:name="page205"/>
    <w:bookmarkEnd w:id="204"/>
    <w:p>
      <w:pPr>
        <w:ind w:firstLine="456"/>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19234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LLC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240" w:top="280" w:right="41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the date first above written, 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behalf of themselves and the other several Underwriters named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 Schedule 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206" w:name="page207"/>
    <w:bookmarkEnd w:id="206"/>
    <w:p>
      <w:pPr>
        <w:jc w:val="both"/>
        <w:ind w:left="-8" w:right="360" w:firstLine="8"/>
        <w:spacing w:after="0" w:line="259" w:lineRule="auto"/>
        <w:tabs>
          <w:tab w:leader="none" w:pos="67" w:val="left"/>
        </w:tabs>
        <w:numPr>
          <w:ilvl w:val="0"/>
          <w:numId w:val="148"/>
        </w:numPr>
        <w:rPr>
          <w:rFonts w:ascii="Arial" w:cs="Arial" w:eastAsia="Arial" w:hAnsi="Arial"/>
          <w:sz w:val="11"/>
          <w:szCs w:val="1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sale or series of sales approved by the board of directors and pricing committee to be made hereunder should take the form of an at-the-market offering, Sections 1 and 2 of this Agreement shall be replaced with the following Sections, with such conforming changes as are typical for an at-the-market offering to be made throughout this Agreement:</w:t>
      </w:r>
    </w:p>
    <w:p>
      <w:pPr>
        <w:spacing w:after="0" w:line="59" w:lineRule="exact"/>
        <w:rPr>
          <w:rFonts w:ascii="Arial" w:cs="Arial" w:eastAsia="Arial" w:hAnsi="Arial"/>
          <w:sz w:val="11"/>
          <w:szCs w:val="11"/>
          <w:color w:val="auto"/>
        </w:rPr>
      </w:pPr>
    </w:p>
    <w:p>
      <w:pPr>
        <w:jc w:val="both"/>
        <w:ind w:left="452" w:right="160" w:firstLine="4"/>
        <w:spacing w:after="0" w:line="357" w:lineRule="auto"/>
        <w:tabs>
          <w:tab w:leader="none" w:pos="628" w:val="left"/>
        </w:tabs>
        <w:numPr>
          <w:ilvl w:val="1"/>
          <w:numId w:val="148"/>
        </w:numPr>
        <w:rPr>
          <w:rFonts w:ascii="Arial" w:cs="Arial" w:eastAsia="Arial" w:hAnsi="Arial"/>
          <w:sz w:val="15"/>
          <w:szCs w:val="15"/>
          <w:color w:val="auto"/>
        </w:rPr>
      </w:pPr>
      <w:r>
        <w:rPr>
          <w:rFonts w:ascii="Arial" w:cs="Arial" w:eastAsia="Arial" w:hAnsi="Arial"/>
          <w:sz w:val="15"/>
          <w:szCs w:val="15"/>
          <w:u w:val="single" w:color="auto"/>
          <w:color w:val="auto"/>
        </w:rPr>
        <w:t>Issuance and Sale of Shares</w:t>
      </w:r>
      <w:r>
        <w:rPr>
          <w:rFonts w:ascii="Arial" w:cs="Arial" w:eastAsia="Arial" w:hAnsi="Arial"/>
          <w:sz w:val="15"/>
          <w:szCs w:val="15"/>
          <w:color w:val="auto"/>
        </w:rPr>
        <w:t>. The Company agrees that, from time to time during the term of this Agreement, on the terms and subject to the conditions set forth herein, it may issue and sell through the Underwriters, acting as agent and/or principal, up to — million (—) of the Company’s Common Stock.</w:t>
      </w:r>
    </w:p>
    <w:p>
      <w:pPr>
        <w:ind w:left="452" w:firstLine="4"/>
        <w:spacing w:after="0" w:line="284" w:lineRule="auto"/>
        <w:tabs>
          <w:tab w:leader="none" w:pos="628"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xml:space="preserve">. Each time that the Company wishes to issue and sell shares of Common Stock hereunder (each, a </w:t>
      </w:r>
      <w:r>
        <w:rPr>
          <w:rFonts w:ascii="Arial" w:cs="Arial" w:eastAsia="Arial" w:hAnsi="Arial"/>
          <w:sz w:val="16"/>
          <w:szCs w:val="16"/>
          <w:b w:val="1"/>
          <w:bCs w:val="1"/>
          <w:i w:val="1"/>
          <w:iCs w:val="1"/>
          <w:color w:val="auto"/>
        </w:rPr>
        <w:t>“Placement”</w:t>
      </w:r>
      <w:r>
        <w:rPr>
          <w:rFonts w:ascii="Arial" w:cs="Arial" w:eastAsia="Arial" w:hAnsi="Arial"/>
          <w:sz w:val="16"/>
          <w:szCs w:val="16"/>
          <w:color w:val="auto"/>
        </w:rPr>
        <w:t xml:space="preserve">), it will notify the Joint Book-Running Managers by e-mail notice (or other method mutually agreed to in writing by the parties) containing the parameters in accordance with which it desires the shares to be sold, which shall, at a minimum, include the number of shares of Common Stock to be issued (the </w:t>
      </w:r>
      <w:r>
        <w:rPr>
          <w:rFonts w:ascii="Arial" w:cs="Arial" w:eastAsia="Arial" w:hAnsi="Arial"/>
          <w:sz w:val="16"/>
          <w:szCs w:val="16"/>
          <w:b w:val="1"/>
          <w:bCs w:val="1"/>
          <w:i w:val="1"/>
          <w:iCs w:val="1"/>
          <w:color w:val="auto"/>
        </w:rPr>
        <w:t>“Placement Shares”</w:t>
      </w:r>
      <w:r>
        <w:rPr>
          <w:rFonts w:ascii="Arial" w:cs="Arial" w:eastAsia="Arial" w:hAnsi="Arial"/>
          <w:sz w:val="16"/>
          <w:szCs w:val="16"/>
          <w:color w:val="auto"/>
        </w:rPr>
        <w:t xml:space="preserve">), the time period during which sales are requested to be made, any limitation on the number of Placement Shares that may be sold in any one day and any minimum price below which sales may not be made (a </w:t>
      </w:r>
      <w:r>
        <w:rPr>
          <w:rFonts w:ascii="Arial" w:cs="Arial" w:eastAsia="Arial" w:hAnsi="Arial"/>
          <w:sz w:val="16"/>
          <w:szCs w:val="16"/>
          <w:b w:val="1"/>
          <w:bCs w:val="1"/>
          <w:i w:val="1"/>
          <w:iCs w:val="1"/>
          <w:color w:val="auto"/>
        </w:rPr>
        <w:t>“Placement Notice”</w:t>
      </w:r>
      <w:r>
        <w:rPr>
          <w:rFonts w:ascii="Arial" w:cs="Arial" w:eastAsia="Arial" w:hAnsi="Arial"/>
          <w:sz w:val="16"/>
          <w:szCs w:val="16"/>
          <w:color w:val="auto"/>
        </w:rPr>
        <w:t>), a form of which, containing such minimum sales parameters necessary, is attached hereto as Schedule —. The Placement Notice shall originate from any of the individuals from the Company set forth on Schedule — (with a copy to each of the other individuals from the Company listed on such schedule), and shall be addressed to each of the individuals from the Joint Book-Running Managers set forth on Schedule —, as amended from time to time. The Placement Notice shall be effective upon receipt by the Joint Book-Running Managers unless and until (i) in accordance with the notice requirement set forth in Section 4 of this Agreement, the Joint Book-Running Managers decline to accept the terms contained therein, (ii) the entire amount of the Placement Shares have been sold, (iii) in accordance with the notice requirements set forth in Section 4 of this Agreement, the Company suspends or terminates the Placement Notice, (iv) the Company issues a subsequent Placement Notice with parameters superseding those on the earlier dated Placement Notice, or (v) the Agreement has been terminated under the provisions of Section —. The amount of any discount, commission or other compensation to be paid by the Company to the Underwriters in connection with the sale of the Placement Shares shall be calculated in accordance with the terms set forth in Schedule —. It is expressly acknowledged and agreed that neither the Company nor the Underwriters will have any obligation whatsoever with respect to a Placement or any Placement Shares unless and until the Company delivers a Placement Notice to the Joint Book-Running Managers and the Joint Book-Running Managers do not decline, within the time period specified in Section 4,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51" w:lineRule="exact"/>
        <w:rPr>
          <w:rFonts w:ascii="Arial" w:cs="Arial" w:eastAsia="Arial" w:hAnsi="Arial"/>
          <w:sz w:val="16"/>
          <w:szCs w:val="16"/>
          <w:color w:val="auto"/>
        </w:rPr>
      </w:pPr>
    </w:p>
    <w:p>
      <w:pPr>
        <w:ind w:left="452" w:firstLine="4"/>
        <w:spacing w:after="0" w:line="286" w:lineRule="auto"/>
        <w:tabs>
          <w:tab w:leader="none" w:pos="628"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Sale of Placement Shares by Underwriters.</w:t>
      </w:r>
      <w:r>
        <w:rPr>
          <w:rFonts w:ascii="Arial" w:cs="Arial" w:eastAsia="Arial" w:hAnsi="Arial"/>
          <w:sz w:val="16"/>
          <w:szCs w:val="16"/>
          <w:color w:val="auto"/>
        </w:rPr>
        <w:t xml:space="preserve"> Subject to the terms and conditions herein set forth, upon the Company’s issuance of a Placement Notice, and unless the sale of the Placement Shares described therein has been declined, suspended or otherwise terminated in accordance with the terms of this Agreement, the Underwriters, for the period specified in the Placement Notice, will use their commercially reasonable efforts consistent with their normal trading and sales practices to sell such Placement Shares up to the amount specified, and otherwise in accordance with the terms of such Placement Notice. the Joint Book-Running Managers will provide written confirmation to the Company no later than the close of the Trading Day (as defined below) on which it has made sales of Placement Shares hereunder setting forth the number of Placement Shares sold on such day, the compensation payable by the Company with respect to such sales, with an itemization of deductions (as set forth in Section 5(a)) from the gross proceeds that it receives from such sales, and the Net Proceeds (as defined below) payable to the Company. The Company and the Adviser each acknowledge that the Underwriters intend to sell the Placement Shares consistent with normal trading and sales practices and/or any other method permitted by law, including sales made directly on the NASDAQ Global Select Market, the then-existing trading market for the Placement Shares or sales made to or through a market maker or through an electronic communications network, or in any other manner that may be deemed to be an “at-the-market” offering as defined in Rule 415 of the Securities Act. To the extent that any of the Underwriters acts as the Company’s agent with respect to any such sale, each such</w:t>
      </w:r>
    </w:p>
    <w:p>
      <w:pPr>
        <w:sectPr>
          <w:pgSz w:w="11900" w:h="16838" w:orient="portrait"/>
          <w:cols w:equalWidth="0" w:num="1">
            <w:col w:w="11392"/>
          </w:cols>
          <w:pgMar w:left="248" w:top="280" w:right="259" w:bottom="1440" w:gutter="0" w:footer="0" w:header="0"/>
        </w:sectPr>
      </w:pPr>
    </w:p>
    <w:bookmarkStart w:id="207" w:name="page208"/>
    <w:bookmarkEnd w:id="207"/>
    <w:p>
      <w:pPr>
        <w:ind w:right="2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Underwriter covenants that it will comply with all prospectus delivery requirements imposed under applicable federal and state securities laws. The Company and the Adviser each acknowledge and agree that (i) there can be no assurance that the Underwriters will be successful in selling Placement Shares, and (ii) the Underwriters will not incur any liability or obligation to the Company or the Adviser or any other person or entity if they do not sell Placement Shares for any reason, provided that if any Underwriter fails to use its commercially reasonable efforts consistent with its normal trading and sales practices to sell the Placement Shares as required under this Section 3, such Underwriter shall be liable for damages incurred thereby and such liability shall be several and not joint. For the purposes hereof, </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xml:space="preserve"> means any day on which Shares are purchased and sold on the principal exchange or market on which the Shares are listed or quoted.</w:t>
      </w:r>
    </w:p>
    <w:p>
      <w:pPr>
        <w:spacing w:after="0" w:line="37" w:lineRule="exact"/>
        <w:rPr>
          <w:sz w:val="20"/>
          <w:szCs w:val="20"/>
          <w:color w:val="auto"/>
        </w:rPr>
      </w:pPr>
    </w:p>
    <w:p>
      <w:pPr>
        <w:ind w:right="60" w:firstLine="4"/>
        <w:spacing w:after="0" w:line="290" w:lineRule="auto"/>
        <w:tabs>
          <w:tab w:leader="none" w:pos="176"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Suspension of Sales</w:t>
      </w:r>
      <w:r>
        <w:rPr>
          <w:rFonts w:ascii="Arial" w:cs="Arial" w:eastAsia="Arial" w:hAnsi="Arial"/>
          <w:sz w:val="16"/>
          <w:szCs w:val="16"/>
          <w:color w:val="auto"/>
        </w:rPr>
        <w:t xml:space="preserve">. The Company or the Joint Book-Running Managers may, upon notice to the other party in writing within two business days following the delivery or receipt, as applicable, of the Placement Notice (including by e-mail correspondence to all of the individuals of the other party set forth on Schedule — or by telephone (confirmed immediately by verifiable facsimile transmission or e-mail correspondence to all of the individuals of the other party set forth on Schedule —)), suspend or refuse to undertake any sale of Placement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suspension or refusal shall not affect or impair either party’s obligations with respect to Placement Shares sold hereunder prior to the receipt of such notice. Each of the parties hereto agrees that no such notice shall be effective against the other unless it is made to the individuals named on Schedule — hereto in accordance with this Section 4, as such Schedule may be amended from time to time.</w:t>
      </w:r>
    </w:p>
    <w:p>
      <w:pPr>
        <w:spacing w:after="0" w:line="37" w:lineRule="exact"/>
        <w:rPr>
          <w:rFonts w:ascii="Arial" w:cs="Arial" w:eastAsia="Arial" w:hAnsi="Arial"/>
          <w:sz w:val="16"/>
          <w:szCs w:val="16"/>
          <w:color w:val="auto"/>
        </w:rPr>
      </w:pPr>
    </w:p>
    <w:p>
      <w:pPr>
        <w:ind w:left="180" w:hanging="176"/>
        <w:spacing w:after="0"/>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40" w:firstLine="443"/>
        <w:spacing w:after="0" w:line="291" w:lineRule="auto"/>
        <w:tabs>
          <w:tab w:leader="none" w:pos="677"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Settlement of Placement Shares</w:t>
      </w:r>
      <w:r>
        <w:rPr>
          <w:rFonts w:ascii="Arial" w:cs="Arial" w:eastAsia="Arial" w:hAnsi="Arial"/>
          <w:sz w:val="16"/>
          <w:szCs w:val="16"/>
          <w:color w:val="auto"/>
        </w:rPr>
        <w:t xml:space="preserve">. Unless otherwise specified in the applicable Placement Notice, settlement for sales of Placement Shares will occur on Trading Day plus 3 days basis or earlier as mutually agreed upon (each, a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xml:space="preserve">). The amount of proceeds to be delivered to the Company on a Settlement Date against the receipt of the Placement Shares sold (the </w:t>
      </w:r>
      <w:r>
        <w:rPr>
          <w:rFonts w:ascii="Arial" w:cs="Arial" w:eastAsia="Arial" w:hAnsi="Arial"/>
          <w:sz w:val="16"/>
          <w:szCs w:val="16"/>
          <w:b w:val="1"/>
          <w:bCs w:val="1"/>
          <w:i w:val="1"/>
          <w:iCs w:val="1"/>
          <w:color w:val="auto"/>
        </w:rPr>
        <w:t>“Net Proceeds”</w:t>
      </w:r>
      <w:r>
        <w:rPr>
          <w:rFonts w:ascii="Arial" w:cs="Arial" w:eastAsia="Arial" w:hAnsi="Arial"/>
          <w:sz w:val="16"/>
          <w:szCs w:val="16"/>
          <w:color w:val="auto"/>
        </w:rPr>
        <w:t>) will be equal to the aggregate sales price at which such Placement Shares were sold, after deduction for (i) the Underwriter’s commission, discount or other compensation for such sales payable by the Company pursuant to Section 2 hereof, (ii) any other amounts due and payable by the Company to the Underwriters hereunder, and (iii) any transaction fees imposed by any governmental or self-regulatory organization in respect of such sales.</w:t>
      </w:r>
    </w:p>
    <w:p>
      <w:pPr>
        <w:spacing w:after="0" w:line="39" w:lineRule="exact"/>
        <w:rPr>
          <w:rFonts w:ascii="Arial" w:cs="Arial" w:eastAsia="Arial" w:hAnsi="Arial"/>
          <w:sz w:val="16"/>
          <w:szCs w:val="16"/>
          <w:color w:val="auto"/>
        </w:rPr>
      </w:pPr>
    </w:p>
    <w:p>
      <w:pPr>
        <w:ind w:firstLine="443"/>
        <w:spacing w:after="0" w:line="287" w:lineRule="auto"/>
        <w:tabs>
          <w:tab w:leader="none" w:pos="687"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On or before each Settlement Date, the Company will, or will cause its transfer agent to, electronically transfer the Placement Shares being sold by crediting the Joint Book-Running Managers’ or its designee’s account at The Depository Trust Company through its Deposit and Withdrawal at Custodian (</w:t>
      </w:r>
      <w:r>
        <w:rPr>
          <w:rFonts w:ascii="Arial" w:cs="Arial" w:eastAsia="Arial" w:hAnsi="Arial"/>
          <w:sz w:val="16"/>
          <w:szCs w:val="16"/>
          <w:b w:val="1"/>
          <w:bCs w:val="1"/>
          <w:i w:val="1"/>
          <w:iCs w:val="1"/>
          <w:color w:val="auto"/>
        </w:rPr>
        <w:t>“DWAC”</w:t>
      </w:r>
      <w:r>
        <w:rPr>
          <w:rFonts w:ascii="Arial" w:cs="Arial" w:eastAsia="Arial" w:hAnsi="Arial"/>
          <w:sz w:val="16"/>
          <w:szCs w:val="16"/>
          <w:color w:val="auto"/>
        </w:rPr>
        <w:t>) System or by such other means of delivery as may be mutually agreed upon by the parties hereto and, upon receipt of such Placement Shares, which in all cases shall be freely tradable, transferable, registered shares in good deliverable form, the Joint Book-Running Managers will deliver the related Net Proceeds in same day funds to an account designated by the Company prior to the Settlement Date. The Company agrees that if the Company defaults on its obligation to deliver Placement Shares on a Settlement Date, the Company and the Adviser each agree that, in addition to and in no way limiting the rights and obligations set forth in Section — hereto, it will (i) hold each of the Underwriters harmless against any loss, claim, damage, or expense (including reasonable legal fees and expenses), as incurred, arising out of or in connection with such default by the Company and (ii) pay to each Underwriter any commission, discount, or other compensation to which it would otherwise have been entitled absent such default.</w:t>
      </w:r>
    </w:p>
    <w:p>
      <w:pPr>
        <w:sectPr>
          <w:pgSz w:w="11900" w:h="16838" w:orient="portrait"/>
          <w:cols w:equalWidth="0" w:num="1">
            <w:col w:w="10920"/>
          </w:cols>
          <w:pgMar w:left="700" w:top="280" w:right="27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SCHEDULE A</w:t>
            </w:r>
          </w:p>
        </w:tc>
      </w:tr>
      <w:tr>
        <w:trPr>
          <w:trHeight w:val="359"/>
        </w:trPr>
        <w:tc>
          <w:tcPr>
            <w:tcW w:w="7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4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Firm Shares</w:t>
            </w:r>
          </w:p>
        </w:tc>
      </w:tr>
      <w:tr>
        <w:trPr>
          <w:trHeight w:val="142"/>
        </w:trPr>
        <w:tc>
          <w:tcPr>
            <w:tcW w:w="78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780" w:type="dxa"/>
            <w:vAlign w:val="bottom"/>
            <w:shd w:val="clear" w:color="auto" w:fill="CCEEFF"/>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 Per Share)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[Underwriter’s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This Lock-Up Letter Agreement is being delivered to you in connection with the proposed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xml:space="preserve"> ) to be entered into by and among PennantPark Investment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 PennantPark Investment Advisers, LLC and PennantPark Investment Administration, LLC and you, as Representatives of the several Underwriters named therein, with respect to the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xml:space="preserve"> ) of Common Stock, par value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xml:space="preserve"> ).</w:t>
      </w:r>
    </w:p>
    <w:p>
      <w:pPr>
        <w:spacing w:after="0" w:line="143"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In order to induce you to enter into the Underwriting Agreement, the undersigned agrees that from the date hereof until the end of a period of [#] days after the date of the final prospectus relating to the Offering the undersigned will not, without the prior written consent of each of [UNDERWRITERS]. (the </w:t>
      </w:r>
      <w:r>
        <w:rPr>
          <w:rFonts w:ascii="Arial" w:cs="Arial" w:eastAsia="Arial" w:hAnsi="Arial"/>
          <w:sz w:val="16"/>
          <w:szCs w:val="16"/>
          <w:b w:val="1"/>
          <w:bCs w:val="1"/>
          <w:i w:val="1"/>
          <w:iCs w:val="1"/>
          <w:color w:val="auto"/>
        </w:rPr>
        <w:t>“Joint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Book-Running Managers” </w:t>
      </w:r>
      <w:r>
        <w:rPr>
          <w:rFonts w:ascii="Arial" w:cs="Arial" w:eastAsia="Arial" w:hAnsi="Arial"/>
          <w:sz w:val="16"/>
          <w:szCs w:val="16"/>
          <w:color w:val="auto"/>
        </w:rPr>
        <w:t>) (i) sell, offer to sell, contract or agree to sell, hypothecate, pledge, grant any option to purchase or otherwise dispose of or agree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dispose of, directly or indirectly, or file (or participate in the filing of) a registration statement with the Securities and Exchange Commission (the </w:t>
      </w:r>
      <w:r>
        <w:rPr>
          <w:rFonts w:ascii="Arial" w:cs="Arial" w:eastAsia="Arial" w:hAnsi="Arial"/>
          <w:sz w:val="16"/>
          <w:szCs w:val="16"/>
          <w:b w:val="1"/>
          <w:bCs w:val="1"/>
          <w:i w:val="1"/>
          <w:iCs w:val="1"/>
          <w:color w:val="auto"/>
        </w:rPr>
        <w:t>“Commission”</w:t>
      </w:r>
    </w:p>
    <w:p>
      <w:pPr>
        <w:spacing w:after="0" w:line="3" w:lineRule="exact"/>
        <w:rPr>
          <w:sz w:val="20"/>
          <w:szCs w:val="20"/>
          <w:color w:val="auto"/>
        </w:rPr>
      </w:pPr>
    </w:p>
    <w:p>
      <w:pPr>
        <w:ind w:right="220" w:firstLine="8"/>
        <w:spacing w:after="0" w:line="281" w:lineRule="auto"/>
        <w:tabs>
          <w:tab w:leader="none" w:pos="10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w:t>
      </w:r>
    </w:p>
    <w:p>
      <w:pPr>
        <w:spacing w:after="0" w:line="2" w:lineRule="exact"/>
        <w:rPr>
          <w:rFonts w:ascii="Arial" w:cs="Arial" w:eastAsia="Arial" w:hAnsi="Arial"/>
          <w:sz w:val="16"/>
          <w:szCs w:val="16"/>
          <w:color w:val="auto"/>
        </w:rPr>
      </w:pPr>
    </w:p>
    <w:p>
      <w:pPr>
        <w:ind w:right="180"/>
        <w:spacing w:after="0" w:line="261" w:lineRule="auto"/>
        <w:rPr>
          <w:rFonts w:ascii="Arial" w:cs="Arial" w:eastAsia="Arial" w:hAnsi="Arial"/>
          <w:sz w:val="16"/>
          <w:szCs w:val="16"/>
          <w:color w:val="auto"/>
        </w:rPr>
      </w:pPr>
      <w:r>
        <w:rPr>
          <w:rFonts w:ascii="Arial" w:cs="Arial" w:eastAsia="Arial" w:hAnsi="Arial"/>
          <w:sz w:val="18"/>
          <w:szCs w:val="18"/>
          <w:color w:val="auto"/>
        </w:rPr>
        <w:t>(ii) enter into any swap or other arrangement that transfers to another, in whole or in part, any of the economic consequences of ownership of Common Stock or any securities convertible into or exercisable or exchangeable for Common Stock, or warrants or other rights to</w:t>
      </w:r>
    </w:p>
    <w:p>
      <w:pPr>
        <w:sectPr>
          <w:pgSz w:w="11900" w:h="16838" w:orient="portrait"/>
          <w:cols w:equalWidth="0" w:num="1">
            <w:col w:w="11420"/>
          </w:cols>
          <w:pgMar w:left="240" w:top="274" w:right="239"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Common Stock, whether any such transaction is to be settled by delivery of Common Stock or such other securities, in cash or otherwise, or</w:t>
      </w:r>
    </w:p>
    <w:p>
      <w:pPr>
        <w:spacing w:after="0" w:line="38" w:lineRule="exact"/>
        <w:rPr>
          <w:sz w:val="20"/>
          <w:szCs w:val="20"/>
          <w:color w:val="auto"/>
        </w:rPr>
      </w:pPr>
    </w:p>
    <w:p>
      <w:pPr>
        <w:jc w:val="both"/>
        <w:ind w:right="60" w:firstLine="8"/>
        <w:spacing w:after="0" w:line="292" w:lineRule="auto"/>
        <w:tabs>
          <w:tab w:leader="none" w:pos="30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publicly announce an intention to effect any transaction specified in clause (i) 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(c) dispositions to any trust for the direct or indirect benefit of the undersigned and/or the immediate family of the undersigned, provided that such trust agrees in writing with the Underwriters to be bound by the terms of this Lock-Up Letter Agreement or (d) any issuance of Common Stock pursuant to the Company’s dividend reinvestment plan.</w:t>
      </w:r>
    </w:p>
    <w:p>
      <w:pPr>
        <w:spacing w:after="0" w:line="11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180 days after the date of the final prospectus relating to the Offering, the undersigned will not, without the prior written consent of each of the Joint Book-Running Managers,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(i) the Company issues an earnings release or material news or a material event relating to the Company occurs during the last 17 days of the 180 day lock-up period, or (ii) prior to the expiration of the 180 day lock-up period, the Company announces that it will release earnings results during the 16-day period beginning on the last day of the 180 day lock-up period, the restrictions imposed by this Agreement shall continue to apply until the expiration of the 18-day period beginning on the issuance of the earnings release or the occurrence of the material news or material event.</w:t>
      </w:r>
    </w:p>
    <w:p>
      <w:pPr>
        <w:spacing w:after="0" w:line="11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If (i) the Company notifies you in writing that it does not intend to proceed with the Offering, (ii) the registration statement filed with the Securities and Exchange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its obligations 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987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360"/>
          </w:cols>
          <w:pgMar w:left="240" w:top="280" w:right="2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(n)(1)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6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consent to the use of our reports dated November 18, 2009 for the PennantPark Investment Corporation included herein and to the references to our firm under the headings “Selected Financial Data”, “Senior Securities”, and “Independent Registered Public Accounting Firm” in Post-Effective Amendment No. 4 to the Registration Statement on Form N-2.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526540" cy="3175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2010</w:t>
      </w:r>
    </w:p>
    <w:p>
      <w:pPr>
        <w:sectPr>
          <w:pgSz w:w="11900" w:h="16838" w:orient="portrait"/>
          <w:cols w:equalWidth="0" w:num="1">
            <w:col w:w="11420"/>
          </w:cols>
          <w:pgMar w:left="240" w:top="12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(n)(2)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Awareness Letter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 Securities Act Registration No. 333-150033 and Investment Company Act of 1940 File No. 814-00736.</w:t>
      </w:r>
    </w:p>
    <w:p>
      <w:pPr>
        <w:spacing w:after="0" w:line="25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With respect to the amendment to the subject registration statement, we acknowledge our awareness of the use therein of our report dated February 3, 2010 related to our review of interim financial information.</w:t>
      </w:r>
    </w:p>
    <w:p>
      <w:pPr>
        <w:spacing w:after="0" w:line="13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26540" cy="3175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2654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1)"/>
      <w:numFmt w:val="decimal"/>
      <w:start w:val="1"/>
    </w:lvl>
  </w:abstractNum>
  <w:abstractNum w:abstractNumId="3">
    <w:nsid w:val="42963E5A"/>
    <w:multiLevelType w:val="hybridMultilevel"/>
    <w:lvl w:ilvl="0">
      <w:lvlJc w:val="left"/>
      <w:lvlText w:val="(%1)"/>
      <w:numFmt w:val="decimal"/>
      <w:start w:val="3"/>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1)"/>
      <w:numFmt w:val="decimal"/>
      <w:start w:val="1"/>
    </w:lvl>
  </w:abstractNum>
  <w:abstractNum w:abstractNumId="6">
    <w:nsid w:val="1A32234B"/>
    <w:multiLevelType w:val="hybridMultilevel"/>
    <w:lvl w:ilvl="0">
      <w:lvlJc w:val="left"/>
      <w:lvlText w:val="(%1)"/>
      <w:numFmt w:val="decimal"/>
      <w:start w:val="7"/>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1)"/>
      <w:numFmt w:val="decimal"/>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1)"/>
      <w:numFmt w:val="decimal"/>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1)"/>
      <w:numFmt w:val="decimal"/>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1)"/>
      <w:numFmt w:val="decimal"/>
      <w:start w:val="1"/>
    </w:lvl>
  </w:abstractNum>
  <w:abstractNum w:abstractNumId="21">
    <w:nsid w:val="885E1B"/>
    <w:multiLevelType w:val="hybridMultilevel"/>
    <w:lvl w:ilvl="0">
      <w:lvlJc w:val="left"/>
      <w:lvlText w:val="%1)"/>
      <w:numFmt w:val="decimal"/>
      <w:start w:val="1"/>
    </w:lvl>
  </w:abstractNum>
  <w:abstractNum w:abstractNumId="22">
    <w:nsid w:val="76272110"/>
    <w:multiLevelType w:val="hybridMultilevel"/>
    <w:lvl w:ilvl="0">
      <w:lvlJc w:val="left"/>
      <w:lvlText w:val="(%1)"/>
      <w:numFmt w:val="decimal"/>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1)"/>
      <w:numFmt w:val="decimal"/>
      <w:start w:val="1"/>
    </w:lvl>
  </w:abstractNum>
  <w:abstractNum w:abstractNumId="25">
    <w:nsid w:val="14E17E33"/>
    <w:multiLevelType w:val="hybridMultilevel"/>
    <w:lvl w:ilvl="0">
      <w:lvlJc w:val="left"/>
      <w:lvlText w:val="(%1)"/>
      <w:numFmt w:val="decimal"/>
      <w:start w:val="3"/>
    </w:lvl>
  </w:abstractNum>
  <w:abstractNum w:abstractNumId="26">
    <w:nsid w:val="3222E7CD"/>
    <w:multiLevelType w:val="hybridMultilevel"/>
    <w:lvl w:ilvl="0">
      <w:lvlJc w:val="left"/>
      <w:lvlText w:val="(%1)"/>
      <w:numFmt w:val="decimal"/>
      <w:start w:val="1"/>
    </w:lvl>
  </w:abstractNum>
  <w:abstractNum w:abstractNumId="27">
    <w:nsid w:val="74DE0EE3"/>
    <w:multiLevelType w:val="hybridMultilevel"/>
    <w:lvl w:ilvl="0">
      <w:lvlJc w:val="left"/>
      <w:lvlText w:val="(%1)"/>
      <w:numFmt w:val="decimal"/>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1)"/>
      <w:numFmt w:val="decimal"/>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1)"/>
      <w:numFmt w:val="decimal"/>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1)"/>
      <w:numFmt w:val="decimal"/>
      <w:start w:val="1"/>
    </w:lvl>
  </w:abstractNum>
  <w:abstractNum w:abstractNumId="41">
    <w:nsid w:val="5FB8370B"/>
    <w:multiLevelType w:val="hybridMultilevel"/>
    <w:lvl w:ilvl="0">
      <w:lvlJc w:val="left"/>
      <w:lvlText w:val="(%1)"/>
      <w:numFmt w:val="decimal"/>
      <w:start w:val="1"/>
    </w:lvl>
  </w:abstractNum>
  <w:abstractNum w:abstractNumId="42">
    <w:nsid w:val="50801EE1"/>
    <w:multiLevelType w:val="hybridMultilevel"/>
    <w:lvl w:ilvl="0">
      <w:lvlJc w:val="left"/>
      <w:lvlText w:val="(%1)"/>
      <w:numFmt w:val="decimal"/>
      <w:start w:val="1"/>
    </w:lvl>
  </w:abstractNum>
  <w:abstractNum w:abstractNumId="43">
    <w:nsid w:val="488AC1A"/>
    <w:multiLevelType w:val="hybridMultilevel"/>
    <w:lvl w:ilvl="0">
      <w:lvlJc w:val="left"/>
      <w:lvlText w:val="(%1)"/>
      <w:numFmt w:val="decimal"/>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1)"/>
      <w:numFmt w:val="decimal"/>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1)"/>
      <w:numFmt w:val="decimal"/>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lvl w:ilvl="1">
      <w:lvlJc w:val="left"/>
      <w:lvlText w:val="="/>
      <w:numFmt w:val="bullet"/>
      <w:start w:val="1"/>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1)"/>
      <w:numFmt w:val="decimal"/>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1)"/>
      <w:numFmt w:val="decimal"/>
      <w:start w:val="1"/>
    </w:lvl>
    <w:lvl w:ilvl="1">
      <w:lvlJc w:val="left"/>
      <w:lvlText w:val="(%2)"/>
      <w:numFmt w:val="lowerLetter"/>
      <w:start w:val="1"/>
    </w:lvl>
  </w:abstractNum>
  <w:abstractNum w:abstractNumId="78">
    <w:nsid w:val="4BD8591A"/>
    <w:multiLevelType w:val="hybridMultilevel"/>
    <w:lvl w:ilvl="0">
      <w:lvlJc w:val="left"/>
      <w:lvlText w:val="(%1)"/>
      <w:numFmt w:val="decimal"/>
      <w:start w:val="4"/>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abstractNum>
  <w:abstractNum w:abstractNumId="81">
    <w:nsid w:val="2B0D8DBE"/>
    <w:multiLevelType w:val="hybridMultilevel"/>
    <w:lvl w:ilvl="0">
      <w:lvlJc w:val="left"/>
      <w:lvlText w:val="•"/>
      <w:numFmt w:val="bullet"/>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1)"/>
      <w:numFmt w:val="decimal"/>
      <w:start w:val="1"/>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1)"/>
      <w:numFmt w:val="lowerRoman"/>
      <w:start w:val="1"/>
    </w:lvl>
  </w:abstractNum>
  <w:abstractNum w:abstractNumId="86">
    <w:nsid w:val="4C9B0904"/>
    <w:multiLevelType w:val="hybridMultilevel"/>
    <w:lvl w:ilvl="0">
      <w:lvlJc w:val="left"/>
      <w:lvlText w:val="(%1)"/>
      <w:numFmt w:val="decimal"/>
      <w:start w:val="1"/>
    </w:lvl>
  </w:abstractNum>
  <w:abstractNum w:abstractNumId="87">
    <w:nsid w:val="6AA7B75C"/>
    <w:multiLevelType w:val="hybridMultilevel"/>
    <w:lvl w:ilvl="0">
      <w:lvlJc w:val="left"/>
      <w:lvlText w:val="(%1)"/>
      <w:numFmt w:val="decimal"/>
      <w:start w:val="1"/>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1)"/>
      <w:numFmt w:val="decimal"/>
      <w:start w:val="1"/>
    </w:lvl>
  </w:abstractNum>
  <w:abstractNum w:abstractNumId="93">
    <w:nsid w:val="5B25ACE2"/>
    <w:multiLevelType w:val="hybridMultilevel"/>
    <w:lvl w:ilvl="0">
      <w:lvlJc w:val="left"/>
      <w:lvlText w:val="(%1)"/>
      <w:numFmt w:val="decimal"/>
      <w:start w:val="3"/>
    </w:lvl>
  </w:abstractNum>
  <w:abstractNum w:abstractNumId="94">
    <w:nsid w:val="175DFCF0"/>
    <w:multiLevelType w:val="hybridMultilevel"/>
    <w:lvl w:ilvl="0">
      <w:lvlJc w:val="left"/>
      <w:lvlText w:val="(%1)"/>
      <w:numFmt w:val="decimal"/>
      <w:start w:val="1"/>
    </w:lvl>
  </w:abstractNum>
  <w:abstractNum w:abstractNumId="95">
    <w:nsid w:val="4F97E3E4"/>
    <w:multiLevelType w:val="hybridMultilevel"/>
    <w:lvl w:ilvl="0">
      <w:lvlJc w:val="left"/>
      <w:lvlText w:val="(%1)"/>
      <w:numFmt w:val="decimal"/>
      <w:start w:val="1"/>
    </w:lvl>
  </w:abstractNum>
  <w:abstractNum w:abstractNumId="96">
    <w:nsid w:val="53B0A9E"/>
    <w:multiLevelType w:val="hybridMultilevel"/>
    <w:lvl w:ilvl="0">
      <w:lvlJc w:val="left"/>
      <w:lvlText w:val="(%1)"/>
      <w:numFmt w:val="lowerLetter"/>
      <w:start w:val="1"/>
    </w:lvl>
  </w:abstractNum>
  <w:abstractNum w:abstractNumId="97">
    <w:nsid w:val="34FD6B4F"/>
    <w:multiLevelType w:val="hybridMultilevel"/>
    <w:lvl w:ilvl="0">
      <w:lvlJc w:val="left"/>
      <w:lvlText w:val="(%1)"/>
      <w:numFmt w:val="lowerRoman"/>
      <w:start w:val="1"/>
    </w:lvl>
  </w:abstractNum>
  <w:abstractNum w:abstractNumId="98">
    <w:nsid w:val="5915FF32"/>
    <w:multiLevelType w:val="hybridMultilevel"/>
    <w:lvl w:ilvl="0">
      <w:lvlJc w:val="left"/>
      <w:lvlText w:val="(%1)"/>
      <w:numFmt w:val="lowerLetter"/>
      <w:start w:val="2"/>
    </w:lvl>
  </w:abstractNum>
  <w:abstractNum w:abstractNumId="99">
    <w:nsid w:val="56438D15"/>
    <w:multiLevelType w:val="hybridMultilevel"/>
    <w:lvl w:ilvl="0">
      <w:lvlJc w:val="left"/>
      <w:lvlText w:val="(%1)"/>
      <w:numFmt w:val="lowerLetter"/>
      <w:start w:val="3"/>
    </w:lvl>
  </w:abstractNum>
  <w:abstractNum w:abstractNumId="100">
    <w:nsid w:val="519E3149"/>
    <w:multiLevelType w:val="hybridMultilevel"/>
    <w:lvl w:ilvl="0">
      <w:lvlJc w:val="left"/>
      <w:lvlText w:val="(%1)"/>
      <w:numFmt w:val="lowerLetter"/>
      <w:start w:val="4"/>
    </w:lvl>
  </w:abstractNum>
  <w:abstractNum w:abstractNumId="101">
    <w:nsid w:val="2C6E4AFD"/>
    <w:multiLevelType w:val="hybridMultilevel"/>
    <w:lvl w:ilvl="0">
      <w:lvlJc w:val="left"/>
      <w:lvlText w:val="(%1)"/>
      <w:numFmt w:val="lowerLetter"/>
      <w:start w:val="5"/>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1)"/>
      <w:numFmt w:val="decimal"/>
      <w:start w:val="1"/>
    </w:lvl>
  </w:abstractNum>
  <w:abstractNum w:abstractNumId="104">
    <w:nsid w:val="5046B5A9"/>
    <w:multiLevelType w:val="hybridMultilevel"/>
    <w:lvl w:ilvl="0">
      <w:lvlJc w:val="left"/>
      <w:lvlText w:val="(%1)"/>
      <w:numFmt w:val="decimal"/>
      <w:start w:val="3"/>
    </w:lvl>
  </w:abstractNum>
  <w:abstractNum w:abstractNumId="105">
    <w:nsid w:val="5D888A08"/>
    <w:multiLevelType w:val="hybridMultilevel"/>
    <w:lvl w:ilvl="0">
      <w:lvlJc w:val="left"/>
      <w:lvlText w:val="(%1)"/>
      <w:numFmt w:val="lowerLetter"/>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1)"/>
      <w:numFmt w:val="decimal"/>
      <w:start w:val="1"/>
    </w:lvl>
  </w:abstractNum>
  <w:abstractNum w:abstractNumId="108">
    <w:nsid w:val="19E21BB2"/>
    <w:multiLevelType w:val="hybridMultilevel"/>
    <w:lvl w:ilvl="0">
      <w:lvlJc w:val="left"/>
      <w:lvlText w:val="(%1)"/>
      <w:numFmt w:val="decimal"/>
      <w:start w:val="2"/>
    </w:lvl>
  </w:abstractNum>
  <w:abstractNum w:abstractNumId="109">
    <w:nsid w:val="75E0858A"/>
    <w:multiLevelType w:val="hybridMultilevel"/>
    <w:lvl w:ilvl="0">
      <w:lvlJc w:val="left"/>
      <w:lvlText w:val="(%1)"/>
      <w:numFmt w:val="decimal"/>
      <w:start w:val="1"/>
    </w:lvl>
    <w:lvl w:ilvl="1">
      <w:lvlJc w:val="left"/>
      <w:lvlText w:val="(%2)"/>
      <w:numFmt w:val="lowerRoman"/>
      <w:start w:val="1"/>
    </w:lvl>
  </w:abstractNum>
  <w:abstractNum w:abstractNumId="110">
    <w:nsid w:val="57A61A29"/>
    <w:multiLevelType w:val="hybridMultilevel"/>
    <w:lvl w:ilvl="0">
      <w:lvlJc w:val="left"/>
      <w:lvlText w:val="%1"/>
      <w:numFmt w:val="decimal"/>
      <w:start w:val="1"/>
    </w:lvl>
    <w:lvl w:ilvl="1">
      <w:lvlJc w:val="left"/>
      <w:lvlText w:val="(%2)"/>
      <w:numFmt w:val="lowerRoman"/>
      <w:start w:val="1"/>
    </w:lvl>
  </w:abstractNum>
  <w:abstractNum w:abstractNumId="111">
    <w:nsid w:val="5399C654"/>
    <w:multiLevelType w:val="hybridMultilevel"/>
    <w:lvl w:ilvl="0">
      <w:lvlJc w:val="left"/>
      <w:lvlText w:val="(%1)"/>
      <w:numFmt w:val="decimal"/>
      <w:start w:val="7"/>
    </w:lvl>
    <w:lvl w:ilvl="1">
      <w:lvlJc w:val="left"/>
      <w:lvlText w:val="%2"/>
      <w:numFmt w:val="lowerRoman"/>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1."/>
      <w:numFmt w:val="decimal"/>
      <w:start w:val="1"/>
    </w:lvl>
  </w:abstractNum>
  <w:abstractNum w:abstractNumId="114">
    <w:nsid w:val="B37E80A"/>
    <w:multiLevelType w:val="hybridMultilevel"/>
    <w:lvl w:ilvl="0">
      <w:lvlJc w:val="left"/>
      <w:lvlText w:val="%1."/>
      <w:numFmt w:val="decimal"/>
      <w:start w:val="2"/>
    </w:lvl>
  </w:abstractNum>
  <w:abstractNum w:abstractNumId="115">
    <w:nsid w:val="2157F6BC"/>
    <w:multiLevelType w:val="hybridMultilevel"/>
    <w:lvl w:ilvl="0">
      <w:lvlJc w:val="left"/>
      <w:lvlText w:val="%1."/>
      <w:numFmt w:val="decimal"/>
      <w:start w:val="3"/>
    </w:lvl>
  </w:abstractNum>
  <w:abstractNum w:abstractNumId="116">
    <w:nsid w:val="704E1DD5"/>
    <w:multiLevelType w:val="hybridMultilevel"/>
    <w:lvl w:ilvl="0">
      <w:lvlJc w:val="left"/>
      <w:lvlText w:val="(%1)"/>
      <w:numFmt w:val="lowerLetter"/>
      <w:start w:val="1"/>
    </w:lvl>
  </w:abstractNum>
  <w:abstractNum w:abstractNumId="117">
    <w:nsid w:val="57D2F10E"/>
    <w:multiLevelType w:val="hybridMultilevel"/>
    <w:lvl w:ilvl="0">
      <w:lvlJc w:val="left"/>
      <w:lvlText w:val="(%1)"/>
      <w:numFmt w:val="lowerLetter"/>
      <w:start w:val="11"/>
    </w:lvl>
  </w:abstractNum>
  <w:abstractNum w:abstractNumId="118">
    <w:nsid w:val="BFFAE18"/>
    <w:multiLevelType w:val="hybridMultilevel"/>
    <w:lvl w:ilvl="0">
      <w:lvlJc w:val="left"/>
      <w:lvlText w:val="(%1)"/>
      <w:numFmt w:val="lowerLetter"/>
      <w:start w:val="18"/>
    </w:lvl>
  </w:abstractNum>
  <w:abstractNum w:abstractNumId="119">
    <w:nsid w:val="E3E47A8"/>
    <w:multiLevelType w:val="hybridMultilevel"/>
    <w:lvl w:ilvl="0">
      <w:lvlJc w:val="left"/>
      <w:lvlText w:val="(%1)"/>
      <w:numFmt w:val="lowerLetter"/>
      <w:start w:val="27"/>
    </w:lvl>
  </w:abstractNum>
  <w:abstractNum w:abstractNumId="120">
    <w:nsid w:val="2E48F044"/>
    <w:multiLevelType w:val="hybridMultilevel"/>
    <w:lvl w:ilvl="0">
      <w:lvlJc w:val="left"/>
      <w:lvlText w:val="(%1)"/>
      <w:numFmt w:val="lowerLetter"/>
      <w:start w:val="31"/>
    </w:lvl>
  </w:abstractNum>
  <w:abstractNum w:abstractNumId="121">
    <w:nsid w:val="49D0FEAC"/>
    <w:multiLevelType w:val="hybridMultilevel"/>
    <w:lvl w:ilvl="0">
      <w:lvlJc w:val="left"/>
      <w:lvlText w:val="%1."/>
      <w:numFmt w:val="decimal"/>
      <w:start w:val="4"/>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1"/>
      <w:numFmt w:val="lowerLetter"/>
      <w:start w:val="1"/>
    </w:lvl>
    <w:lvl w:ilvl="1">
      <w:lvlJc w:val="left"/>
      <w:lvlText w:val="(%2)"/>
      <w:numFmt w:val="lowerLetter"/>
      <w:start w:val="3"/>
    </w:lvl>
  </w:abstractNum>
  <w:abstractNum w:abstractNumId="124">
    <w:nsid w:val="24F6AB8E"/>
    <w:multiLevelType w:val="hybridMultilevel"/>
    <w:lvl w:ilvl="0">
      <w:lvlJc w:val="left"/>
      <w:lvlText w:val="(%1)"/>
      <w:numFmt w:val="lowerLetter"/>
      <w:start w:val="9"/>
    </w:lvl>
    <w:lvl w:ilvl="1">
      <w:lvlJc w:val="left"/>
      <w:lvlText w:val="(%2)"/>
      <w:numFmt w:val="lowerLetter"/>
      <w:start w:val="5"/>
    </w:lvl>
  </w:abstractNum>
  <w:abstractNum w:abstractNumId="125">
    <w:nsid w:val="634C574C"/>
    <w:multiLevelType w:val="hybridMultilevel"/>
    <w:lvl w:ilvl="0">
      <w:lvlJc w:val="left"/>
      <w:lvlText w:val="(%1)"/>
      <w:numFmt w:val="lowerLetter"/>
      <w:start w:val="13"/>
    </w:lvl>
  </w:abstractNum>
  <w:abstractNum w:abstractNumId="126">
    <w:nsid w:val="24E99DD7"/>
    <w:multiLevelType w:val="hybridMultilevel"/>
    <w:lvl w:ilvl="0">
      <w:lvlJc w:val="left"/>
      <w:lvlText w:val="%1."/>
      <w:numFmt w:val="decimal"/>
      <w:start w:val="5"/>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11"/>
    </w:lvl>
  </w:abstractNum>
  <w:abstractNum w:abstractNumId="129">
    <w:nsid w:val="7DFF9D09"/>
    <w:multiLevelType w:val="hybridMultilevel"/>
    <w:lvl w:ilvl="0">
      <w:lvlJc w:val="left"/>
      <w:lvlText w:val="%1."/>
      <w:numFmt w:val="decimal"/>
      <w:start w:val="6"/>
    </w:lvl>
  </w:abstractNum>
  <w:abstractNum w:abstractNumId="130">
    <w:nsid w:val="754342"/>
    <w:multiLevelType w:val="hybridMultilevel"/>
    <w:lvl w:ilvl="0">
      <w:lvlJc w:val="left"/>
      <w:lvlText w:val="(%1)"/>
      <w:numFmt w:val="lowerLetter"/>
      <w:start w:val="1"/>
    </w:lvl>
  </w:abstractNum>
  <w:abstractNum w:abstractNumId="131">
    <w:nsid w:val="69E7F3E5"/>
    <w:multiLevelType w:val="hybridMultilevel"/>
    <w:lvl w:ilvl="0">
      <w:lvlJc w:val="left"/>
      <w:lvlText w:val="(%1)"/>
      <w:numFmt w:val="decimal"/>
      <w:start w:val="2"/>
    </w:lvl>
  </w:abstractNum>
  <w:abstractNum w:abstractNumId="132">
    <w:nsid w:val="2A6DE806"/>
    <w:multiLevelType w:val="hybridMultilevel"/>
    <w:lvl w:ilvl="0">
      <w:lvlJc w:val="left"/>
      <w:lvlText w:val="%1"/>
      <w:numFmt w:val="decimal"/>
      <w:start w:val="1"/>
    </w:lvl>
    <w:lvl w:ilvl="1">
      <w:lvlJc w:val="left"/>
      <w:lvlText w:val="(%2)"/>
      <w:numFmt w:val="lowerLetter"/>
      <w:start w:val="3"/>
    </w:lvl>
  </w:abstractNum>
  <w:abstractNum w:abstractNumId="133">
    <w:nsid w:val="1816F8C4"/>
    <w:multiLevelType w:val="hybridMultilevel"/>
    <w:lvl w:ilvl="0">
      <w:lvlJc w:val="left"/>
      <w:lvlText w:val="%1."/>
      <w:numFmt w:val="decimal"/>
      <w:start w:val="7"/>
    </w:lvl>
    <w:lvl w:ilvl="1">
      <w:lvlJc w:val="left"/>
      <w:lvlText w:val="%2"/>
      <w:numFmt w:val="lowerLetter"/>
      <w:start w:val="1"/>
    </w:lvl>
  </w:abstractNum>
  <w:abstractNum w:abstractNumId="134">
    <w:nsid w:val="37DF2233"/>
    <w:multiLevelType w:val="hybridMultilevel"/>
    <w:lvl w:ilvl="0">
      <w:lvlJc w:val="left"/>
      <w:lvlText w:val="%1."/>
      <w:numFmt w:val="decimal"/>
      <w:start w:val="8"/>
    </w:lvl>
  </w:abstractNum>
  <w:abstractNum w:abstractNumId="135">
    <w:nsid w:val="7AB49DAF"/>
    <w:multiLevelType w:val="hybridMultilevel"/>
    <w:lvl w:ilvl="0">
      <w:lvlJc w:val="left"/>
      <w:lvlText w:val="%1"/>
      <w:numFmt w:val="lowerLetter"/>
      <w:start w:val="1"/>
    </w:lvl>
    <w:lvl w:ilvl="1">
      <w:lvlJc w:val="left"/>
      <w:lvlText w:val="%2"/>
      <w:numFmt w:val="decimal"/>
      <w:start w:val="1"/>
    </w:lvl>
    <w:lvl w:ilvl="2">
      <w:lvlJc w:val="left"/>
      <w:lvlText w:val="%3."/>
      <w:numFmt w:val="decimal"/>
      <w:start w:val="9"/>
    </w:lvl>
  </w:abstractNum>
  <w:abstractNum w:abstractNumId="136">
    <w:nsid w:val="759F82CD"/>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137">
    <w:nsid w:val="61E74EA3"/>
    <w:multiLevelType w:val="hybridMultilevel"/>
    <w:lvl w:ilvl="0">
      <w:lvlJc w:val="left"/>
      <w:lvlText w:val="(%1)"/>
      <w:numFmt w:val="lowerLetter"/>
      <w:start w:val="25"/>
    </w:lvl>
    <w:lvl w:ilvl="1">
      <w:lvlJc w:val="left"/>
      <w:lvlText w:val="%2"/>
      <w:numFmt w:val="decimal"/>
      <w:start w:val="1"/>
    </w:lvl>
    <w:lvl w:ilvl="2">
      <w:lvlJc w:val="left"/>
      <w:lvlText w:val="%3"/>
      <w:numFmt w:val="decimal"/>
      <w:start w:val="1"/>
    </w:lvl>
  </w:abstractNum>
  <w:abstractNum w:abstractNumId="138">
    <w:nsid w:val="597B4D84"/>
    <w:multiLevelType w:val="hybridMultilevel"/>
    <w:lvl w:ilvl="0">
      <w:lvlJc w:val="left"/>
      <w:lvlText w:val="(%1)"/>
      <w:numFmt w:val="decimal"/>
      <w:start w:val="3"/>
    </w:lvl>
  </w:abstractNum>
  <w:abstractNum w:abstractNumId="139">
    <w:nsid w:val="F819E7F"/>
    <w:multiLevelType w:val="hybridMultilevel"/>
    <w:lvl w:ilvl="0">
      <w:lvlJc w:val="left"/>
      <w:lvlText w:val="(%1)"/>
      <w:numFmt w:val="decimal"/>
      <w:start w:val="4"/>
    </w:lvl>
  </w:abstractNum>
  <w:abstractNum w:abstractNumId="140">
    <w:nsid w:val="57C7D42D"/>
    <w:multiLevelType w:val="hybridMultilevel"/>
    <w:lvl w:ilvl="0">
      <w:lvlJc w:val="left"/>
      <w:lvlText w:val="(%1)"/>
      <w:numFmt w:val="lowerLetter"/>
      <w:start w:val="2"/>
    </w:lvl>
  </w:abstractNum>
  <w:abstractNum w:abstractNumId="141">
    <w:nsid w:val="312167AD"/>
    <w:multiLevelType w:val="hybridMultilevel"/>
    <w:lvl w:ilvl="0">
      <w:lvlJc w:val="left"/>
      <w:lvlText w:val="(%1)"/>
      <w:numFmt w:val="lowerLetter"/>
      <w:start w:val="3"/>
    </w:lvl>
  </w:abstractNum>
  <w:abstractNum w:abstractNumId="142">
    <w:nsid w:val="631B64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43">
    <w:nsid w:val="78B5E776"/>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44">
    <w:nsid w:val="75486E4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45">
    <w:nsid w:val="6E534CDE"/>
    <w:multiLevelType w:val="hybridMultilevel"/>
    <w:lvl w:ilvl="0">
      <w:lvlJc w:val="left"/>
      <w:lvlText w:val="%1."/>
      <w:numFmt w:val="decimal"/>
      <w:start w:val="12"/>
    </w:lvl>
  </w:abstractNum>
  <w:abstractNum w:abstractNumId="146">
    <w:nsid w:val="1A0DDE32"/>
    <w:multiLevelType w:val="hybridMultilevel"/>
    <w:lvl w:ilvl="0">
      <w:lvlJc w:val="left"/>
      <w:lvlText w:val="%1."/>
      <w:numFmt w:val="decimal"/>
      <w:start w:val="13"/>
    </w:lvl>
  </w:abstractNum>
  <w:abstractNum w:abstractNumId="147">
    <w:nsid w:val="65968C1C"/>
    <w:multiLevelType w:val="hybridMultilevel"/>
    <w:lvl w:ilvl="0">
      <w:lvlJc w:val="left"/>
      <w:lvlText w:val="i"/>
      <w:numFmt w:val="bullet"/>
      <w:start w:val="1"/>
    </w:lvl>
    <w:lvl w:ilvl="1">
      <w:lvlJc w:val="left"/>
      <w:lvlText w:val="%2."/>
      <w:numFmt w:val="decimal"/>
      <w:start w:val="1"/>
    </w:lvl>
  </w:abstractNum>
  <w:abstractNum w:abstractNumId="148">
    <w:nsid w:val="46263DEC"/>
    <w:multiLevelType w:val="hybridMultilevel"/>
    <w:lvl w:ilvl="0">
      <w:lvlJc w:val="left"/>
      <w:lvlText w:val="%1."/>
      <w:numFmt w:val="decimal"/>
      <w:start w:val="4"/>
    </w:lvl>
    <w:lvl w:ilvl="1">
      <w:lvlJc w:val="left"/>
      <w:lvlText w:val="(%2)"/>
      <w:numFmt w:val="lowerLetter"/>
      <w:start w:val="1"/>
    </w:lvl>
  </w:abstractNum>
  <w:abstractNum w:abstractNumId="149">
    <w:nsid w:val="260D8C4A"/>
    <w:multiLevelType w:val="hybridMultilevel"/>
    <w:lvl w:ilvl="0">
      <w:lvlJc w:val="left"/>
      <w:lvlText w:val=")"/>
      <w:numFmt w:val="bullet"/>
      <w:start w:val="1"/>
    </w:lvl>
  </w:abstractNum>
  <w:abstractNum w:abstractNumId="150">
    <w:nsid w:val="73D4D3C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2019-12-11T03:01:50Z</dcterms:created>
  <dcterms:modified xsi:type="dcterms:W3CDTF">2019-12-11T03:01:50Z</dcterms:modified>
</cp:coreProperties>
</file>