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jc w:val="right"/>
        <w:ind w:right="10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line="237" w:lineRule="auto"/>
        <w:rPr>
          <w:sz w:val="20"/>
          <w:szCs w:val="20"/>
          <w:color w:val="auto"/>
        </w:rPr>
      </w:pPr>
      <w:r>
        <w:rPr>
          <w:rFonts w:ascii="Times New Roman" w:cs="Times New Roman" w:eastAsia="Times New Roman" w:hAnsi="Times New Roman"/>
          <w:sz w:val="32"/>
          <w:szCs w:val="32"/>
          <w:b w:val="1"/>
          <w:bCs w:val="1"/>
          <w:color w:val="auto"/>
        </w:rPr>
        <w:t>Washington, D.C. 20549</w:t>
      </w:r>
    </w:p>
    <w:p>
      <w:pPr>
        <w:ind w:left="3840"/>
        <w:spacing w:after="0" w:line="238" w:lineRule="auto"/>
        <w:rPr>
          <w:sz w:val="20"/>
          <w:szCs w:val="20"/>
          <w:color w:val="auto"/>
        </w:rPr>
      </w:pPr>
      <w:r>
        <w:rPr>
          <w:rFonts w:ascii="Times New Roman" w:cs="Times New Roman" w:eastAsia="Times New Roman" w:hAnsi="Times New Roman"/>
          <w:sz w:val="32"/>
          <w:szCs w:val="32"/>
          <w:b w:val="1"/>
          <w:bCs w:val="1"/>
          <w:color w:val="auto"/>
        </w:rPr>
        <w:t>———————————</w:t>
      </w:r>
    </w:p>
    <w:p>
      <w:pPr>
        <w:ind w:left="4380"/>
        <w:spacing w:after="0" w:line="239" w:lineRule="auto"/>
        <w:rPr>
          <w:sz w:val="20"/>
          <w:szCs w:val="20"/>
          <w:color w:val="auto"/>
        </w:rPr>
      </w:pPr>
      <w:r>
        <w:rPr>
          <w:rFonts w:ascii="Times New Roman" w:cs="Times New Roman" w:eastAsia="Times New Roman" w:hAnsi="Times New Roman"/>
          <w:sz w:val="32"/>
          <w:szCs w:val="32"/>
          <w:b w:val="1"/>
          <w:bCs w:val="1"/>
          <w:color w:val="auto"/>
        </w:rPr>
        <w:t>SCHEDULE 14A</w:t>
      </w:r>
    </w:p>
    <w:p>
      <w:pPr>
        <w:jc w:val="center"/>
        <w:ind w:right="-1060"/>
        <w:spacing w:after="0" w:line="231"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58" w:lineRule="exact"/>
        <w:rPr>
          <w:sz w:val="24"/>
          <w:szCs w:val="24"/>
          <w:color w:val="auto"/>
        </w:rPr>
      </w:pPr>
    </w:p>
    <w:p>
      <w:pPr>
        <w:ind w:left="20"/>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7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8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14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121"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363220</wp:posOffset>
            </wp:positionV>
            <wp:extent cx="6489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2185670"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856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2023 Annual Meeting of Stockholders (the “Annual Meeting”) of PennantPark Investment Corporation, a Maryland corporation (“PNNT” or the “Company”), to be held on February 7, 2023 at 9:30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www.virtualshareholdermeeting.com/PNNT2023 and using the Control Number included in the Notice of Internet Availability of Proxy Materials.</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consider and vote upon: (1) the election of two directors to the board of directors of the Company and (2) the ratification of the selection of RSM US LLP to serve as the Company’s independent registered public accounting firm for the fiscal year ending September 30, 2023.</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11555"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www.virtualshareholdermeeting.com/PNNT2023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February 7, 2023</w:t>
      </w:r>
    </w:p>
    <w:p>
      <w:pPr>
        <w:spacing w:after="0" w:line="207"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7"/>
          <w:szCs w:val="17"/>
          <w:color w:val="auto"/>
        </w:rPr>
        <w:t>December 7, 2022</w:t>
      </w:r>
    </w:p>
    <w:p>
      <w:pPr>
        <w:spacing w:after="0" w:line="237"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Notice is hereby given to the owners of shares of common stock (the “Stockholders”) of PennantPark Investment Corporation, a Maryland corporation (“PNNT” or the “Company”), that:</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2023 Annual Meeting of Stockholders of the Company (the “Annual Meeting”) will be held virtually on February 7, 2023 at 9:30 a.m., Eastern Time, at www.virtualshareholdermeeting.com/PNNT2023 for the following purposes:</w:t>
      </w:r>
    </w:p>
    <w:p>
      <w:pPr>
        <w:spacing w:after="0" w:line="54" w:lineRule="exact"/>
        <w:rPr>
          <w:sz w:val="20"/>
          <w:szCs w:val="20"/>
          <w:color w:val="auto"/>
        </w:rPr>
      </w:pPr>
    </w:p>
    <w:p>
      <w:pPr>
        <w:ind w:left="1040" w:right="36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of Directors of the Company who will each serve for a term of three years until the 2026 annual meeting of Stockholders and until his successor is duly elected and qualifies;</w:t>
      </w:r>
    </w:p>
    <w:p>
      <w:pPr>
        <w:spacing w:after="0" w:line="53" w:lineRule="exact"/>
        <w:rPr>
          <w:rFonts w:ascii="Times New Roman" w:cs="Times New Roman" w:eastAsia="Times New Roman" w:hAnsi="Times New Roman"/>
          <w:sz w:val="18"/>
          <w:szCs w:val="18"/>
          <w:color w:val="auto"/>
        </w:rPr>
      </w:pPr>
    </w:p>
    <w:p>
      <w:pPr>
        <w:ind w:left="1040" w:right="70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to serve as the Company’s independent registered public accounting firm for the fiscal year ending September 30, 2023; and</w:t>
      </w:r>
    </w:p>
    <w:p>
      <w:pPr>
        <w:spacing w:after="0" w:line="53" w:lineRule="exact"/>
        <w:rPr>
          <w:rFonts w:ascii="Times New Roman" w:cs="Times New Roman" w:eastAsia="Times New Roman" w:hAnsi="Times New Roman"/>
          <w:sz w:val="18"/>
          <w:szCs w:val="18"/>
          <w:color w:val="auto"/>
        </w:rPr>
      </w:pPr>
    </w:p>
    <w:p>
      <w:pPr>
        <w:ind w:left="1040" w:right="60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Annual Meeting will only be accessible virtually via live webcast over the Internet at www.virtualshareholdermeeting.com/PNNT2023.</w:t>
      </w:r>
    </w:p>
    <w:p>
      <w:pPr>
        <w:spacing w:after="0" w:line="117"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if you were a stockholder of record of the Company at the close of business on November 30, 2022.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71" w:lineRule="exact"/>
        <w:rPr>
          <w:sz w:val="20"/>
          <w:szCs w:val="20"/>
          <w:color w:val="auto"/>
        </w:rPr>
      </w:pPr>
    </w:p>
    <w:p>
      <w:pPr>
        <w:ind w:right="128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INCLUDING EACH OF THE INDEPENDENT DIRECTORS, UNANIMOUSLY RECOMMENDS THAT YOU VOTE “FOR” EACH OF THE PROPOSALS.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96925"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6925" cy="2489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586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86740"/>
                    </a:xfrm>
                    <a:prstGeom prst="rect">
                      <a:avLst/>
                    </a:prstGeom>
                    <a:noFill/>
                  </pic:spPr>
                </pic:pic>
              </a:graphicData>
            </a:graphic>
          </wp:anchor>
        </w:drawing>
        <w:t>This is an important meeting. To ensure proper representation at the Annual Meeting, please follow the instructions on the Notice of Internet Availability of Proxy Materials to authorize your proxy via the Internet or 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610870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360" w:right="479" w:bottom="1440" w:gutter="0" w:footer="0" w:header="0"/>
        </w:sectPr>
      </w:pPr>
    </w:p>
    <w:bookmarkStart w:id="4" w:name="page5"/>
    <w:bookmarkEnd w:id="4"/>
    <w:p>
      <w:pPr>
        <w:ind w:left="36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Miami, Florida 33139</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786) 297-9500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2023 Virtual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www.virtualshareholdermeeting.com/PNNT2023</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February 7, 2023</w:t>
      </w:r>
    </w:p>
    <w:p>
      <w:pPr>
        <w:spacing w:after="0" w:line="20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w:t>
      </w:r>
      <w:r>
        <w:rPr>
          <w:rFonts w:ascii="Times New Roman" w:cs="Times New Roman" w:eastAsia="Times New Roman" w:hAnsi="Times New Roman"/>
          <w:sz w:val="16"/>
          <w:szCs w:val="16"/>
          <w:color w:val="auto"/>
        </w:rPr>
        <w:t>786-297-9500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PennantPark Investment Corporation, a Maryland corporation (“PNNT,” the “Company,” “we,” “us” or “our”), for use at the Company’s 2023 Virtual Annual Meeting of Stockholders (the “Annual Meeting”) to be held on Tuesday February 7, 2023, at 9:30 a.m., Eastern Time, at www.virtualshareholdermeeting.com/PNNT2023 and at any postponements or adjournments thereof. To participate in the Annual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2022 (the “Annual Report”) are being provided to the stockholders thereof (the “Stockholders”) via the Internet on or about December 21, 2022. In addition, a Notice of Annual Meeting and a Notice of Internet Availability of Proxy Materials are being sent to Stockholders of record of the Company as of the close of business on November 30, 2022 (the “Record Date”).</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(virtually) at the Annual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Annual Meeting, your shares will be voted at the proxyholder’s discretion unless you specifically state otherwise on your proxy.</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You may revoke a proxy at any time before it is exercised by notifying the Company’s Secretary in writing, by submitting a properly executed, later-dated proxy or by voting in person (virtually) at the virtual Annual Meeting and voting online. Participating in the virtual Annual Meeting does not revoke your proxy unless you also vote online at the Annual Meeting. Any Stockholder entitled to vote at the Annual Meeting may attend the Annual Meeting and vote in person (virtually), whether or not he or she has previously voted his or her shares via proxy or wishes to change a previous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will be eligible to authorize your proxy electronically via the Internet, by telephone or by mail.</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you want to submit a question during the Annual Meeting, log into the live webcast at www.virtualshareholdermeeting.com/PNNT2023, type your question into the “Ask a Question” field, and click “Submit.”</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Only questions submitted via the live webcast that are pertinent to Annual Meeting matters will be answered during the Annual Meeting, subject to time constraints. Please note that no questions may be submitted via the listen-only conference call. We will attempt to answer all questions or comments related to the proxy or to our business. Questions or comments that are not related to the proposals under discussion, including personal concerns not shared by Stockholders generally, or questions or comments that use blatantly offensive language may be ruled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out of order. Additionally, the Company may not be able to answer multiple questions submitted by the same Stockholder.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i w:val="1"/>
          <w:iCs w:val="1"/>
          <w:color w:val="auto"/>
        </w:rPr>
        <w:t>Purpose of Meeting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117" w:lineRule="exact"/>
        <w:rPr>
          <w:sz w:val="20"/>
          <w:szCs w:val="20"/>
          <w:color w:val="auto"/>
        </w:rPr>
      </w:pPr>
    </w:p>
    <w:p>
      <w:pPr>
        <w:ind w:left="1040" w:right="460" w:hanging="523"/>
        <w:spacing w:after="0" w:line="282" w:lineRule="auto"/>
        <w:tabs>
          <w:tab w:leader="none" w:pos="10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who will each serve for a term of three years until the 2026 annual meeting of Stockholders and until his successor is duly elected and qualifies (“Proposal 1”);</w:t>
      </w:r>
    </w:p>
    <w:p>
      <w:pPr>
        <w:spacing w:after="0" w:line="53" w:lineRule="exact"/>
        <w:rPr>
          <w:rFonts w:ascii="Times New Roman" w:cs="Times New Roman" w:eastAsia="Times New Roman" w:hAnsi="Times New Roman"/>
          <w:sz w:val="18"/>
          <w:szCs w:val="18"/>
          <w:color w:val="auto"/>
        </w:rPr>
      </w:pPr>
    </w:p>
    <w:p>
      <w:pPr>
        <w:ind w:left="1040" w:right="480" w:hanging="52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(“RSM”) to serve as the Company’s independent registered public accounting firm for the fiscal year ending September 30, 2023 (“Proposal 2”); and</w:t>
      </w:r>
    </w:p>
    <w:p>
      <w:pPr>
        <w:spacing w:after="0" w:line="53" w:lineRule="exact"/>
        <w:rPr>
          <w:rFonts w:ascii="Times New Roman" w:cs="Times New Roman" w:eastAsia="Times New Roman" w:hAnsi="Times New Roman"/>
          <w:sz w:val="18"/>
          <w:szCs w:val="18"/>
          <w:color w:val="auto"/>
        </w:rPr>
      </w:pPr>
    </w:p>
    <w:p>
      <w:pPr>
        <w:ind w:left="1040" w:right="600" w:hanging="52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You may vote your shares at the Annual Meeting only if you were a Stockholder of record of the Company at the close of business on the Record Date. There were 65,224,500 shares of the Company’s common stock, par value $0.001 per share (the “Common Stock”), outstanding on the Record Date. Stockholders are entitled to one vote for each share of Common Stock held.</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Quorum Required</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Company to conduct business at the Annual Meeting, a quorum of Stockholders for the Company must be present (virtually) at the Annual Meeting. The presence at the Annual Meeting, in person (virtually) or by proxy, of the holders of a majority of the shares of Common Stock outstanding on the Record Date will constitute a quorum for the conduct of business at the Annual Meeting. Those Stockholders who have not otherwise submitted a proxy accessing the Annual Meeting via the listen-only conference call will not be deemed to be “present” for purposes of determining a quorum for the Annual Meeting. Abstentions and Broker Non-Votes (as defined below) will be treated as shares present at the Annual Meeting for quorum purposes. If there are not enough votes for a quorum for the Annual Meeting, the chairman of the Annual Meeting will adjourn the Annual Meeting to permit the further solicitation of proxies.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an election where the number of nominees is equal to the number of directors to be elected, as is the case at the Annual Meeting, the election of a director to the Board requires the affirmative vote of a majority of the total votes cast for and against such nominee at the Annual Meeting in person (virtually) or by proxy. If you vote “Against” with respect to a nominee, your shares will be voted against the person indicated. Abstentions and Broker Non-Votes will have no effect on the result of the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Stockholders of the Company may not cumulate their votes.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Common Stock in street name, your Broker will not be permitted to exercise voting discretion with respect to Proposal 1.</w:t>
      </w:r>
    </w:p>
    <w:p>
      <w:pPr>
        <w:spacing w:after="0" w:line="176"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Annual Meeting.</w:t>
      </w:r>
    </w:p>
    <w:p>
      <w:pPr>
        <w:spacing w:after="0" w:line="17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shares of Common Stock and you do not vote or provide your Broker with proxy instructions, your Broker will be able to vote your shares for you on Proposal 2 in its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to approve a proposal at the Annual Meeting, the chairman of the Annual Meeting may adjourn the Annual Meeting to permit further solicitation of proxies.</w:t>
      </w:r>
    </w:p>
    <w:p>
      <w:pPr>
        <w:spacing w:after="0" w:line="16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any of the proposals in this Proxy Statement prior to any such adjournment if there are sufficient votes for approval of such proposal.</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This Solicitation</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We will bear the expense of the solicitation of proxies for the Annual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 xml:space="preserve">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1691 Michigan Avenue, Miami, Florida 33139 or </w:t>
      </w:r>
      <w:r>
        <w:rPr>
          <w:rFonts w:ascii="Times New Roman" w:cs="Times New Roman" w:eastAsia="Times New Roman" w:hAnsi="Times New Roman"/>
          <w:sz w:val="16"/>
          <w:szCs w:val="16"/>
          <w:color w:val="auto"/>
        </w:rPr>
        <w:t>786-297-9500</w:t>
      </w:r>
      <w:r>
        <w:rPr>
          <w:rFonts w:ascii="Times New Roman" w:cs="Times New Roman" w:eastAsia="Times New Roman" w:hAnsi="Times New Roman"/>
          <w:sz w:val="18"/>
          <w:szCs w:val="18"/>
          <w:color w:val="auto"/>
        </w:rPr>
        <w:t>.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88"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 w:name="page8"/>
    <w:bookmarkEnd w:id="7"/>
    <w:p>
      <w:pPr>
        <w:ind w:right="120"/>
        <w:spacing w:after="0" w:line="256" w:lineRule="auto"/>
        <w:rPr>
          <w:sz w:val="20"/>
          <w:szCs w:val="20"/>
          <w:color w:val="auto"/>
        </w:rPr>
      </w:pPr>
      <w:r>
        <w:rPr>
          <w:rFonts w:ascii="Times New Roman" w:cs="Times New Roman" w:eastAsia="Times New Roman" w:hAnsi="Times New Roman"/>
          <w:sz w:val="18"/>
          <w:szCs w:val="18"/>
          <w:color w:val="auto"/>
        </w:rPr>
        <w:t>Administration, LLC, our administrator (the “Administrator”), and/or by a retained solicitor. No additional 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1691 Michigan Avenue, Miami, Florida 33139.</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a Stockholder wishes to participate in person (virtually) at the Annual Meeting, but does not wish to give a proxy by Internet, the Stockholder may attend the Annual Meeting in person (virtually) or request and submit a proxy card by following the instructions on the Notice of Internet Availability of Proxy Materials.</w:t>
      </w:r>
    </w:p>
    <w:p>
      <w:pPr>
        <w:spacing w:after="0" w:line="17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Annual Meeting, (ii) attending the Annual Meeting and voting in person (virtually) or (iii) delivering a notice, provided in writing and signed by the Stockholder, delivered to the Company’s Secretary on any business day before the date of the Annual Meeting.</w:t>
      </w:r>
    </w:p>
    <w:p>
      <w:pPr>
        <w:spacing w:after="0" w:line="17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the Record Date, to our knowledge, no person would be deemed to “control” (as such term is defined in the Investment Company Act of 1940, as amended (the “1940 Act”)) the Company.</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Board consists of two interested directors and four independent directors. An interested director is an “interested person” of the Company, as defined in the 1940 Act, and independent directors are all other directors (the “Independent Directors”).</w:t>
      </w:r>
    </w:p>
    <w:p>
      <w:pPr>
        <w:spacing w:after="0" w:line="16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certain ownership information with respect to the Common Stock for those persons who directly or indirectly own, control or hold with the power to vote, five percent or more of the Company’s outstanding Common Stock and all officers and directors of the Company, as a group.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3940" w:type="dxa"/>
            <w:vAlign w:val="bottom"/>
          </w:tcPr>
          <w:p>
            <w:pPr>
              <w:spacing w:after="0"/>
              <w:rPr>
                <w:sz w:val="15"/>
                <w:szCs w:val="15"/>
                <w:color w:val="auto"/>
              </w:rPr>
            </w:pP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Type of ownership</w:t>
            </w:r>
            <w:r>
              <w:rPr>
                <w:rFonts w:ascii="Times New Roman" w:cs="Times New Roman" w:eastAsia="Times New Roman" w:hAnsi="Times New Roman"/>
                <w:sz w:val="19"/>
                <w:szCs w:val="19"/>
                <w:b w:val="1"/>
                <w:bCs w:val="1"/>
                <w:color w:val="auto"/>
                <w:w w:val="99"/>
                <w:vertAlign w:val="superscript"/>
              </w:rPr>
              <w:t>(3)</w:t>
            </w: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00" w:type="dxa"/>
            <w:vAlign w:val="bottom"/>
            <w:tcBorders>
              <w:bottom w:val="single" w:sz="8" w:color="auto"/>
            </w:tcBorders>
            <w:vMerge w:val="continue"/>
          </w:tcPr>
          <w:p>
            <w:pPr>
              <w:spacing w:after="0"/>
              <w:rPr>
                <w:sz w:val="9"/>
                <w:szCs w:val="9"/>
                <w:color w:val="auto"/>
              </w:rPr>
            </w:pPr>
          </w:p>
        </w:tc>
        <w:tc>
          <w:tcPr>
            <w:tcW w:w="3940" w:type="dxa"/>
            <w:vAlign w:val="bottom"/>
            <w:vMerge w:val="restart"/>
          </w:tcPr>
          <w:p>
            <w:pPr>
              <w:spacing w:after="0"/>
              <w:rPr>
                <w:sz w:val="9"/>
                <w:szCs w:val="9"/>
                <w:color w:val="auto"/>
              </w:rPr>
            </w:pPr>
          </w:p>
        </w:tc>
        <w:tc>
          <w:tcPr>
            <w:tcW w:w="2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940" w:type="dxa"/>
            <w:vAlign w:val="bottom"/>
            <w:vMerge w:val="continue"/>
          </w:tcPr>
          <w:p>
            <w:pPr>
              <w:spacing w:after="0"/>
              <w:rPr>
                <w:sz w:val="4"/>
                <w:szCs w:val="4"/>
                <w:color w:val="auto"/>
              </w:rPr>
            </w:pPr>
          </w:p>
        </w:tc>
        <w:tc>
          <w:tcPr>
            <w:tcW w:w="2660" w:type="dxa"/>
            <w:vAlign w:val="bottom"/>
            <w:tcBorders>
              <w:bottom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6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Adam K. Bernstein</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31,166</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51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Marshall Brozost</w:t>
            </w: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21,678</w:t>
            </w:r>
          </w:p>
        </w:tc>
        <w:tc>
          <w:tcPr>
            <w:tcW w:w="2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Jeffrey Flug</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299,560</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51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Samuel L. Katz</w:t>
            </w: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219,291</w:t>
            </w:r>
          </w:p>
        </w:tc>
        <w:tc>
          <w:tcPr>
            <w:tcW w:w="2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180" w:type="dxa"/>
            <w:vAlign w:val="bottom"/>
            <w:gridSpan w:val="3"/>
          </w:tcPr>
          <w:p>
            <w:pPr>
              <w:ind w:left="180"/>
              <w:spacing w:after="0" w:line="267"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1,131,833</w:t>
            </w: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207,404</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6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Richard T. Allorto, Jr.</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 as a group (7 persons)</w:t>
            </w: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1,910,932</w:t>
            </w:r>
          </w:p>
        </w:tc>
        <w:tc>
          <w:tcPr>
            <w:tcW w:w="120" w:type="dxa"/>
            <w:vAlign w:val="bottom"/>
            <w:gridSpan w:val="2"/>
          </w:tcPr>
          <w:p>
            <w:pPr>
              <w:spacing w:after="0"/>
              <w:rPr>
                <w:sz w:val="20"/>
                <w:szCs w:val="20"/>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8" w:lineRule="exact"/>
        <w:rPr>
          <w:sz w:val="20"/>
          <w:szCs w:val="20"/>
          <w:color w:val="auto"/>
        </w:rPr>
      </w:pPr>
    </w:p>
    <w:p>
      <w:pPr>
        <w:ind w:left="5580" w:right="2980" w:hanging="5572"/>
        <w:spacing w:after="0" w:line="485" w:lineRule="auto"/>
        <w:tabs>
          <w:tab w:leader="none" w:pos="5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Florida 33139.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-527685</wp:posOffset>
            </wp:positionV>
            <wp:extent cx="16630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8" w:name="page9"/>
    <w:bookmarkEnd w:id="8"/>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the Adviser and may therefore be deemed to own beneficially the 938,423 shares held by the Adviser.</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percent.</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Dollar Range of Securities Beneficially Owned by Directors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dollar range of (i) the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Floating Rate Capital, Ltd., a business development company managed by the Adviser (“PFLT”).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Range of the Common</w:t>
            </w:r>
          </w:p>
        </w:tc>
        <w:tc>
          <w:tcPr>
            <w:tcW w:w="22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 Range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the Common Stock</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of the Company</w:t>
            </w:r>
          </w:p>
        </w:tc>
        <w:tc>
          <w:tcPr>
            <w:tcW w:w="2880" w:type="dxa"/>
            <w:vAlign w:val="bottom"/>
          </w:tcPr>
          <w:p>
            <w:pPr>
              <w:spacing w:after="0"/>
              <w:rPr>
                <w:sz w:val="15"/>
                <w:szCs w:val="15"/>
                <w:color w:val="auto"/>
              </w:rPr>
            </w:pPr>
          </w:p>
        </w:tc>
        <w:tc>
          <w:tcPr>
            <w:tcW w:w="30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Stock of the Company</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34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of the Fund Complex</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43"/>
        </w:trPr>
        <w:tc>
          <w:tcPr>
            <w:tcW w:w="4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Adam K. Bernstein</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36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Marshall Brozost</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36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Jeffrey Flug</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Samuel L. Katz</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1"/>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line="245"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tcPr>
          <w:p>
            <w:pPr>
              <w:spacing w:after="0"/>
              <w:rPr>
                <w:sz w:val="21"/>
                <w:szCs w:val="21"/>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20" w:right="860" w:hanging="512"/>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In accordance with its bylaws, the Company currently has six members on the Board. Directors are divided into three classes and are elected for staggered terms of three years each, with a term of office of one of the three classes of directors expiring each year. After this election, the terms of Class I,</w:t>
      </w:r>
    </w:p>
    <w:p>
      <w:pPr>
        <w:spacing w:after="0" w:line="1" w:lineRule="exact"/>
        <w:rPr>
          <w:sz w:val="20"/>
          <w:szCs w:val="20"/>
          <w:color w:val="auto"/>
        </w:rPr>
      </w:pPr>
    </w:p>
    <w:p>
      <w:pPr>
        <w:ind w:right="300" w:firstLine="8"/>
        <w:spacing w:after="0" w:line="260" w:lineRule="auto"/>
        <w:tabs>
          <w:tab w:leader="none" w:pos="1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directors will expire at the annual meetings of stockholders in 2026, 2024 and 2025, respectively. Each director will hold office for the term to which he is elected and until a successor is duly elected and qualifies.</w:t>
      </w:r>
    </w:p>
    <w:p>
      <w:pPr>
        <w:spacing w:after="0" w:line="1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Stockholder can vote for or against each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any nominees will be unable or unwilling to serve.</w:t>
      </w:r>
    </w:p>
    <w:p>
      <w:pPr>
        <w:spacing w:after="0" w:line="176"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THE ELECTION OF THE NOMINEES NAMED IN THIS PROXY STATEMENT.</w:t>
      </w: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Nominees and Directors</w:t>
      </w:r>
    </w:p>
    <w:p>
      <w:pPr>
        <w:spacing w:after="0" w:line="229"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Certain information with respect to the nominees for election at the Annual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58"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Each of Mr. Marshall Brozost and Mr. Samuel L. Katz has been nominated for election as a Class I director of PNNT for a three-year term expiring at the annual meeting of stockholders in 2026. Neither Mr. Brozost nor Mr. Katz is being proposed for election pursuant to any agreement or understanding between either Mr. Brozost or Mr. Katz and the Company.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w:t>
            </w: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of Office</w:t>
            </w:r>
          </w:p>
        </w:tc>
        <w:tc>
          <w:tcPr>
            <w:tcW w:w="12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Fund Complex</w:t>
            </w: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6"/>
        </w:trPr>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Length of Time</w:t>
            </w:r>
          </w:p>
        </w:tc>
        <w:tc>
          <w:tcPr>
            <w:tcW w:w="120" w:type="dxa"/>
            <w:vAlign w:val="bottom"/>
          </w:tcPr>
          <w:p>
            <w:pPr>
              <w:spacing w:after="0"/>
              <w:rPr>
                <w:sz w:val="12"/>
                <w:szCs w:val="12"/>
                <w:color w:val="auto"/>
              </w:rPr>
            </w:pPr>
          </w:p>
        </w:tc>
        <w:tc>
          <w:tcPr>
            <w:tcW w:w="3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During, at least,</w:t>
            </w:r>
          </w:p>
        </w:tc>
        <w:tc>
          <w:tcPr>
            <w:tcW w:w="10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Overseen by</w:t>
            </w:r>
          </w:p>
        </w:tc>
        <w:tc>
          <w:tcPr>
            <w:tcW w:w="10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Company</w:t>
            </w: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20" w:type="dxa"/>
            <w:vAlign w:val="bottom"/>
          </w:tcPr>
          <w:p>
            <w:pPr>
              <w:spacing w:after="0"/>
              <w:rPr>
                <w:sz w:val="16"/>
                <w:szCs w:val="16"/>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Past 5 Years</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the Past 5 Years</w:t>
            </w:r>
            <w:r>
              <w:rPr>
                <w:rFonts w:ascii="Times New Roman" w:cs="Times New Roman" w:eastAsia="Times New Roman" w:hAnsi="Times New Roman"/>
                <w:sz w:val="19"/>
                <w:szCs w:val="19"/>
                <w:b w:val="1"/>
                <w:bCs w:val="1"/>
                <w:color w:val="auto"/>
                <w:w w:val="98"/>
                <w:vertAlign w:val="superscript"/>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34" w:right="339" w:bottom="1440" w:gutter="0" w:footer="0" w:header="0"/>
        </w:sectPr>
      </w:pP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1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Independent Directors</w:t>
            </w:r>
          </w:p>
        </w:tc>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45"/>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Adam K. Bernstein (59)</w:t>
            </w:r>
          </w:p>
        </w:tc>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Director</w:t>
            </w: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PNNT - Class II</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President of The Bernstein Companies, a</w:t>
            </w:r>
          </w:p>
        </w:tc>
      </w:tr>
      <w:tr>
        <w:trPr>
          <w:trHeight w:val="202"/>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 since</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Washington, D.C.-based real estate</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February 2007;</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investment and development firm, since</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Term expires 2024</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1995 and President and Chief Executive</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Officer of Consortium Atlantic Realty Trust,</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 a private real estate investment trust</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in the Mid-Atlantic region, from</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2006. Also, Mr. Bernstein has served on the</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Board of Overseers of the School of Arts</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and Sciences at the University of</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Pennsylvania since 2012 and the Board of</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Trustees of the School of Arts and Sciences</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at the University of Pennsylvania since</w:t>
            </w:r>
          </w:p>
        </w:tc>
      </w:tr>
      <w:tr>
        <w:trPr>
          <w:trHeight w:val="222"/>
        </w:trPr>
        <w:tc>
          <w:tcPr>
            <w:tcW w:w="1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2018.</w:t>
            </w:r>
          </w:p>
        </w:tc>
      </w:tr>
      <w:tr>
        <w:trPr>
          <w:trHeight w:val="345"/>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Marshall Brozost (55)</w:t>
            </w:r>
          </w:p>
        </w:tc>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Director</w:t>
            </w: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PNNT - Class I</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Partner at McDermott Will &amp; Emery LLP,</w:t>
            </w:r>
          </w:p>
        </w:tc>
      </w:tr>
      <w:tr>
        <w:trPr>
          <w:trHeight w:val="203"/>
        </w:trPr>
        <w:tc>
          <w:tcPr>
            <w:tcW w:w="1960" w:type="dxa"/>
            <w:vAlign w:val="bottom"/>
          </w:tcPr>
          <w:p>
            <w:pPr>
              <w:spacing w:after="0"/>
              <w:rPr>
                <w:sz w:val="17"/>
                <w:szCs w:val="17"/>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Nominee</w:t>
            </w: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 since</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where he practices in the real estate and</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February 2007;</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private equity groups, since April 2022.</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Term expires, if</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Prior to McDermott Will &amp; Emery LLP, Mr.</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elected, 2026</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Brozost practiced law at Orrick, Herrington</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&amp; Sutcliffe LLP, from July 2016 to April</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2022, at Schulte Roth &amp; Zabel LLP from</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May 2012 to July 2016 and at Dewey &amp;</w:t>
            </w:r>
          </w:p>
        </w:tc>
      </w:tr>
      <w:tr>
        <w:trPr>
          <w:trHeight w:val="222"/>
        </w:trPr>
        <w:tc>
          <w:tcPr>
            <w:tcW w:w="1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LeBoeuf LLP from 2005 to 2012.</w:t>
            </w:r>
          </w:p>
        </w:tc>
      </w:tr>
      <w:tr>
        <w:trPr>
          <w:trHeight w:val="345"/>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Jeffrey Flug (60)</w:t>
            </w:r>
          </w:p>
        </w:tc>
        <w:tc>
          <w:tcPr>
            <w:tcW w:w="1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Director</w:t>
            </w: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PNNT - Class II</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Mr. Flug was President of Union Square</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 since</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Hospitality Group, an exclusive chain of</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February 2007;</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restaurants, from 2009 to June 2015. Mr.</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Term expires 2024</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Flug served as Chief Executive Officer and</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Executive Director of Millennium Promise</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Alliance, Inc., a non-profit organization</w:t>
            </w:r>
          </w:p>
        </w:tc>
      </w:tr>
      <w:tr>
        <w:trPr>
          <w:trHeight w:val="202"/>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whose mission is to eradicate extreme global</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poverty, from 2006 to 2008. From 2000 to</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9"/>
              </w:rPr>
              <w:t>2006, Mr. Flug was a Managing Director and</w:t>
            </w:r>
          </w:p>
        </w:tc>
      </w:tr>
      <w:tr>
        <w:trPr>
          <w:trHeight w:val="203"/>
        </w:trPr>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Head of North American Institutional Sales</w:t>
            </w:r>
          </w:p>
        </w:tc>
      </w:tr>
      <w:tr>
        <w:trPr>
          <w:trHeight w:val="222"/>
        </w:trPr>
        <w:tc>
          <w:tcPr>
            <w:tcW w:w="1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at JP Morgan’s Investment Bank.</w:t>
            </w:r>
          </w:p>
        </w:tc>
      </w:tr>
      <w:tr>
        <w:trPr>
          <w:trHeight w:val="556"/>
        </w:trPr>
        <w:tc>
          <w:tcPr>
            <w:tcW w:w="1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Advisory Board</w:t>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Member of</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University Research</w:t>
      </w:r>
    </w:p>
    <w:p>
      <w:pPr>
        <w:spacing w:after="0" w:line="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Corporation since</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Director of Shake</w:t>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Shack Inc., since</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September 2014;</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Tender Greens, a</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private company,</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since 2015; Sears</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Hometown and</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Outlet Stores, Inc.,</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from October 2012</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to September 2015.</w:t>
      </w:r>
    </w:p>
    <w:p>
      <w:pPr>
        <w:sectPr>
          <w:pgSz w:w="11900" w:h="16838" w:orient="portrait"/>
          <w:cols w:equalWidth="0" w:num="2">
            <w:col w:w="8460" w:space="540"/>
            <w:col w:w="2240"/>
          </w:cols>
          <w:pgMar w:left="320" w:top="534"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Samuel L. Katz (57)</w:t>
            </w:r>
          </w:p>
        </w:tc>
        <w:tc>
          <w:tcPr>
            <w:tcW w:w="14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PNNT - Class I</w:t>
            </w: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Managing Partner of TZP Group LLC, a</w:t>
            </w:r>
          </w:p>
        </w:tc>
      </w:tr>
      <w:tr>
        <w:trPr>
          <w:trHeight w:val="203"/>
        </w:trPr>
        <w:tc>
          <w:tcPr>
            <w:tcW w:w="1840" w:type="dxa"/>
            <w:vAlign w:val="bottom"/>
          </w:tcPr>
          <w:p>
            <w:pPr>
              <w:spacing w:after="0"/>
              <w:rPr>
                <w:sz w:val="17"/>
                <w:szCs w:val="17"/>
                <w:color w:val="auto"/>
              </w:rPr>
            </w:pPr>
          </w:p>
        </w:tc>
        <w:tc>
          <w:tcPr>
            <w:tcW w:w="14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Nominee</w:t>
            </w:r>
          </w:p>
        </w:tc>
        <w:tc>
          <w:tcPr>
            <w:tcW w:w="17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 since</w:t>
            </w: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private equity fund, since 2007. Chief</w:t>
            </w:r>
          </w:p>
        </w:tc>
      </w:tr>
      <w:tr>
        <w:trPr>
          <w:trHeight w:val="203"/>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February 2007;</w:t>
            </w: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Executive Officer and director of TZP</w:t>
            </w:r>
          </w:p>
        </w:tc>
      </w:tr>
      <w:tr>
        <w:trPr>
          <w:trHeight w:val="203"/>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Term expires, if</w:t>
            </w: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Strategies Acquisition Corp. (Nasdaq:</w:t>
            </w:r>
          </w:p>
        </w:tc>
      </w:tr>
      <w:tr>
        <w:trPr>
          <w:trHeight w:val="203"/>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elected, 2026</w:t>
            </w: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TZPS), a special purpose acquisition</w:t>
            </w:r>
          </w:p>
        </w:tc>
      </w:tr>
      <w:tr>
        <w:trPr>
          <w:trHeight w:val="203"/>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company. Before joining TZP Group, Mr.</w:t>
            </w:r>
          </w:p>
        </w:tc>
      </w:tr>
      <w:tr>
        <w:trPr>
          <w:trHeight w:val="203"/>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Katz was Chief Executive Officer of</w:t>
            </w:r>
          </w:p>
        </w:tc>
      </w:tr>
      <w:tr>
        <w:trPr>
          <w:trHeight w:val="203"/>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MacAndrews &amp; Forbes Acquisition</w:t>
            </w:r>
          </w:p>
        </w:tc>
      </w:tr>
      <w:tr>
        <w:trPr>
          <w:trHeight w:val="203"/>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Holdings, Inc. from 2006 to 2007. Prior to</w:t>
            </w:r>
          </w:p>
        </w:tc>
      </w:tr>
      <w:tr>
        <w:trPr>
          <w:trHeight w:val="203"/>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that position, Mr. Katz was Chairman and</w:t>
            </w:r>
          </w:p>
        </w:tc>
      </w:tr>
      <w:tr>
        <w:trPr>
          <w:trHeight w:val="203"/>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Chief Executive Officer of the Cendant</w:t>
            </w:r>
          </w:p>
        </w:tc>
      </w:tr>
      <w:tr>
        <w:trPr>
          <w:trHeight w:val="203"/>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9"/>
              </w:rPr>
              <w:t>Travel Distribution Services Division from</w:t>
            </w:r>
          </w:p>
        </w:tc>
      </w:tr>
      <w:tr>
        <w:trPr>
          <w:trHeight w:val="222"/>
        </w:trPr>
        <w:tc>
          <w:tcPr>
            <w:tcW w:w="1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2001 to 2005.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Interested Director</w:t>
            </w:r>
          </w:p>
        </w:tc>
        <w:tc>
          <w:tcPr>
            <w:tcW w:w="1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45"/>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Arthur H. Penn (59)</w:t>
            </w:r>
            <w:r>
              <w:rPr>
                <w:rFonts w:ascii="Times New Roman" w:cs="Times New Roman" w:eastAsia="Times New Roman" w:hAnsi="Times New Roman"/>
                <w:sz w:val="22"/>
                <w:szCs w:val="22"/>
                <w:color w:val="auto"/>
                <w:vertAlign w:val="superscript"/>
              </w:rPr>
              <w:t>(3)</w:t>
            </w:r>
          </w:p>
        </w:tc>
        <w:tc>
          <w:tcPr>
            <w:tcW w:w="16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Director;</w:t>
            </w:r>
          </w:p>
        </w:tc>
        <w:tc>
          <w:tcPr>
            <w:tcW w:w="1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PNNT - Class III</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Founder, Chairman and Chief Executive</w:t>
            </w:r>
          </w:p>
        </w:tc>
      </w:tr>
      <w:tr>
        <w:trPr>
          <w:trHeight w:val="203"/>
        </w:trPr>
        <w:tc>
          <w:tcPr>
            <w:tcW w:w="190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Chief Executive</w:t>
            </w:r>
          </w:p>
        </w:tc>
        <w:tc>
          <w:tcPr>
            <w:tcW w:w="1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 since</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Officer of the Company from its inception in</w:t>
            </w:r>
          </w:p>
        </w:tc>
      </w:tr>
      <w:tr>
        <w:trPr>
          <w:trHeight w:val="202"/>
        </w:trPr>
        <w:tc>
          <w:tcPr>
            <w:tcW w:w="190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Officer and</w:t>
            </w:r>
          </w:p>
        </w:tc>
        <w:tc>
          <w:tcPr>
            <w:tcW w:w="1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February 2007;</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2007. Mr. Penn also is the Founder and</w:t>
            </w:r>
          </w:p>
        </w:tc>
      </w:tr>
      <w:tr>
        <w:trPr>
          <w:trHeight w:val="203"/>
        </w:trPr>
        <w:tc>
          <w:tcPr>
            <w:tcW w:w="190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Chairman of the</w:t>
            </w:r>
          </w:p>
        </w:tc>
        <w:tc>
          <w:tcPr>
            <w:tcW w:w="1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expires 2025</w:t>
            </w: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Managing Member of the Adviser. Before</w:t>
            </w:r>
          </w:p>
        </w:tc>
      </w:tr>
      <w:tr>
        <w:trPr>
          <w:trHeight w:val="203"/>
        </w:trPr>
        <w:tc>
          <w:tcPr>
            <w:tcW w:w="190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Board of</w:t>
            </w:r>
          </w:p>
        </w:tc>
        <w:tc>
          <w:tcPr>
            <w:tcW w:w="16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founding the Company, Mr. Penn was the</w:t>
            </w:r>
          </w:p>
        </w:tc>
      </w:tr>
      <w:tr>
        <w:trPr>
          <w:trHeight w:val="203"/>
        </w:trPr>
        <w:tc>
          <w:tcPr>
            <w:tcW w:w="190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Directors</w:t>
            </w:r>
          </w:p>
        </w:tc>
        <w:tc>
          <w:tcPr>
            <w:tcW w:w="16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Co-Founder of Apollo Investment</w:t>
            </w:r>
          </w:p>
        </w:tc>
      </w:tr>
      <w:tr>
        <w:trPr>
          <w:trHeight w:val="203"/>
        </w:trPr>
        <w:tc>
          <w:tcPr>
            <w:tcW w:w="1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where he was a Managing</w:t>
            </w:r>
          </w:p>
        </w:tc>
      </w:tr>
      <w:tr>
        <w:trPr>
          <w:trHeight w:val="203"/>
        </w:trPr>
        <w:tc>
          <w:tcPr>
            <w:tcW w:w="1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Partner from 2004 to 2006. He also served as</w:t>
            </w:r>
          </w:p>
        </w:tc>
      </w:tr>
      <w:tr>
        <w:trPr>
          <w:trHeight w:val="203"/>
        </w:trPr>
        <w:tc>
          <w:tcPr>
            <w:tcW w:w="1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Operating Officer of Apollo</w:t>
            </w:r>
          </w:p>
        </w:tc>
      </w:tr>
      <w:tr>
        <w:trPr>
          <w:trHeight w:val="203"/>
        </w:trPr>
        <w:tc>
          <w:tcPr>
            <w:tcW w:w="1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Investment Corporation from inception in</w:t>
            </w:r>
          </w:p>
        </w:tc>
      </w:tr>
      <w:tr>
        <w:trPr>
          <w:trHeight w:val="203"/>
        </w:trPr>
        <w:tc>
          <w:tcPr>
            <w:tcW w:w="1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2004 to 2006 and served as President and</w:t>
            </w:r>
          </w:p>
        </w:tc>
      </w:tr>
      <w:tr>
        <w:trPr>
          <w:trHeight w:val="203"/>
        </w:trPr>
        <w:tc>
          <w:tcPr>
            <w:tcW w:w="1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Operating Officer in 2006. He</w:t>
            </w:r>
          </w:p>
        </w:tc>
      </w:tr>
      <w:tr>
        <w:trPr>
          <w:trHeight w:val="203"/>
        </w:trPr>
        <w:tc>
          <w:tcPr>
            <w:tcW w:w="1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formerly was a Managing Partner of Apollo</w:t>
            </w:r>
          </w:p>
        </w:tc>
      </w:tr>
      <w:tr>
        <w:trPr>
          <w:trHeight w:val="222"/>
        </w:trPr>
        <w:tc>
          <w:tcPr>
            <w:tcW w:w="1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9"/>
              </w:rPr>
              <w:t>Value Fund L.P. (formerly Apollo Distressed</w:t>
            </w:r>
          </w:p>
        </w:tc>
      </w:tr>
      <w:tr>
        <w:trPr>
          <w:trHeight w:val="407"/>
        </w:trPr>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Two</w:t>
            </w: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Director of TZP</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w w:val="98"/>
              </w:rPr>
              <w:t>Strategies</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w w:val="99"/>
              </w:rPr>
              <w:t>Acquisition Corp.;</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Bigname</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Commerce; Family</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Entertainment</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95"/>
              <w:spacing w:after="0"/>
              <w:rPr>
                <w:sz w:val="20"/>
                <w:szCs w:val="20"/>
                <w:color w:val="auto"/>
              </w:rPr>
            </w:pPr>
            <w:r>
              <w:rPr>
                <w:rFonts w:ascii="Times New Roman" w:cs="Times New Roman" w:eastAsia="Times New Roman" w:hAnsi="Times New Roman"/>
                <w:sz w:val="17"/>
                <w:szCs w:val="17"/>
                <w:color w:val="auto"/>
              </w:rPr>
              <w:t>Group; BQ Resorts,</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w w:val="98"/>
              </w:rPr>
              <w:t>LLC; Lift Brands,</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w w:val="99"/>
              </w:rPr>
              <w:t>Inc.; HomeRiver</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w w:val="99"/>
              </w:rPr>
              <w:t>Group; Pyramid</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w w:val="99"/>
              </w:rPr>
              <w:t>Hotel Group;</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Hylan Datacom &amp;</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w w:val="98"/>
              </w:rPr>
              <w:t>Electrical; Triangle</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w w:val="99"/>
              </w:rPr>
              <w:t>Home Fashions</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Holdings, LLC;</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w w:val="98"/>
              </w:rPr>
              <w:t>Whitestone Home</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Furnishings, LLC</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(d/b/a The Saatva</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Company);</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w w:val="98"/>
              </w:rPr>
              <w:t>Dwellworks</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Investors; YRF</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Darca; Board of</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Advisors of</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w w:val="98"/>
              </w:rPr>
              <w:t>Columbia</w:t>
            </w:r>
          </w:p>
        </w:tc>
      </w:tr>
      <w:tr>
        <w:trPr>
          <w:trHeight w:val="203"/>
        </w:trPr>
        <w:tc>
          <w:tcPr>
            <w:tcW w:w="560" w:type="dxa"/>
            <w:vAlign w:val="bottom"/>
          </w:tcPr>
          <w:p>
            <w:pPr>
              <w:spacing w:after="0"/>
              <w:rPr>
                <w:sz w:val="17"/>
                <w:szCs w:val="17"/>
                <w:color w:val="auto"/>
              </w:rPr>
            </w:pP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University Irving</w:t>
            </w:r>
          </w:p>
        </w:tc>
      </w:tr>
      <w:tr>
        <w:trPr>
          <w:trHeight w:val="222"/>
        </w:trPr>
        <w:tc>
          <w:tcPr>
            <w:tcW w:w="560" w:type="dxa"/>
            <w:vAlign w:val="bottom"/>
          </w:tcPr>
          <w:p>
            <w:pPr>
              <w:spacing w:after="0"/>
              <w:rPr>
                <w:sz w:val="19"/>
                <w:szCs w:val="19"/>
                <w:color w:val="auto"/>
              </w:rPr>
            </w:pPr>
          </w:p>
        </w:tc>
        <w:tc>
          <w:tcPr>
            <w:tcW w:w="1640" w:type="dxa"/>
            <w:vAlign w:val="bottom"/>
          </w:tcPr>
          <w:p>
            <w:pPr>
              <w:jc w:val="center"/>
              <w:ind w:left="215"/>
              <w:spacing w:after="0"/>
              <w:rPr>
                <w:sz w:val="20"/>
                <w:szCs w:val="20"/>
                <w:color w:val="auto"/>
              </w:rPr>
            </w:pPr>
            <w:r>
              <w:rPr>
                <w:rFonts w:ascii="Times New Roman" w:cs="Times New Roman" w:eastAsia="Times New Roman" w:hAnsi="Times New Roman"/>
                <w:sz w:val="17"/>
                <w:szCs w:val="17"/>
                <w:color w:val="auto"/>
              </w:rPr>
              <w:t>Medical Center</w:t>
            </w:r>
          </w:p>
        </w:tc>
      </w:tr>
      <w:tr>
        <w:trPr>
          <w:trHeight w:val="8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Two</w:t>
            </w:r>
          </w:p>
        </w:tc>
        <w:tc>
          <w:tcPr>
            <w:tcW w:w="1640" w:type="dxa"/>
            <w:vAlign w:val="bottom"/>
          </w:tcPr>
          <w:p>
            <w:pPr>
              <w:jc w:val="center"/>
              <w:ind w:left="175"/>
              <w:spacing w:after="0"/>
              <w:rPr>
                <w:sz w:val="20"/>
                <w:szCs w:val="20"/>
                <w:color w:val="auto"/>
              </w:rPr>
            </w:pPr>
            <w:r>
              <w:rPr>
                <w:rFonts w:ascii="Times New Roman" w:cs="Times New Roman" w:eastAsia="Times New Roman" w:hAnsi="Times New Roman"/>
                <w:sz w:val="17"/>
                <w:szCs w:val="17"/>
                <w:color w:val="auto"/>
              </w:rPr>
              <w:t>None</w:t>
            </w:r>
          </w:p>
        </w:tc>
      </w:tr>
    </w:tbl>
    <w:p>
      <w:pPr>
        <w:sectPr>
          <w:pgSz w:w="11900" w:h="16838" w:orient="portrait"/>
          <w:cols w:equalWidth="0" w:num="2">
            <w:col w:w="8440" w:space="540"/>
            <w:col w:w="2200"/>
          </w:cols>
          <w:pgMar w:left="340" w:top="334" w:right="379" w:bottom="1440" w:gutter="0" w:footer="0" w:header="0"/>
        </w:sectPr>
      </w:pPr>
    </w:p>
    <w:bookmarkStart w:id="12" w:name="page13"/>
    <w:bookmarkEnd w:id="12"/>
    <w:p>
      <w:pPr>
        <w:ind w:left="5352"/>
        <w:spacing w:after="0"/>
        <w:rPr>
          <w:sz w:val="20"/>
          <w:szCs w:val="20"/>
          <w:color w:val="auto"/>
        </w:rPr>
      </w:pPr>
      <w:r>
        <w:rPr>
          <w:rFonts w:ascii="Times New Roman" w:cs="Times New Roman" w:eastAsia="Times New Roman" w:hAnsi="Times New Roman"/>
          <w:sz w:val="17"/>
          <w:szCs w:val="17"/>
          <w:color w:val="auto"/>
        </w:rPr>
        <w:t>Investment Fund, L.P.) from 2003 to 2006.</w:t>
      </w:r>
    </w:p>
    <w:p>
      <w:pPr>
        <w:spacing w:after="0" w:line="42" w:lineRule="exact"/>
        <w:rPr>
          <w:sz w:val="20"/>
          <w:szCs w:val="20"/>
          <w:color w:val="auto"/>
        </w:rPr>
      </w:pPr>
    </w:p>
    <w:p>
      <w:pPr>
        <w:ind w:left="12"/>
        <w:spacing w:after="0"/>
        <w:tabs>
          <w:tab w:leader="none" w:pos="2272" w:val="left"/>
          <w:tab w:leader="none" w:pos="3612" w:val="left"/>
          <w:tab w:leader="none" w:pos="5332" w:val="left"/>
        </w:tabs>
        <w:rPr>
          <w:sz w:val="20"/>
          <w:szCs w:val="20"/>
          <w:color w:val="auto"/>
        </w:rPr>
      </w:pPr>
      <w:r>
        <w:rPr>
          <w:rFonts w:ascii="Times New Roman" w:cs="Times New Roman" w:eastAsia="Times New Roman" w:hAnsi="Times New Roman"/>
          <w:sz w:val="17"/>
          <w:szCs w:val="17"/>
          <w:color w:val="auto"/>
        </w:rPr>
        <w:t>José A. Briones, Jr. (52)</w:t>
      </w:r>
      <w:r>
        <w:rPr>
          <w:rFonts w:ascii="Times New Roman" w:cs="Times New Roman" w:eastAsia="Times New Roman" w:hAnsi="Times New Roman"/>
          <w:sz w:val="22"/>
          <w:szCs w:val="22"/>
          <w:color w:val="auto"/>
          <w:vertAlign w:val="superscript"/>
        </w:rPr>
        <w:t>(4)</w:t>
      </w:r>
      <w:r>
        <w:rPr>
          <w:sz w:val="20"/>
          <w:szCs w:val="20"/>
          <w:color w:val="auto"/>
        </w:rPr>
        <w:tab/>
      </w: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PNNT - Class III</w:t>
      </w:r>
      <w:r>
        <w:rPr>
          <w:sz w:val="20"/>
          <w:szCs w:val="20"/>
          <w:color w:val="auto"/>
        </w:rPr>
        <w:tab/>
      </w:r>
      <w:r>
        <w:rPr>
          <w:rFonts w:ascii="Times New Roman" w:cs="Times New Roman" w:eastAsia="Times New Roman" w:hAnsi="Times New Roman"/>
          <w:sz w:val="17"/>
          <w:szCs w:val="17"/>
          <w:color w:val="auto"/>
        </w:rPr>
        <w:t>Mr. Briones joined the Adviser in December</w:t>
      </w:r>
    </w:p>
    <w:p>
      <w:pPr>
        <w:ind w:left="3632"/>
        <w:spacing w:after="0"/>
        <w:tabs>
          <w:tab w:leader="none" w:pos="5332" w:val="left"/>
        </w:tabs>
        <w:rPr>
          <w:sz w:val="20"/>
          <w:szCs w:val="20"/>
          <w:color w:val="auto"/>
        </w:rPr>
      </w:pPr>
      <w:r>
        <w:rPr>
          <w:rFonts w:ascii="Times New Roman" w:cs="Times New Roman" w:eastAsia="Times New Roman" w:hAnsi="Times New Roman"/>
          <w:sz w:val="17"/>
          <w:szCs w:val="17"/>
          <w:color w:val="auto"/>
        </w:rPr>
        <w:t>Director since</w:t>
      </w:r>
      <w:r>
        <w:rPr>
          <w:sz w:val="20"/>
          <w:szCs w:val="20"/>
          <w:color w:val="auto"/>
        </w:rPr>
        <w:tab/>
      </w:r>
      <w:r>
        <w:rPr>
          <w:rFonts w:ascii="Times New Roman" w:cs="Times New Roman" w:eastAsia="Times New Roman" w:hAnsi="Times New Roman"/>
          <w:sz w:val="17"/>
          <w:szCs w:val="17"/>
          <w:color w:val="auto"/>
        </w:rPr>
        <w:t>2009 and is a Senior Partner. Before joining</w:t>
      </w:r>
    </w:p>
    <w:p>
      <w:pPr>
        <w:spacing w:after="0" w:line="7" w:lineRule="exact"/>
        <w:rPr>
          <w:sz w:val="20"/>
          <w:szCs w:val="20"/>
          <w:color w:val="auto"/>
        </w:rPr>
      </w:pPr>
    </w:p>
    <w:p>
      <w:pPr>
        <w:ind w:left="3632"/>
        <w:spacing w:after="0"/>
        <w:tabs>
          <w:tab w:leader="none" w:pos="5332" w:val="left"/>
        </w:tabs>
        <w:rPr>
          <w:sz w:val="20"/>
          <w:szCs w:val="20"/>
          <w:color w:val="auto"/>
        </w:rPr>
      </w:pPr>
      <w:r>
        <w:rPr>
          <w:rFonts w:ascii="Times New Roman" w:cs="Times New Roman" w:eastAsia="Times New Roman" w:hAnsi="Times New Roman"/>
          <w:sz w:val="17"/>
          <w:szCs w:val="17"/>
          <w:color w:val="auto"/>
        </w:rPr>
        <w:t>May 2022;</w:t>
      </w:r>
      <w:r>
        <w:rPr>
          <w:sz w:val="20"/>
          <w:szCs w:val="20"/>
          <w:color w:val="auto"/>
        </w:rPr>
        <w:tab/>
      </w:r>
      <w:r>
        <w:rPr>
          <w:rFonts w:ascii="Times New Roman" w:cs="Times New Roman" w:eastAsia="Times New Roman" w:hAnsi="Times New Roman"/>
          <w:sz w:val="17"/>
          <w:szCs w:val="17"/>
          <w:color w:val="auto"/>
        </w:rPr>
        <w:t>the Adviser, Mr. Briones was a Partner of</w:t>
      </w:r>
    </w:p>
    <w:p>
      <w:pPr>
        <w:spacing w:after="0" w:line="7" w:lineRule="exact"/>
        <w:rPr>
          <w:sz w:val="20"/>
          <w:szCs w:val="20"/>
          <w:color w:val="auto"/>
        </w:rPr>
      </w:pPr>
    </w:p>
    <w:p>
      <w:pPr>
        <w:ind w:left="3632"/>
        <w:spacing w:after="0"/>
        <w:tabs>
          <w:tab w:leader="none" w:pos="5332" w:val="left"/>
        </w:tabs>
        <w:rPr>
          <w:sz w:val="20"/>
          <w:szCs w:val="20"/>
          <w:color w:val="auto"/>
        </w:rPr>
      </w:pPr>
      <w:r>
        <w:rPr>
          <w:rFonts w:ascii="Times New Roman" w:cs="Times New Roman" w:eastAsia="Times New Roman" w:hAnsi="Times New Roman"/>
          <w:sz w:val="17"/>
          <w:szCs w:val="17"/>
          <w:color w:val="auto"/>
        </w:rPr>
        <w:t>Term expires 2025</w:t>
      </w:r>
      <w:r>
        <w:rPr>
          <w:sz w:val="20"/>
          <w:szCs w:val="20"/>
          <w:color w:val="auto"/>
        </w:rPr>
        <w:tab/>
      </w:r>
      <w:r>
        <w:rPr>
          <w:rFonts w:ascii="Times New Roman" w:cs="Times New Roman" w:eastAsia="Times New Roman" w:hAnsi="Times New Roman"/>
          <w:sz w:val="17"/>
          <w:szCs w:val="17"/>
          <w:color w:val="auto"/>
        </w:rPr>
        <w:t>Apollo Investment Management, L.P. and a</w:t>
      </w:r>
    </w:p>
    <w:p>
      <w:pPr>
        <w:spacing w:after="0" w:line="7"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7"/>
          <w:szCs w:val="17"/>
          <w:color w:val="auto"/>
        </w:rPr>
        <w:t>member of its investment committee since</w:t>
      </w:r>
    </w:p>
    <w:p>
      <w:pPr>
        <w:spacing w:after="0" w:line="7"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7"/>
          <w:szCs w:val="17"/>
          <w:color w:val="auto"/>
        </w:rPr>
        <w:t>2006. Before that, he was a Managing</w:t>
      </w:r>
    </w:p>
    <w:p>
      <w:pPr>
        <w:spacing w:after="0" w:line="7"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7"/>
          <w:szCs w:val="17"/>
          <w:color w:val="auto"/>
        </w:rPr>
        <w:t>Director with UBS Securities LLC in the</w:t>
      </w:r>
    </w:p>
    <w:p>
      <w:pPr>
        <w:spacing w:after="0" w:line="7"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7"/>
          <w:szCs w:val="17"/>
          <w:color w:val="auto"/>
        </w:rPr>
        <w:t>Financial Sponsors and Leveraged Finance</w:t>
      </w:r>
    </w:p>
    <w:p>
      <w:pPr>
        <w:spacing w:after="0" w:line="7"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7"/>
          <w:szCs w:val="17"/>
          <w:color w:val="auto"/>
        </w:rPr>
        <w:t>Group from 2001 to 2006. Before joining</w:t>
      </w:r>
    </w:p>
    <w:p>
      <w:pPr>
        <w:spacing w:after="0" w:line="7"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7"/>
          <w:szCs w:val="17"/>
          <w:color w:val="auto"/>
        </w:rPr>
        <w:t>UBS, he was a Vice President with JP</w:t>
      </w:r>
    </w:p>
    <w:p>
      <w:pPr>
        <w:spacing w:after="0" w:line="7"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7"/>
          <w:szCs w:val="17"/>
          <w:color w:val="auto"/>
        </w:rPr>
        <w:t>Morgan in the Global Leveraged Finance</w:t>
      </w:r>
    </w:p>
    <w:p>
      <w:pPr>
        <w:spacing w:after="0" w:line="7"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7"/>
          <w:szCs w:val="17"/>
          <w:color w:val="auto"/>
        </w:rPr>
        <w:t>Group from 1999 to 2001. From 1992 to</w:t>
      </w:r>
    </w:p>
    <w:p>
      <w:pPr>
        <w:spacing w:after="0" w:line="7"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7"/>
          <w:szCs w:val="17"/>
          <w:color w:val="auto"/>
        </w:rPr>
        <w:t>1999, Mr. Briones was a Vice President at</w:t>
      </w:r>
    </w:p>
    <w:p>
      <w:pPr>
        <w:spacing w:after="0" w:line="7"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7"/>
          <w:szCs w:val="17"/>
          <w:color w:val="auto"/>
        </w:rPr>
        <w:t>BT Securities and BT Alex Brown Inc. in</w:t>
      </w:r>
    </w:p>
    <w:p>
      <w:pPr>
        <w:spacing w:after="0" w:line="7"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7"/>
          <w:szCs w:val="17"/>
          <w:color w:val="auto"/>
        </w:rPr>
        <w:t>the Corporate Finance Department.</w:t>
      </w:r>
    </w:p>
    <w:p>
      <w:pPr>
        <w:spacing w:after="0" w:line="249" w:lineRule="exact"/>
        <w:rPr>
          <w:sz w:val="20"/>
          <w:szCs w:val="20"/>
          <w:color w:val="auto"/>
        </w:rPr>
      </w:pPr>
    </w:p>
    <w:p>
      <w:pPr>
        <w:ind w:left="512" w:hanging="512"/>
        <w:spacing w:after="0"/>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Florida 33139.</w:t>
      </w:r>
    </w:p>
    <w:p>
      <w:pPr>
        <w:spacing w:after="0" w:line="2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the 1940 Act.</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an interested director due to his position as an officer of the Company and of the Adviser.</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Briones is an interested director due to his position as an officer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-550545</wp:posOffset>
            </wp:positionV>
            <wp:extent cx="1663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0"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None</w:t>
      </w:r>
    </w:p>
    <w:p>
      <w:pPr>
        <w:sectPr>
          <w:pgSz w:w="11900" w:h="16838" w:orient="portrait"/>
          <w:cols w:equalWidth="0" w:num="2">
            <w:col w:w="8392" w:space="600"/>
            <w:col w:w="1720"/>
          </w:cols>
          <w:pgMar w:left="328" w:top="334" w:right="8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New York Stock Exchange ("NYSE") corporate governance rules require listed companies to have a board of directors with at least a majority of independent directors.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Under NYSE corporate governance rules, in order for a director to be deemed independent, the Board must affirmatively determine that the individual does not have a material relationship with the Company, either directly or as a partner, shareholder or officer of an organization that has a relationship with the Company. On an annual basis, each director is required to complete an independence questionnaire designed to provide information to assist the Board in determining whether the director is independent under NYSE corporate governance rules, the 1940 Act and applicable corporate governance guidelines. The Board has determined that each of its directors, other than Messrs. Penn and Briones, is independent under the applicable listing standards of NYSE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Role in Management</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r>
        <w:trPr>
          <w:trHeight w:val="191"/>
        </w:trPr>
        <w:tc>
          <w:tcPr>
            <w:tcW w:w="3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5"/>
              </w:rPr>
              <w:t>(1)</w:t>
            </w:r>
          </w:p>
        </w:tc>
        <w:tc>
          <w:tcPr>
            <w:tcW w:w="1086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8"/>
                <w:szCs w:val="18"/>
                <w:color w:val="auto"/>
              </w:rPr>
              <w:t>The listing of the common stock of the Company transferred from Nasdaq to NYSE effective April 14,  2022. Prior to such transfer, the Company's</w:t>
            </w:r>
          </w:p>
        </w:tc>
      </w:tr>
      <w:tr>
        <w:trPr>
          <w:trHeight w:val="234"/>
        </w:trPr>
        <w:tc>
          <w:tcPr>
            <w:tcW w:w="360" w:type="dxa"/>
            <w:vAlign w:val="bottom"/>
          </w:tcPr>
          <w:p>
            <w:pPr>
              <w:spacing w:after="0"/>
              <w:rPr>
                <w:sz w:val="20"/>
                <w:szCs w:val="20"/>
                <w:color w:val="auto"/>
              </w:rPr>
            </w:pPr>
          </w:p>
        </w:tc>
        <w:tc>
          <w:tcPr>
            <w:tcW w:w="10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practices complied with the applicable Nasdaq listing requirements.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4" w:name="page15"/>
    <w:bookmarkEnd w:id="14"/>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89"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7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87"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Board’s Composition and Leadership Structure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four of the six directors on the Board are Independent Directors.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two-thirds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Each Director’s Experience, Qualifications, Attributes or Skills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5" w:name="page16"/>
    <w:bookmarkEnd w:id="15"/>
    <w:p>
      <w:pPr>
        <w:ind w:right="20"/>
        <w:spacing w:after="0" w:line="255" w:lineRule="auto"/>
        <w:rPr>
          <w:sz w:val="20"/>
          <w:szCs w:val="20"/>
          <w:color w:val="auto"/>
        </w:rPr>
      </w:pPr>
      <w:r>
        <w:rPr>
          <w:rFonts w:ascii="Times New Roman" w:cs="Times New Roman" w:eastAsia="Times New Roman" w:hAnsi="Times New Roman"/>
          <w:sz w:val="18"/>
          <w:szCs w:val="18"/>
          <w:color w:val="auto"/>
        </w:rPr>
        <w:t>their duties. The Board believes that its members satisfy this standard. Experience relevant to having this ability may be achieved through a director’s educational background, business or professional training or practice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Chairman and Chief Executive Officer</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Qualifications, Attributes and/or Skills that Led to the Board’s Conclusion that such Members Should Serve as Directors of the Company</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H. Penn</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K. Bernstein</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ind w:right="60"/>
        <w:spacing w:after="0" w:line="282" w:lineRule="auto"/>
        <w:rPr>
          <w:sz w:val="20"/>
          <w:szCs w:val="20"/>
          <w:color w:val="auto"/>
        </w:rPr>
      </w:pPr>
      <w:r>
        <w:rPr>
          <w:rFonts w:ascii="Times New Roman" w:cs="Times New Roman" w:eastAsia="Times New Roman" w:hAnsi="Times New Roman"/>
          <w:sz w:val="18"/>
          <w:szCs w:val="18"/>
          <w:color w:val="auto"/>
        </w:rPr>
        <w:t>Overseers of the School of Arts and Sciences at the University of Pennsylvania and has served on the Board of Trustees of the School of Arts and Sciences at the University of Pennsylvania since 2018 and on the Advisory Board of University Research Corporation since 2020.</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José A. Briones, Jr.</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Mr. Briones brings to the Board 30 years of business leadership and experience and knowledge of senior lending, mezzanine lending, leveraged finance, distressed debt and private equity businesses, as well as diverse management practices. He is responsible for and oversees originating, underwriting, executing, and monitoring investments for the Adviser, as well as overseeing various strategic initiatives and serves as a Portfolio Manager. Before joining the Adviser, Mr. Briones was a Partner of Apollo Investment Management, L.P. and a member of its investment committee. Before that, Mr. Briones was a Managing Director with UBS Securities LLC in the Financial Sponsors and Leveraged Finance Group from 2001 to 2006. Before joining UBS, Mr. Briones was a Vice President with JP Morgan in the Global Leveraged Finance Group from 1999 to 2001. From 1992 to 1999, Mr. Briones was a Vice President at BT Securities and BT Alex Brown Inc. in the Corporate Finance Department.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 Brozost</w:t>
      </w:r>
    </w:p>
    <w:p>
      <w:pPr>
        <w:spacing w:after="0" w:line="119" w:lineRule="exact"/>
        <w:rPr>
          <w:sz w:val="20"/>
          <w:szCs w:val="20"/>
          <w:color w:val="auto"/>
        </w:rPr>
      </w:pPr>
    </w:p>
    <w:p>
      <w:pPr>
        <w:ind w:right="180" w:firstLine="509"/>
        <w:spacing w:after="0" w:line="277" w:lineRule="auto"/>
        <w:rPr>
          <w:sz w:val="20"/>
          <w:szCs w:val="20"/>
          <w:color w:val="auto"/>
        </w:rPr>
      </w:pPr>
      <w:r>
        <w:rPr>
          <w:rFonts w:ascii="Times New Roman" w:cs="Times New Roman" w:eastAsia="Times New Roman" w:hAnsi="Times New Roman"/>
          <w:sz w:val="17"/>
          <w:szCs w:val="17"/>
          <w:color w:val="auto"/>
        </w:rPr>
        <w:t>Mr. Brozost brings to the Board 25 years of experience in the areas of finance, private equity, mergers and acquisitions and restructurings. Since April 2022, Mr. Brozost has been a Partner at McDermott Will &amp; Emery LLP, where he practices in the real estate and private equity groups. Prior to McDermott Will &amp; Emery LLP, Mr. Brozost practiced law at Orrick, Herrington &amp; Sutcliffe LLP from July 2016 to April 2022,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Jeffrey Flug</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Mr. Flug has also served as a director of Tender Greens, a private company, since 2015.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Samuel L Katz</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Mr. Katz brings to the Board a diverse knowledge of business and finance as a result of his career over the past 30 years. Mr. Katz currently serves as the Chief Executive Officer and director of TZP Strategies Acquisition Corp. (Nasdaq: TZPS), a special purpose acquisition company, and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 Mr. Katz also currently serves as a director of the following companies: Bigname Commerce; Family Entertainment Group; BQ Resorts, LLC; Lift Brands, Inc.; HomeRiver Group; Pyramid Hotel Group; Hylan Datacom &amp; Electrical; Triangle Home Fashions Holdings, LLC; Whitestone Home Furnishings, LLC</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7" w:name="page18"/>
    <w:bookmarkEnd w:id="17"/>
    <w:p>
      <w:pPr>
        <w:ind w:right="400"/>
        <w:spacing w:after="0" w:line="282" w:lineRule="auto"/>
        <w:rPr>
          <w:sz w:val="20"/>
          <w:szCs w:val="20"/>
          <w:color w:val="auto"/>
        </w:rPr>
      </w:pPr>
      <w:r>
        <w:rPr>
          <w:rFonts w:ascii="Times New Roman" w:cs="Times New Roman" w:eastAsia="Times New Roman" w:hAnsi="Times New Roman"/>
          <w:sz w:val="18"/>
          <w:szCs w:val="18"/>
          <w:color w:val="auto"/>
        </w:rPr>
        <w:t>(d/b/a The Saatva Company); Dwellworks Investors; and YRF Darca; and he currently serves on the Board of Advisors of Columbia University Irving Medical Center.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fiscal year ended September 30, 2022, the Board held four Board meetings, four Audit Committee meetings, two Nominating and Corporate Governance Committee meetings and two Compensation Committee meetings.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by audio webcast the annual Stockholders’ meeting that was held virtually.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of the Board are Messrs. Bernstein, Brozost, Flug and Katz, each of whom is independent for purposes of the 1940 Act and the NYSE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of the Board are Messrs. Bernstein, Brozost, Flug and Katz, each of whom is independent for purposes of the 1940 Act and the NYSE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1691 Michigan Avenue Miami, Florida 33139. When submitting a nomination to the Company for consideration, a Stockholder must provide all information that would be required under applicable SEC rules to be disclosed in connection with the election of a director, including the following minimum information for each</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ind w:right="20"/>
        <w:spacing w:after="0" w:line="266" w:lineRule="auto"/>
        <w:rPr>
          <w:sz w:val="20"/>
          <w:szCs w:val="20"/>
          <w:color w:val="auto"/>
        </w:rPr>
      </w:pPr>
      <w:r>
        <w:rPr>
          <w:rFonts w:ascii="Times New Roman" w:cs="Times New Roman" w:eastAsia="Times New Roman" w:hAnsi="Times New Roman"/>
          <w:sz w:val="18"/>
          <w:szCs w:val="18"/>
          <w:color w:val="auto"/>
        </w:rPr>
        <w:t>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a director of the Board include: compliance with the independence and other applicable requirements of the NYSE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NYSE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the Board of Directors</w:t>
      </w:r>
    </w:p>
    <w:p>
      <w:pPr>
        <w:spacing w:after="0" w:line="22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Stockholders with questions about the Company are encouraged to contact our Investor Relations Department at 1691 Michigan Avenue, Miami, Florida 33139 or by visiting the investor relations web page on our website (http://www.pennantpark.com). However, if Stockholders believe that their questions have not been addressed, they may communicate with the Board by sending their communications to Thomas J. Friedmann, Secretary, c/o PennantPark, 1691 Michigan Avenue, Miami, Florida 33139. All Stockholder communications received in this manner will be delivered to one or more members of the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 Who is Not a Director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 who is not a director of the Company.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3"/>
                <w:szCs w:val="13"/>
                <w:color w:val="auto"/>
              </w:rPr>
            </w:pPr>
          </w:p>
        </w:tc>
        <w:tc>
          <w:tcPr>
            <w:tcW w:w="67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87"/>
        </w:trPr>
        <w:tc>
          <w:tcPr>
            <w:tcW w:w="2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6"/>
                <w:szCs w:val="16"/>
                <w:color w:val="auto"/>
              </w:rPr>
            </w:pPr>
          </w:p>
        </w:tc>
        <w:tc>
          <w:tcPr>
            <w:tcW w:w="6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Richard T. Allorto, Jr. (50)</w:t>
            </w:r>
          </w:p>
        </w:tc>
        <w:tc>
          <w:tcPr>
            <w:tcW w:w="120" w:type="dxa"/>
            <w:vAlign w:val="bottom"/>
          </w:tcPr>
          <w:p>
            <w:pPr>
              <w:spacing w:after="0"/>
              <w:rPr>
                <w:sz w:val="17"/>
                <w:szCs w:val="17"/>
                <w:color w:val="auto"/>
              </w:rPr>
            </w:pPr>
          </w:p>
        </w:tc>
        <w:tc>
          <w:tcPr>
            <w:tcW w:w="22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Chief Financial Officer and</w:t>
            </w:r>
          </w:p>
        </w:tc>
        <w:tc>
          <w:tcPr>
            <w:tcW w:w="120" w:type="dxa"/>
            <w:vAlign w:val="bottom"/>
          </w:tcPr>
          <w:p>
            <w:pPr>
              <w:spacing w:after="0"/>
              <w:rPr>
                <w:sz w:val="17"/>
                <w:szCs w:val="17"/>
                <w:color w:val="auto"/>
              </w:rPr>
            </w:pPr>
          </w:p>
        </w:tc>
        <w:tc>
          <w:tcPr>
            <w:tcW w:w="6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Chief Financial Officer and Treasurer of the Company and PFLT since June 2, 2022.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Allorto was most recently the Chief Financial Officer of Medley Management Inc.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served as the Chief Financial Officer of Sierra Income Corporation and before that Medley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Corporation. Before that, he was a Managing Director at GSC Group from 2001 to</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540" w:right="2600" w:hanging="5532"/>
        <w:spacing w:after="0" w:line="501" w:lineRule="auto"/>
        <w:tabs>
          <w:tab w:leader="none" w:pos="5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executive officer is c/o PennantPark, 1691 Michigan Avenue, Miami, Florida 33139.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1663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Information about Chief Compliance Officer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CCO who is not a director of the Company.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3"/>
                <w:szCs w:val="13"/>
                <w:color w:val="auto"/>
              </w:rPr>
            </w:pPr>
          </w:p>
        </w:tc>
        <w:tc>
          <w:tcPr>
            <w:tcW w:w="670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87"/>
        </w:trPr>
        <w:tc>
          <w:tcPr>
            <w:tcW w:w="2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6"/>
                <w:szCs w:val="16"/>
                <w:color w:val="auto"/>
              </w:rPr>
            </w:pPr>
          </w:p>
        </w:tc>
        <w:tc>
          <w:tcPr>
            <w:tcW w:w="6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Guy F. Talarico (67)</w:t>
            </w:r>
          </w:p>
        </w:tc>
        <w:tc>
          <w:tcPr>
            <w:tcW w:w="120" w:type="dxa"/>
            <w:vAlign w:val="bottom"/>
          </w:tcPr>
          <w:p>
            <w:pPr>
              <w:spacing w:after="0"/>
              <w:rPr>
                <w:sz w:val="17"/>
                <w:szCs w:val="17"/>
                <w:color w:val="auto"/>
              </w:rPr>
            </w:pPr>
          </w:p>
        </w:tc>
        <w:tc>
          <w:tcPr>
            <w:tcW w:w="220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Chief Compliance Officer</w:t>
            </w:r>
          </w:p>
        </w:tc>
        <w:tc>
          <w:tcPr>
            <w:tcW w:w="120" w:type="dxa"/>
            <w:vAlign w:val="bottom"/>
          </w:tcPr>
          <w:p>
            <w:pPr>
              <w:spacing w:after="0"/>
              <w:rPr>
                <w:sz w:val="17"/>
                <w:szCs w:val="17"/>
                <w:color w:val="auto"/>
              </w:rPr>
            </w:pPr>
          </w:p>
        </w:tc>
        <w:tc>
          <w:tcPr>
            <w:tcW w:w="6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Chief Compliance Officer of the Company and PFLT from May 2008 and March 2011,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w w:val="99"/>
              </w:rPr>
              <w:t>respectively. Mr. Talarico has held the position of Chief Compliance Officer for a number of</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advisers, private funds and investment companies from 2004 when he founded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Alaric Compliance Services, LLC, (“Alaric”) of which he was the chief executive officer.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7, 2021 Alaric was acquired by Foreside Financial Group, LLC, which was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subsequently merged with ACA Group in May 2022 and formed ACA Foreside, where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Talarico is currently employed and will continue to serve as the Company’s Chief</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Compliance Officer.</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CCO is c/o PennantPark, 1691 Michigan Avenue, Miami, Florida 33139.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63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required by the 1940 Act, the Company maintains a Code of Ethics with the Adviser that establishes procedures that apply to the Company’s directors, officers, staff and the employees of the Adviser with respect to their personal investments and investment transactions. The Code of Ethics generally does not permit investments by the Company’s directors, officers or any other covered person in securities that may be purchased or held by the Company. The Company filed the Code of Ethics as Exhibit 14.1 to the Annual Report, filed with the SEC on November 17, 2022. You may access the Code of Ethics via the Internet site of the SEC (http://www.sec.gov) or our website (http://www.pennantpark.com). The Company intends to disclose any material amendments to or waivers of required provisions of its Code of Conduct or its Code of Ethics on Form 8-K.</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Each Independent Director receives an annual payment of $110,000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 and Executive Officer</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2022. No compensation is paid directly by the Company to any interested director or executive officer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20" w:type="dxa"/>
            <w:vAlign w:val="bottom"/>
            <w:vMerge w:val="restart"/>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vMerge w:val="restart"/>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vMerge w:val="restart"/>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 accrued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jc w:val="center"/>
              <w:ind w:left="539"/>
              <w:spacing w:after="0" w:line="146"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part of our</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jc w:val="center"/>
              <w:ind w:right="215"/>
              <w:spacing w:after="0" w:line="146"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Pr>
          <w:p>
            <w:pPr>
              <w:jc w:val="center"/>
              <w:ind w:right="297"/>
              <w:spacing w:after="0" w:line="146" w:lineRule="exact"/>
              <w:rPr>
                <w:sz w:val="20"/>
                <w:szCs w:val="20"/>
                <w:color w:val="auto"/>
              </w:rPr>
            </w:pPr>
            <w:r>
              <w:rPr>
                <w:rFonts w:ascii="Times New Roman" w:cs="Times New Roman" w:eastAsia="Times New Roman" w:hAnsi="Times New Roman"/>
                <w:sz w:val="14"/>
                <w:szCs w:val="14"/>
                <w:b w:val="1"/>
                <w:bCs w:val="1"/>
                <w:color w:val="auto"/>
              </w:rPr>
              <w:t>from the Fund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expense</w:t>
            </w:r>
            <w:r>
              <w:rPr>
                <w:rFonts w:ascii="Times New Roman" w:cs="Times New Roman" w:eastAsia="Times New Roman" w:hAnsi="Times New Roman"/>
                <w:sz w:val="19"/>
                <w:szCs w:val="19"/>
                <w:b w:val="1"/>
                <w:bCs w:val="1"/>
                <w:color w:val="auto"/>
                <w:w w:val="97"/>
                <w:vertAlign w:val="superscript"/>
              </w:rPr>
              <w:t>(1)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from the Company</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Complex</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256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1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CFF0FC"/>
            </w:tcBorders>
          </w:tcPr>
          <w:p>
            <w:pPr>
              <w:spacing w:after="0"/>
              <w:rPr>
                <w:sz w:val="20"/>
                <w:szCs w:val="20"/>
                <w:color w:val="auto"/>
              </w:rPr>
            </w:pPr>
          </w:p>
        </w:tc>
        <w:tc>
          <w:tcPr>
            <w:tcW w:w="17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860" w:type="dxa"/>
            <w:vAlign w:val="bottom"/>
            <w:tcBorders>
              <w:top w:val="single" w:sz="8" w:color="CFF0FC"/>
            </w:tcBorders>
          </w:tcPr>
          <w:p>
            <w:pPr>
              <w:spacing w:after="0"/>
              <w:rPr>
                <w:sz w:val="20"/>
                <w:szCs w:val="20"/>
                <w:color w:val="auto"/>
              </w:rPr>
            </w:pPr>
          </w:p>
        </w:tc>
        <w:tc>
          <w:tcPr>
            <w:tcW w:w="1520" w:type="dxa"/>
            <w:vAlign w:val="bottom"/>
            <w:tcBorders>
              <w:top w:val="single" w:sz="8" w:color="CFF0FC"/>
            </w:tcBorders>
          </w:tcPr>
          <w:p>
            <w:pPr>
              <w:jc w:val="right"/>
              <w:ind w:right="13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9"/>
              </w:rPr>
              <w:t>122,500</w:t>
            </w:r>
          </w:p>
        </w:tc>
        <w:tc>
          <w:tcPr>
            <w:tcW w:w="260" w:type="dxa"/>
            <w:vAlign w:val="bottom"/>
            <w:tcBorders>
              <w:top w:val="single" w:sz="8" w:color="CFF0FC"/>
            </w:tcBorders>
          </w:tcPr>
          <w:p>
            <w:pPr>
              <w:spacing w:after="0"/>
              <w:rPr>
                <w:sz w:val="20"/>
                <w:szCs w:val="20"/>
                <w:color w:val="auto"/>
              </w:rPr>
            </w:pPr>
          </w:p>
        </w:tc>
        <w:tc>
          <w:tcPr>
            <w:tcW w:w="1360" w:type="dxa"/>
            <w:vAlign w:val="bottom"/>
            <w:tcBorders>
              <w:top w:val="single" w:sz="8" w:color="CFF0FC"/>
            </w:tcBorders>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460" w:type="dxa"/>
            <w:vAlign w:val="bottom"/>
            <w:tcBorders>
              <w:top w:val="single" w:sz="8" w:color="CFF0FC"/>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620" w:type="dxa"/>
            <w:vAlign w:val="bottom"/>
            <w:tcBorders>
              <w:top w:val="single" w:sz="8" w:color="CFF0FC"/>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Marshall Brozost</w:t>
            </w:r>
          </w:p>
        </w:tc>
        <w:tc>
          <w:tcPr>
            <w:tcW w:w="1520" w:type="dxa"/>
            <w:vAlign w:val="bottom"/>
            <w:shd w:val="clear" w:color="auto" w:fill="CFF0FC"/>
          </w:tcPr>
          <w:p>
            <w:pPr>
              <w:jc w:val="right"/>
              <w:ind w:right="13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122,500</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Jeffrey Flug</w:t>
            </w:r>
          </w:p>
        </w:tc>
        <w:tc>
          <w:tcPr>
            <w:tcW w:w="1520" w:type="dxa"/>
            <w:vAlign w:val="bottom"/>
          </w:tcPr>
          <w:p>
            <w:pPr>
              <w:jc w:val="right"/>
              <w:ind w:right="13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132,500</w:t>
            </w:r>
          </w:p>
        </w:tc>
        <w:tc>
          <w:tcPr>
            <w:tcW w:w="260" w:type="dxa"/>
            <w:vAlign w:val="bottom"/>
          </w:tcPr>
          <w:p>
            <w:pPr>
              <w:spacing w:after="0"/>
              <w:rPr>
                <w:sz w:val="20"/>
                <w:szCs w:val="20"/>
                <w:color w:val="auto"/>
              </w:rPr>
            </w:pPr>
          </w:p>
        </w:tc>
        <w:tc>
          <w:tcPr>
            <w:tcW w:w="1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Samuel L. Katz</w:t>
            </w:r>
          </w:p>
        </w:tc>
        <w:tc>
          <w:tcPr>
            <w:tcW w:w="1520" w:type="dxa"/>
            <w:vAlign w:val="bottom"/>
            <w:shd w:val="clear" w:color="auto" w:fill="CFF0FC"/>
          </w:tcPr>
          <w:p>
            <w:pPr>
              <w:jc w:val="right"/>
              <w:ind w:right="13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132,500</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58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1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Arthur H. Penn</w:t>
            </w:r>
          </w:p>
        </w:tc>
        <w:tc>
          <w:tcPr>
            <w:tcW w:w="15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José A. Briones, Jr.</w:t>
            </w:r>
          </w:p>
        </w:tc>
        <w:tc>
          <w:tcPr>
            <w:tcW w:w="15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0"/>
                <w:szCs w:val="20"/>
                <w:color w:val="auto"/>
              </w:rPr>
            </w:pPr>
          </w:p>
        </w:tc>
        <w:tc>
          <w:tcPr>
            <w:tcW w:w="1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Executive officer</w:t>
            </w:r>
          </w:p>
        </w:tc>
        <w:tc>
          <w:tcPr>
            <w:tcW w:w="1260" w:type="dxa"/>
            <w:vAlign w:val="bottom"/>
            <w:tcBorders>
              <w:bottom w:val="single" w:sz="8" w:color="CFF0FC"/>
            </w:tcBorders>
            <w:gridSpan w:val="3"/>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Richard T. Allorto, Jr.</w:t>
            </w:r>
            <w:r>
              <w:rPr>
                <w:rFonts w:ascii="Times New Roman" w:cs="Times New Roman" w:eastAsia="Times New Roman" w:hAnsi="Times New Roman"/>
                <w:sz w:val="24"/>
                <w:szCs w:val="24"/>
                <w:color w:val="auto"/>
                <w:vertAlign w:val="superscript"/>
              </w:rPr>
              <w:t>(2)</w:t>
            </w:r>
          </w:p>
        </w:tc>
        <w:tc>
          <w:tcPr>
            <w:tcW w:w="15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4"/>
                <w:szCs w:val="24"/>
                <w:color w:val="auto"/>
              </w:rPr>
            </w:pPr>
          </w:p>
        </w:tc>
        <w:tc>
          <w:tcPr>
            <w:tcW w:w="1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Allorto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663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Company’s investment activities are managed by the Adviser and supervised by the Board, of which two-thirds of the members are Independent Directors. The Company’s Investment Advisory Management Agreement with the Adviser (the “Investment Management Agreement”) was most recently amended and restated in April 2019 and re-approved by the Board, including a majority of the Independent Directors, in February 2022.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2022, the Adviser earned a base management fee of $19.8 million and an incentive fee of $2.7 million from the Company.</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Administration Agreement with the Administrator was re-approved by the Board, including a majority of the Independent Directors, in February 2022 and was amended (as amended, the "Administration Agreement") with Board approval, including a majority of the Independent Directors, on July 1, 2022.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Corporate Counsel and their respective staffs. The Company’s Chief Financial Officer is a Managing Director of the Administrator. For the fiscal year ended September 30, 2022, the Adviser and the Administrator, collectively, were reimbursed $0.9 million from the Company for the services described above.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Adviser has granted a non-exclusive, royalty-free license to the Company to use the name “PennantPark.”</w:t>
      </w:r>
    </w:p>
    <w:p>
      <w:pPr>
        <w:spacing w:after="0" w:line="225" w:lineRule="exact"/>
        <w:rPr>
          <w:sz w:val="20"/>
          <w:szCs w:val="20"/>
          <w:color w:val="auto"/>
        </w:rPr>
      </w:pPr>
    </w:p>
    <w:p>
      <w:pPr>
        <w:ind w:right="460" w:firstLine="509"/>
        <w:spacing w:after="0" w:line="312" w:lineRule="auto"/>
        <w:rPr>
          <w:sz w:val="20"/>
          <w:szCs w:val="20"/>
          <w:color w:val="auto"/>
        </w:rPr>
      </w:pPr>
      <w:r>
        <w:rPr>
          <w:rFonts w:ascii="Times New Roman" w:cs="Times New Roman" w:eastAsia="Times New Roman" w:hAnsi="Times New Roman"/>
          <w:sz w:val="17"/>
          <w:szCs w:val="17"/>
          <w:color w:val="auto"/>
        </w:rPr>
        <w:t>In addition, pursuant to the terms of the Administration Agreement, the Administrator provides the Company with the office facilities and administrative services necessary to conduct its day-to-day operations. Arthur H. Penn is the managing member of the Adviser and the Administrator.</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in consultation with the Company’s Chief Executive Officer, CCO and legal counsel, has established a written policy to govern the review of potential related party transactions. The Audit Committee of the Board conducts quarterly reviews of any potential related party transactions and, during these reviews, it also considers any conflicts of interest brought to its attention pursuant to the Company’s Code of Conduct or Joint Code of Ethics.</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SELECTION OF INDEPENDENT REGISTERED PUBLIC ACCOUNTING FIRM</w:t>
      </w:r>
    </w:p>
    <w:p>
      <w:pPr>
        <w:spacing w:after="0" w:line="22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RSM has been selected as the independent registered public accounting firm to audit the consolidated financial statements of the Company and its subsidiaries on and during the Company’s fiscal year ending September 30, 2023. RSM was selected by the Audit Committee, and that selection was ratified by a majority of the Board, including all of the Independent Directors, by a vote cast during the Company’s most recent Board meeting. This selection is subject to ratification or rejection by the Stockholders of the Company. The Company does not know of any direct or indirect financial interest of RSM in the Company. Representative(s) of RSM will attend the Annual Meeting and will have the opportunity to make a statement if they desire to do so and will be available to answer questions.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aggregate fees by RSM were billed to the Company for work attributed to audit, tax and other services provided to the Company for the fiscal years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118745</wp:posOffset>
            </wp:positionV>
            <wp:extent cx="279400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000" cy="15430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262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3160" w:type="dxa"/>
            <w:vAlign w:val="bottom"/>
            <w:tcBorders>
              <w:top w:val="single" w:sz="8" w:color="auto"/>
              <w:bottom w:val="single" w:sz="8" w:color="auto"/>
            </w:tcBorders>
          </w:tcPr>
          <w:p>
            <w:pPr>
              <w:jc w:val="right"/>
              <w:ind w:right="1253"/>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r>
      <w:tr>
        <w:trPr>
          <w:trHeight w:val="23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620" w:type="dxa"/>
            <w:vAlign w:val="bottom"/>
            <w:shd w:val="clear" w:color="auto" w:fill="CFF0FC"/>
          </w:tcPr>
          <w:p>
            <w:pPr>
              <w:jc w:val="right"/>
              <w:ind w:right="24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384,205</w:t>
            </w:r>
          </w:p>
        </w:tc>
        <w:tc>
          <w:tcPr>
            <w:tcW w:w="400" w:type="dxa"/>
            <w:vAlign w:val="bottom"/>
            <w:gridSpan w:val="2"/>
            <w:shd w:val="clear" w:color="auto" w:fill="CFF0FC"/>
          </w:tcPr>
          <w:p>
            <w:pPr>
              <w:spacing w:after="0"/>
              <w:rPr>
                <w:sz w:val="20"/>
                <w:szCs w:val="20"/>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441,898</w:t>
            </w:r>
          </w:p>
        </w:tc>
        <w:tc>
          <w:tcPr>
            <w:tcW w:w="100" w:type="dxa"/>
            <w:vAlign w:val="bottom"/>
            <w:shd w:val="clear" w:color="auto" w:fill="CFF0FC"/>
          </w:tcPr>
          <w:p>
            <w:pPr>
              <w:spacing w:after="0"/>
              <w:rPr>
                <w:sz w:val="20"/>
                <w:szCs w:val="20"/>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Related Fees</w:t>
            </w:r>
          </w:p>
        </w:tc>
        <w:tc>
          <w:tcPr>
            <w:tcW w:w="2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6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24,082</w:t>
            </w:r>
          </w:p>
        </w:tc>
        <w:tc>
          <w:tcPr>
            <w:tcW w:w="100" w:type="dxa"/>
            <w:vAlign w:val="bottom"/>
          </w:tcPr>
          <w:p>
            <w:pPr>
              <w:spacing w:after="0"/>
              <w:rPr>
                <w:sz w:val="20"/>
                <w:szCs w:val="20"/>
                <w:color w:val="auto"/>
              </w:rPr>
            </w:pPr>
          </w:p>
        </w:tc>
      </w:tr>
      <w:tr>
        <w:trPr>
          <w:trHeight w:val="241"/>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shd w:val="clear" w:color="auto" w:fill="CFF0FC"/>
          </w:tcPr>
          <w:p>
            <w:pPr>
              <w:jc w:val="right"/>
              <w:ind w:right="24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409,973</w:t>
            </w:r>
          </w:p>
        </w:tc>
        <w:tc>
          <w:tcPr>
            <w:tcW w:w="400" w:type="dxa"/>
            <w:vAlign w:val="bottom"/>
            <w:gridSpan w:val="2"/>
            <w:shd w:val="clear" w:color="auto" w:fill="CFF0FC"/>
          </w:tcPr>
          <w:p>
            <w:pPr>
              <w:spacing w:after="0"/>
              <w:rPr>
                <w:sz w:val="20"/>
                <w:szCs w:val="20"/>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483,480</w:t>
            </w:r>
          </w:p>
        </w:tc>
        <w:tc>
          <w:tcPr>
            <w:tcW w:w="100" w:type="dxa"/>
            <w:vAlign w:val="bottom"/>
            <w:shd w:val="clear" w:color="auto" w:fill="CFF0FC"/>
          </w:tcPr>
          <w:p>
            <w:pPr>
              <w:spacing w:after="0"/>
              <w:rPr>
                <w:sz w:val="20"/>
                <w:szCs w:val="20"/>
                <w:color w:val="auto"/>
              </w:rPr>
            </w:pPr>
          </w:p>
        </w:tc>
      </w:tr>
    </w:tbl>
    <w:p>
      <w:pPr>
        <w:spacing w:after="0" w:line="196"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normally provided in connection with statutory and regulatory filings.</w:t>
      </w:r>
    </w:p>
    <w:p>
      <w:pPr>
        <w:spacing w:after="0" w:line="158" w:lineRule="exact"/>
        <w:rPr>
          <w:sz w:val="20"/>
          <w:szCs w:val="20"/>
          <w:color w:val="auto"/>
        </w:rPr>
      </w:pPr>
    </w:p>
    <w:p>
      <w:pPr>
        <w:jc w:val="both"/>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3"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billed for products and services other than the services reported above.</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2022 were approved by the Audit Committee in accordance with such policy.</w:t>
      </w:r>
    </w:p>
    <w:p>
      <w:pPr>
        <w:spacing w:after="0" w:line="183"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Report </w:t>
      </w:r>
      <w:r>
        <w:rPr>
          <w:rFonts w:ascii="Times New Roman" w:cs="Times New Roman" w:eastAsia="Times New Roman" w:hAnsi="Times New Roman"/>
          <w:sz w:val="24"/>
          <w:szCs w:val="24"/>
          <w:b w:val="1"/>
          <w:bCs w:val="1"/>
          <w:i w:val="1"/>
          <w:iCs w:val="1"/>
          <w:color w:val="auto"/>
          <w:vertAlign w:val="superscript"/>
        </w:rPr>
        <w:t>(1)</w:t>
      </w:r>
    </w:p>
    <w:p>
      <w:pPr>
        <w:spacing w:after="0" w:line="5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September 30, 2022.</w:t>
      </w:r>
    </w:p>
    <w:p>
      <w:pPr>
        <w:spacing w:after="0" w:line="162"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7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8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Flug,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Samuel L. Katz,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Brozost</w:t>
      </w:r>
    </w:p>
    <w:p>
      <w:pPr>
        <w:spacing w:after="0" w:line="261" w:lineRule="exact"/>
        <w:rPr>
          <w:sz w:val="20"/>
          <w:szCs w:val="20"/>
          <w:color w:val="auto"/>
        </w:rPr>
      </w:pPr>
    </w:p>
    <w:p>
      <w:pPr>
        <w:ind w:left="520" w:right="14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6630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Annual Meeting or that may properly come before the Annual Meeting, apart from the consideration of an adjournment or postponement. If any other matter properly comes before the Annual Meeting, however, the persons named in the proxies will vote on such matter in their discretion.</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a sufficient number of shares are not present to establish a quorum for the Annual Meeting or there are not sufficient votes to approve a proposal at the Annual Meeting, the chairman of the Annual Meeting may adjourn the Annual Meeting with respect to the Company to permit the further solicitation of proxies.</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1691 Michigan Avenue Miami, Florida 33139. Copies of such reports are also posted via the SEC’s Electronic Data Gathering, Analysis, and Retrieval system available on the SEC’s website (http://www.sec.gov).</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Whether or not you expect to participate in the virtual Annual Meeting, please follow the instructions on the Notice of Internet Availability of Proxy Materials to authorize your proxy via the Internet or telephone, or request, sign, date and return a proxy card so that you may be represented at the Annual Meeting. The Annual Meeting will be a completely virtual meeting of Stockholders and will be conducted exclusively by webcast. To participate in the Annual Meeting, visit www.virtualshareholdermeeting.com/PNNT2023, and enter the 16-digit Control Number included in your Notice of Internet Availability of Proxy Materials. Online check-in will begin at 9:15 a.m., Eastern Time. Please allow time for online check-in procedures. For questions regarding the virtual Annual Meeting please call the support number that will be posted on the virtual Annual Meeting platform log-in page atwww.virtualshareholdermeeting.com/PNNT2023.</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expects to hold its 2024 Annual Meeting of Stockholders in February 2024,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1691 Michigan Avenue, Miami, Florida 33139.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2024 Annual Meeting of Stockholders must be received by the Company between July 24, 2023 and August 23, 2023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88"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The Audit Committee of the Board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involving the CCO, may submit complaints directly to the Audit Committee’s Co-Chairs. Complaints may be submitted on an anonymous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CCO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Florida 33139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Co-Chairs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Messrs. Jeffrey Flug and/or Samuel L. Katz</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Audit Committee Co-Chair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Florida 33139</w:t>
      </w:r>
    </w:p>
    <w:p>
      <w:pPr>
        <w:spacing w:after="0" w:line="200" w:lineRule="exact"/>
        <w:rPr>
          <w:sz w:val="20"/>
          <w:szCs w:val="20"/>
          <w:color w:val="auto"/>
        </w:rPr>
      </w:pPr>
    </w:p>
    <w:p>
      <w:pPr>
        <w:spacing w:after="0" w:line="22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in person (virtually). Whether or not you plan to attend the Annual Meeting, you are requested to vote in accordance with the voting instructions in the Notice of Internet Availability of Proxy Materials, or by requesting and promptly returning a completed, dated and signed proxy card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303020" cy="402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02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7, 2022</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226060</wp:posOffset>
            </wp:positionV>
            <wp:extent cx="5349240" cy="68408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4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226060</wp:posOffset>
            </wp:positionV>
            <wp:extent cx="5349240" cy="6892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226060</wp:posOffset>
            </wp:positionV>
            <wp:extent cx="5237480" cy="6677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237480" cy="667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237480" cy="6789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237480" cy="678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2"/>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upperLetter"/>
      <w:start w:val="35"/>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2022-12-08T07:33:28Z</dcterms:created>
  <dcterms:modified xsi:type="dcterms:W3CDTF">2022-12-08T07:33:28Z</dcterms:modified>
</cp:coreProperties>
</file>