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127000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6"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360"/>
        <w:spacing w:after="0"/>
        <w:tabs>
          <w:tab w:leader="none" w:pos="7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6"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00" w:type="dxa"/>
            <w:vAlign w:val="bottom"/>
          </w:tcPr>
          <w:p>
            <w:pPr>
              <w:jc w:val="right"/>
              <w:ind w:right="24"/>
              <w:spacing w:after="0"/>
              <w:rPr>
                <w:sz w:val="20"/>
                <w:szCs w:val="20"/>
                <w:color w:val="auto"/>
              </w:rPr>
            </w:pPr>
            <w:r>
              <w:rPr>
                <w:rFonts w:ascii="Arial" w:cs="Arial" w:eastAsia="Arial" w:hAnsi="Arial"/>
                <w:sz w:val="18"/>
                <w:szCs w:val="18"/>
                <w:b w:val="1"/>
                <w:bCs w:val="1"/>
                <w:color w:val="auto"/>
              </w:rPr>
              <w:t>20-8250744</w:t>
            </w:r>
          </w:p>
        </w:tc>
      </w:tr>
      <w:tr>
        <w:trPr>
          <w:trHeight w:val="149"/>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00" w:type="dxa"/>
            <w:vAlign w:val="bottom"/>
          </w:tcPr>
          <w:p>
            <w:pPr>
              <w:jc w:val="center"/>
              <w:ind w:left="386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00" w:type="dxa"/>
            <w:vAlign w:val="bottom"/>
          </w:tcPr>
          <w:p>
            <w:pPr>
              <w:jc w:val="center"/>
              <w:ind w:left="386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 15</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00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00" w:type="dxa"/>
            <w:vAlign w:val="bottom"/>
          </w:tcPr>
          <w:p>
            <w:pPr>
              <w:jc w:val="right"/>
              <w:ind w:right="224"/>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00" w:type="dxa"/>
            <w:vAlign w:val="bottom"/>
          </w:tcPr>
          <w:p>
            <w:pPr>
              <w:jc w:val="center"/>
              <w:ind w:left="386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380" w:type="dxa"/>
            <w:vAlign w:val="bottom"/>
          </w:tcPr>
          <w:p>
            <w:pPr>
              <w:spacing w:after="0"/>
              <w:rPr>
                <w:sz w:val="24"/>
                <w:szCs w:val="24"/>
                <w:color w:val="auto"/>
              </w:rPr>
            </w:pPr>
          </w:p>
        </w:tc>
        <w:tc>
          <w:tcPr>
            <w:tcW w:w="5000" w:type="dxa"/>
            <w:vAlign w:val="bottom"/>
          </w:tcPr>
          <w:p>
            <w:pPr>
              <w:jc w:val="right"/>
              <w:ind w:right="278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380" w:type="dxa"/>
            <w:vAlign w:val="bottom"/>
          </w:tcPr>
          <w:p>
            <w:pPr>
              <w:spacing w:after="0"/>
              <w:rPr>
                <w:sz w:val="15"/>
                <w:szCs w:val="15"/>
                <w:color w:val="auto"/>
              </w:rPr>
            </w:pPr>
          </w:p>
        </w:tc>
        <w:tc>
          <w:tcPr>
            <w:tcW w:w="5000" w:type="dxa"/>
            <w:vAlign w:val="bottom"/>
          </w:tcPr>
          <w:p>
            <w:pPr>
              <w:jc w:val="center"/>
              <w:ind w:right="174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94615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5" w:lineRule="exact"/>
        <w:rPr>
          <w:sz w:val="24"/>
          <w:szCs w:val="24"/>
          <w:color w:val="auto"/>
        </w:rPr>
      </w:pPr>
    </w:p>
    <w:p>
      <w:pPr>
        <w:ind w:right="120" w:firstLine="449"/>
        <w:spacing w:after="0" w:line="22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ind w:right="36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00" w:space="180"/>
            <w:col w:w="1960"/>
          </w:cols>
          <w:pgMar w:left="320" w:top="230" w:right="339" w:bottom="1440" w:gutter="0" w:footer="0" w:header="0"/>
          <w:type w:val="continuous"/>
        </w:sectPr>
      </w:pPr>
    </w:p>
    <w:p>
      <w:pPr>
        <w:spacing w:after="0" w:line="2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May 8, 2013 was 66,450,117.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MARCH 31, 2013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40" w:type="dxa"/>
            <w:vAlign w:val="bottom"/>
          </w:tcPr>
          <w:p>
            <w:pPr>
              <w:ind w:left="3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CONSOLIDATED FINANCIAL INFORMATION</w:t>
              </w:r>
            </w:hyperlink>
          </w:p>
        </w:tc>
        <w:tc>
          <w:tcPr>
            <w:tcW w:w="1400" w:type="dxa"/>
            <w:vAlign w:val="bottom"/>
          </w:tcPr>
          <w:p>
            <w:pPr>
              <w:spacing w:after="0"/>
              <w:rPr>
                <w:sz w:val="19"/>
                <w:szCs w:val="19"/>
                <w:color w:val="auto"/>
              </w:rPr>
            </w:pP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Consolidated Financial Statements</w:t>
              </w:r>
            </w:hyperlink>
          </w:p>
        </w:tc>
        <w:tc>
          <w:tcPr>
            <w:tcW w:w="1400" w:type="dxa"/>
            <w:vAlign w:val="bottom"/>
          </w:tcPr>
          <w:p>
            <w:pPr>
              <w:spacing w:after="0"/>
              <w:rPr>
                <w:sz w:val="24"/>
                <w:szCs w:val="24"/>
                <w:color w:val="auto"/>
              </w:rPr>
            </w:pP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as of March 31, 2013 (unaudited) and September 30, 2012</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and six months ended March 31, 2013 and 2012 (unaudited)</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Changes in Net Assets for the six months ended March 31, 2013 and 2012 (unaudited)</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for the six months ended March 31, 2013 and 2012 (unaudited)</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as of March 31, 2013 (unaudited) and September 30, 2012</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Notes to Consolidated Financial Statements (unaudited)</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Report of Independent Registered Public Accounting Firm</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Item 3. Quantitative and Qualitative Disclosures About Market Risk</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Item 4. Controls and Procedures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740" w:type="dxa"/>
            <w:vAlign w:val="bottom"/>
          </w:tcPr>
          <w:p>
            <w:pPr>
              <w:ind w:left="4000"/>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PART II. OTHER INFORMATION</w:t>
              </w:r>
            </w:hyperlink>
          </w:p>
        </w:tc>
        <w:tc>
          <w:tcPr>
            <w:tcW w:w="1400" w:type="dxa"/>
            <w:vAlign w:val="bottom"/>
          </w:tcPr>
          <w:p>
            <w:pPr>
              <w:spacing w:after="0"/>
              <w:rPr>
                <w:sz w:val="24"/>
                <w:szCs w:val="24"/>
                <w:color w:val="auto"/>
              </w:rPr>
            </w:pP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1. Legal Proceedings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1A. Risk Factors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2. Unregistered Sales of Equity Securities and Use of Proceeds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3. Defaults Upon Senior Securities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4. Mine Safety Disclosures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5. Other Information</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Item 6. Exhibits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SIGNATURES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I—CONSOLIDATED FINANCIAL INFORMATION</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filing this Form 10-Q, or the Report, in compliance with Rule 13a-13 promulgated by the Securities and Exchange Commission, or the SEC. In this Report,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 “PennantPark Investment Advisers” or “Investment Adviser” refers to PennantPark Investment Advisers, LLC; “PennantPark Investment Administration” or “Administrator” refers to PennantPark Investment Administration, LLC. References to our portfolio or investments include investments we make through our SBIC Funds and other consolidated subsidiaries. “SBA” refers to the Small Business Administration; “Credit Facility” refers to our multi-currency, senior secured revolving credit facility; “2025 Notes” refers to our 6.25% senior notes due 2025; “BDC” refers to a business development company under the Investment Company Act of 1940, as amended, or the 1940 Act; “Code” refers to the Internal Revenue Code of 1986, as amended; “RIC” refers to a regulated investment company under the Code.</w:t>
      </w:r>
    </w:p>
    <w:p>
      <w:pPr>
        <w:sectPr>
          <w:pgSz w:w="11900" w:h="16838" w:orient="portrait"/>
          <w:cols w:equalWidth="0" w:num="1">
            <w:col w:w="11180"/>
          </w:cols>
          <w:pgMar w:left="32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March 31, 2013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(unaudited)</w:t>
            </w:r>
          </w:p>
        </w:tc>
        <w:tc>
          <w:tcPr>
            <w:tcW w:w="120" w:type="dxa"/>
            <w:vAlign w:val="bottom"/>
          </w:tcPr>
          <w:p>
            <w:pPr>
              <w:spacing w:after="0"/>
              <w:rPr>
                <w:sz w:val="14"/>
                <w:szCs w:val="14"/>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8"/>
              </w:rPr>
              <w:t>September 30, 2012</w:t>
            </w:r>
          </w:p>
        </w:tc>
        <w:tc>
          <w:tcPr>
            <w:tcW w:w="0" w:type="dxa"/>
            <w:vAlign w:val="bottom"/>
          </w:tcPr>
          <w:p>
            <w:pPr>
              <w:spacing w:after="0"/>
              <w:rPr>
                <w:sz w:val="1"/>
                <w:szCs w:val="1"/>
                <w:color w:val="auto"/>
              </w:rPr>
            </w:pPr>
          </w:p>
        </w:tc>
      </w:tr>
      <w:tr>
        <w:trPr>
          <w:trHeight w:val="196"/>
        </w:trPr>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(cost—$917,043,333 and $871,867,953,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971,792,490</w:t>
            </w:r>
          </w:p>
        </w:tc>
        <w:tc>
          <w:tcPr>
            <w:tcW w:w="2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871,892,745</w:t>
            </w:r>
          </w:p>
        </w:tc>
        <w:tc>
          <w:tcPr>
            <w:tcW w:w="0" w:type="dxa"/>
            <w:vAlign w:val="bottom"/>
          </w:tcPr>
          <w:p>
            <w:pPr>
              <w:spacing w:after="0"/>
              <w:rPr>
                <w:sz w:val="1"/>
                <w:szCs w:val="1"/>
                <w:color w:val="auto"/>
              </w:rPr>
            </w:pPr>
          </w:p>
        </w:tc>
      </w:tr>
      <w:tr>
        <w:trPr>
          <w:trHeight w:val="208"/>
        </w:trPr>
        <w:tc>
          <w:tcPr>
            <w:tcW w:w="8240" w:type="dxa"/>
            <w:vAlign w:val="bottom"/>
          </w:tcPr>
          <w:p>
            <w:pPr>
              <w:ind w:left="440"/>
              <w:spacing w:after="0"/>
              <w:rPr>
                <w:sz w:val="20"/>
                <w:szCs w:val="20"/>
                <w:color w:val="auto"/>
              </w:rPr>
            </w:pPr>
            <w:r>
              <w:rPr>
                <w:rFonts w:ascii="Arial" w:cs="Arial" w:eastAsia="Arial" w:hAnsi="Arial"/>
                <w:sz w:val="18"/>
                <w:szCs w:val="18"/>
                <w:color w:val="auto"/>
              </w:rPr>
              <w:t>Non-controlled, affiliated investments, at fair value</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660"/>
              <w:spacing w:after="0"/>
              <w:rPr>
                <w:sz w:val="20"/>
                <w:szCs w:val="20"/>
                <w:color w:val="auto"/>
              </w:rPr>
            </w:pPr>
            <w:r>
              <w:rPr>
                <w:rFonts w:ascii="Arial" w:cs="Arial" w:eastAsia="Arial" w:hAnsi="Arial"/>
                <w:sz w:val="18"/>
                <w:szCs w:val="18"/>
                <w:color w:val="auto"/>
              </w:rPr>
              <w:t>(cost—$126,891,564 and $72,576,858, respectively)</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105,565,435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80,955,257</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Controlled, affiliated investments, at fair value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(cost—$63,870,076 and $64,167,051, 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37,519,282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37,631,708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40" w:type="dxa"/>
            <w:vAlign w:val="bottom"/>
          </w:tcPr>
          <w:p>
            <w:pPr>
              <w:ind w:left="440"/>
              <w:spacing w:after="0"/>
              <w:rPr>
                <w:sz w:val="20"/>
                <w:szCs w:val="20"/>
                <w:color w:val="auto"/>
              </w:rPr>
            </w:pPr>
            <w:r>
              <w:rPr>
                <w:rFonts w:ascii="Arial" w:cs="Arial" w:eastAsia="Arial" w:hAnsi="Arial"/>
                <w:sz w:val="18"/>
                <w:szCs w:val="18"/>
                <w:color w:val="auto"/>
              </w:rPr>
              <w:t>Total of investments, at fair value (cost—$1,107,804,973 and $1,008,611,862, respectively)</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1,114,877,207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990,479,710</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8)</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17,333,318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7,559,453</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Interest receivable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14,621,482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14,928,862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5,444,939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8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1,152,276,946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1,018,967,531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Distributions payable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18,592,349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15,824,061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2,935,322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Unfunded investments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26,801,667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26,935,270</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(cost—$171,700,000 and $145,000,000, respectively)</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(See Notes 5 and 10)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171,700,000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144,452,500</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SBA debentures payable (cost—$150,000,000) (See Notes 5 and 10)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2025 Notes payable (cost—$71,250,000) (See Notes 5 and 10)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71,677,500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Interest payable on debt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1,809,052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854,725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5,328,100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4,791,913</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3,559,245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4,206,989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2,497,403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454,900,638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349,250,484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tcPr>
          <w:p>
            <w:pPr>
              <w:spacing w:after="0"/>
              <w:rPr>
                <w:sz w:val="20"/>
                <w:szCs w:val="20"/>
                <w:color w:val="auto"/>
              </w:rPr>
            </w:pPr>
            <w:r>
              <w:rPr>
                <w:rFonts w:ascii="Arial" w:cs="Arial" w:eastAsia="Arial" w:hAnsi="Arial"/>
                <w:sz w:val="18"/>
                <w:szCs w:val="18"/>
                <w:color w:val="auto"/>
              </w:rPr>
              <w:t>Common stock, 66,401,248 and 65,514,503 shares issued and outstanding, respectively.</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220"/>
              <w:spacing w:after="0"/>
              <w:rPr>
                <w:sz w:val="20"/>
                <w:szCs w:val="20"/>
                <w:color w:val="auto"/>
              </w:rPr>
            </w:pPr>
            <w:r>
              <w:rPr>
                <w:rFonts w:ascii="Arial" w:cs="Arial" w:eastAsia="Arial" w:hAnsi="Arial"/>
                <w:sz w:val="18"/>
                <w:szCs w:val="18"/>
                <w:color w:val="auto"/>
              </w:rPr>
              <w:t>Par value $0.001 per share and 100,000,000 shares authorized.</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66,401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65,514</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754,021,968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744,704,825</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(Distributions in excess of) Undistributed net investment income</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(2,124,126)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2,804,397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(61,232,669)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(60,273,037)</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7,072,234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(18,132,152)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debt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547,500</w:t>
            </w:r>
          </w:p>
        </w:tc>
        <w:tc>
          <w:tcPr>
            <w:tcW w:w="0" w:type="dxa"/>
            <w:vAlign w:val="bottom"/>
          </w:tcPr>
          <w:p>
            <w:pPr>
              <w:spacing w:after="0"/>
              <w:rPr>
                <w:sz w:val="1"/>
                <w:szCs w:val="1"/>
                <w:color w:val="auto"/>
              </w:rPr>
            </w:pPr>
          </w:p>
        </w:tc>
      </w:tr>
      <w:tr>
        <w:trPr>
          <w:trHeight w:val="230"/>
        </w:trPr>
        <w:tc>
          <w:tcPr>
            <w:tcW w:w="8240" w:type="dxa"/>
            <w:vAlign w:val="bottom"/>
          </w:tcPr>
          <w:p>
            <w:pPr>
              <w:ind w:left="880"/>
              <w:spacing w:after="0"/>
              <w:rPr>
                <w:sz w:val="20"/>
                <w:szCs w:val="20"/>
                <w:color w:val="auto"/>
              </w:rPr>
            </w:pPr>
            <w:r>
              <w:rPr>
                <w:rFonts w:ascii="Arial" w:cs="Arial" w:eastAsia="Arial" w:hAnsi="Arial"/>
                <w:sz w:val="18"/>
                <w:szCs w:val="18"/>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697,376,308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669,717,047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 and net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1,152,276,946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1,018,967,531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8"/>
                <w:szCs w:val="18"/>
                <w:color w:val="auto"/>
              </w:rPr>
            </w:pPr>
          </w:p>
        </w:tc>
        <w:tc>
          <w:tcPr>
            <w:tcW w:w="3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97"/>
              </w:rPr>
              <w:t>Three months ended March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3"/>
                <w:szCs w:val="13"/>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3"/>
                <w:szCs w:val="13"/>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28,058,570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24,310,488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53,827,187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48,330,912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Other income and dividends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876,680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1,084,688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5,242,954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2,955,202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938,261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549,594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2,330,764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1,122,525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1,183,750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416,889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2,386,457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31,057,261</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26,361,659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64,015,162</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53,200,417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Base management fee (See Note 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5,328,100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4,178,151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10,456,711</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8,221,432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3,559,244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2,374,842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8,104,498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Interest and expenses on debt (See Note 10)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3,984,909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2,736,619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7,079,774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5,111,742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808,303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2,327,859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719,423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897,849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1,479,955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1,740,194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Expenses before taxes and debt issuance costs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14,747,213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10,995,764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29,448,797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22,802,994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Tax (credit) expense</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(190,197)</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(114,896)</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issuance costs (See Note 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5,361,319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2,437,500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16,994,516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16,602,083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31,771,401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28,444,313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14,062,745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9,759,576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32,243,761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24,756,104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Arial" w:cs="Arial" w:eastAsia="Arial" w:hAnsi="Arial"/>
                <w:sz w:val="18"/>
                <w:szCs w:val="18"/>
                <w:b w:val="1"/>
                <w:bCs w:val="1"/>
                <w:color w:val="auto"/>
              </w:rPr>
              <w:t>Realized and unrealized (loss) gain on investments</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b w:val="1"/>
                <w:bCs w:val="1"/>
                <w:color w:val="auto"/>
              </w:rPr>
              <w:t>and debt: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(1,830,764)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(3,922,455)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(959,632)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(11,952,011)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26,227,226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22,470,558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32,289,547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30,535,339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Controlled and non-controlled, affiliated investments</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(11,059,378)</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(1,692,070)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(7,085,161)</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appreciation (See Notes 5 and 10)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(427,500)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(975,000)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(1,365,375)</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Net change in unrealized appreciation</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14,740,348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20,560,988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24,229,386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29,439,540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from investments and debt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12,909,584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16,638,533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23,269,754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17,487,529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26,972,329</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26,398,109</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55,513,515</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42,243,633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 common share (See Note 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0.21</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0.49</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CHANGES IN NET ASSETS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rPr>
              <w:t>Six Months Ended March 31,</w:t>
            </w:r>
          </w:p>
        </w:tc>
      </w:tr>
      <w:tr>
        <w:trPr>
          <w:trHeight w:val="142"/>
        </w:trPr>
        <w:tc>
          <w:tcPr>
            <w:tcW w:w="744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3"/>
                <w:szCs w:val="13"/>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32,243,761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24,756,104</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(959,632)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(11,952,011)</w:t>
            </w: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Net change in unrealized appreciation on investments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25,204,386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30,804,915</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appreciation on debt</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(1,365,375)</w:t>
            </w:r>
          </w:p>
        </w:tc>
      </w:tr>
      <w:tr>
        <w:trPr>
          <w:trHeight w:val="230"/>
        </w:trPr>
        <w:tc>
          <w:tcPr>
            <w:tcW w:w="744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55,513,515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42,243,633</w:t>
            </w:r>
          </w:p>
        </w:tc>
        <w:tc>
          <w:tcPr>
            <w:tcW w:w="100" w:type="dxa"/>
            <w:vAlign w:val="bottom"/>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Distributions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(37,172,284)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(28,531,062)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Public offering</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7,574,000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109,192,500</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Offering costs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(265,090)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(3,979,000)</w:t>
            </w:r>
          </w:p>
        </w:tc>
      </w:tr>
      <w:tr>
        <w:trPr>
          <w:trHeight w:val="223"/>
        </w:trPr>
        <w:tc>
          <w:tcPr>
            <w:tcW w:w="7440" w:type="dxa"/>
            <w:vAlign w:val="bottom"/>
          </w:tcPr>
          <w:p>
            <w:pPr>
              <w:ind w:left="440"/>
              <w:spacing w:after="0"/>
              <w:rPr>
                <w:sz w:val="20"/>
                <w:szCs w:val="20"/>
                <w:color w:val="auto"/>
              </w:rPr>
            </w:pPr>
            <w:r>
              <w:rPr>
                <w:rFonts w:ascii="Arial" w:cs="Arial" w:eastAsia="Arial" w:hAnsi="Arial"/>
                <w:sz w:val="18"/>
                <w:szCs w:val="18"/>
                <w:color w:val="auto"/>
              </w:rPr>
              <w:t>Reinvestment of dividends</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2,009,120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1,724,378</w:t>
            </w:r>
          </w:p>
        </w:tc>
        <w:tc>
          <w:tcPr>
            <w:tcW w:w="100" w:type="dxa"/>
            <w:vAlign w:val="bottom"/>
          </w:tcPr>
          <w:p>
            <w:pPr>
              <w:spacing w:after="0"/>
              <w:rPr>
                <w:sz w:val="19"/>
                <w:szCs w:val="19"/>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increase from capital transactions</w:t>
            </w:r>
          </w:p>
        </w:tc>
        <w:tc>
          <w:tcPr>
            <w:tcW w:w="1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9,318,030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106,937,878</w:t>
            </w:r>
          </w:p>
        </w:tc>
        <w:tc>
          <w:tcPr>
            <w:tcW w:w="100" w:type="dxa"/>
            <w:vAlign w:val="bottom"/>
            <w:shd w:val="clear" w:color="auto" w:fill="CCEEFF"/>
          </w:tcPr>
          <w:p>
            <w:pPr>
              <w:spacing w:after="0"/>
              <w:rPr>
                <w:sz w:val="18"/>
                <w:szCs w:val="18"/>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increase in net assets</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27,659,261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120,650,449</w:t>
            </w:r>
          </w:p>
        </w:tc>
        <w:tc>
          <w:tcPr>
            <w:tcW w:w="100" w:type="dxa"/>
            <w:vAlign w:val="bottom"/>
          </w:tcPr>
          <w:p>
            <w:pPr>
              <w:spacing w:after="0"/>
              <w:rPr>
                <w:sz w:val="19"/>
                <w:szCs w:val="19"/>
                <w:color w:val="auto"/>
              </w:rPr>
            </w:pPr>
          </w:p>
        </w:tc>
      </w:tr>
      <w:tr>
        <w:trPr>
          <w:trHeight w:val="116"/>
        </w:trPr>
        <w:tc>
          <w:tcPr>
            <w:tcW w:w="7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Beginning of period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669,717,047</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462,657,196</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 of period</w:t>
            </w:r>
          </w:p>
        </w:tc>
        <w:tc>
          <w:tcPr>
            <w:tcW w:w="1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697,376,308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583,307,645</w:t>
            </w:r>
          </w:p>
        </w:tc>
        <w:tc>
          <w:tcPr>
            <w:tcW w:w="100" w:type="dxa"/>
            <w:vAlign w:val="bottom"/>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7"/>
        </w:trPr>
        <w:tc>
          <w:tcPr>
            <w:tcW w:w="7440" w:type="dxa"/>
            <w:vAlign w:val="bottom"/>
          </w:tcPr>
          <w:p>
            <w:pPr>
              <w:ind w:left="440"/>
              <w:spacing w:after="0"/>
              <w:rPr>
                <w:sz w:val="20"/>
                <w:szCs w:val="20"/>
                <w:color w:val="auto"/>
              </w:rPr>
            </w:pPr>
            <w:r>
              <w:rPr>
                <w:rFonts w:ascii="Arial" w:cs="Arial" w:eastAsia="Arial" w:hAnsi="Arial"/>
                <w:sz w:val="18"/>
                <w:szCs w:val="18"/>
                <w:color w:val="auto"/>
              </w:rPr>
              <w:t>(Distributions in excess of) Undistributed net investment income, at period end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(2,124,126)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4,551,894</w:t>
            </w:r>
          </w:p>
        </w:tc>
        <w:tc>
          <w:tcPr>
            <w:tcW w:w="100" w:type="dxa"/>
            <w:vAlign w:val="bottom"/>
          </w:tcPr>
          <w:p>
            <w:pPr>
              <w:spacing w:after="0"/>
              <w:rPr>
                <w:sz w:val="24"/>
                <w:szCs w:val="24"/>
                <w:color w:val="auto"/>
              </w:rPr>
            </w:pPr>
          </w:p>
        </w:tc>
      </w:tr>
      <w:tr>
        <w:trPr>
          <w:trHeight w:val="20"/>
        </w:trPr>
        <w:tc>
          <w:tcPr>
            <w:tcW w:w="7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440" w:type="dxa"/>
            <w:vAlign w:val="bottom"/>
          </w:tcPr>
          <w:p>
            <w:pPr>
              <w:ind w:left="440"/>
              <w:spacing w:after="0"/>
              <w:rPr>
                <w:sz w:val="20"/>
                <w:szCs w:val="20"/>
                <w:color w:val="auto"/>
              </w:rPr>
            </w:pPr>
            <w:r>
              <w:rPr>
                <w:rFonts w:ascii="Arial" w:cs="Arial" w:eastAsia="Arial" w:hAnsi="Arial"/>
                <w:sz w:val="18"/>
                <w:szCs w:val="18"/>
                <w:color w:val="auto"/>
              </w:rPr>
              <w:t>Shares issued from public offering</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10,350,000</w:t>
            </w:r>
          </w:p>
        </w:tc>
        <w:tc>
          <w:tcPr>
            <w:tcW w:w="100" w:type="dxa"/>
            <w:vAlign w:val="bottom"/>
          </w:tcPr>
          <w:p>
            <w:pPr>
              <w:spacing w:after="0"/>
              <w:rPr>
                <w:sz w:val="19"/>
                <w:szCs w:val="19"/>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from reinvestment of dividends</w:t>
            </w:r>
          </w:p>
        </w:tc>
        <w:tc>
          <w:tcPr>
            <w:tcW w:w="1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167,092</w:t>
            </w:r>
          </w:p>
        </w:tc>
        <w:tc>
          <w:tcPr>
            <w:tcW w:w="10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CASH FLOWS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2"/>
        </w:trPr>
        <w:tc>
          <w:tcPr>
            <w:tcW w:w="82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3"/>
                <w:szCs w:val="13"/>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55,513,515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42,243,633</w:t>
            </w:r>
          </w:p>
        </w:tc>
        <w:tc>
          <w:tcPr>
            <w:tcW w:w="0" w:type="dxa"/>
            <w:vAlign w:val="bottom"/>
          </w:tcPr>
          <w:p>
            <w:pPr>
              <w:spacing w:after="0"/>
              <w:rPr>
                <w:sz w:val="1"/>
                <w:szCs w:val="1"/>
                <w:color w:val="auto"/>
              </w:rPr>
            </w:pPr>
          </w:p>
        </w:tc>
      </w:tr>
      <w:tr>
        <w:trPr>
          <w:trHeight w:val="208"/>
        </w:trPr>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Adjustments to reconcile net increase in net assets resulting from operations to net cash used by operating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880"/>
              <w:spacing w:after="0"/>
              <w:rPr>
                <w:sz w:val="20"/>
                <w:szCs w:val="20"/>
                <w:color w:val="auto"/>
              </w:rPr>
            </w:pPr>
            <w:r>
              <w:rPr>
                <w:rFonts w:ascii="Arial" w:cs="Arial" w:eastAsia="Arial" w:hAnsi="Arial"/>
                <w:sz w:val="18"/>
                <w:szCs w:val="18"/>
                <w:color w:val="auto"/>
              </w:rPr>
              <w:t>Net change in unrealized appreciation on 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(25,204,386)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(30,804,915)</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on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975,000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1,365,375</w:t>
            </w:r>
          </w:p>
        </w:tc>
        <w:tc>
          <w:tcPr>
            <w:tcW w:w="0" w:type="dxa"/>
            <w:vAlign w:val="bottom"/>
          </w:tcPr>
          <w:p>
            <w:pPr>
              <w:spacing w:after="0"/>
              <w:rPr>
                <w:sz w:val="1"/>
                <w:szCs w:val="1"/>
                <w:color w:val="auto"/>
              </w:rPr>
            </w:pPr>
          </w:p>
        </w:tc>
      </w:tr>
      <w:tr>
        <w:trPr>
          <w:trHeight w:val="216"/>
        </w:trPr>
        <w:tc>
          <w:tcPr>
            <w:tcW w:w="8200" w:type="dxa"/>
            <w:vAlign w:val="bottom"/>
          </w:tcPr>
          <w:p>
            <w:pPr>
              <w:ind w:left="880"/>
              <w:spacing w:after="0"/>
              <w:rPr>
                <w:sz w:val="20"/>
                <w:szCs w:val="20"/>
                <w:color w:val="auto"/>
              </w:rPr>
            </w:pPr>
            <w:r>
              <w:rPr>
                <w:rFonts w:ascii="Arial" w:cs="Arial" w:eastAsia="Arial" w:hAnsi="Arial"/>
                <w:sz w:val="18"/>
                <w:szCs w:val="18"/>
                <w:color w:val="auto"/>
              </w:rPr>
              <w:t>Net realized loss on 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959,632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11,952,011</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(3,451,454)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(5,784,489)</w:t>
            </w:r>
          </w:p>
        </w:tc>
        <w:tc>
          <w:tcPr>
            <w:tcW w:w="0" w:type="dxa"/>
            <w:vAlign w:val="bottom"/>
          </w:tcPr>
          <w:p>
            <w:pPr>
              <w:spacing w:after="0"/>
              <w:rPr>
                <w:sz w:val="1"/>
                <w:szCs w:val="1"/>
                <w:color w:val="auto"/>
              </w:rPr>
            </w:pPr>
          </w:p>
        </w:tc>
      </w:tr>
      <w:tr>
        <w:trPr>
          <w:trHeight w:val="216"/>
        </w:trPr>
        <w:tc>
          <w:tcPr>
            <w:tcW w:w="820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(243,825,185)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(153,884,038)</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Payments-in-kind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(6,379,825)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(6,136,921)</w:t>
            </w:r>
          </w:p>
        </w:tc>
        <w:tc>
          <w:tcPr>
            <w:tcW w:w="0" w:type="dxa"/>
            <w:vAlign w:val="bottom"/>
          </w:tcPr>
          <w:p>
            <w:pPr>
              <w:spacing w:after="0"/>
              <w:rPr>
                <w:sz w:val="1"/>
                <w:szCs w:val="1"/>
                <w:color w:val="auto"/>
              </w:rPr>
            </w:pPr>
          </w:p>
        </w:tc>
      </w:tr>
      <w:tr>
        <w:trPr>
          <w:trHeight w:val="216"/>
        </w:trPr>
        <w:tc>
          <w:tcPr>
            <w:tcW w:w="8200" w:type="dxa"/>
            <w:vAlign w:val="bottom"/>
          </w:tcPr>
          <w:p>
            <w:pPr>
              <w:ind w:left="880"/>
              <w:spacing w:after="0"/>
              <w:rPr>
                <w:sz w:val="20"/>
                <w:szCs w:val="20"/>
                <w:color w:val="auto"/>
              </w:rPr>
            </w:pPr>
            <w:r>
              <w:rPr>
                <w:rFonts w:ascii="Arial" w:cs="Arial" w:eastAsia="Arial" w:hAnsi="Arial"/>
                <w:sz w:val="18"/>
                <w:szCs w:val="18"/>
                <w:color w:val="auto"/>
              </w:rPr>
              <w:t>Proceeds from dispositions of 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153,370,119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118,544,142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receivable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307,380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(135,633)</w:t>
            </w:r>
          </w:p>
        </w:tc>
        <w:tc>
          <w:tcPr>
            <w:tcW w:w="0" w:type="dxa"/>
            <w:vAlign w:val="bottom"/>
          </w:tcPr>
          <w:p>
            <w:pPr>
              <w:spacing w:after="0"/>
              <w:rPr>
                <w:sz w:val="1"/>
                <w:szCs w:val="1"/>
                <w:color w:val="auto"/>
              </w:rPr>
            </w:pPr>
          </w:p>
        </w:tc>
      </w:tr>
      <w:tr>
        <w:trPr>
          <w:trHeight w:val="216"/>
        </w:trPr>
        <w:tc>
          <w:tcPr>
            <w:tcW w:w="8200" w:type="dxa"/>
            <w:vAlign w:val="bottom"/>
          </w:tcPr>
          <w:p>
            <w:pPr>
              <w:ind w:left="880"/>
              <w:spacing w:after="0"/>
              <w:rPr>
                <w:sz w:val="20"/>
                <w:szCs w:val="20"/>
                <w:color w:val="auto"/>
              </w:rPr>
            </w:pPr>
            <w:r>
              <w:rPr>
                <w:rFonts w:ascii="Arial" w:cs="Arial" w:eastAsia="Arial" w:hAnsi="Arial"/>
                <w:sz w:val="18"/>
                <w:szCs w:val="18"/>
                <w:color w:val="auto"/>
              </w:rPr>
              <w:t>Decrease in receivables for investments sold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8,939,936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554,567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692,964</w:t>
            </w:r>
          </w:p>
        </w:tc>
        <w:tc>
          <w:tcPr>
            <w:tcW w:w="0" w:type="dxa"/>
            <w:vAlign w:val="bottom"/>
          </w:tcPr>
          <w:p>
            <w:pPr>
              <w:spacing w:after="0"/>
              <w:rPr>
                <w:sz w:val="1"/>
                <w:szCs w:val="1"/>
                <w:color w:val="auto"/>
              </w:rPr>
            </w:pPr>
          </w:p>
        </w:tc>
      </w:tr>
      <w:tr>
        <w:trPr>
          <w:trHeight w:val="216"/>
        </w:trPr>
        <w:tc>
          <w:tcPr>
            <w:tcW w:w="8200" w:type="dxa"/>
            <w:vAlign w:val="bottom"/>
          </w:tcPr>
          <w:p>
            <w:pPr>
              <w:ind w:left="880"/>
              <w:spacing w:after="0"/>
              <w:rPr>
                <w:sz w:val="20"/>
                <w:szCs w:val="20"/>
                <w:color w:val="auto"/>
              </w:rPr>
            </w:pPr>
            <w:r>
              <w:rPr>
                <w:rFonts w:ascii="Arial" w:cs="Arial" w:eastAsia="Arial" w:hAnsi="Arial"/>
                <w:sz w:val="18"/>
                <w:szCs w:val="18"/>
                <w:color w:val="auto"/>
              </w:rPr>
              <w:t>Increase (decrease) in payables for investments purchased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2,935,322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(15,043,792)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unfunded investments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(15,342,447)</w:t>
            </w:r>
          </w:p>
        </w:tc>
        <w:tc>
          <w:tcPr>
            <w:tcW w:w="0" w:type="dxa"/>
            <w:vAlign w:val="bottom"/>
          </w:tcPr>
          <w:p>
            <w:pPr>
              <w:spacing w:after="0"/>
              <w:rPr>
                <w:sz w:val="1"/>
                <w:szCs w:val="1"/>
                <w:color w:val="auto"/>
              </w:rPr>
            </w:pPr>
          </w:p>
        </w:tc>
      </w:tr>
      <w:tr>
        <w:trPr>
          <w:trHeight w:val="216"/>
        </w:trPr>
        <w:tc>
          <w:tcPr>
            <w:tcW w:w="8200" w:type="dxa"/>
            <w:vAlign w:val="bottom"/>
          </w:tcPr>
          <w:p>
            <w:pPr>
              <w:ind w:left="880"/>
              <w:spacing w:after="0"/>
              <w:rPr>
                <w:sz w:val="20"/>
                <w:szCs w:val="20"/>
                <w:color w:val="auto"/>
              </w:rPr>
            </w:pPr>
            <w:r>
              <w:rPr>
                <w:rFonts w:ascii="Arial" w:cs="Arial" w:eastAsia="Arial" w:hAnsi="Arial"/>
                <w:sz w:val="18"/>
                <w:szCs w:val="18"/>
                <w:color w:val="auto"/>
              </w:rPr>
              <w:t>Increase in interest payable on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954,327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250,054</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536,187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168,840</w:t>
            </w:r>
          </w:p>
        </w:tc>
        <w:tc>
          <w:tcPr>
            <w:tcW w:w="0" w:type="dxa"/>
            <w:vAlign w:val="bottom"/>
          </w:tcPr>
          <w:p>
            <w:pPr>
              <w:spacing w:after="0"/>
              <w:rPr>
                <w:sz w:val="1"/>
                <w:szCs w:val="1"/>
                <w:color w:val="auto"/>
              </w:rPr>
            </w:pPr>
          </w:p>
        </w:tc>
      </w:tr>
      <w:tr>
        <w:trPr>
          <w:trHeight w:val="216"/>
        </w:trPr>
        <w:tc>
          <w:tcPr>
            <w:tcW w:w="8200" w:type="dxa"/>
            <w:vAlign w:val="bottom"/>
          </w:tcPr>
          <w:p>
            <w:pPr>
              <w:ind w:left="880"/>
              <w:spacing w:after="0"/>
              <w:rPr>
                <w:sz w:val="20"/>
                <w:szCs w:val="20"/>
                <w:color w:val="auto"/>
              </w:rPr>
            </w:pPr>
            <w:r>
              <w:rPr>
                <w:rFonts w:ascii="Arial" w:cs="Arial" w:eastAsia="Arial" w:hAnsi="Arial"/>
                <w:sz w:val="18"/>
                <w:szCs w:val="18"/>
                <w:color w:val="auto"/>
              </w:rPr>
              <w:t>Decrease in performance-based incentive fee payable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(647,744)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(1,399,124)</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accrued other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312,377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325,610</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1300"/>
              <w:spacing w:after="0"/>
              <w:rPr>
                <w:sz w:val="20"/>
                <w:szCs w:val="20"/>
                <w:color w:val="auto"/>
              </w:rPr>
            </w:pPr>
            <w:r>
              <w:rPr>
                <w:rFonts w:ascii="Arial" w:cs="Arial" w:eastAsia="Arial" w:hAnsi="Arial"/>
                <w:sz w:val="18"/>
                <w:szCs w:val="18"/>
                <w:color w:val="auto"/>
              </w:rPr>
              <w:t>Net cash used by operating activities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(63,090,168)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(44,048,794)</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880"/>
              <w:spacing w:after="0"/>
              <w:rPr>
                <w:sz w:val="20"/>
                <w:szCs w:val="20"/>
                <w:color w:val="auto"/>
              </w:rPr>
            </w:pPr>
            <w:r>
              <w:rPr>
                <w:rFonts w:ascii="Arial" w:cs="Arial" w:eastAsia="Arial" w:hAnsi="Arial"/>
                <w:sz w:val="18"/>
                <w:szCs w:val="18"/>
                <w:color w:val="auto"/>
              </w:rPr>
              <w:t>Public offering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7,574,000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109,192,500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(265,090)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(3,979,000)</w:t>
            </w:r>
          </w:p>
        </w:tc>
        <w:tc>
          <w:tcPr>
            <w:tcW w:w="0" w:type="dxa"/>
            <w:vAlign w:val="bottom"/>
          </w:tcPr>
          <w:p>
            <w:pPr>
              <w:spacing w:after="0"/>
              <w:rPr>
                <w:sz w:val="1"/>
                <w:szCs w:val="1"/>
                <w:color w:val="auto"/>
              </w:rPr>
            </w:pPr>
          </w:p>
        </w:tc>
      </w:tr>
      <w:tr>
        <w:trPr>
          <w:trHeight w:val="216"/>
        </w:trPr>
        <w:tc>
          <w:tcPr>
            <w:tcW w:w="8200" w:type="dxa"/>
            <w:vAlign w:val="bottom"/>
          </w:tcPr>
          <w:p>
            <w:pPr>
              <w:ind w:left="880"/>
              <w:spacing w:after="0"/>
              <w:rPr>
                <w:sz w:val="20"/>
                <w:szCs w:val="20"/>
                <w:color w:val="auto"/>
              </w:rPr>
            </w:pPr>
            <w:r>
              <w:rPr>
                <w:rFonts w:ascii="Arial" w:cs="Arial" w:eastAsia="Arial" w:hAnsi="Arial"/>
                <w:sz w:val="18"/>
                <w:szCs w:val="18"/>
                <w:color w:val="auto"/>
              </w:rPr>
              <w:t>Distributions paid , net of dividends reinvested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(32,394,877)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(23,405,000)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2025 Notes issuance (See Note 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71,250,000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 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543,500,000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695,500,000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 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(516,800,000)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(777,900,000)</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1300"/>
              <w:spacing w:after="0"/>
              <w:rPr>
                <w:sz w:val="20"/>
                <w:szCs w:val="20"/>
                <w:color w:val="auto"/>
              </w:rPr>
            </w:pPr>
            <w:r>
              <w:rPr>
                <w:rFonts w:ascii="Arial" w:cs="Arial" w:eastAsia="Arial" w:hAnsi="Arial"/>
                <w:sz w:val="18"/>
                <w:szCs w:val="18"/>
                <w:color w:val="auto"/>
              </w:rPr>
              <w:t>Net cash provided (used) by financing activities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72,864,033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(591,500)</w:t>
            </w:r>
          </w:p>
        </w:tc>
        <w:tc>
          <w:tcPr>
            <w:tcW w:w="0" w:type="dxa"/>
            <w:vAlign w:val="bottom"/>
          </w:tcPr>
          <w:p>
            <w:pPr>
              <w:spacing w:after="0"/>
              <w:rPr>
                <w:sz w:val="1"/>
                <w:szCs w:val="1"/>
                <w:color w:val="auto"/>
              </w:rPr>
            </w:pPr>
          </w:p>
        </w:tc>
      </w:tr>
      <w:tr>
        <w:trPr>
          <w:trHeight w:val="28"/>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9,773,865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(44,640,294)</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7,559,453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71,604,519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17,333,318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26,964,225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paid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5,907,177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4,285,855</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440"/>
              <w:spacing w:after="0"/>
              <w:rPr>
                <w:sz w:val="20"/>
                <w:szCs w:val="20"/>
                <w:color w:val="auto"/>
              </w:rPr>
            </w:pPr>
            <w:r>
              <w:rPr>
                <w:rFonts w:ascii="Arial" w:cs="Arial" w:eastAsia="Arial" w:hAnsi="Arial"/>
                <w:sz w:val="18"/>
                <w:szCs w:val="18"/>
                <w:color w:val="auto"/>
              </w:rPr>
              <w:t>Taxes paid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92,388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258,550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reinvested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2,009,120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1,724,378</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440"/>
              <w:spacing w:after="0"/>
              <w:rPr>
                <w:sz w:val="20"/>
                <w:szCs w:val="20"/>
                <w:color w:val="auto"/>
              </w:rPr>
            </w:pPr>
            <w:r>
              <w:rPr>
                <w:rFonts w:ascii="Arial" w:cs="Arial" w:eastAsia="Arial" w:hAnsi="Arial"/>
                <w:sz w:val="18"/>
                <w:szCs w:val="18"/>
                <w:color w:val="auto"/>
              </w:rPr>
              <w:t>Conversions and non-cash exchanges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58,615,748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56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Maturity</w:t>
            </w: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900" w:type="dxa"/>
            <w:vAlign w:val="bottom"/>
          </w:tcPr>
          <w:p>
            <w:pPr>
              <w:jc w:val="right"/>
              <w:ind w:right="253"/>
              <w:spacing w:after="0"/>
              <w:rPr>
                <w:sz w:val="20"/>
                <w:szCs w:val="20"/>
                <w:color w:val="auto"/>
              </w:rPr>
            </w:pPr>
            <w:r>
              <w:rPr>
                <w:rFonts w:ascii="Arial" w:cs="Arial" w:eastAsia="Arial" w:hAnsi="Arial"/>
                <w:sz w:val="13"/>
                <w:szCs w:val="13"/>
                <w:b w:val="1"/>
                <w:bCs w:val="1"/>
                <w:color w:val="auto"/>
              </w:rPr>
              <w:t>Current</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22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Par /</w:t>
            </w:r>
          </w:p>
        </w:tc>
        <w:tc>
          <w:tcPr>
            <w:tcW w:w="140" w:type="dxa"/>
            <w:vAlign w:val="bottom"/>
          </w:tcPr>
          <w:p>
            <w:pPr>
              <w:spacing w:after="0"/>
              <w:rPr>
                <w:sz w:val="14"/>
                <w:szCs w:val="14"/>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84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900" w:type="dxa"/>
            <w:vAlign w:val="bottom"/>
          </w:tcPr>
          <w:p>
            <w:pPr>
              <w:jc w:val="right"/>
              <w:ind w:right="253"/>
              <w:spacing w:after="0"/>
              <w:rPr>
                <w:sz w:val="20"/>
                <w:szCs w:val="20"/>
                <w:color w:val="auto"/>
              </w:rPr>
            </w:pPr>
            <w:r>
              <w:rPr>
                <w:rFonts w:ascii="Arial" w:cs="Arial" w:eastAsia="Arial" w:hAnsi="Arial"/>
                <w:sz w:val="13"/>
                <w:szCs w:val="13"/>
                <w:b w:val="1"/>
                <w:bCs w:val="1"/>
                <w:color w:val="auto"/>
              </w:rPr>
              <w:t>Coupon</w:t>
            </w:r>
          </w:p>
        </w:tc>
        <w:tc>
          <w:tcPr>
            <w:tcW w:w="72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220" w:type="dxa"/>
            <w:vAlign w:val="bottom"/>
          </w:tcPr>
          <w:p>
            <w:pPr>
              <w:spacing w:after="0"/>
              <w:rPr>
                <w:sz w:val="12"/>
                <w:szCs w:val="12"/>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Companies—139.3% </w:t>
            </w:r>
            <w:r>
              <w:rPr>
                <w:rFonts w:ascii="Arial" w:cs="Arial" w:eastAsia="Arial" w:hAnsi="Arial"/>
                <w:sz w:val="16"/>
                <w:szCs w:val="16"/>
                <w:b w:val="1"/>
                <w:bCs w:val="1"/>
                <w:color w:val="auto"/>
                <w:vertAlign w:val="superscript"/>
              </w:rPr>
              <w:t>(1), (2)</w:t>
            </w:r>
          </w:p>
        </w:tc>
        <w:tc>
          <w:tcPr>
            <w:tcW w:w="1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20"/>
                <w:szCs w:val="20"/>
                <w:color w:val="auto"/>
              </w:rPr>
            </w:pPr>
            <w:r>
              <w:rPr>
                <w:rFonts w:ascii="Arial" w:cs="Arial" w:eastAsia="Arial" w:hAnsi="Arial"/>
                <w:sz w:val="13"/>
                <w:szCs w:val="13"/>
                <w:b w:val="1"/>
                <w:bCs w:val="1"/>
                <w:color w:val="auto"/>
              </w:rPr>
              <w:t>First Lien Secured Debt—40.0%</w:t>
            </w: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vMerge w:val="restart"/>
          </w:tcPr>
          <w:p>
            <w:pPr>
              <w:jc w:val="right"/>
              <w:ind w:right="24"/>
              <w:spacing w:after="0"/>
              <w:rPr>
                <w:sz w:val="20"/>
                <w:szCs w:val="20"/>
                <w:color w:val="auto"/>
              </w:rPr>
            </w:pPr>
            <w:r>
              <w:rPr>
                <w:rFonts w:ascii="Arial" w:cs="Arial" w:eastAsia="Arial" w:hAnsi="Arial"/>
                <w:sz w:val="11"/>
                <w:szCs w:val="11"/>
                <w:color w:val="auto"/>
                <w:w w:val="88"/>
              </w:rPr>
              <w:t>(8)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840" w:type="dxa"/>
            <w:vAlign w:val="bottom"/>
          </w:tcPr>
          <w:p>
            <w:pPr>
              <w:spacing w:after="0" w:line="122" w:lineRule="exact"/>
              <w:rPr>
                <w:sz w:val="20"/>
                <w:szCs w:val="20"/>
                <w:color w:val="auto"/>
              </w:rPr>
            </w:pPr>
            <w:r>
              <w:rPr>
                <w:rFonts w:ascii="Arial" w:cs="Arial" w:eastAsia="Arial" w:hAnsi="Arial"/>
                <w:sz w:val="13"/>
                <w:szCs w:val="13"/>
                <w:color w:val="auto"/>
              </w:rPr>
              <w:t>Aircell Business Aviation Services LLC</w:t>
            </w:r>
          </w:p>
        </w:tc>
        <w:tc>
          <w:tcPr>
            <w:tcW w:w="1560" w:type="dxa"/>
            <w:vAlign w:val="bottom"/>
          </w:tcPr>
          <w:p>
            <w:pPr>
              <w:jc w:val="right"/>
              <w:ind w:right="13"/>
              <w:spacing w:after="0" w:line="122" w:lineRule="exact"/>
              <w:rPr>
                <w:sz w:val="20"/>
                <w:szCs w:val="20"/>
                <w:color w:val="auto"/>
              </w:rPr>
            </w:pPr>
            <w:r>
              <w:rPr>
                <w:rFonts w:ascii="Arial" w:cs="Arial" w:eastAsia="Arial" w:hAnsi="Arial"/>
                <w:sz w:val="13"/>
                <w:szCs w:val="13"/>
                <w:color w:val="auto"/>
              </w:rPr>
              <w:t>06/21/2017</w:t>
            </w:r>
          </w:p>
        </w:tc>
        <w:tc>
          <w:tcPr>
            <w:tcW w:w="1280" w:type="dxa"/>
            <w:vAlign w:val="bottom"/>
          </w:tcPr>
          <w:p>
            <w:pPr>
              <w:jc w:val="center"/>
              <w:spacing w:after="0" w:line="122" w:lineRule="exact"/>
              <w:rPr>
                <w:sz w:val="20"/>
                <w:szCs w:val="20"/>
                <w:color w:val="auto"/>
              </w:rPr>
            </w:pPr>
            <w:r>
              <w:rPr>
                <w:rFonts w:ascii="Arial" w:cs="Arial" w:eastAsia="Arial" w:hAnsi="Arial"/>
                <w:sz w:val="13"/>
                <w:szCs w:val="13"/>
                <w:color w:val="auto"/>
                <w:w w:val="94"/>
              </w:rPr>
              <w:t>Communications</w:t>
            </w:r>
          </w:p>
        </w:tc>
        <w:tc>
          <w:tcPr>
            <w:tcW w:w="900" w:type="dxa"/>
            <w:vAlign w:val="bottom"/>
          </w:tcPr>
          <w:p>
            <w:pPr>
              <w:jc w:val="right"/>
              <w:ind w:right="53"/>
              <w:spacing w:after="0" w:line="122" w:lineRule="exact"/>
              <w:rPr>
                <w:sz w:val="20"/>
                <w:szCs w:val="20"/>
                <w:color w:val="auto"/>
              </w:rPr>
            </w:pPr>
            <w:r>
              <w:rPr>
                <w:rFonts w:ascii="Arial" w:cs="Arial" w:eastAsia="Arial" w:hAnsi="Arial"/>
                <w:sz w:val="13"/>
                <w:szCs w:val="13"/>
                <w:color w:val="auto"/>
              </w:rPr>
              <w:t>11.25%</w:t>
            </w:r>
          </w:p>
        </w:tc>
        <w:tc>
          <w:tcPr>
            <w:tcW w:w="720" w:type="dxa"/>
            <w:vAlign w:val="bottom"/>
          </w:tcPr>
          <w:p>
            <w:pPr>
              <w:jc w:val="right"/>
              <w:spacing w:after="0" w:line="122" w:lineRule="exact"/>
              <w:rPr>
                <w:sz w:val="20"/>
                <w:szCs w:val="20"/>
                <w:color w:val="auto"/>
              </w:rPr>
            </w:pPr>
            <w:r>
              <w:rPr>
                <w:rFonts w:ascii="Arial" w:cs="Arial" w:eastAsia="Arial" w:hAnsi="Arial"/>
                <w:sz w:val="13"/>
                <w:szCs w:val="13"/>
                <w:color w:val="auto"/>
              </w:rPr>
              <w:t>L+975</w:t>
            </w:r>
          </w:p>
        </w:tc>
        <w:tc>
          <w:tcPr>
            <w:tcW w:w="220" w:type="dxa"/>
            <w:vAlign w:val="bottom"/>
            <w:vMerge w:val="continue"/>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3"/>
                <w:szCs w:val="13"/>
                <w:color w:val="auto"/>
              </w:rPr>
              <w:t>14,718,750</w:t>
            </w:r>
          </w:p>
        </w:tc>
        <w:tc>
          <w:tcPr>
            <w:tcW w:w="880" w:type="dxa"/>
            <w:vAlign w:val="bottom"/>
            <w:gridSpan w:val="2"/>
          </w:tcPr>
          <w:p>
            <w:pPr>
              <w:jc w:val="right"/>
              <w:spacing w:after="0" w:line="122" w:lineRule="exact"/>
              <w:rPr>
                <w:sz w:val="20"/>
                <w:szCs w:val="20"/>
                <w:color w:val="auto"/>
              </w:rPr>
            </w:pPr>
            <w:r>
              <w:rPr>
                <w:rFonts w:ascii="Arial" w:cs="Arial" w:eastAsia="Arial" w:hAnsi="Arial"/>
                <w:sz w:val="13"/>
                <w:szCs w:val="13"/>
                <w:color w:val="auto"/>
              </w:rPr>
              <w:t>$ 14,203,109</w:t>
            </w:r>
          </w:p>
        </w:tc>
        <w:tc>
          <w:tcPr>
            <w:tcW w:w="1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3"/>
                <w:szCs w:val="13"/>
                <w:color w:val="auto"/>
                <w:w w:val="97"/>
              </w:rPr>
              <w:t>$ 14,792,344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840" w:type="dxa"/>
            <w:vAlign w:val="bottom"/>
          </w:tcPr>
          <w:p>
            <w:pPr>
              <w:spacing w:after="0" w:line="176" w:lineRule="exact"/>
              <w:rPr>
                <w:sz w:val="20"/>
                <w:szCs w:val="20"/>
                <w:color w:val="auto"/>
              </w:rPr>
            </w:pPr>
            <w:r>
              <w:rPr>
                <w:rFonts w:ascii="Arial" w:cs="Arial" w:eastAsia="Arial" w:hAnsi="Arial"/>
                <w:sz w:val="12"/>
                <w:szCs w:val="12"/>
                <w:color w:val="auto"/>
              </w:rPr>
              <w:t xml:space="preserve">CEVA Group PLC </w:t>
            </w:r>
            <w:r>
              <w:rPr>
                <w:rFonts w:ascii="Arial" w:cs="Arial" w:eastAsia="Arial" w:hAnsi="Arial"/>
                <w:sz w:val="20"/>
                <w:szCs w:val="20"/>
                <w:color w:val="auto"/>
                <w:vertAlign w:val="superscript"/>
              </w:rPr>
              <w:t>(5),(10)</w:t>
            </w:r>
          </w:p>
        </w:tc>
        <w:tc>
          <w:tcPr>
            <w:tcW w:w="1560" w:type="dxa"/>
            <w:vAlign w:val="bottom"/>
          </w:tcPr>
          <w:p>
            <w:pPr>
              <w:jc w:val="right"/>
              <w:ind w:right="13"/>
              <w:spacing w:after="0"/>
              <w:rPr>
                <w:sz w:val="20"/>
                <w:szCs w:val="20"/>
                <w:color w:val="auto"/>
              </w:rPr>
            </w:pPr>
            <w:r>
              <w:rPr>
                <w:rFonts w:ascii="Arial" w:cs="Arial" w:eastAsia="Arial" w:hAnsi="Arial"/>
                <w:sz w:val="13"/>
                <w:szCs w:val="13"/>
                <w:color w:val="auto"/>
              </w:rPr>
              <w:t>10/01/2016</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Cargo Transport</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11.63%</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7,500,000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7,369,798</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04/01/2018</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Cargo Transport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11.50%</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990,756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1"/>
                <w:szCs w:val="11"/>
                <w:color w:val="auto"/>
              </w:rPr>
              <w:t xml:space="preserve">Columbus International, Inc. </w:t>
            </w:r>
            <w:r>
              <w:rPr>
                <w:rFonts w:ascii="Arial" w:cs="Arial" w:eastAsia="Arial" w:hAnsi="Arial"/>
                <w:sz w:val="17"/>
                <w:szCs w:val="17"/>
                <w:color w:val="auto"/>
                <w:vertAlign w:val="superscript"/>
              </w:rPr>
              <w:t>(5), (10)</w:t>
            </w:r>
          </w:p>
        </w:tc>
        <w:tc>
          <w:tcPr>
            <w:tcW w:w="1560" w:type="dxa"/>
            <w:vAlign w:val="bottom"/>
          </w:tcPr>
          <w:p>
            <w:pPr>
              <w:jc w:val="right"/>
              <w:ind w:right="13"/>
              <w:spacing w:after="0"/>
              <w:rPr>
                <w:sz w:val="20"/>
                <w:szCs w:val="20"/>
                <w:color w:val="auto"/>
              </w:rPr>
            </w:pPr>
            <w:r>
              <w:rPr>
                <w:rFonts w:ascii="Arial" w:cs="Arial" w:eastAsia="Arial" w:hAnsi="Arial"/>
                <w:sz w:val="13"/>
                <w:szCs w:val="13"/>
                <w:color w:val="auto"/>
              </w:rPr>
              <w:t>11/20/2014</w:t>
            </w: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Communications</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11.50%</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10,000,000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10,000,000</w:t>
            </w:r>
          </w:p>
        </w:tc>
        <w:tc>
          <w:tcPr>
            <w:tcW w:w="16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11,150,000</w:t>
            </w: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Good Sam Enterprises, LLC </w:t>
            </w:r>
            <w:r>
              <w:rPr>
                <w:rFonts w:ascii="Arial" w:cs="Arial" w:eastAsia="Arial" w:hAnsi="Arial"/>
                <w:sz w:val="17"/>
                <w:szCs w:val="17"/>
                <w:color w:val="auto"/>
                <w:vertAlign w:val="superscript"/>
              </w:rPr>
              <w:t>(5)</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12/01/2016</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11.50%</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12,000,000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11,815,048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w:t>
            </w:r>
          </w:p>
        </w:tc>
        <w:tc>
          <w:tcPr>
            <w:tcW w:w="1560" w:type="dxa"/>
            <w:vAlign w:val="bottom"/>
          </w:tcPr>
          <w:p>
            <w:pPr>
              <w:jc w:val="right"/>
              <w:ind w:right="13"/>
              <w:spacing w:after="0"/>
              <w:rPr>
                <w:sz w:val="20"/>
                <w:szCs w:val="20"/>
                <w:color w:val="auto"/>
              </w:rPr>
            </w:pPr>
            <w:r>
              <w:rPr>
                <w:rFonts w:ascii="Arial" w:cs="Arial" w:eastAsia="Arial" w:hAnsi="Arial"/>
                <w:sz w:val="13"/>
                <w:szCs w:val="13"/>
                <w:color w:val="auto"/>
              </w:rPr>
              <w:t>04/01/2017</w:t>
            </w: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Auto Sector</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11.50%</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ind w:right="24"/>
              <w:spacing w:after="0"/>
              <w:rPr>
                <w:sz w:val="20"/>
                <w:szCs w:val="20"/>
                <w:color w:val="auto"/>
              </w:rPr>
            </w:pPr>
            <w:r>
              <w:rPr>
                <w:rFonts w:ascii="Arial" w:cs="Arial" w:eastAsia="Arial" w:hAnsi="Arial"/>
                <w:sz w:val="11"/>
                <w:szCs w:val="11"/>
                <w:color w:val="auto"/>
                <w:w w:val="88"/>
              </w:rPr>
              <w:t>(8)</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11,500,000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11,306,583</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12,650,000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40" w:type="dxa"/>
            <w:vAlign w:val="bottom"/>
          </w:tcPr>
          <w:p>
            <w:pPr>
              <w:spacing w:after="0" w:line="138" w:lineRule="exact"/>
              <w:rPr>
                <w:sz w:val="20"/>
                <w:szCs w:val="20"/>
                <w:color w:val="auto"/>
              </w:rPr>
            </w:pPr>
            <w:r>
              <w:rPr>
                <w:rFonts w:ascii="Arial" w:cs="Arial" w:eastAsia="Arial" w:hAnsi="Arial"/>
                <w:sz w:val="13"/>
                <w:szCs w:val="13"/>
                <w:color w:val="auto"/>
              </w:rPr>
              <w:t>Infusystems Holdings, Inc.</w:t>
            </w:r>
          </w:p>
        </w:tc>
        <w:tc>
          <w:tcPr>
            <w:tcW w:w="15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11/30/2016</w:t>
            </w:r>
          </w:p>
        </w:tc>
        <w:tc>
          <w:tcPr>
            <w:tcW w:w="128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11.99%</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P+625</w:t>
            </w:r>
          </w:p>
        </w:tc>
        <w:tc>
          <w:tcPr>
            <w:tcW w:w="220" w:type="dxa"/>
            <w:vAlign w:val="bottom"/>
            <w:vMerge w:val="continue"/>
          </w:tcPr>
          <w:p>
            <w:pPr>
              <w:spacing w:after="0"/>
              <w:rPr>
                <w:sz w:val="11"/>
                <w:szCs w:val="11"/>
                <w:color w:val="auto"/>
              </w:rPr>
            </w:pP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11,600,000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11,600,000</w:t>
            </w:r>
          </w:p>
        </w:tc>
        <w:tc>
          <w:tcPr>
            <w:tcW w:w="160" w:type="dxa"/>
            <w:vAlign w:val="bottom"/>
          </w:tcPr>
          <w:p>
            <w:pPr>
              <w:spacing w:after="0"/>
              <w:rPr>
                <w:sz w:val="11"/>
                <w:szCs w:val="11"/>
                <w:color w:val="auto"/>
              </w:rPr>
            </w:pPr>
          </w:p>
        </w:tc>
        <w:tc>
          <w:tcPr>
            <w:tcW w:w="82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11,892,331</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3"/>
              </w:rPr>
              <w:t>Education and</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vMerge w:val="restart"/>
          </w:tcPr>
          <w:p>
            <w:pPr>
              <w:jc w:val="right"/>
              <w:ind w:right="24"/>
              <w:spacing w:after="0"/>
              <w:rPr>
                <w:sz w:val="20"/>
                <w:szCs w:val="20"/>
                <w:color w:val="auto"/>
              </w:rPr>
            </w:pPr>
            <w:r>
              <w:rPr>
                <w:rFonts w:ascii="Arial" w:cs="Arial" w:eastAsia="Arial" w:hAnsi="Arial"/>
                <w:sz w:val="11"/>
                <w:szCs w:val="11"/>
                <w:color w:val="auto"/>
                <w:w w:val="88"/>
              </w:rPr>
              <w:t>(8)</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40" w:type="dxa"/>
            <w:vAlign w:val="bottom"/>
          </w:tcPr>
          <w:p>
            <w:pPr>
              <w:spacing w:after="0" w:line="138" w:lineRule="exact"/>
              <w:rPr>
                <w:sz w:val="20"/>
                <w:szCs w:val="20"/>
                <w:color w:val="auto"/>
              </w:rPr>
            </w:pPr>
            <w:r>
              <w:rPr>
                <w:rFonts w:ascii="Arial" w:cs="Arial" w:eastAsia="Arial" w:hAnsi="Arial"/>
                <w:sz w:val="13"/>
                <w:szCs w:val="13"/>
                <w:color w:val="auto"/>
              </w:rPr>
              <w:t>Instant Web, Inc.</w:t>
            </w:r>
          </w:p>
        </w:tc>
        <w:tc>
          <w:tcPr>
            <w:tcW w:w="15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08/07/2014</w:t>
            </w:r>
          </w:p>
        </w:tc>
        <w:tc>
          <w:tcPr>
            <w:tcW w:w="1280" w:type="dxa"/>
            <w:vAlign w:val="bottom"/>
          </w:tcPr>
          <w:p>
            <w:pPr>
              <w:jc w:val="center"/>
              <w:spacing w:after="0" w:line="138" w:lineRule="exact"/>
              <w:rPr>
                <w:sz w:val="20"/>
                <w:szCs w:val="20"/>
                <w:color w:val="auto"/>
              </w:rPr>
            </w:pPr>
            <w:r>
              <w:rPr>
                <w:rFonts w:ascii="Arial" w:cs="Arial" w:eastAsia="Arial" w:hAnsi="Arial"/>
                <w:sz w:val="13"/>
                <w:szCs w:val="13"/>
                <w:color w:val="auto"/>
                <w:w w:val="95"/>
              </w:rPr>
              <w:t>Printing and</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14.50%</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L+950</w:t>
            </w:r>
          </w:p>
        </w:tc>
        <w:tc>
          <w:tcPr>
            <w:tcW w:w="220" w:type="dxa"/>
            <w:vAlign w:val="bottom"/>
            <w:vMerge w:val="continue"/>
          </w:tcPr>
          <w:p>
            <w:pPr>
              <w:spacing w:after="0"/>
              <w:rPr>
                <w:sz w:val="11"/>
                <w:szCs w:val="11"/>
                <w:color w:val="auto"/>
              </w:rPr>
            </w:pP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24,058,279</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23,842,188</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23,336,531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vMerge w:val="restart"/>
          </w:tcPr>
          <w:p>
            <w:pPr>
              <w:jc w:val="right"/>
              <w:ind w:right="24"/>
              <w:spacing w:after="0"/>
              <w:rPr>
                <w:sz w:val="20"/>
                <w:szCs w:val="20"/>
                <w:color w:val="auto"/>
              </w:rPr>
            </w:pPr>
            <w:r>
              <w:rPr>
                <w:rFonts w:ascii="Arial" w:cs="Arial" w:eastAsia="Arial" w:hAnsi="Arial"/>
                <w:sz w:val="11"/>
                <w:szCs w:val="11"/>
                <w:color w:val="auto"/>
                <w:w w:val="88"/>
              </w:rPr>
              <w:t>(8)</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40" w:type="dxa"/>
            <w:vAlign w:val="bottom"/>
          </w:tcPr>
          <w:p>
            <w:pPr>
              <w:spacing w:after="0" w:line="138" w:lineRule="exact"/>
              <w:rPr>
                <w:sz w:val="20"/>
                <w:szCs w:val="20"/>
                <w:color w:val="auto"/>
              </w:rPr>
            </w:pPr>
            <w:r>
              <w:rPr>
                <w:rFonts w:ascii="Arial" w:cs="Arial" w:eastAsia="Arial" w:hAnsi="Arial"/>
                <w:sz w:val="13"/>
                <w:szCs w:val="13"/>
                <w:color w:val="auto"/>
              </w:rPr>
              <w:t>Interactive Health Solutions, Inc.</w:t>
            </w:r>
          </w:p>
        </w:tc>
        <w:tc>
          <w:tcPr>
            <w:tcW w:w="15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10/04/2016</w:t>
            </w:r>
          </w:p>
        </w:tc>
        <w:tc>
          <w:tcPr>
            <w:tcW w:w="128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11.50%</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L+950</w:t>
            </w:r>
          </w:p>
        </w:tc>
        <w:tc>
          <w:tcPr>
            <w:tcW w:w="220" w:type="dxa"/>
            <w:vAlign w:val="bottom"/>
            <w:vMerge w:val="continue"/>
          </w:tcPr>
          <w:p>
            <w:pPr>
              <w:spacing w:after="0"/>
              <w:rPr>
                <w:sz w:val="11"/>
                <w:szCs w:val="11"/>
                <w:color w:val="auto"/>
              </w:rPr>
            </w:pP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18,287,500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17,958,571</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18,287,500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3"/>
              </w:rPr>
              <w:t>Education and</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40" w:type="dxa"/>
            <w:vAlign w:val="bottom"/>
          </w:tcPr>
          <w:p>
            <w:pPr>
              <w:spacing w:after="0" w:line="138" w:lineRule="exact"/>
              <w:rPr>
                <w:sz w:val="20"/>
                <w:szCs w:val="20"/>
                <w:color w:val="auto"/>
              </w:rPr>
            </w:pPr>
            <w:r>
              <w:rPr>
                <w:rFonts w:ascii="Arial" w:cs="Arial" w:eastAsia="Arial" w:hAnsi="Arial"/>
                <w:sz w:val="13"/>
                <w:szCs w:val="13"/>
                <w:color w:val="auto"/>
              </w:rPr>
              <w:t>Jacuzzi Brands Corp.</w:t>
            </w:r>
          </w:p>
        </w:tc>
        <w:tc>
          <w:tcPr>
            <w:tcW w:w="15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02/07/2014</w:t>
            </w:r>
          </w:p>
        </w:tc>
        <w:tc>
          <w:tcPr>
            <w:tcW w:w="1280" w:type="dxa"/>
            <w:vAlign w:val="bottom"/>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2.53%</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L+225</w:t>
            </w:r>
          </w:p>
        </w:tc>
        <w:tc>
          <w:tcPr>
            <w:tcW w:w="220" w:type="dxa"/>
            <w:vAlign w:val="bottom"/>
          </w:tcPr>
          <w:p>
            <w:pPr>
              <w:spacing w:after="0"/>
              <w:rPr>
                <w:sz w:val="11"/>
                <w:szCs w:val="11"/>
                <w:color w:val="auto"/>
              </w:rPr>
            </w:pP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9,562,162</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9,562,162</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7,793,162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5"/>
              </w:rPr>
              <w:t>Furnishings,</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0"/>
              </w:rPr>
              <w:t>Housewares and</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3"/>
              </w:rPr>
              <w:t>Durable Consumer</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3"/>
              </w:rPr>
              <w:t>Products</w:t>
            </w: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vMerge w:val="restart"/>
          </w:tcPr>
          <w:p>
            <w:pPr>
              <w:jc w:val="right"/>
              <w:ind w:right="24"/>
              <w:spacing w:after="0"/>
              <w:rPr>
                <w:sz w:val="20"/>
                <w:szCs w:val="20"/>
                <w:color w:val="auto"/>
              </w:rPr>
            </w:pPr>
            <w:r>
              <w:rPr>
                <w:rFonts w:ascii="Arial" w:cs="Arial" w:eastAsia="Arial" w:hAnsi="Arial"/>
                <w:sz w:val="11"/>
                <w:szCs w:val="11"/>
                <w:color w:val="auto"/>
                <w:w w:val="88"/>
              </w:rPr>
              <w:t>(8)</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40" w:type="dxa"/>
            <w:vAlign w:val="bottom"/>
          </w:tcPr>
          <w:p>
            <w:pPr>
              <w:spacing w:after="0" w:line="138" w:lineRule="exact"/>
              <w:rPr>
                <w:sz w:val="20"/>
                <w:szCs w:val="20"/>
                <w:color w:val="auto"/>
              </w:rPr>
            </w:pPr>
            <w:r>
              <w:rPr>
                <w:rFonts w:ascii="Arial" w:cs="Arial" w:eastAsia="Arial" w:hAnsi="Arial"/>
                <w:sz w:val="13"/>
                <w:szCs w:val="13"/>
                <w:color w:val="auto"/>
              </w:rPr>
              <w:t>K2 Pure Solutions NoCal, L.P.</w:t>
            </w:r>
          </w:p>
        </w:tc>
        <w:tc>
          <w:tcPr>
            <w:tcW w:w="15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09/10/2015</w:t>
            </w:r>
          </w:p>
        </w:tc>
        <w:tc>
          <w:tcPr>
            <w:tcW w:w="1280" w:type="dxa"/>
            <w:vAlign w:val="bottom"/>
          </w:tcPr>
          <w:p>
            <w:pPr>
              <w:jc w:val="center"/>
              <w:spacing w:after="0" w:line="138" w:lineRule="exact"/>
              <w:rPr>
                <w:sz w:val="20"/>
                <w:szCs w:val="20"/>
                <w:color w:val="auto"/>
              </w:rPr>
            </w:pPr>
            <w:r>
              <w:rPr>
                <w:rFonts w:ascii="Arial" w:cs="Arial" w:eastAsia="Arial" w:hAnsi="Arial"/>
                <w:sz w:val="13"/>
                <w:szCs w:val="13"/>
                <w:color w:val="auto"/>
                <w:w w:val="92"/>
              </w:rPr>
              <w:t>Chemicals, Plastics</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10.50%</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P+725</w:t>
            </w:r>
          </w:p>
        </w:tc>
        <w:tc>
          <w:tcPr>
            <w:tcW w:w="220" w:type="dxa"/>
            <w:vAlign w:val="bottom"/>
            <w:vMerge w:val="continue"/>
          </w:tcPr>
          <w:p>
            <w:pPr>
              <w:spacing w:after="0"/>
              <w:rPr>
                <w:sz w:val="11"/>
                <w:szCs w:val="11"/>
                <w:color w:val="auto"/>
              </w:rPr>
            </w:pP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21,443,629</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20,836,604</w:t>
            </w:r>
          </w:p>
        </w:tc>
        <w:tc>
          <w:tcPr>
            <w:tcW w:w="160" w:type="dxa"/>
            <w:vAlign w:val="bottom"/>
          </w:tcPr>
          <w:p>
            <w:pPr>
              <w:spacing w:after="0"/>
              <w:rPr>
                <w:sz w:val="11"/>
                <w:szCs w:val="11"/>
                <w:color w:val="auto"/>
              </w:rPr>
            </w:pPr>
          </w:p>
        </w:tc>
        <w:tc>
          <w:tcPr>
            <w:tcW w:w="82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21,336,411</w:t>
            </w: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and Rubber</w:t>
            </w: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vMerge w:val="restart"/>
          </w:tcPr>
          <w:p>
            <w:pPr>
              <w:jc w:val="right"/>
              <w:ind w:right="24"/>
              <w:spacing w:after="0"/>
              <w:rPr>
                <w:sz w:val="20"/>
                <w:szCs w:val="20"/>
                <w:color w:val="auto"/>
              </w:rPr>
            </w:pPr>
            <w:r>
              <w:rPr>
                <w:rFonts w:ascii="Arial" w:cs="Arial" w:eastAsia="Arial" w:hAnsi="Arial"/>
                <w:sz w:val="11"/>
                <w:szCs w:val="11"/>
                <w:color w:val="auto"/>
                <w:w w:val="88"/>
              </w:rPr>
              <w:t>(8)</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40" w:type="dxa"/>
            <w:vAlign w:val="bottom"/>
          </w:tcPr>
          <w:p>
            <w:pPr>
              <w:spacing w:after="0" w:line="138" w:lineRule="exact"/>
              <w:rPr>
                <w:sz w:val="20"/>
                <w:szCs w:val="20"/>
                <w:color w:val="auto"/>
              </w:rPr>
            </w:pPr>
            <w:r>
              <w:rPr>
                <w:rFonts w:ascii="Arial" w:cs="Arial" w:eastAsia="Arial" w:hAnsi="Arial"/>
                <w:sz w:val="13"/>
                <w:szCs w:val="13"/>
                <w:color w:val="auto"/>
              </w:rPr>
              <w:t>Kadmon Pharmaceuticals, LLC</w:t>
            </w:r>
          </w:p>
        </w:tc>
        <w:tc>
          <w:tcPr>
            <w:tcW w:w="15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04/30/2013</w:t>
            </w:r>
          </w:p>
        </w:tc>
        <w:tc>
          <w:tcPr>
            <w:tcW w:w="128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15.00%</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L+1,300</w:t>
            </w:r>
          </w:p>
        </w:tc>
        <w:tc>
          <w:tcPr>
            <w:tcW w:w="220" w:type="dxa"/>
            <w:vAlign w:val="bottom"/>
            <w:vMerge w:val="continue"/>
          </w:tcPr>
          <w:p>
            <w:pPr>
              <w:spacing w:after="0"/>
              <w:rPr>
                <w:sz w:val="11"/>
                <w:szCs w:val="11"/>
                <w:color w:val="auto"/>
              </w:rPr>
            </w:pP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4,931,494</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5,116,352</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5,380,260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3"/>
              </w:rPr>
              <w:t>Education and</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vMerge w:val="restart"/>
          </w:tcPr>
          <w:p>
            <w:pPr>
              <w:jc w:val="right"/>
              <w:ind w:right="24"/>
              <w:spacing w:after="0"/>
              <w:rPr>
                <w:sz w:val="20"/>
                <w:szCs w:val="20"/>
                <w:color w:val="auto"/>
              </w:rPr>
            </w:pPr>
            <w:r>
              <w:rPr>
                <w:rFonts w:ascii="Arial" w:cs="Arial" w:eastAsia="Arial" w:hAnsi="Arial"/>
                <w:sz w:val="11"/>
                <w:szCs w:val="11"/>
                <w:color w:val="auto"/>
                <w:w w:val="88"/>
              </w:rPr>
              <w:t>(8)</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40" w:type="dxa"/>
            <w:vAlign w:val="bottom"/>
          </w:tcPr>
          <w:p>
            <w:pPr>
              <w:spacing w:after="0" w:line="138" w:lineRule="exact"/>
              <w:rPr>
                <w:sz w:val="20"/>
                <w:szCs w:val="20"/>
                <w:color w:val="auto"/>
              </w:rPr>
            </w:pPr>
            <w:r>
              <w:rPr>
                <w:rFonts w:ascii="Arial" w:cs="Arial" w:eastAsia="Arial" w:hAnsi="Arial"/>
                <w:sz w:val="13"/>
                <w:szCs w:val="13"/>
                <w:color w:val="auto"/>
              </w:rPr>
              <w:t>Penton Media, Inc.</w:t>
            </w:r>
          </w:p>
        </w:tc>
        <w:tc>
          <w:tcPr>
            <w:tcW w:w="15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08/01/2014</w:t>
            </w:r>
          </w:p>
        </w:tc>
        <w:tc>
          <w:tcPr>
            <w:tcW w:w="1280" w:type="dxa"/>
            <w:vAlign w:val="bottom"/>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6.00%</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L+500</w:t>
            </w:r>
          </w:p>
        </w:tc>
        <w:tc>
          <w:tcPr>
            <w:tcW w:w="220" w:type="dxa"/>
            <w:vAlign w:val="bottom"/>
            <w:vMerge w:val="continue"/>
          </w:tcPr>
          <w:p>
            <w:pPr>
              <w:spacing w:after="0"/>
              <w:rPr>
                <w:sz w:val="11"/>
                <w:szCs w:val="11"/>
                <w:color w:val="auto"/>
              </w:rPr>
            </w:pP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37,777,291</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34,944,173</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36,329,174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(PIK 2.00%)</w:t>
            </w:r>
          </w:p>
        </w:tc>
        <w:tc>
          <w:tcPr>
            <w:tcW w:w="720" w:type="dxa"/>
            <w:vAlign w:val="bottom"/>
          </w:tcPr>
          <w:p>
            <w:pPr>
              <w:spacing w:after="0"/>
              <w:rPr>
                <w:sz w:val="14"/>
                <w:szCs w:val="14"/>
                <w:color w:val="auto"/>
              </w:rPr>
            </w:pPr>
          </w:p>
        </w:tc>
        <w:tc>
          <w:tcPr>
            <w:tcW w:w="220" w:type="dxa"/>
            <w:vAlign w:val="bottom"/>
            <w:vMerge w:val="restart"/>
          </w:tcPr>
          <w:p>
            <w:pPr>
              <w:jc w:val="right"/>
              <w:ind w:right="24"/>
              <w:spacing w:after="0"/>
              <w:rPr>
                <w:sz w:val="20"/>
                <w:szCs w:val="20"/>
                <w:color w:val="auto"/>
              </w:rPr>
            </w:pPr>
            <w:r>
              <w:rPr>
                <w:rFonts w:ascii="Arial" w:cs="Arial" w:eastAsia="Arial" w:hAnsi="Arial"/>
                <w:sz w:val="11"/>
                <w:szCs w:val="11"/>
                <w:color w:val="auto"/>
                <w:w w:val="88"/>
              </w:rPr>
              <w:t>(8)</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tcPr>
          <w:p>
            <w:pPr>
              <w:spacing w:after="0" w:line="138" w:lineRule="exact"/>
              <w:rPr>
                <w:sz w:val="20"/>
                <w:szCs w:val="20"/>
                <w:color w:val="auto"/>
              </w:rPr>
            </w:pPr>
            <w:r>
              <w:rPr>
                <w:rFonts w:ascii="Arial" w:cs="Arial" w:eastAsia="Arial" w:hAnsi="Arial"/>
                <w:sz w:val="13"/>
                <w:szCs w:val="13"/>
                <w:color w:val="auto"/>
              </w:rPr>
              <w:t>Pre-Paid Legal Services, Inc., Tranche B</w:t>
            </w:r>
          </w:p>
        </w:tc>
        <w:tc>
          <w:tcPr>
            <w:tcW w:w="15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12/30/2016</w:t>
            </w:r>
          </w:p>
        </w:tc>
        <w:tc>
          <w:tcPr>
            <w:tcW w:w="1280" w:type="dxa"/>
            <w:vAlign w:val="bottom"/>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11.00%</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L+950</w:t>
            </w:r>
          </w:p>
        </w:tc>
        <w:tc>
          <w:tcPr>
            <w:tcW w:w="220" w:type="dxa"/>
            <w:vAlign w:val="bottom"/>
            <w:vMerge w:val="continue"/>
          </w:tcPr>
          <w:p>
            <w:pPr>
              <w:spacing w:after="0"/>
              <w:rPr>
                <w:sz w:val="12"/>
                <w:szCs w:val="12"/>
                <w:color w:val="auto"/>
              </w:rPr>
            </w:pP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40,000,000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39,153,516</w:t>
            </w:r>
          </w:p>
        </w:tc>
        <w:tc>
          <w:tcPr>
            <w:tcW w:w="160" w:type="dxa"/>
            <w:vAlign w:val="bottom"/>
          </w:tcPr>
          <w:p>
            <w:pPr>
              <w:spacing w:after="0"/>
              <w:rPr>
                <w:sz w:val="12"/>
                <w:szCs w:val="12"/>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40,400,000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Miscellaneous</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40" w:type="dxa"/>
            <w:vAlign w:val="bottom"/>
            <w:vMerge w:val="restart"/>
          </w:tcPr>
          <w:p>
            <w:pPr>
              <w:spacing w:after="0"/>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22"/>
                <w:szCs w:val="22"/>
                <w:color w:val="auto"/>
                <w:vertAlign w:val="superscript"/>
              </w:rPr>
              <w:t>(5)</w:t>
            </w:r>
          </w:p>
        </w:tc>
        <w:tc>
          <w:tcPr>
            <w:tcW w:w="15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Services</w:t>
            </w: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40" w:type="dxa"/>
            <w:vAlign w:val="bottom"/>
            <w:vMerge w:val="continue"/>
          </w:tcPr>
          <w:p>
            <w:pPr>
              <w:spacing w:after="0"/>
              <w:rPr>
                <w:sz w:val="11"/>
                <w:szCs w:val="11"/>
                <w:color w:val="auto"/>
              </w:rPr>
            </w:pPr>
          </w:p>
        </w:tc>
        <w:tc>
          <w:tcPr>
            <w:tcW w:w="15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12/15/2019</w:t>
            </w:r>
          </w:p>
        </w:tc>
        <w:tc>
          <w:tcPr>
            <w:tcW w:w="1280" w:type="dxa"/>
            <w:vAlign w:val="bottom"/>
          </w:tcPr>
          <w:p>
            <w:pPr>
              <w:jc w:val="center"/>
              <w:spacing w:after="0" w:line="138" w:lineRule="exact"/>
              <w:rPr>
                <w:sz w:val="20"/>
                <w:szCs w:val="20"/>
                <w:color w:val="auto"/>
              </w:rPr>
            </w:pPr>
            <w:r>
              <w:rPr>
                <w:rFonts w:ascii="Arial" w:cs="Arial" w:eastAsia="Arial" w:hAnsi="Arial"/>
                <w:sz w:val="13"/>
                <w:szCs w:val="13"/>
                <w:color w:val="auto"/>
                <w:w w:val="99"/>
              </w:rPr>
              <w:t>Mining, Steel, Iron</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11.50%</w:t>
            </w:r>
          </w:p>
        </w:tc>
        <w:tc>
          <w:tcPr>
            <w:tcW w:w="72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14,250,000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14,087,814</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15,924,375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and Non-Precious</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3"/>
              </w:rPr>
              <w:t>Metals</w:t>
            </w: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vMerge w:val="restart"/>
          </w:tcPr>
          <w:p>
            <w:pPr>
              <w:jc w:val="right"/>
              <w:ind w:right="24"/>
              <w:spacing w:after="0"/>
              <w:rPr>
                <w:sz w:val="20"/>
                <w:szCs w:val="20"/>
                <w:color w:val="auto"/>
              </w:rPr>
            </w:pPr>
            <w:r>
              <w:rPr>
                <w:rFonts w:ascii="Arial" w:cs="Arial" w:eastAsia="Arial" w:hAnsi="Arial"/>
                <w:sz w:val="11"/>
                <w:szCs w:val="11"/>
                <w:color w:val="auto"/>
                <w:w w:val="88"/>
              </w:rPr>
              <w:t>(8)</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20"/>
                <w:szCs w:val="20"/>
                <w:color w:val="auto"/>
              </w:rPr>
            </w:pPr>
            <w:r>
              <w:rPr>
                <w:rFonts w:ascii="Arial" w:cs="Arial" w:eastAsia="Arial" w:hAnsi="Arial"/>
                <w:sz w:val="13"/>
                <w:szCs w:val="13"/>
                <w:color w:val="auto"/>
              </w:rPr>
              <w:t>Tekelec Global, Inc.</w:t>
            </w:r>
          </w:p>
        </w:tc>
        <w:tc>
          <w:tcPr>
            <w:tcW w:w="1560" w:type="dxa"/>
            <w:vAlign w:val="bottom"/>
          </w:tcPr>
          <w:p>
            <w:pPr>
              <w:jc w:val="right"/>
              <w:ind w:right="13"/>
              <w:spacing w:after="0"/>
              <w:rPr>
                <w:sz w:val="20"/>
                <w:szCs w:val="20"/>
                <w:color w:val="auto"/>
              </w:rPr>
            </w:pPr>
            <w:r>
              <w:rPr>
                <w:rFonts w:ascii="Arial" w:cs="Arial" w:eastAsia="Arial" w:hAnsi="Arial"/>
                <w:sz w:val="13"/>
                <w:szCs w:val="13"/>
                <w:color w:val="auto"/>
              </w:rPr>
              <w:t>01/29/2018</w:t>
            </w:r>
          </w:p>
        </w:tc>
        <w:tc>
          <w:tcPr>
            <w:tcW w:w="128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13.50%</w:t>
            </w:r>
          </w:p>
        </w:tc>
        <w:tc>
          <w:tcPr>
            <w:tcW w:w="720" w:type="dxa"/>
            <w:vAlign w:val="bottom"/>
          </w:tcPr>
          <w:p>
            <w:pPr>
              <w:jc w:val="right"/>
              <w:spacing w:after="0"/>
              <w:rPr>
                <w:sz w:val="20"/>
                <w:szCs w:val="20"/>
                <w:color w:val="auto"/>
              </w:rPr>
            </w:pPr>
            <w:r>
              <w:rPr>
                <w:rFonts w:ascii="Arial" w:cs="Arial" w:eastAsia="Arial" w:hAnsi="Arial"/>
                <w:sz w:val="13"/>
                <w:szCs w:val="13"/>
                <w:color w:val="auto"/>
              </w:rPr>
              <w:t>L+1,200</w:t>
            </w:r>
          </w:p>
        </w:tc>
        <w:tc>
          <w:tcPr>
            <w:tcW w:w="220" w:type="dxa"/>
            <w:vAlign w:val="bottom"/>
            <w:vMerge w:val="continue"/>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7,983,408</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7,782,201</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9,220,836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Worley Claims Services LLC</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07/06/2017</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12.50%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L+1,100</w:t>
            </w: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88"/>
              </w:rPr>
              <w:t>(8)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14,658,000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14,658,000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14,584,710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40" w:type="dxa"/>
            <w:vAlign w:val="bottom"/>
          </w:tcPr>
          <w:p>
            <w:pPr>
              <w:spacing w:after="0" w:line="138" w:lineRule="exact"/>
              <w:rPr>
                <w:sz w:val="20"/>
                <w:szCs w:val="20"/>
                <w:color w:val="auto"/>
              </w:rPr>
            </w:pPr>
            <w:r>
              <w:rPr>
                <w:rFonts w:ascii="Arial" w:cs="Arial" w:eastAsia="Arial" w:hAnsi="Arial"/>
                <w:sz w:val="13"/>
                <w:szCs w:val="13"/>
                <w:color w:val="auto"/>
              </w:rPr>
              <w:t>Z Wireless</w:t>
            </w:r>
          </w:p>
        </w:tc>
        <w:tc>
          <w:tcPr>
            <w:tcW w:w="15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12/21/2016</w:t>
            </w:r>
          </w:p>
        </w:tc>
        <w:tc>
          <w:tcPr>
            <w:tcW w:w="1280" w:type="dxa"/>
            <w:vAlign w:val="bottom"/>
          </w:tcPr>
          <w:p>
            <w:pPr>
              <w:jc w:val="center"/>
              <w:spacing w:after="0" w:line="138" w:lineRule="exact"/>
              <w:rPr>
                <w:sz w:val="20"/>
                <w:szCs w:val="20"/>
                <w:color w:val="auto"/>
              </w:rPr>
            </w:pPr>
            <w:r>
              <w:rPr>
                <w:rFonts w:ascii="Arial" w:cs="Arial" w:eastAsia="Arial" w:hAnsi="Arial"/>
                <w:sz w:val="13"/>
                <w:szCs w:val="13"/>
                <w:color w:val="auto"/>
                <w:w w:val="96"/>
              </w:rPr>
              <w:t>Retail</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12.50%</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L+1,225</w:t>
            </w:r>
          </w:p>
        </w:tc>
        <w:tc>
          <w:tcPr>
            <w:tcW w:w="220" w:type="dxa"/>
            <w:vAlign w:val="bottom"/>
          </w:tcPr>
          <w:p>
            <w:pPr>
              <w:spacing w:after="0"/>
              <w:rPr>
                <w:sz w:val="11"/>
                <w:szCs w:val="11"/>
                <w:color w:val="auto"/>
              </w:rPr>
            </w:pP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14,439,031</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14,168,323</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14,453,756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(PIK 1.50%)</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15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269,395,198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279,041,390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20"/>
                <w:szCs w:val="20"/>
                <w:color w:val="auto"/>
              </w:rPr>
            </w:pPr>
            <w:r>
              <w:rPr>
                <w:rFonts w:ascii="Arial" w:cs="Arial" w:eastAsia="Arial" w:hAnsi="Arial"/>
                <w:sz w:val="13"/>
                <w:szCs w:val="13"/>
                <w:b w:val="1"/>
                <w:bCs w:val="1"/>
                <w:color w:val="auto"/>
              </w:rPr>
              <w:t>Second Lien Secured Debt—32.4%</w:t>
            </w:r>
          </w:p>
        </w:tc>
        <w:tc>
          <w:tcPr>
            <w:tcW w:w="1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4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American Gilsonite Company </w:t>
            </w:r>
            <w:r>
              <w:rPr>
                <w:rFonts w:ascii="Arial" w:cs="Arial" w:eastAsia="Arial" w:hAnsi="Arial"/>
                <w:sz w:val="15"/>
                <w:szCs w:val="15"/>
                <w:color w:val="auto"/>
                <w:vertAlign w:val="superscript"/>
              </w:rPr>
              <w:t>(5)</w:t>
            </w:r>
          </w:p>
        </w:tc>
        <w:tc>
          <w:tcPr>
            <w:tcW w:w="15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09/01/2017</w:t>
            </w:r>
          </w:p>
        </w:tc>
        <w:tc>
          <w:tcPr>
            <w:tcW w:w="12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Diversified Natural</w:t>
            </w:r>
          </w:p>
        </w:tc>
        <w:tc>
          <w:tcPr>
            <w:tcW w:w="9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11.50%</w:t>
            </w:r>
          </w:p>
        </w:tc>
        <w:tc>
          <w:tcPr>
            <w:tcW w:w="72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25,400,000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25,400,000</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26,987,500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Resources, Precious</w:t>
            </w:r>
          </w:p>
        </w:tc>
        <w:tc>
          <w:tcPr>
            <w:tcW w:w="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Metals and Minerals</w:t>
            </w:r>
          </w:p>
        </w:tc>
        <w:tc>
          <w:tcPr>
            <w:tcW w:w="9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20"/>
                <w:szCs w:val="20"/>
                <w:color w:val="auto"/>
              </w:rPr>
            </w:pPr>
            <w:r>
              <w:rPr>
                <w:rFonts w:ascii="Arial" w:cs="Arial" w:eastAsia="Arial" w:hAnsi="Arial"/>
                <w:sz w:val="13"/>
                <w:szCs w:val="13"/>
                <w:color w:val="auto"/>
              </w:rPr>
              <w:t>Brand Energy and Infrastructure Services, Inc.</w:t>
            </w:r>
          </w:p>
        </w:tc>
        <w:tc>
          <w:tcPr>
            <w:tcW w:w="1560" w:type="dxa"/>
            <w:vAlign w:val="bottom"/>
          </w:tcPr>
          <w:p>
            <w:pPr>
              <w:jc w:val="right"/>
              <w:ind w:right="13"/>
              <w:spacing w:after="0"/>
              <w:rPr>
                <w:sz w:val="20"/>
                <w:szCs w:val="20"/>
                <w:color w:val="auto"/>
              </w:rPr>
            </w:pPr>
            <w:r>
              <w:rPr>
                <w:rFonts w:ascii="Arial" w:cs="Arial" w:eastAsia="Arial" w:hAnsi="Arial"/>
                <w:sz w:val="13"/>
                <w:szCs w:val="13"/>
                <w:color w:val="auto"/>
              </w:rPr>
              <w:t>10/23/2019</w:t>
            </w:r>
          </w:p>
        </w:tc>
        <w:tc>
          <w:tcPr>
            <w:tcW w:w="1280" w:type="dxa"/>
            <w:vAlign w:val="bottom"/>
          </w:tcPr>
          <w:p>
            <w:pPr>
              <w:jc w:val="center"/>
              <w:spacing w:after="0"/>
              <w:rPr>
                <w:sz w:val="20"/>
                <w:szCs w:val="20"/>
                <w:color w:val="auto"/>
              </w:rPr>
            </w:pPr>
            <w:r>
              <w:rPr>
                <w:rFonts w:ascii="Arial" w:cs="Arial" w:eastAsia="Arial" w:hAnsi="Arial"/>
                <w:sz w:val="13"/>
                <w:szCs w:val="13"/>
                <w:color w:val="auto"/>
                <w:w w:val="97"/>
              </w:rPr>
              <w:t>Energy / Utilities</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11.00%</w:t>
            </w:r>
          </w:p>
        </w:tc>
        <w:tc>
          <w:tcPr>
            <w:tcW w:w="720" w:type="dxa"/>
            <w:vAlign w:val="bottom"/>
          </w:tcPr>
          <w:p>
            <w:pPr>
              <w:jc w:val="right"/>
              <w:spacing w:after="0"/>
              <w:rPr>
                <w:sz w:val="20"/>
                <w:szCs w:val="20"/>
                <w:color w:val="auto"/>
              </w:rPr>
            </w:pPr>
            <w:r>
              <w:rPr>
                <w:rFonts w:ascii="Arial" w:cs="Arial" w:eastAsia="Arial" w:hAnsi="Arial"/>
                <w:sz w:val="13"/>
                <w:szCs w:val="13"/>
                <w:color w:val="auto"/>
              </w:rPr>
              <w:t>L+975</w:t>
            </w:r>
          </w:p>
        </w:tc>
        <w:tc>
          <w:tcPr>
            <w:tcW w:w="220" w:type="dxa"/>
            <w:vAlign w:val="bottom"/>
          </w:tcPr>
          <w:p>
            <w:pPr>
              <w:jc w:val="right"/>
              <w:ind w:right="24"/>
              <w:spacing w:after="0"/>
              <w:rPr>
                <w:sz w:val="20"/>
                <w:szCs w:val="20"/>
                <w:color w:val="auto"/>
              </w:rPr>
            </w:pPr>
            <w:r>
              <w:rPr>
                <w:rFonts w:ascii="Arial" w:cs="Arial" w:eastAsia="Arial" w:hAnsi="Arial"/>
                <w:sz w:val="11"/>
                <w:szCs w:val="11"/>
                <w:color w:val="auto"/>
                <w:w w:val="88"/>
              </w:rPr>
              <w:t>(8)</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42,278,570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41,429,727</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42,701,356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Eureka Hunter Pipeline, LLC</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08/16/2018</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Energy / Utilities</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12.50%</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45,000,000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44,577,851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20"/>
                <w:szCs w:val="20"/>
                <w:color w:val="auto"/>
              </w:rPr>
            </w:pPr>
            <w:r>
              <w:rPr>
                <w:rFonts w:ascii="Arial" w:cs="Arial" w:eastAsia="Arial" w:hAnsi="Arial"/>
                <w:sz w:val="13"/>
                <w:szCs w:val="13"/>
                <w:color w:val="auto"/>
              </w:rPr>
              <w:t>Hanley Wood, LLC</w:t>
            </w:r>
          </w:p>
        </w:tc>
        <w:tc>
          <w:tcPr>
            <w:tcW w:w="1560" w:type="dxa"/>
            <w:vAlign w:val="bottom"/>
          </w:tcPr>
          <w:p>
            <w:pPr>
              <w:jc w:val="right"/>
              <w:ind w:right="13"/>
              <w:spacing w:after="0"/>
              <w:rPr>
                <w:sz w:val="20"/>
                <w:szCs w:val="20"/>
                <w:color w:val="auto"/>
              </w:rPr>
            </w:pPr>
            <w:r>
              <w:rPr>
                <w:rFonts w:ascii="Arial" w:cs="Arial" w:eastAsia="Arial" w:hAnsi="Arial"/>
                <w:sz w:val="13"/>
                <w:szCs w:val="13"/>
                <w:color w:val="auto"/>
              </w:rPr>
              <w:t>01/15/2019</w:t>
            </w:r>
          </w:p>
        </w:tc>
        <w:tc>
          <w:tcPr>
            <w:tcW w:w="128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11.30%</w:t>
            </w:r>
          </w:p>
        </w:tc>
        <w:tc>
          <w:tcPr>
            <w:tcW w:w="720" w:type="dxa"/>
            <w:vAlign w:val="bottom"/>
          </w:tcPr>
          <w:p>
            <w:pPr>
              <w:jc w:val="right"/>
              <w:spacing w:after="0"/>
              <w:rPr>
                <w:sz w:val="20"/>
                <w:szCs w:val="20"/>
                <w:color w:val="auto"/>
              </w:rPr>
            </w:pPr>
            <w:r>
              <w:rPr>
                <w:rFonts w:ascii="Arial" w:cs="Arial" w:eastAsia="Arial" w:hAnsi="Arial"/>
                <w:sz w:val="13"/>
                <w:szCs w:val="13"/>
                <w:color w:val="auto"/>
              </w:rPr>
              <w:t>L+1,100</w:t>
            </w:r>
          </w:p>
        </w:tc>
        <w:tc>
          <w:tcPr>
            <w:tcW w:w="22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5,000,000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4,901,120</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Intermediate Transportation 100, L.L.C.</w:t>
            </w:r>
          </w:p>
        </w:tc>
        <w:tc>
          <w:tcPr>
            <w:tcW w:w="15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03/01/2017</w:t>
            </w:r>
          </w:p>
        </w:tc>
        <w:tc>
          <w:tcPr>
            <w:tcW w:w="12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Cargo Transport</w:t>
            </w:r>
          </w:p>
        </w:tc>
        <w:tc>
          <w:tcPr>
            <w:tcW w:w="9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11.00%</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L+700</w:t>
            </w: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88"/>
              </w:rPr>
              <w:t>(8)</w:t>
            </w:r>
          </w:p>
        </w:tc>
        <w:tc>
          <w:tcPr>
            <w:tcW w:w="8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3,360,032</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3,360,034</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3,360,032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(f/k/a Greatwide Logistics Services, L.L.C.)</w:t>
            </w:r>
          </w:p>
        </w:tc>
        <w:tc>
          <w:tcPr>
            <w:tcW w:w="15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(PIK 11.00%)</w:t>
            </w: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40" w:type="dxa"/>
            <w:vAlign w:val="bottom"/>
          </w:tcPr>
          <w:p>
            <w:pPr>
              <w:spacing w:after="0" w:line="138" w:lineRule="exact"/>
              <w:rPr>
                <w:sz w:val="20"/>
                <w:szCs w:val="20"/>
                <w:color w:val="auto"/>
              </w:rPr>
            </w:pPr>
            <w:r>
              <w:rPr>
                <w:rFonts w:ascii="Arial" w:cs="Arial" w:eastAsia="Arial" w:hAnsi="Arial"/>
                <w:sz w:val="13"/>
                <w:szCs w:val="13"/>
                <w:color w:val="auto"/>
              </w:rPr>
              <w:t>Jacobs Entertainment, Inc.</w:t>
            </w:r>
          </w:p>
        </w:tc>
        <w:tc>
          <w:tcPr>
            <w:tcW w:w="15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10/29/2019</w:t>
            </w:r>
          </w:p>
        </w:tc>
        <w:tc>
          <w:tcPr>
            <w:tcW w:w="1280" w:type="dxa"/>
            <w:vAlign w:val="bottom"/>
          </w:tcPr>
          <w:p>
            <w:pPr>
              <w:jc w:val="center"/>
              <w:spacing w:after="0" w:line="138" w:lineRule="exact"/>
              <w:rPr>
                <w:sz w:val="20"/>
                <w:szCs w:val="20"/>
                <w:color w:val="auto"/>
              </w:rPr>
            </w:pPr>
            <w:r>
              <w:rPr>
                <w:rFonts w:ascii="Arial" w:cs="Arial" w:eastAsia="Arial" w:hAnsi="Arial"/>
                <w:sz w:val="13"/>
                <w:szCs w:val="13"/>
                <w:color w:val="auto"/>
                <w:w w:val="97"/>
              </w:rPr>
              <w:t>Hotels, Motels,</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13.00%</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L+1,175</w:t>
            </w:r>
          </w:p>
        </w:tc>
        <w:tc>
          <w:tcPr>
            <w:tcW w:w="220" w:type="dxa"/>
            <w:vAlign w:val="bottom"/>
          </w:tcPr>
          <w:p>
            <w:pPr>
              <w:jc w:val="right"/>
              <w:ind w:right="24"/>
              <w:spacing w:after="0"/>
              <w:rPr>
                <w:sz w:val="20"/>
                <w:szCs w:val="20"/>
                <w:color w:val="auto"/>
              </w:rPr>
            </w:pPr>
            <w:r>
              <w:rPr>
                <w:rFonts w:ascii="Arial" w:cs="Arial" w:eastAsia="Arial" w:hAnsi="Arial"/>
                <w:sz w:val="11"/>
                <w:szCs w:val="11"/>
                <w:color w:val="auto"/>
                <w:w w:val="88"/>
              </w:rPr>
              <w:t>(8)</w:t>
            </w: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38,950,000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38,216,542</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38,998,688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Inns and Gaming</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Learning Care Group, Inc.</w:t>
            </w:r>
          </w:p>
        </w:tc>
        <w:tc>
          <w:tcPr>
            <w:tcW w:w="15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04/27/2016</w:t>
            </w:r>
          </w:p>
        </w:tc>
        <w:tc>
          <w:tcPr>
            <w:tcW w:w="12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Education</w:t>
            </w:r>
          </w:p>
        </w:tc>
        <w:tc>
          <w:tcPr>
            <w:tcW w:w="9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14.00%</w:t>
            </w:r>
          </w:p>
        </w:tc>
        <w:tc>
          <w:tcPr>
            <w:tcW w:w="72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26,052,632</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25,688,754</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26,248,026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(PIK 2.00%)</w:t>
            </w: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1"/>
                <w:szCs w:val="11"/>
                <w:color w:val="auto"/>
              </w:rPr>
              <w:t xml:space="preserve">Linc USA GP and Linc Energy Finance (USA), Inc. </w:t>
            </w:r>
            <w:r>
              <w:rPr>
                <w:rFonts w:ascii="Arial" w:cs="Arial" w:eastAsia="Arial" w:hAnsi="Arial"/>
                <w:sz w:val="17"/>
                <w:szCs w:val="17"/>
                <w:color w:val="auto"/>
                <w:vertAlign w:val="superscript"/>
              </w:rPr>
              <w:t>(5)</w:t>
            </w:r>
          </w:p>
        </w:tc>
        <w:tc>
          <w:tcPr>
            <w:tcW w:w="1560" w:type="dxa"/>
            <w:vAlign w:val="bottom"/>
          </w:tcPr>
          <w:p>
            <w:pPr>
              <w:jc w:val="right"/>
              <w:ind w:right="13"/>
              <w:spacing w:after="0"/>
              <w:rPr>
                <w:sz w:val="20"/>
                <w:szCs w:val="20"/>
                <w:color w:val="auto"/>
              </w:rPr>
            </w:pPr>
            <w:r>
              <w:rPr>
                <w:rFonts w:ascii="Arial" w:cs="Arial" w:eastAsia="Arial" w:hAnsi="Arial"/>
                <w:sz w:val="13"/>
                <w:szCs w:val="13"/>
                <w:color w:val="auto"/>
              </w:rPr>
              <w:t>10/31/2017</w:t>
            </w:r>
          </w:p>
        </w:tc>
        <w:tc>
          <w:tcPr>
            <w:tcW w:w="128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12.50%</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11,875,000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11,478,991</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13,003,125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Questex Media Group LLC, Term Loan A</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12/15/2014</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9.50%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L+650</w:t>
            </w: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88"/>
              </w:rPr>
              <w:t>(8)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2,649,951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2,649,951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2,517,453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40" w:type="dxa"/>
            <w:vAlign w:val="bottom"/>
          </w:tcPr>
          <w:p>
            <w:pPr>
              <w:spacing w:after="0" w:line="138" w:lineRule="exact"/>
              <w:rPr>
                <w:sz w:val="20"/>
                <w:szCs w:val="20"/>
                <w:color w:val="auto"/>
              </w:rPr>
            </w:pPr>
            <w:r>
              <w:rPr>
                <w:rFonts w:ascii="Arial" w:cs="Arial" w:eastAsia="Arial" w:hAnsi="Arial"/>
                <w:sz w:val="13"/>
                <w:szCs w:val="13"/>
                <w:color w:val="auto"/>
              </w:rPr>
              <w:t>Questex Media Group LLC, Term Loan B</w:t>
            </w:r>
          </w:p>
        </w:tc>
        <w:tc>
          <w:tcPr>
            <w:tcW w:w="15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12/15/2015</w:t>
            </w:r>
          </w:p>
        </w:tc>
        <w:tc>
          <w:tcPr>
            <w:tcW w:w="1280" w:type="dxa"/>
            <w:vAlign w:val="bottom"/>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11.50%</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L+850</w:t>
            </w:r>
          </w:p>
        </w:tc>
        <w:tc>
          <w:tcPr>
            <w:tcW w:w="220" w:type="dxa"/>
            <w:vAlign w:val="bottom"/>
          </w:tcPr>
          <w:p>
            <w:pPr>
              <w:jc w:val="right"/>
              <w:ind w:right="24"/>
              <w:spacing w:after="0"/>
              <w:rPr>
                <w:sz w:val="20"/>
                <w:szCs w:val="20"/>
                <w:color w:val="auto"/>
              </w:rPr>
            </w:pPr>
            <w:r>
              <w:rPr>
                <w:rFonts w:ascii="Arial" w:cs="Arial" w:eastAsia="Arial" w:hAnsi="Arial"/>
                <w:sz w:val="11"/>
                <w:szCs w:val="11"/>
                <w:color w:val="auto"/>
                <w:w w:val="88"/>
              </w:rPr>
              <w:t>(8)</w:t>
            </w: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2,361,313</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2,361,313</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2,184,214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(PIK 11.50%)</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ROC Finance LLC and ROC Finance 1 Corp.</w:t>
            </w:r>
          </w:p>
        </w:tc>
        <w:tc>
          <w:tcPr>
            <w:tcW w:w="15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09/01/2018</w:t>
            </w:r>
          </w:p>
        </w:tc>
        <w:tc>
          <w:tcPr>
            <w:tcW w:w="12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Hotels, Motels,</w:t>
            </w:r>
          </w:p>
        </w:tc>
        <w:tc>
          <w:tcPr>
            <w:tcW w:w="9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12.13%</w:t>
            </w:r>
          </w:p>
        </w:tc>
        <w:tc>
          <w:tcPr>
            <w:tcW w:w="72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16,000,000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15,774,799</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18,560,000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Inns and Gaming</w:t>
            </w: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rPr>
                <w:sz w:val="20"/>
                <w:szCs w:val="20"/>
                <w:color w:val="auto"/>
              </w:rPr>
            </w:pPr>
            <w:r>
              <w:rPr>
                <w:rFonts w:ascii="Arial" w:cs="Arial" w:eastAsia="Arial" w:hAnsi="Arial"/>
                <w:sz w:val="13"/>
                <w:szCs w:val="13"/>
                <w:b w:val="1"/>
                <w:bCs w:val="1"/>
                <w:color w:val="auto"/>
              </w:rPr>
              <w:t>Total Second Lien Secured Debt</w:t>
            </w:r>
          </w:p>
        </w:tc>
        <w:tc>
          <w:tcPr>
            <w:tcW w:w="1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215,839,082</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225,910,394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-5494020</wp:posOffset>
            </wp:positionV>
            <wp:extent cx="7132320" cy="93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-4928235</wp:posOffset>
            </wp:positionV>
            <wp:extent cx="713232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-4457065</wp:posOffset>
            </wp:positionV>
            <wp:extent cx="7132320"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-3702685</wp:posOffset>
            </wp:positionV>
            <wp:extent cx="71323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-3230880</wp:posOffset>
            </wp:positionV>
            <wp:extent cx="713232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-2750820</wp:posOffset>
            </wp:positionV>
            <wp:extent cx="7132320"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Basis Point</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Spread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Maturity</w:t>
            </w: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Industry</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Current</w:t>
            </w:r>
          </w:p>
        </w:tc>
        <w:tc>
          <w:tcPr>
            <w:tcW w:w="2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Above</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4"/>
                <w:szCs w:val="14"/>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48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Coupon</w:t>
            </w:r>
          </w:p>
        </w:tc>
        <w:tc>
          <w:tcPr>
            <w:tcW w:w="2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Subordinated Debt/Corporate Notes—52.6%</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tcPr>
          <w:p>
            <w:pPr>
              <w:spacing w:after="0"/>
              <w:rPr>
                <w:sz w:val="20"/>
                <w:szCs w:val="20"/>
                <w:color w:val="auto"/>
              </w:rPr>
            </w:pPr>
            <w:r>
              <w:rPr>
                <w:rFonts w:ascii="Arial" w:cs="Arial" w:eastAsia="Arial" w:hAnsi="Arial"/>
                <w:sz w:val="13"/>
                <w:szCs w:val="13"/>
                <w:color w:val="auto"/>
              </w:rPr>
              <w:t>Acentia,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10/02/2017</w:t>
            </w:r>
          </w:p>
        </w:tc>
        <w:tc>
          <w:tcPr>
            <w:tcW w:w="8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Electronics</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13.75%</w:t>
            </w:r>
          </w:p>
        </w:tc>
        <w:tc>
          <w:tcPr>
            <w:tcW w:w="260" w:type="dxa"/>
            <w:vAlign w:val="bottom"/>
          </w:tcPr>
          <w:p>
            <w:pPr>
              <w:spacing w:after="0"/>
              <w:rPr>
                <w:sz w:val="12"/>
                <w:szCs w:val="12"/>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19,000,000</w:t>
            </w:r>
          </w:p>
        </w:tc>
        <w:tc>
          <w:tcPr>
            <w:tcW w:w="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$ 18,585,286</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w w:val="97"/>
              </w:rPr>
              <w:t>$ 18,903,446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11/15/2015</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Consumer Products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11.63%</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35,552,000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34,388,612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22,575,520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tcPr>
          <w:p>
            <w:pPr>
              <w:spacing w:after="0"/>
              <w:rPr>
                <w:sz w:val="20"/>
                <w:szCs w:val="20"/>
                <w:color w:val="auto"/>
              </w:rPr>
            </w:pPr>
            <w:r>
              <w:rPr>
                <w:rFonts w:ascii="Arial" w:cs="Arial" w:eastAsia="Arial" w:hAnsi="Arial"/>
                <w:sz w:val="13"/>
                <w:szCs w:val="13"/>
                <w:color w:val="auto"/>
              </w:rPr>
              <w:t>Alegeus Technologies,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02/15/2019</w:t>
            </w:r>
          </w:p>
        </w:tc>
        <w:tc>
          <w:tcPr>
            <w:tcW w:w="8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Financial Services</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12.00%</w:t>
            </w:r>
          </w:p>
        </w:tc>
        <w:tc>
          <w:tcPr>
            <w:tcW w:w="260" w:type="dxa"/>
            <w:vAlign w:val="bottom"/>
          </w:tcPr>
          <w:p>
            <w:pPr>
              <w:spacing w:after="0"/>
              <w:rPr>
                <w:sz w:val="12"/>
                <w:szCs w:val="12"/>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8,930,000</w:t>
            </w:r>
          </w:p>
        </w:tc>
        <w:tc>
          <w:tcPr>
            <w:tcW w:w="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8,759,780</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9,043,070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Convergint Technologies LLC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03/26/2018</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7"/>
              </w:rPr>
              <w:t>Electronics</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12.00%</w:t>
            </w:r>
          </w:p>
        </w:tc>
        <w:tc>
          <w:tcPr>
            <w:tcW w:w="2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23,395,416</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22,971,323</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23,746,347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64"/>
              <w:spacing w:after="0"/>
              <w:rPr>
                <w:sz w:val="20"/>
                <w:szCs w:val="20"/>
                <w:color w:val="auto"/>
              </w:rPr>
            </w:pPr>
            <w:r>
              <w:rPr>
                <w:rFonts w:ascii="Arial" w:cs="Arial" w:eastAsia="Arial" w:hAnsi="Arial"/>
                <w:sz w:val="13"/>
                <w:szCs w:val="13"/>
                <w:color w:val="auto"/>
              </w:rPr>
              <w:t>(PIK 1.00%)</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60" w:type="dxa"/>
            <w:vAlign w:val="bottom"/>
            <w:gridSpan w:val="2"/>
          </w:tcPr>
          <w:p>
            <w:pPr>
              <w:spacing w:after="0" w:line="138" w:lineRule="exact"/>
              <w:rPr>
                <w:sz w:val="20"/>
                <w:szCs w:val="20"/>
                <w:color w:val="auto"/>
              </w:rPr>
            </w:pPr>
            <w:r>
              <w:rPr>
                <w:rFonts w:ascii="Arial" w:cs="Arial" w:eastAsia="Arial" w:hAnsi="Arial"/>
                <w:sz w:val="13"/>
                <w:szCs w:val="13"/>
                <w:color w:val="auto"/>
              </w:rPr>
              <w:t>Escort, Inc.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06/01/2016</w:t>
            </w:r>
          </w:p>
        </w:tc>
        <w:tc>
          <w:tcPr>
            <w:tcW w:w="80" w:type="dxa"/>
            <w:vAlign w:val="bottom"/>
          </w:tcPr>
          <w:p>
            <w:pPr>
              <w:spacing w:after="0"/>
              <w:rPr>
                <w:sz w:val="11"/>
                <w:szCs w:val="11"/>
                <w:color w:val="auto"/>
              </w:rPr>
            </w:pPr>
          </w:p>
        </w:tc>
        <w:tc>
          <w:tcPr>
            <w:tcW w:w="130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7"/>
              </w:rPr>
              <w:t>Electronics</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14.75%</w:t>
            </w:r>
          </w:p>
        </w:tc>
        <w:tc>
          <w:tcPr>
            <w:tcW w:w="260" w:type="dxa"/>
            <w:vAlign w:val="bottom"/>
          </w:tcPr>
          <w:p>
            <w:pPr>
              <w:spacing w:after="0"/>
              <w:rPr>
                <w:sz w:val="11"/>
                <w:szCs w:val="11"/>
                <w:color w:val="auto"/>
              </w:rPr>
            </w:pPr>
          </w:p>
        </w:tc>
        <w:tc>
          <w:tcPr>
            <w:tcW w:w="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25,606,357</w:t>
            </w:r>
          </w:p>
        </w:tc>
        <w:tc>
          <w:tcPr>
            <w:tcW w:w="80" w:type="dxa"/>
            <w:vAlign w:val="bottom"/>
          </w:tcPr>
          <w:p>
            <w:pPr>
              <w:spacing w:after="0"/>
              <w:rPr>
                <w:sz w:val="11"/>
                <w:szCs w:val="11"/>
                <w:color w:val="auto"/>
              </w:rPr>
            </w:pPr>
          </w:p>
        </w:tc>
        <w:tc>
          <w:tcPr>
            <w:tcW w:w="8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25,161,889</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25,862,420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164"/>
              <w:spacing w:after="0"/>
              <w:rPr>
                <w:sz w:val="20"/>
                <w:szCs w:val="20"/>
                <w:color w:val="auto"/>
              </w:rPr>
            </w:pPr>
            <w:r>
              <w:rPr>
                <w:rFonts w:ascii="Arial" w:cs="Arial" w:eastAsia="Arial" w:hAnsi="Arial"/>
                <w:sz w:val="13"/>
                <w:szCs w:val="13"/>
                <w:color w:val="auto"/>
              </w:rPr>
              <w:t>(PIK 2.75%)</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Galls, LLC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03/31/2017</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rPr>
              <w:t>Distribution</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13.00%</w:t>
            </w:r>
          </w:p>
        </w:tc>
        <w:tc>
          <w:tcPr>
            <w:tcW w:w="2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22,015,780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21,651,645</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22,015,780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64"/>
              <w:spacing w:after="0"/>
              <w:rPr>
                <w:sz w:val="20"/>
                <w:szCs w:val="20"/>
                <w:color w:val="auto"/>
              </w:rPr>
            </w:pPr>
            <w:r>
              <w:rPr>
                <w:rFonts w:ascii="Arial" w:cs="Arial" w:eastAsia="Arial" w:hAnsi="Arial"/>
                <w:sz w:val="13"/>
                <w:szCs w:val="13"/>
                <w:color w:val="auto"/>
              </w:rPr>
              <w:t>(PIK 2.00%)</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60" w:type="dxa"/>
            <w:vAlign w:val="bottom"/>
            <w:gridSpan w:val="2"/>
          </w:tcPr>
          <w:p>
            <w:pPr>
              <w:spacing w:after="0" w:line="138" w:lineRule="exact"/>
              <w:rPr>
                <w:sz w:val="20"/>
                <w:szCs w:val="20"/>
                <w:color w:val="auto"/>
              </w:rPr>
            </w:pPr>
            <w:r>
              <w:rPr>
                <w:rFonts w:ascii="Arial" w:cs="Arial" w:eastAsia="Arial" w:hAnsi="Arial"/>
                <w:sz w:val="13"/>
                <w:szCs w:val="13"/>
                <w:color w:val="auto"/>
              </w:rPr>
              <w:t>JF Acquisition, LLC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06/30/2017</w:t>
            </w:r>
          </w:p>
        </w:tc>
        <w:tc>
          <w:tcPr>
            <w:tcW w:w="80" w:type="dxa"/>
            <w:vAlign w:val="bottom"/>
          </w:tcPr>
          <w:p>
            <w:pPr>
              <w:spacing w:after="0"/>
              <w:rPr>
                <w:sz w:val="11"/>
                <w:szCs w:val="11"/>
                <w:color w:val="auto"/>
              </w:rPr>
            </w:pPr>
          </w:p>
        </w:tc>
        <w:tc>
          <w:tcPr>
            <w:tcW w:w="130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rPr>
              <w:t>Distribution</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14.00%</w:t>
            </w:r>
          </w:p>
        </w:tc>
        <w:tc>
          <w:tcPr>
            <w:tcW w:w="260" w:type="dxa"/>
            <w:vAlign w:val="bottom"/>
          </w:tcPr>
          <w:p>
            <w:pPr>
              <w:spacing w:after="0"/>
              <w:rPr>
                <w:sz w:val="11"/>
                <w:szCs w:val="11"/>
                <w:color w:val="auto"/>
              </w:rPr>
            </w:pPr>
          </w:p>
        </w:tc>
        <w:tc>
          <w:tcPr>
            <w:tcW w:w="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17,343,517</w:t>
            </w:r>
          </w:p>
        </w:tc>
        <w:tc>
          <w:tcPr>
            <w:tcW w:w="80" w:type="dxa"/>
            <w:vAlign w:val="bottom"/>
          </w:tcPr>
          <w:p>
            <w:pPr>
              <w:spacing w:after="0"/>
              <w:rPr>
                <w:sz w:val="11"/>
                <w:szCs w:val="11"/>
                <w:color w:val="auto"/>
              </w:rPr>
            </w:pPr>
          </w:p>
        </w:tc>
        <w:tc>
          <w:tcPr>
            <w:tcW w:w="8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16,952,518</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17,343,517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164"/>
              <w:spacing w:after="0"/>
              <w:rPr>
                <w:sz w:val="20"/>
                <w:szCs w:val="20"/>
                <w:color w:val="auto"/>
              </w:rPr>
            </w:pPr>
            <w:r>
              <w:rPr>
                <w:rFonts w:ascii="Arial" w:cs="Arial" w:eastAsia="Arial" w:hAnsi="Arial"/>
                <w:sz w:val="13"/>
                <w:szCs w:val="13"/>
                <w:color w:val="auto"/>
              </w:rPr>
              <w:t>(PIK 2.00%)</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Last Mile Funding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06/30/2016</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3"/>
                <w:szCs w:val="13"/>
                <w:color w:val="auto"/>
                <w:w w:val="92"/>
              </w:rPr>
              <w:t>Cargo Transport</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14.50%</w:t>
            </w:r>
          </w:p>
        </w:tc>
        <w:tc>
          <w:tcPr>
            <w:tcW w:w="2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46,175,257</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45,373,723</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46,637,010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64"/>
              <w:spacing w:after="0"/>
              <w:rPr>
                <w:sz w:val="20"/>
                <w:szCs w:val="20"/>
                <w:color w:val="auto"/>
              </w:rPr>
            </w:pPr>
            <w:r>
              <w:rPr>
                <w:rFonts w:ascii="Arial" w:cs="Arial" w:eastAsia="Arial" w:hAnsi="Arial"/>
                <w:sz w:val="13"/>
                <w:szCs w:val="13"/>
                <w:color w:val="auto"/>
              </w:rPr>
              <w:t>(PIK 2.50%)</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60" w:type="dxa"/>
            <w:vAlign w:val="bottom"/>
            <w:gridSpan w:val="2"/>
          </w:tcPr>
          <w:p>
            <w:pPr>
              <w:spacing w:after="0" w:line="138" w:lineRule="exact"/>
              <w:rPr>
                <w:sz w:val="20"/>
                <w:szCs w:val="20"/>
                <w:color w:val="auto"/>
              </w:rPr>
            </w:pPr>
            <w:r>
              <w:rPr>
                <w:rFonts w:ascii="Arial" w:cs="Arial" w:eastAsia="Arial" w:hAnsi="Arial"/>
                <w:sz w:val="13"/>
                <w:szCs w:val="13"/>
                <w:color w:val="auto"/>
              </w:rPr>
              <w:t>Learning Care Group (US) Inc.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06/30/2016</w:t>
            </w:r>
          </w:p>
        </w:tc>
        <w:tc>
          <w:tcPr>
            <w:tcW w:w="80" w:type="dxa"/>
            <w:vAlign w:val="bottom"/>
          </w:tcPr>
          <w:p>
            <w:pPr>
              <w:spacing w:after="0"/>
              <w:rPr>
                <w:sz w:val="11"/>
                <w:szCs w:val="11"/>
                <w:color w:val="auto"/>
              </w:rPr>
            </w:pPr>
          </w:p>
        </w:tc>
        <w:tc>
          <w:tcPr>
            <w:tcW w:w="130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3"/>
              </w:rPr>
              <w:t>Education</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15.00%</w:t>
            </w:r>
          </w:p>
        </w:tc>
        <w:tc>
          <w:tcPr>
            <w:tcW w:w="260" w:type="dxa"/>
            <w:vAlign w:val="bottom"/>
          </w:tcPr>
          <w:p>
            <w:pPr>
              <w:spacing w:after="0"/>
              <w:rPr>
                <w:sz w:val="11"/>
                <w:szCs w:val="11"/>
                <w:color w:val="auto"/>
              </w:rPr>
            </w:pPr>
          </w:p>
        </w:tc>
        <w:tc>
          <w:tcPr>
            <w:tcW w:w="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6,750,102</w:t>
            </w:r>
          </w:p>
        </w:tc>
        <w:tc>
          <w:tcPr>
            <w:tcW w:w="80" w:type="dxa"/>
            <w:vAlign w:val="bottom"/>
          </w:tcPr>
          <w:p>
            <w:pPr>
              <w:spacing w:after="0"/>
              <w:rPr>
                <w:sz w:val="11"/>
                <w:szCs w:val="11"/>
                <w:color w:val="auto"/>
              </w:rPr>
            </w:pPr>
          </w:p>
        </w:tc>
        <w:tc>
          <w:tcPr>
            <w:tcW w:w="8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6,226,535</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6,648,851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164"/>
              <w:spacing w:after="0"/>
              <w:rPr>
                <w:sz w:val="20"/>
                <w:szCs w:val="20"/>
                <w:color w:val="auto"/>
              </w:rPr>
            </w:pPr>
            <w:r>
              <w:rPr>
                <w:rFonts w:ascii="Arial" w:cs="Arial" w:eastAsia="Arial" w:hAnsi="Arial"/>
                <w:sz w:val="13"/>
                <w:szCs w:val="13"/>
                <w:color w:val="auto"/>
              </w:rPr>
              <w:t>(PIK 15.00%)</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LTI Flexible Products,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01/19/2019</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6"/>
              </w:rPr>
              <w:t>Chemicals,</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12.50%</w:t>
            </w:r>
          </w:p>
        </w:tc>
        <w:tc>
          <w:tcPr>
            <w:tcW w:w="2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30,000,000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30,000,000</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30,300,000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Plastics and Rubber</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8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LTI Flexible Products, Inc. </w:t>
            </w:r>
            <w:r>
              <w:rPr>
                <w:rFonts w:ascii="Arial" w:cs="Arial" w:eastAsia="Arial" w:hAnsi="Arial"/>
                <w:sz w:val="15"/>
                <w:szCs w:val="15"/>
                <w:color w:val="auto"/>
                <w:vertAlign w:val="superscript"/>
              </w:rPr>
              <w:t>(9)</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01/11/2014</w:t>
            </w:r>
          </w:p>
        </w:tc>
        <w:tc>
          <w:tcPr>
            <w:tcW w:w="80" w:type="dxa"/>
            <w:vAlign w:val="bottom"/>
          </w:tcPr>
          <w:p>
            <w:pPr>
              <w:spacing w:after="0"/>
              <w:rPr>
                <w:sz w:val="11"/>
                <w:szCs w:val="11"/>
                <w:color w:val="auto"/>
              </w:rPr>
            </w:pPr>
          </w:p>
        </w:tc>
        <w:tc>
          <w:tcPr>
            <w:tcW w:w="130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6"/>
              </w:rPr>
              <w:t>Chemicals,</w:t>
            </w: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5,000,000</w:t>
            </w:r>
          </w:p>
        </w:tc>
        <w:tc>
          <w:tcPr>
            <w:tcW w:w="80" w:type="dxa"/>
            <w:vAlign w:val="bottom"/>
          </w:tcPr>
          <w:p>
            <w:pPr>
              <w:spacing w:after="0"/>
              <w:rPr>
                <w:sz w:val="11"/>
                <w:szCs w:val="11"/>
                <w:color w:val="auto"/>
              </w:rPr>
            </w:pPr>
          </w:p>
        </w:tc>
        <w:tc>
          <w:tcPr>
            <w:tcW w:w="8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4,825,000</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5,050,000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Plastics and Rubber</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MailSouth,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06/15/2017</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5"/>
              </w:rPr>
              <w:t>Printing</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14.50%</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88"/>
              </w:rPr>
              <w:t>(7)</w:t>
            </w:r>
          </w:p>
        </w:tc>
        <w:tc>
          <w:tcPr>
            <w:tcW w:w="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15,000,000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14,667,042</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15,000,000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and Publishing</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60" w:type="dxa"/>
            <w:vAlign w:val="bottom"/>
            <w:gridSpan w:val="2"/>
          </w:tcPr>
          <w:p>
            <w:pPr>
              <w:spacing w:after="0"/>
              <w:rPr>
                <w:sz w:val="20"/>
                <w:szCs w:val="20"/>
                <w:color w:val="auto"/>
              </w:rPr>
            </w:pPr>
            <w:r>
              <w:rPr>
                <w:rFonts w:ascii="Arial" w:cs="Arial" w:eastAsia="Arial" w:hAnsi="Arial"/>
                <w:sz w:val="13"/>
                <w:szCs w:val="13"/>
                <w:color w:val="auto"/>
              </w:rPr>
              <w:t>TRAK Acquisition Corp.</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12/29/2015</w:t>
            </w:r>
          </w:p>
        </w:tc>
        <w:tc>
          <w:tcPr>
            <w:tcW w:w="8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Business Services</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15.00%</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(7)</w:t>
            </w: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12,020,950</w:t>
            </w:r>
          </w:p>
        </w:tc>
        <w:tc>
          <w:tcPr>
            <w:tcW w:w="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11,714,348</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12,020,950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Group,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06/03/2019</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0"/>
              </w:rPr>
              <w:t>Beverage, Food, and</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14.25%</w:t>
            </w:r>
          </w:p>
        </w:tc>
        <w:tc>
          <w:tcPr>
            <w:tcW w:w="2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14,947,163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14,712,283</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15,395,577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Tobacco</w:t>
            </w:r>
          </w:p>
        </w:tc>
        <w:tc>
          <w:tcPr>
            <w:tcW w:w="1040" w:type="dxa"/>
            <w:vAlign w:val="bottom"/>
            <w:gridSpan w:val="3"/>
            <w:shd w:val="clear" w:color="auto" w:fill="CCEEFF"/>
          </w:tcPr>
          <w:p>
            <w:pPr>
              <w:jc w:val="right"/>
              <w:ind w:right="164"/>
              <w:spacing w:after="0"/>
              <w:rPr>
                <w:sz w:val="20"/>
                <w:szCs w:val="20"/>
                <w:color w:val="auto"/>
              </w:rPr>
            </w:pPr>
            <w:r>
              <w:rPr>
                <w:rFonts w:ascii="Arial" w:cs="Arial" w:eastAsia="Arial" w:hAnsi="Arial"/>
                <w:sz w:val="13"/>
                <w:szCs w:val="13"/>
                <w:color w:val="auto"/>
              </w:rPr>
              <w:t>(PIK 2.25%)</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TrustHouse Services Group, Inc. </w:t>
            </w:r>
            <w:r>
              <w:rPr>
                <w:rFonts w:ascii="Arial" w:cs="Arial" w:eastAsia="Arial" w:hAnsi="Arial"/>
                <w:sz w:val="15"/>
                <w:szCs w:val="15"/>
                <w:color w:val="auto"/>
                <w:vertAlign w:val="superscript"/>
              </w:rPr>
              <w:t>(9)</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06/02/2014</w:t>
            </w:r>
          </w:p>
        </w:tc>
        <w:tc>
          <w:tcPr>
            <w:tcW w:w="80" w:type="dxa"/>
            <w:vAlign w:val="bottom"/>
          </w:tcPr>
          <w:p>
            <w:pPr>
              <w:spacing w:after="0"/>
              <w:rPr>
                <w:sz w:val="11"/>
                <w:szCs w:val="11"/>
                <w:color w:val="auto"/>
              </w:rPr>
            </w:pPr>
          </w:p>
        </w:tc>
        <w:tc>
          <w:tcPr>
            <w:tcW w:w="130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0"/>
              </w:rPr>
              <w:t>Beverage, Food, and</w:t>
            </w: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4,000,000</w:t>
            </w:r>
          </w:p>
        </w:tc>
        <w:tc>
          <w:tcPr>
            <w:tcW w:w="80" w:type="dxa"/>
            <w:vAlign w:val="bottom"/>
          </w:tcPr>
          <w:p>
            <w:pPr>
              <w:spacing w:after="0"/>
              <w:rPr>
                <w:sz w:val="11"/>
                <w:szCs w:val="11"/>
                <w:color w:val="auto"/>
              </w:rPr>
            </w:pPr>
          </w:p>
        </w:tc>
        <w:tc>
          <w:tcPr>
            <w:tcW w:w="8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3,920,000</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4,120,000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Tobacco</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Varel International Energy Mezzanine Funding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01/15/2018</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6"/>
              </w:rPr>
              <w:t>Oil and Gas</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14.00%</w:t>
            </w:r>
          </w:p>
        </w:tc>
        <w:tc>
          <w:tcPr>
            <w:tcW w:w="2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36,316,224</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35,626,100</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36,163,267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64"/>
              <w:spacing w:after="0"/>
              <w:rPr>
                <w:sz w:val="20"/>
                <w:szCs w:val="20"/>
                <w:color w:val="auto"/>
              </w:rPr>
            </w:pPr>
            <w:r>
              <w:rPr>
                <w:rFonts w:ascii="Arial" w:cs="Arial" w:eastAsia="Arial" w:hAnsi="Arial"/>
                <w:sz w:val="13"/>
                <w:szCs w:val="13"/>
                <w:color w:val="auto"/>
              </w:rPr>
              <w:t>(PIK 4.00%)</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60" w:type="dxa"/>
            <w:vAlign w:val="bottom"/>
            <w:gridSpan w:val="2"/>
          </w:tcPr>
          <w:p>
            <w:pPr>
              <w:spacing w:after="0"/>
              <w:rPr>
                <w:sz w:val="20"/>
                <w:szCs w:val="20"/>
                <w:color w:val="auto"/>
              </w:rPr>
            </w:pPr>
            <w:r>
              <w:rPr>
                <w:rFonts w:ascii="Arial" w:cs="Arial" w:eastAsia="Arial" w:hAnsi="Arial"/>
                <w:sz w:val="13"/>
                <w:szCs w:val="13"/>
                <w:color w:val="auto"/>
              </w:rPr>
              <w:t>Veritext Corp.</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12/31/2015</w:t>
            </w:r>
          </w:p>
        </w:tc>
        <w:tc>
          <w:tcPr>
            <w:tcW w:w="8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Business Services</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13.00%</w:t>
            </w:r>
          </w:p>
        </w:tc>
        <w:tc>
          <w:tcPr>
            <w:tcW w:w="260" w:type="dxa"/>
            <w:vAlign w:val="bottom"/>
          </w:tcPr>
          <w:p>
            <w:pPr>
              <w:spacing w:after="0"/>
              <w:rPr>
                <w:sz w:val="12"/>
                <w:szCs w:val="12"/>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16,200,000</w:t>
            </w:r>
          </w:p>
        </w:tc>
        <w:tc>
          <w:tcPr>
            <w:tcW w:w="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15,953,295</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16,200,000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Vestcom International,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06/27/2019</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5"/>
              </w:rPr>
              <w:t>Printing and</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12.00%</w:t>
            </w:r>
          </w:p>
        </w:tc>
        <w:tc>
          <w:tcPr>
            <w:tcW w:w="2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39,892,933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39,110,876</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39,586,973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Publishing</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6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370,600,255</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366,612,728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 —1.6% </w:t>
            </w:r>
            <w:r>
              <w:rPr>
                <w:rFonts w:ascii="Arial" w:cs="Arial" w:eastAsia="Arial" w:hAnsi="Arial"/>
                <w:sz w:val="17"/>
                <w:szCs w:val="17"/>
                <w:b w:val="1"/>
                <w:bCs w:val="1"/>
                <w:color w:val="auto"/>
                <w:vertAlign w:val="superscript"/>
              </w:rPr>
              <w:t>(6)</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860" w:type="dxa"/>
            <w:vAlign w:val="bottom"/>
            <w:gridSpan w:val="2"/>
          </w:tcPr>
          <w:p>
            <w:pPr>
              <w:spacing w:after="0" w:line="138" w:lineRule="exact"/>
              <w:rPr>
                <w:sz w:val="20"/>
                <w:szCs w:val="20"/>
                <w:color w:val="auto"/>
              </w:rPr>
            </w:pPr>
            <w:r>
              <w:rPr>
                <w:rFonts w:ascii="Arial" w:cs="Arial" w:eastAsia="Arial" w:hAnsi="Arial"/>
                <w:sz w:val="13"/>
                <w:szCs w:val="13"/>
                <w:color w:val="auto"/>
              </w:rPr>
              <w:t>AH Holdings, Inc.</w:t>
            </w:r>
          </w:p>
        </w:tc>
        <w:tc>
          <w:tcPr>
            <w:tcW w:w="7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3"/>
              </w:rPr>
              <w:t>Healthcare, Education</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6.00%</w:t>
            </w:r>
          </w:p>
        </w:tc>
        <w:tc>
          <w:tcPr>
            <w:tcW w:w="260" w:type="dxa"/>
            <w:vAlign w:val="bottom"/>
          </w:tcPr>
          <w:p>
            <w:pPr>
              <w:spacing w:after="0"/>
              <w:rPr>
                <w:sz w:val="11"/>
                <w:szCs w:val="11"/>
                <w:color w:val="auto"/>
              </w:rPr>
            </w:pPr>
          </w:p>
        </w:tc>
        <w:tc>
          <w:tcPr>
            <w:tcW w:w="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211</w:t>
            </w:r>
          </w:p>
        </w:tc>
        <w:tc>
          <w:tcPr>
            <w:tcW w:w="8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500,000</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778,956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and Childcare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AHC Mezzanine, LLC</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7"/>
              </w:rPr>
              <w:t>Other Media</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318,896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4860" w:type="dxa"/>
            <w:vAlign w:val="bottom"/>
            <w:gridSpan w:val="2"/>
          </w:tcPr>
          <w:p>
            <w:pPr>
              <w:spacing w:after="0" w:line="138" w:lineRule="exact"/>
              <w:rPr>
                <w:sz w:val="20"/>
                <w:szCs w:val="20"/>
                <w:color w:val="auto"/>
              </w:rPr>
            </w:pPr>
            <w:r>
              <w:rPr>
                <w:rFonts w:ascii="Arial" w:cs="Arial" w:eastAsia="Arial" w:hAnsi="Arial"/>
                <w:sz w:val="13"/>
                <w:szCs w:val="13"/>
                <w:color w:val="auto"/>
              </w:rPr>
              <w:t>Alegeus Technologies Holdings Corp.,</w:t>
            </w:r>
          </w:p>
        </w:tc>
        <w:tc>
          <w:tcPr>
            <w:tcW w:w="7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2"/>
              </w:rPr>
              <w:t>Financial Services</w:t>
            </w: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949</w:t>
            </w:r>
          </w:p>
        </w:tc>
        <w:tc>
          <w:tcPr>
            <w:tcW w:w="80" w:type="dxa"/>
            <w:vAlign w:val="bottom"/>
          </w:tcPr>
          <w:p>
            <w:pPr>
              <w:spacing w:after="0"/>
              <w:rPr>
                <w:sz w:val="11"/>
                <w:szCs w:val="11"/>
                <w:color w:val="auto"/>
              </w:rPr>
            </w:pPr>
          </w:p>
        </w:tc>
        <w:tc>
          <w:tcPr>
            <w:tcW w:w="8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949,050</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978,720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860" w:type="dxa"/>
            <w:vAlign w:val="bottom"/>
            <w:gridSpan w:val="2"/>
          </w:tcPr>
          <w:p>
            <w:pPr>
              <w:ind w:left="220"/>
              <w:spacing w:after="0"/>
              <w:rPr>
                <w:sz w:val="20"/>
                <w:szCs w:val="20"/>
                <w:color w:val="auto"/>
              </w:rPr>
            </w:pPr>
            <w:r>
              <w:rPr>
                <w:rFonts w:ascii="Arial" w:cs="Arial" w:eastAsia="Arial" w:hAnsi="Arial"/>
                <w:sz w:val="13"/>
                <w:szCs w:val="13"/>
                <w:color w:val="auto"/>
              </w:rPr>
              <w:t>Series A (Alegeus Technologies, LLC)</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CI (IHS) Investment Holdings, LLC</w:t>
            </w:r>
          </w:p>
        </w:tc>
        <w:tc>
          <w:tcPr>
            <w:tcW w:w="7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3"/>
                <w:szCs w:val="13"/>
                <w:color w:val="auto"/>
                <w:w w:val="93"/>
              </w:rPr>
              <w:t>Healthcare, Education</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8.00%</w:t>
            </w:r>
          </w:p>
        </w:tc>
        <w:tc>
          <w:tcPr>
            <w:tcW w:w="2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76,357</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765,307</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1,227,217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(Interactive Health Solutions, Inc.)</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and Childcare</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6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7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3"/>
              </w:rPr>
              <w:t>Healthcare, Education</w:t>
            </w: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38,179</w:t>
            </w:r>
          </w:p>
        </w:tc>
        <w:tc>
          <w:tcPr>
            <w:tcW w:w="80" w:type="dxa"/>
            <w:vAlign w:val="bottom"/>
          </w:tcPr>
          <w:p>
            <w:pPr>
              <w:spacing w:after="0"/>
              <w:rPr>
                <w:sz w:val="11"/>
                <w:szCs w:val="11"/>
                <w:color w:val="auto"/>
              </w:rPr>
            </w:pPr>
          </w:p>
        </w:tc>
        <w:tc>
          <w:tcPr>
            <w:tcW w:w="8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382,654</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613,609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860" w:type="dxa"/>
            <w:vAlign w:val="bottom"/>
            <w:gridSpan w:val="2"/>
          </w:tcPr>
          <w:p>
            <w:pPr>
              <w:ind w:left="220"/>
              <w:spacing w:after="0"/>
              <w:rPr>
                <w:sz w:val="20"/>
                <w:szCs w:val="20"/>
                <w:color w:val="auto"/>
              </w:rPr>
            </w:pPr>
            <w:r>
              <w:rPr>
                <w:rFonts w:ascii="Arial" w:cs="Arial" w:eastAsia="Arial" w:hAnsi="Arial"/>
                <w:sz w:val="13"/>
                <w:szCs w:val="13"/>
                <w:color w:val="auto"/>
              </w:rPr>
              <w:t>(Interactive Health Solutions, Inc.)</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and Childcare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Convergint Technologies Holdings, LLC (Convergint Technologies LLC)</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7"/>
              </w:rPr>
              <w:t>Electronics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8.00%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2,375,000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2,423,779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tcPr>
          <w:p>
            <w:pPr>
              <w:spacing w:after="0"/>
              <w:rPr>
                <w:sz w:val="20"/>
                <w:szCs w:val="20"/>
                <w:color w:val="auto"/>
              </w:rPr>
            </w:pPr>
            <w:r>
              <w:rPr>
                <w:rFonts w:ascii="Arial" w:cs="Arial" w:eastAsia="Arial" w:hAnsi="Arial"/>
                <w:sz w:val="13"/>
                <w:szCs w:val="13"/>
                <w:color w:val="auto"/>
              </w:rPr>
              <w:t>CT Technologies Holdings, LLC</w:t>
            </w:r>
          </w:p>
        </w:tc>
        <w:tc>
          <w:tcPr>
            <w:tcW w:w="70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Business Services</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9.00%</w:t>
            </w:r>
          </w:p>
        </w:tc>
        <w:tc>
          <w:tcPr>
            <w:tcW w:w="260" w:type="dxa"/>
            <w:vAlign w:val="bottom"/>
          </w:tcPr>
          <w:p>
            <w:pPr>
              <w:spacing w:after="0"/>
              <w:rPr>
                <w:sz w:val="12"/>
                <w:szCs w:val="12"/>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326,215</w:t>
            </w:r>
          </w:p>
        </w:tc>
        <w:tc>
          <w:tcPr>
            <w:tcW w:w="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326,215</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326,215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HW Topco, Inc. (Hanley-Wood, LLC)</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7"/>
              </w:rPr>
              <w:t>Other Media</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8.00%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3,591</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24,177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26,411</w:t>
            </w:r>
          </w:p>
        </w:tc>
        <w:tc>
          <w:tcPr>
            <w:tcW w:w="0" w:type="dxa"/>
            <w:vAlign w:val="bottom"/>
          </w:tcPr>
          <w:p>
            <w:pPr>
              <w:spacing w:after="0"/>
              <w:rPr>
                <w:sz w:val="1"/>
                <w:szCs w:val="1"/>
                <w:color w:val="auto"/>
              </w:rPr>
            </w:pPr>
          </w:p>
        </w:tc>
      </w:tr>
      <w:tr>
        <w:trPr>
          <w:trHeight w:val="138"/>
        </w:trPr>
        <w:tc>
          <w:tcPr>
            <w:tcW w:w="4860" w:type="dxa"/>
            <w:vAlign w:val="bottom"/>
            <w:gridSpan w:val="2"/>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7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3"/>
              </w:rPr>
              <w:t>Beverage, Food,</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12.00%</w:t>
            </w:r>
          </w:p>
        </w:tc>
        <w:tc>
          <w:tcPr>
            <w:tcW w:w="260" w:type="dxa"/>
            <w:vAlign w:val="bottom"/>
          </w:tcPr>
          <w:p>
            <w:pPr>
              <w:spacing w:after="0"/>
              <w:rPr>
                <w:sz w:val="11"/>
                <w:szCs w:val="11"/>
                <w:color w:val="auto"/>
              </w:rPr>
            </w:pPr>
          </w:p>
        </w:tc>
        <w:tc>
          <w:tcPr>
            <w:tcW w:w="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1,099</w:t>
            </w:r>
          </w:p>
        </w:tc>
        <w:tc>
          <w:tcPr>
            <w:tcW w:w="80" w:type="dxa"/>
            <w:vAlign w:val="bottom"/>
          </w:tcPr>
          <w:p>
            <w:pPr>
              <w:spacing w:after="0"/>
              <w:rPr>
                <w:sz w:val="11"/>
                <w:szCs w:val="11"/>
                <w:color w:val="auto"/>
              </w:rPr>
            </w:pPr>
          </w:p>
        </w:tc>
        <w:tc>
          <w:tcPr>
            <w:tcW w:w="8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984,344</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1,464,994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860" w:type="dxa"/>
            <w:vAlign w:val="bottom"/>
            <w:gridSpan w:val="2"/>
          </w:tcPr>
          <w:p>
            <w:pPr>
              <w:ind w:left="220"/>
              <w:spacing w:after="0"/>
              <w:rPr>
                <w:sz w:val="20"/>
                <w:szCs w:val="20"/>
                <w:color w:val="auto"/>
              </w:rPr>
            </w:pPr>
            <w:r>
              <w:rPr>
                <w:rFonts w:ascii="Arial" w:cs="Arial" w:eastAsia="Arial" w:hAnsi="Arial"/>
                <w:sz w:val="13"/>
                <w:szCs w:val="13"/>
                <w:color w:val="auto"/>
              </w:rPr>
              <w:t>(TrustHouse Services Group, Inc.)</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3"/>
                <w:szCs w:val="13"/>
                <w:color w:val="auto"/>
                <w:w w:val="90"/>
              </w:rPr>
              <w:t>and Tobacco</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TZ Holdings, L.P., Series A</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4"/>
              </w:rPr>
              <w:t>Insurance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685,820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685,820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tcPr>
          <w:p>
            <w:pPr>
              <w:spacing w:after="0"/>
              <w:rPr>
                <w:sz w:val="20"/>
                <w:szCs w:val="20"/>
                <w:color w:val="auto"/>
              </w:rPr>
            </w:pPr>
            <w:r>
              <w:rPr>
                <w:rFonts w:ascii="Arial" w:cs="Arial" w:eastAsia="Arial" w:hAnsi="Arial"/>
                <w:sz w:val="13"/>
                <w:szCs w:val="13"/>
                <w:color w:val="auto"/>
              </w:rPr>
              <w:t>TZ Holdings, L.P., Series B</w:t>
            </w:r>
          </w:p>
        </w:tc>
        <w:tc>
          <w:tcPr>
            <w:tcW w:w="70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Insurance</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6.50%</w:t>
            </w:r>
          </w:p>
        </w:tc>
        <w:tc>
          <w:tcPr>
            <w:tcW w:w="260" w:type="dxa"/>
            <w:vAlign w:val="bottom"/>
          </w:tcPr>
          <w:p>
            <w:pPr>
              <w:spacing w:after="0"/>
              <w:rPr>
                <w:sz w:val="12"/>
                <w:szCs w:val="12"/>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1,312</w:t>
            </w:r>
          </w:p>
        </w:tc>
        <w:tc>
          <w:tcPr>
            <w:tcW w:w="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1,312,006</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1,709,202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Verde Parent Holdings, Inc.</w:t>
            </w:r>
          </w:p>
        </w:tc>
        <w:tc>
          <w:tcPr>
            <w:tcW w:w="7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89"/>
              </w:rPr>
              <w:t>Personal</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8.00%</w:t>
            </w:r>
          </w:p>
        </w:tc>
        <w:tc>
          <w:tcPr>
            <w:tcW w:w="2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1,824,167</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1,824,168</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1,253,995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Transportation</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60" w:type="dxa"/>
            <w:vAlign w:val="bottom"/>
            <w:gridSpan w:val="2"/>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10,447,637</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11,488,918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PENNANTPARK INVESTMENT CORPORATION AND SUBSIDIARIES</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80"/>
          </w:cols>
          <w:pgMar w:left="320" w:top="459" w:right="399" w:bottom="1440" w:gutter="0" w:footer="0" w:header="0"/>
        </w:sect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Issuer Name</w:t>
            </w: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Maturity</w:t>
            </w:r>
          </w:p>
        </w:tc>
      </w:tr>
      <w:tr>
        <w:trPr>
          <w:trHeight w:val="115"/>
        </w:trPr>
        <w:tc>
          <w:tcPr>
            <w:tcW w:w="4420" w:type="dxa"/>
            <w:vAlign w:val="bottom"/>
          </w:tcPr>
          <w:p>
            <w:pPr>
              <w:spacing w:after="0" w:line="115" w:lineRule="exact"/>
              <w:rPr>
                <w:sz w:val="20"/>
                <w:szCs w:val="20"/>
                <w:color w:val="auto"/>
              </w:rPr>
            </w:pPr>
            <w:r>
              <w:rPr>
                <w:rFonts w:ascii="Arial" w:cs="Arial" w:eastAsia="Arial" w:hAnsi="Arial"/>
                <w:sz w:val="9"/>
                <w:szCs w:val="9"/>
                <w:b w:val="1"/>
                <w:bCs w:val="1"/>
                <w:color w:val="auto"/>
              </w:rPr>
              <w:t xml:space="preserve">Common Equity/Warrants/Partnership Interests—12.7% </w:t>
            </w:r>
            <w:r>
              <w:rPr>
                <w:rFonts w:ascii="Arial" w:cs="Arial" w:eastAsia="Arial" w:hAnsi="Arial"/>
                <w:sz w:val="13"/>
                <w:szCs w:val="13"/>
                <w:b w:val="1"/>
                <w:bCs w:val="1"/>
                <w:color w:val="auto"/>
                <w:vertAlign w:val="superscript"/>
              </w:rPr>
              <w:t>(6)</w:t>
            </w:r>
          </w:p>
        </w:tc>
        <w:tc>
          <w:tcPr>
            <w:tcW w:w="800" w:type="dxa"/>
            <w:vAlign w:val="bottom"/>
          </w:tcPr>
          <w:p>
            <w:pPr>
              <w:spacing w:after="0"/>
              <w:rPr>
                <w:sz w:val="10"/>
                <w:szCs w:val="10"/>
                <w:color w:val="auto"/>
              </w:rPr>
            </w:pPr>
          </w:p>
        </w:tc>
      </w:tr>
      <w:tr>
        <w:trPr>
          <w:trHeight w:val="165"/>
        </w:trPr>
        <w:tc>
          <w:tcPr>
            <w:tcW w:w="4420" w:type="dxa"/>
            <w:vAlign w:val="bottom"/>
          </w:tcPr>
          <w:p>
            <w:pPr>
              <w:spacing w:after="0" w:line="164" w:lineRule="exact"/>
              <w:rPr>
                <w:sz w:val="20"/>
                <w:szCs w:val="20"/>
                <w:color w:val="auto"/>
              </w:rPr>
            </w:pPr>
            <w:r>
              <w:rPr>
                <w:rFonts w:ascii="Arial" w:cs="Arial" w:eastAsia="Arial" w:hAnsi="Arial"/>
                <w:sz w:val="12"/>
                <w:szCs w:val="12"/>
                <w:color w:val="auto"/>
              </w:rPr>
              <w:t xml:space="preserve">Acentia, LLC, Class A Units </w:t>
            </w:r>
            <w:r>
              <w:rPr>
                <w:rFonts w:ascii="Arial" w:cs="Arial" w:eastAsia="Arial" w:hAnsi="Arial"/>
                <w:sz w:val="19"/>
                <w:szCs w:val="19"/>
                <w:color w:val="auto"/>
                <w:vertAlign w:val="superscript"/>
              </w:rPr>
              <w:t>(12)</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72"/>
        </w:trPr>
        <w:tc>
          <w:tcPr>
            <w:tcW w:w="4420" w:type="dxa"/>
            <w:vAlign w:val="bottom"/>
          </w:tcPr>
          <w:p>
            <w:pPr>
              <w:spacing w:after="0"/>
              <w:rPr>
                <w:sz w:val="20"/>
                <w:szCs w:val="20"/>
                <w:color w:val="auto"/>
              </w:rPr>
            </w:pPr>
            <w:r>
              <w:rPr>
                <w:rFonts w:ascii="Arial" w:cs="Arial" w:eastAsia="Arial" w:hAnsi="Arial"/>
                <w:sz w:val="13"/>
                <w:szCs w:val="13"/>
                <w:color w:val="auto"/>
              </w:rPr>
              <w:t>AH Holdings, Inc. (Warrants)</w:t>
            </w:r>
          </w:p>
        </w:tc>
        <w:tc>
          <w:tcPr>
            <w:tcW w:w="800" w:type="dxa"/>
            <w:vAlign w:val="bottom"/>
          </w:tcPr>
          <w:p>
            <w:pPr>
              <w:ind w:left="180"/>
              <w:spacing w:after="0"/>
              <w:rPr>
                <w:sz w:val="20"/>
                <w:szCs w:val="20"/>
                <w:color w:val="auto"/>
              </w:rPr>
            </w:pPr>
            <w:r>
              <w:rPr>
                <w:rFonts w:ascii="Arial" w:cs="Arial" w:eastAsia="Arial" w:hAnsi="Arial"/>
                <w:sz w:val="13"/>
                <w:szCs w:val="13"/>
                <w:color w:val="auto"/>
                <w:w w:val="92"/>
              </w:rPr>
              <w:t>03/23/2021</w:t>
            </w:r>
          </w:p>
        </w:tc>
      </w:tr>
      <w:tr>
        <w:trPr>
          <w:trHeight w:val="287"/>
        </w:trPr>
        <w:tc>
          <w:tcPr>
            <w:tcW w:w="4420" w:type="dxa"/>
            <w:vAlign w:val="bottom"/>
          </w:tcPr>
          <w:p>
            <w:pPr>
              <w:spacing w:after="0"/>
              <w:rPr>
                <w:sz w:val="20"/>
                <w:szCs w:val="20"/>
                <w:color w:val="auto"/>
              </w:rPr>
            </w:pPr>
            <w:r>
              <w:rPr>
                <w:rFonts w:ascii="Arial" w:cs="Arial" w:eastAsia="Arial" w:hAnsi="Arial"/>
                <w:sz w:val="13"/>
                <w:szCs w:val="13"/>
                <w:color w:val="auto"/>
              </w:rPr>
              <w:t>Alegeus Technologies Holding Corp., Class A,</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49"/>
        </w:trPr>
        <w:tc>
          <w:tcPr>
            <w:tcW w:w="4420" w:type="dxa"/>
            <w:vAlign w:val="bottom"/>
          </w:tcPr>
          <w:p>
            <w:pPr>
              <w:ind w:left="220"/>
              <w:spacing w:after="0"/>
              <w:rPr>
                <w:sz w:val="20"/>
                <w:szCs w:val="20"/>
                <w:color w:val="auto"/>
              </w:rPr>
            </w:pPr>
            <w:r>
              <w:rPr>
                <w:rFonts w:ascii="Arial" w:cs="Arial" w:eastAsia="Arial" w:hAnsi="Arial"/>
                <w:sz w:val="13"/>
                <w:szCs w:val="13"/>
                <w:color w:val="auto"/>
              </w:rPr>
              <w:t>(Alegeus Technologies, LLC)</w:t>
            </w:r>
          </w:p>
        </w:tc>
        <w:tc>
          <w:tcPr>
            <w:tcW w:w="800" w:type="dxa"/>
            <w:vAlign w:val="bottom"/>
          </w:tcPr>
          <w:p>
            <w:pPr>
              <w:spacing w:after="0"/>
              <w:rPr>
                <w:sz w:val="12"/>
                <w:szCs w:val="12"/>
                <w:color w:val="auto"/>
              </w:rPr>
            </w:pPr>
          </w:p>
        </w:tc>
      </w:tr>
      <w:tr>
        <w:trPr>
          <w:trHeight w:val="172"/>
        </w:trPr>
        <w:tc>
          <w:tcPr>
            <w:tcW w:w="4420" w:type="dxa"/>
            <w:vAlign w:val="bottom"/>
          </w:tcPr>
          <w:p>
            <w:pPr>
              <w:spacing w:after="0"/>
              <w:rPr>
                <w:sz w:val="20"/>
                <w:szCs w:val="20"/>
                <w:color w:val="auto"/>
              </w:rPr>
            </w:pPr>
            <w:r>
              <w:rPr>
                <w:rFonts w:ascii="Arial" w:cs="Arial" w:eastAsia="Arial" w:hAnsi="Arial"/>
                <w:sz w:val="13"/>
                <w:szCs w:val="13"/>
                <w:color w:val="auto"/>
              </w:rPr>
              <w:t>Autumn Games, LLC</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271"/>
        </w:trPr>
        <w:tc>
          <w:tcPr>
            <w:tcW w:w="4420" w:type="dxa"/>
            <w:vAlign w:val="bottom"/>
          </w:tcPr>
          <w:p>
            <w:pPr>
              <w:spacing w:after="0"/>
              <w:rPr>
                <w:sz w:val="20"/>
                <w:szCs w:val="20"/>
                <w:color w:val="auto"/>
              </w:rPr>
            </w:pPr>
            <w:r>
              <w:rPr>
                <w:rFonts w:ascii="Arial" w:cs="Arial" w:eastAsia="Arial" w:hAnsi="Arial"/>
                <w:sz w:val="13"/>
                <w:szCs w:val="13"/>
                <w:color w:val="auto"/>
              </w:rPr>
              <w:t>CI (Galls) Prime Investment Holdings, LLC</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65"/>
        </w:trPr>
        <w:tc>
          <w:tcPr>
            <w:tcW w:w="4420" w:type="dxa"/>
            <w:vAlign w:val="bottom"/>
          </w:tcPr>
          <w:p>
            <w:pPr>
              <w:ind w:left="220"/>
              <w:spacing w:after="0" w:line="164" w:lineRule="exact"/>
              <w:rPr>
                <w:sz w:val="20"/>
                <w:szCs w:val="20"/>
                <w:color w:val="auto"/>
              </w:rPr>
            </w:pPr>
            <w:r>
              <w:rPr>
                <w:rFonts w:ascii="Arial" w:cs="Arial" w:eastAsia="Arial" w:hAnsi="Arial"/>
                <w:sz w:val="12"/>
                <w:szCs w:val="12"/>
                <w:color w:val="auto"/>
              </w:rPr>
              <w:t xml:space="preserve">(Galls, LLC) </w:t>
            </w:r>
            <w:r>
              <w:rPr>
                <w:rFonts w:ascii="Arial" w:cs="Arial" w:eastAsia="Arial" w:hAnsi="Arial"/>
                <w:sz w:val="19"/>
                <w:szCs w:val="19"/>
                <w:color w:val="auto"/>
                <w:vertAlign w:val="superscript"/>
              </w:rPr>
              <w:t>(11)</w:t>
            </w:r>
          </w:p>
        </w:tc>
        <w:tc>
          <w:tcPr>
            <w:tcW w:w="800" w:type="dxa"/>
            <w:vAlign w:val="bottom"/>
          </w:tcPr>
          <w:p>
            <w:pPr>
              <w:spacing w:after="0"/>
              <w:rPr>
                <w:sz w:val="14"/>
                <w:szCs w:val="14"/>
                <w:color w:val="auto"/>
              </w:rPr>
            </w:pPr>
          </w:p>
        </w:tc>
      </w:tr>
      <w:tr>
        <w:trPr>
          <w:trHeight w:val="148"/>
        </w:trPr>
        <w:tc>
          <w:tcPr>
            <w:tcW w:w="4420" w:type="dxa"/>
            <w:vAlign w:val="bottom"/>
          </w:tcPr>
          <w:p>
            <w:pPr>
              <w:spacing w:after="0"/>
              <w:rPr>
                <w:sz w:val="20"/>
                <w:szCs w:val="20"/>
                <w:color w:val="auto"/>
              </w:rPr>
            </w:pPr>
            <w:r>
              <w:rPr>
                <w:rFonts w:ascii="Arial" w:cs="Arial" w:eastAsia="Arial" w:hAnsi="Arial"/>
                <w:sz w:val="13"/>
                <w:szCs w:val="13"/>
                <w:color w:val="auto"/>
              </w:rPr>
              <w:t>CI (IHS) Investment Holdings, LLC</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44"/>
        </w:trPr>
        <w:tc>
          <w:tcPr>
            <w:tcW w:w="4420" w:type="dxa"/>
            <w:vAlign w:val="bottom"/>
          </w:tcPr>
          <w:p>
            <w:pPr>
              <w:ind w:left="220"/>
              <w:spacing w:after="0" w:line="144" w:lineRule="exact"/>
              <w:rPr>
                <w:sz w:val="20"/>
                <w:szCs w:val="20"/>
                <w:color w:val="auto"/>
              </w:rPr>
            </w:pPr>
            <w:r>
              <w:rPr>
                <w:rFonts w:ascii="Arial" w:cs="Arial" w:eastAsia="Arial" w:hAnsi="Arial"/>
                <w:sz w:val="13"/>
                <w:szCs w:val="13"/>
                <w:color w:val="auto"/>
              </w:rPr>
              <w:t>(Interactive Health Solutions, Inc.)</w:t>
            </w:r>
          </w:p>
        </w:tc>
        <w:tc>
          <w:tcPr>
            <w:tcW w:w="800" w:type="dxa"/>
            <w:vAlign w:val="bottom"/>
          </w:tcPr>
          <w:p>
            <w:pPr>
              <w:spacing w:after="0"/>
              <w:rPr>
                <w:sz w:val="12"/>
                <w:szCs w:val="12"/>
                <w:color w:val="auto"/>
              </w:rPr>
            </w:pPr>
          </w:p>
        </w:tc>
      </w:tr>
      <w:tr>
        <w:trPr>
          <w:trHeight w:val="167"/>
        </w:trPr>
        <w:tc>
          <w:tcPr>
            <w:tcW w:w="4420" w:type="dxa"/>
            <w:vAlign w:val="bottom"/>
          </w:tcPr>
          <w:p>
            <w:pPr>
              <w:spacing w:after="0" w:line="167"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19"/>
                <w:szCs w:val="19"/>
                <w:color w:val="auto"/>
                <w:vertAlign w:val="superscript"/>
              </w:rPr>
              <w:t>(9)</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62"/>
        </w:trPr>
        <w:tc>
          <w:tcPr>
            <w:tcW w:w="4420" w:type="dxa"/>
            <w:vAlign w:val="bottom"/>
          </w:tcPr>
          <w:p>
            <w:pPr>
              <w:ind w:left="220"/>
              <w:spacing w:after="0"/>
              <w:rPr>
                <w:sz w:val="20"/>
                <w:szCs w:val="20"/>
                <w:color w:val="auto"/>
              </w:rPr>
            </w:pPr>
            <w:r>
              <w:rPr>
                <w:rFonts w:ascii="Arial" w:cs="Arial" w:eastAsia="Arial" w:hAnsi="Arial"/>
                <w:sz w:val="13"/>
                <w:szCs w:val="13"/>
                <w:color w:val="auto"/>
              </w:rPr>
              <w:t>(Interactive Health Solutions, Inc.)</w:t>
            </w:r>
          </w:p>
        </w:tc>
        <w:tc>
          <w:tcPr>
            <w:tcW w:w="800" w:type="dxa"/>
            <w:vAlign w:val="bottom"/>
          </w:tcPr>
          <w:p>
            <w:pPr>
              <w:spacing w:after="0"/>
              <w:rPr>
                <w:sz w:val="14"/>
                <w:szCs w:val="14"/>
                <w:color w:val="auto"/>
              </w:rPr>
            </w:pPr>
          </w:p>
        </w:tc>
      </w:tr>
      <w:tr>
        <w:trPr>
          <w:trHeight w:val="148"/>
        </w:trPr>
        <w:tc>
          <w:tcPr>
            <w:tcW w:w="4420" w:type="dxa"/>
            <w:vAlign w:val="bottom"/>
          </w:tcPr>
          <w:p>
            <w:pPr>
              <w:spacing w:after="0"/>
              <w:rPr>
                <w:sz w:val="20"/>
                <w:szCs w:val="20"/>
                <w:color w:val="auto"/>
              </w:rPr>
            </w:pPr>
            <w:r>
              <w:rPr>
                <w:rFonts w:ascii="Arial" w:cs="Arial" w:eastAsia="Arial" w:hAnsi="Arial"/>
                <w:sz w:val="13"/>
                <w:szCs w:val="13"/>
                <w:color w:val="auto"/>
              </w:rPr>
              <w:t>Convergint Technologies Holdings, LLC</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48"/>
        </w:trPr>
        <w:tc>
          <w:tcPr>
            <w:tcW w:w="4420" w:type="dxa"/>
            <w:vAlign w:val="bottom"/>
          </w:tcPr>
          <w:p>
            <w:pPr>
              <w:ind w:left="220"/>
              <w:spacing w:after="0"/>
              <w:rPr>
                <w:sz w:val="20"/>
                <w:szCs w:val="20"/>
                <w:color w:val="auto"/>
              </w:rPr>
            </w:pPr>
            <w:r>
              <w:rPr>
                <w:rFonts w:ascii="Arial" w:cs="Arial" w:eastAsia="Arial" w:hAnsi="Arial"/>
                <w:sz w:val="13"/>
                <w:szCs w:val="13"/>
                <w:color w:val="auto"/>
              </w:rPr>
              <w:t>(Convergint Technologies LLC)</w:t>
            </w:r>
          </w:p>
        </w:tc>
        <w:tc>
          <w:tcPr>
            <w:tcW w:w="800" w:type="dxa"/>
            <w:vAlign w:val="bottom"/>
          </w:tcPr>
          <w:p>
            <w:pPr>
              <w:spacing w:after="0"/>
              <w:rPr>
                <w:sz w:val="12"/>
                <w:szCs w:val="12"/>
                <w:color w:val="auto"/>
              </w:rPr>
            </w:pPr>
          </w:p>
        </w:tc>
      </w:tr>
      <w:tr>
        <w:trPr>
          <w:trHeight w:val="148"/>
        </w:trPr>
        <w:tc>
          <w:tcPr>
            <w:tcW w:w="4420" w:type="dxa"/>
            <w:vAlign w:val="bottom"/>
          </w:tcPr>
          <w:p>
            <w:pPr>
              <w:spacing w:after="0"/>
              <w:rPr>
                <w:sz w:val="20"/>
                <w:szCs w:val="20"/>
                <w:color w:val="auto"/>
              </w:rPr>
            </w:pPr>
            <w:r>
              <w:rPr>
                <w:rFonts w:ascii="Arial" w:cs="Arial" w:eastAsia="Arial" w:hAnsi="Arial"/>
                <w:sz w:val="13"/>
                <w:szCs w:val="13"/>
                <w:color w:val="auto"/>
              </w:rPr>
              <w:t>CT Technologies Holdings, LLC</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48"/>
        </w:trPr>
        <w:tc>
          <w:tcPr>
            <w:tcW w:w="4420" w:type="dxa"/>
            <w:vAlign w:val="bottom"/>
          </w:tcPr>
          <w:p>
            <w:pPr>
              <w:spacing w:after="0"/>
              <w:rPr>
                <w:sz w:val="20"/>
                <w:szCs w:val="20"/>
                <w:color w:val="auto"/>
              </w:rPr>
            </w:pPr>
            <w:r>
              <w:rPr>
                <w:rFonts w:ascii="Arial" w:cs="Arial" w:eastAsia="Arial" w:hAnsi="Arial"/>
                <w:sz w:val="13"/>
                <w:szCs w:val="13"/>
                <w:color w:val="auto"/>
              </w:rPr>
              <w:t>HW Topco, Inc. (Hanley-Wood, LLC)</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49"/>
        </w:trPr>
        <w:tc>
          <w:tcPr>
            <w:tcW w:w="4420" w:type="dxa"/>
            <w:vAlign w:val="bottom"/>
          </w:tcPr>
          <w:p>
            <w:pPr>
              <w:spacing w:after="0"/>
              <w:rPr>
                <w:sz w:val="20"/>
                <w:szCs w:val="20"/>
                <w:color w:val="auto"/>
              </w:rPr>
            </w:pPr>
            <w:r>
              <w:rPr>
                <w:rFonts w:ascii="Arial" w:cs="Arial" w:eastAsia="Arial" w:hAnsi="Arial"/>
                <w:sz w:val="13"/>
                <w:szCs w:val="13"/>
                <w:color w:val="auto"/>
              </w:rPr>
              <w:t>Kadmon Holdings, LLC, Class A</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62"/>
        </w:trPr>
        <w:tc>
          <w:tcPr>
            <w:tcW w:w="4420" w:type="dxa"/>
            <w:vAlign w:val="bottom"/>
          </w:tcPr>
          <w:p>
            <w:pPr>
              <w:ind w:left="220"/>
              <w:spacing w:after="0"/>
              <w:rPr>
                <w:sz w:val="20"/>
                <w:szCs w:val="20"/>
                <w:color w:val="auto"/>
              </w:rPr>
            </w:pPr>
            <w:r>
              <w:rPr>
                <w:rFonts w:ascii="Arial" w:cs="Arial" w:eastAsia="Arial" w:hAnsi="Arial"/>
                <w:sz w:val="13"/>
                <w:szCs w:val="13"/>
                <w:color w:val="auto"/>
              </w:rPr>
              <w:t>(Kadmon Pharmaceuticals, LLC)</w:t>
            </w:r>
          </w:p>
        </w:tc>
        <w:tc>
          <w:tcPr>
            <w:tcW w:w="800" w:type="dxa"/>
            <w:vAlign w:val="bottom"/>
          </w:tcPr>
          <w:p>
            <w:pPr>
              <w:spacing w:after="0"/>
              <w:rPr>
                <w:sz w:val="14"/>
                <w:szCs w:val="14"/>
                <w:color w:val="auto"/>
              </w:rPr>
            </w:pPr>
          </w:p>
        </w:tc>
      </w:tr>
      <w:tr>
        <w:trPr>
          <w:trHeight w:val="148"/>
        </w:trPr>
        <w:tc>
          <w:tcPr>
            <w:tcW w:w="4420" w:type="dxa"/>
            <w:vAlign w:val="bottom"/>
          </w:tcPr>
          <w:p>
            <w:pPr>
              <w:spacing w:after="0"/>
              <w:rPr>
                <w:sz w:val="20"/>
                <w:szCs w:val="20"/>
                <w:color w:val="auto"/>
              </w:rPr>
            </w:pPr>
            <w:r>
              <w:rPr>
                <w:rFonts w:ascii="Arial" w:cs="Arial" w:eastAsia="Arial" w:hAnsi="Arial"/>
                <w:sz w:val="13"/>
                <w:szCs w:val="13"/>
                <w:color w:val="auto"/>
              </w:rPr>
              <w:t>Kadmon Holdings, LLC, Class D</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62"/>
        </w:trPr>
        <w:tc>
          <w:tcPr>
            <w:tcW w:w="4420" w:type="dxa"/>
            <w:vAlign w:val="bottom"/>
          </w:tcPr>
          <w:p>
            <w:pPr>
              <w:ind w:left="220"/>
              <w:spacing w:after="0"/>
              <w:rPr>
                <w:sz w:val="20"/>
                <w:szCs w:val="20"/>
                <w:color w:val="auto"/>
              </w:rPr>
            </w:pPr>
            <w:r>
              <w:rPr>
                <w:rFonts w:ascii="Arial" w:cs="Arial" w:eastAsia="Arial" w:hAnsi="Arial"/>
                <w:sz w:val="13"/>
                <w:szCs w:val="13"/>
                <w:color w:val="auto"/>
              </w:rPr>
              <w:t>(Kadmon Pharmaceuticals, LLC)</w:t>
            </w:r>
          </w:p>
        </w:tc>
        <w:tc>
          <w:tcPr>
            <w:tcW w:w="800" w:type="dxa"/>
            <w:vAlign w:val="bottom"/>
          </w:tcPr>
          <w:p>
            <w:pPr>
              <w:spacing w:after="0"/>
              <w:rPr>
                <w:sz w:val="14"/>
                <w:szCs w:val="14"/>
                <w:color w:val="auto"/>
              </w:rPr>
            </w:pPr>
          </w:p>
        </w:tc>
      </w:tr>
      <w:tr>
        <w:trPr>
          <w:trHeight w:val="148"/>
        </w:trPr>
        <w:tc>
          <w:tcPr>
            <w:tcW w:w="4420" w:type="dxa"/>
            <w:vAlign w:val="bottom"/>
          </w:tcPr>
          <w:p>
            <w:pPr>
              <w:spacing w:after="0"/>
              <w:rPr>
                <w:sz w:val="20"/>
                <w:szCs w:val="20"/>
                <w:color w:val="auto"/>
              </w:rPr>
            </w:pPr>
            <w:r>
              <w:rPr>
                <w:rFonts w:ascii="Arial" w:cs="Arial" w:eastAsia="Arial" w:hAnsi="Arial"/>
                <w:sz w:val="13"/>
                <w:szCs w:val="13"/>
                <w:color w:val="auto"/>
              </w:rPr>
              <w:t>Learning Care Group (US) Inc. (Warrants)</w:t>
            </w:r>
          </w:p>
        </w:tc>
        <w:tc>
          <w:tcPr>
            <w:tcW w:w="800" w:type="dxa"/>
            <w:vAlign w:val="bottom"/>
          </w:tcPr>
          <w:p>
            <w:pPr>
              <w:ind w:left="180"/>
              <w:spacing w:after="0"/>
              <w:rPr>
                <w:sz w:val="20"/>
                <w:szCs w:val="20"/>
                <w:color w:val="auto"/>
              </w:rPr>
            </w:pPr>
            <w:r>
              <w:rPr>
                <w:rFonts w:ascii="Arial" w:cs="Arial" w:eastAsia="Arial" w:hAnsi="Arial"/>
                <w:sz w:val="13"/>
                <w:szCs w:val="13"/>
                <w:color w:val="auto"/>
                <w:w w:val="92"/>
              </w:rPr>
              <w:t>04/27/2020</w:t>
            </w:r>
          </w:p>
        </w:tc>
      </w:tr>
      <w:tr>
        <w:trPr>
          <w:trHeight w:val="148"/>
        </w:trPr>
        <w:tc>
          <w:tcPr>
            <w:tcW w:w="4420" w:type="dxa"/>
            <w:vAlign w:val="bottom"/>
          </w:tcPr>
          <w:p>
            <w:pPr>
              <w:spacing w:after="0"/>
              <w:rPr>
                <w:sz w:val="20"/>
                <w:szCs w:val="20"/>
                <w:color w:val="auto"/>
              </w:rPr>
            </w:pPr>
            <w:r>
              <w:rPr>
                <w:rFonts w:ascii="Arial" w:cs="Arial" w:eastAsia="Arial" w:hAnsi="Arial"/>
                <w:sz w:val="13"/>
                <w:szCs w:val="13"/>
                <w:color w:val="auto"/>
              </w:rPr>
              <w:t>Magnum Hunter Resources Corporation</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48"/>
        </w:trPr>
        <w:tc>
          <w:tcPr>
            <w:tcW w:w="4420" w:type="dxa"/>
            <w:vAlign w:val="bottom"/>
          </w:tcPr>
          <w:p>
            <w:pPr>
              <w:ind w:left="220"/>
              <w:spacing w:after="0"/>
              <w:rPr>
                <w:sz w:val="20"/>
                <w:szCs w:val="20"/>
                <w:color w:val="auto"/>
              </w:rPr>
            </w:pPr>
            <w:r>
              <w:rPr>
                <w:rFonts w:ascii="Arial" w:cs="Arial" w:eastAsia="Arial" w:hAnsi="Arial"/>
                <w:sz w:val="13"/>
                <w:szCs w:val="13"/>
                <w:color w:val="auto"/>
              </w:rPr>
              <w:t>(Eureka Hunter Pipeline, LLC)</w:t>
            </w:r>
          </w:p>
        </w:tc>
        <w:tc>
          <w:tcPr>
            <w:tcW w:w="800" w:type="dxa"/>
            <w:vAlign w:val="bottom"/>
          </w:tcPr>
          <w:p>
            <w:pPr>
              <w:spacing w:after="0"/>
              <w:rPr>
                <w:sz w:val="12"/>
                <w:szCs w:val="12"/>
                <w:color w:val="auto"/>
              </w:rPr>
            </w:pPr>
          </w:p>
        </w:tc>
      </w:tr>
      <w:tr>
        <w:trPr>
          <w:trHeight w:val="148"/>
        </w:trPr>
        <w:tc>
          <w:tcPr>
            <w:tcW w:w="4420" w:type="dxa"/>
            <w:vAlign w:val="bottom"/>
          </w:tcPr>
          <w:p>
            <w:pPr>
              <w:spacing w:after="0"/>
              <w:rPr>
                <w:sz w:val="20"/>
                <w:szCs w:val="20"/>
                <w:color w:val="auto"/>
              </w:rPr>
            </w:pPr>
            <w:r>
              <w:rPr>
                <w:rFonts w:ascii="Arial" w:cs="Arial" w:eastAsia="Arial" w:hAnsi="Arial"/>
                <w:sz w:val="13"/>
                <w:szCs w:val="13"/>
                <w:color w:val="auto"/>
                <w:w w:val="99"/>
              </w:rPr>
              <w:t>Magnum Hunter Resources Corporation (Warrants) (Eureka Hunter Pipeline,</w:t>
            </w:r>
          </w:p>
        </w:tc>
        <w:tc>
          <w:tcPr>
            <w:tcW w:w="800" w:type="dxa"/>
            <w:vAlign w:val="bottom"/>
          </w:tcPr>
          <w:p>
            <w:pPr>
              <w:ind w:left="180"/>
              <w:spacing w:after="0"/>
              <w:rPr>
                <w:sz w:val="20"/>
                <w:szCs w:val="20"/>
                <w:color w:val="auto"/>
              </w:rPr>
            </w:pPr>
            <w:r>
              <w:rPr>
                <w:rFonts w:ascii="Arial" w:cs="Arial" w:eastAsia="Arial" w:hAnsi="Arial"/>
                <w:sz w:val="13"/>
                <w:szCs w:val="13"/>
                <w:color w:val="auto"/>
                <w:w w:val="92"/>
              </w:rPr>
              <w:t>10/14/2013</w:t>
            </w:r>
          </w:p>
        </w:tc>
      </w:tr>
      <w:tr>
        <w:trPr>
          <w:trHeight w:val="148"/>
        </w:trPr>
        <w:tc>
          <w:tcPr>
            <w:tcW w:w="4420" w:type="dxa"/>
            <w:vAlign w:val="bottom"/>
          </w:tcPr>
          <w:p>
            <w:pPr>
              <w:ind w:left="220"/>
              <w:spacing w:after="0"/>
              <w:rPr>
                <w:sz w:val="20"/>
                <w:szCs w:val="20"/>
                <w:color w:val="auto"/>
              </w:rPr>
            </w:pPr>
            <w:r>
              <w:rPr>
                <w:rFonts w:ascii="Arial" w:cs="Arial" w:eastAsia="Arial" w:hAnsi="Arial"/>
                <w:sz w:val="13"/>
                <w:szCs w:val="13"/>
                <w:color w:val="auto"/>
              </w:rPr>
              <w:t>LLC)</w:t>
            </w:r>
          </w:p>
        </w:tc>
        <w:tc>
          <w:tcPr>
            <w:tcW w:w="800" w:type="dxa"/>
            <w:vAlign w:val="bottom"/>
          </w:tcPr>
          <w:p>
            <w:pPr>
              <w:spacing w:after="0"/>
              <w:rPr>
                <w:sz w:val="12"/>
                <w:szCs w:val="12"/>
                <w:color w:val="auto"/>
              </w:rPr>
            </w:pPr>
          </w:p>
        </w:tc>
      </w:tr>
      <w:tr>
        <w:trPr>
          <w:trHeight w:val="148"/>
        </w:trPr>
        <w:tc>
          <w:tcPr>
            <w:tcW w:w="4420" w:type="dxa"/>
            <w:vAlign w:val="bottom"/>
          </w:tcPr>
          <w:p>
            <w:pPr>
              <w:spacing w:after="0"/>
              <w:rPr>
                <w:sz w:val="20"/>
                <w:szCs w:val="20"/>
                <w:color w:val="auto"/>
              </w:rPr>
            </w:pPr>
            <w:r>
              <w:rPr>
                <w:rFonts w:ascii="Arial" w:cs="Arial" w:eastAsia="Arial" w:hAnsi="Arial"/>
                <w:sz w:val="13"/>
                <w:szCs w:val="13"/>
                <w:color w:val="auto"/>
              </w:rPr>
              <w:t>MidOcean JF Holdings Corp.</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49"/>
        </w:trPr>
        <w:tc>
          <w:tcPr>
            <w:tcW w:w="4420" w:type="dxa"/>
            <w:vAlign w:val="bottom"/>
          </w:tcPr>
          <w:p>
            <w:pPr>
              <w:ind w:left="220"/>
              <w:spacing w:after="0"/>
              <w:rPr>
                <w:sz w:val="20"/>
                <w:szCs w:val="20"/>
                <w:color w:val="auto"/>
              </w:rPr>
            </w:pPr>
            <w:r>
              <w:rPr>
                <w:rFonts w:ascii="Arial" w:cs="Arial" w:eastAsia="Arial" w:hAnsi="Arial"/>
                <w:sz w:val="13"/>
                <w:szCs w:val="13"/>
                <w:color w:val="auto"/>
              </w:rPr>
              <w:t>(JF Acquisition, LLC)</w:t>
            </w:r>
          </w:p>
        </w:tc>
        <w:tc>
          <w:tcPr>
            <w:tcW w:w="800" w:type="dxa"/>
            <w:vAlign w:val="bottom"/>
          </w:tcPr>
          <w:p>
            <w:pPr>
              <w:spacing w:after="0"/>
              <w:rPr>
                <w:sz w:val="12"/>
                <w:szCs w:val="12"/>
                <w:color w:val="auto"/>
              </w:rPr>
            </w:pPr>
          </w:p>
        </w:tc>
      </w:tr>
      <w:tr>
        <w:trPr>
          <w:trHeight w:val="148"/>
        </w:trPr>
        <w:tc>
          <w:tcPr>
            <w:tcW w:w="4420" w:type="dxa"/>
            <w:vAlign w:val="bottom"/>
          </w:tcPr>
          <w:p>
            <w:pPr>
              <w:spacing w:after="0"/>
              <w:rPr>
                <w:sz w:val="20"/>
                <w:szCs w:val="20"/>
                <w:color w:val="auto"/>
              </w:rPr>
            </w:pPr>
            <w:r>
              <w:rPr>
                <w:rFonts w:ascii="Arial" w:cs="Arial" w:eastAsia="Arial" w:hAnsi="Arial"/>
                <w:sz w:val="13"/>
                <w:szCs w:val="13"/>
                <w:color w:val="auto"/>
              </w:rPr>
              <w:t>MidOcean PPL Holdings, Inc.</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72"/>
        </w:trPr>
        <w:tc>
          <w:tcPr>
            <w:tcW w:w="4420" w:type="dxa"/>
            <w:vAlign w:val="bottom"/>
          </w:tcPr>
          <w:p>
            <w:pPr>
              <w:ind w:left="220"/>
              <w:spacing w:after="0"/>
              <w:rPr>
                <w:sz w:val="20"/>
                <w:szCs w:val="20"/>
                <w:color w:val="auto"/>
              </w:rPr>
            </w:pPr>
            <w:r>
              <w:rPr>
                <w:rFonts w:ascii="Arial" w:cs="Arial" w:eastAsia="Arial" w:hAnsi="Arial"/>
                <w:sz w:val="13"/>
                <w:szCs w:val="13"/>
                <w:color w:val="auto"/>
              </w:rPr>
              <w:t>(Pre-Paid Legal Services, Inc.)</w:t>
            </w:r>
          </w:p>
        </w:tc>
        <w:tc>
          <w:tcPr>
            <w:tcW w:w="800" w:type="dxa"/>
            <w:vAlign w:val="bottom"/>
          </w:tcPr>
          <w:p>
            <w:pPr>
              <w:spacing w:after="0"/>
              <w:rPr>
                <w:sz w:val="14"/>
                <w:szCs w:val="14"/>
                <w:color w:val="auto"/>
              </w:rPr>
            </w:pPr>
          </w:p>
        </w:tc>
      </w:tr>
      <w:tr>
        <w:trPr>
          <w:trHeight w:val="297"/>
        </w:trPr>
        <w:tc>
          <w:tcPr>
            <w:tcW w:w="4420" w:type="dxa"/>
            <w:vAlign w:val="bottom"/>
          </w:tcPr>
          <w:p>
            <w:pPr>
              <w:spacing w:after="0"/>
              <w:rPr>
                <w:sz w:val="20"/>
                <w:szCs w:val="20"/>
                <w:color w:val="auto"/>
              </w:rPr>
            </w:pPr>
            <w:r>
              <w:rPr>
                <w:rFonts w:ascii="Arial" w:cs="Arial" w:eastAsia="Arial" w:hAnsi="Arial"/>
                <w:sz w:val="13"/>
                <w:szCs w:val="13"/>
                <w:color w:val="auto"/>
              </w:rPr>
              <w:t>Paradigm Acquisition Corp.</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287"/>
        </w:trPr>
        <w:tc>
          <w:tcPr>
            <w:tcW w:w="4420" w:type="dxa"/>
            <w:vAlign w:val="bottom"/>
          </w:tcPr>
          <w:p>
            <w:pPr>
              <w:spacing w:after="0"/>
              <w:rPr>
                <w:sz w:val="20"/>
                <w:szCs w:val="20"/>
                <w:color w:val="auto"/>
              </w:rPr>
            </w:pPr>
            <w:r>
              <w:rPr>
                <w:rFonts w:ascii="Arial" w:cs="Arial" w:eastAsia="Arial" w:hAnsi="Arial"/>
                <w:sz w:val="13"/>
                <w:szCs w:val="13"/>
                <w:color w:val="auto"/>
              </w:rPr>
              <w:t>QMG HoldCo, LLC, Class A</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49"/>
        </w:trPr>
        <w:tc>
          <w:tcPr>
            <w:tcW w:w="4420" w:type="dxa"/>
            <w:vAlign w:val="bottom"/>
          </w:tcPr>
          <w:p>
            <w:pPr>
              <w:ind w:left="220"/>
              <w:spacing w:after="0"/>
              <w:rPr>
                <w:sz w:val="20"/>
                <w:szCs w:val="20"/>
                <w:color w:val="auto"/>
              </w:rPr>
            </w:pPr>
            <w:r>
              <w:rPr>
                <w:rFonts w:ascii="Arial" w:cs="Arial" w:eastAsia="Arial" w:hAnsi="Arial"/>
                <w:sz w:val="13"/>
                <w:szCs w:val="13"/>
                <w:color w:val="auto"/>
              </w:rPr>
              <w:t>(Questex Media Group, LLC)</w:t>
            </w:r>
          </w:p>
        </w:tc>
        <w:tc>
          <w:tcPr>
            <w:tcW w:w="800" w:type="dxa"/>
            <w:vAlign w:val="bottom"/>
          </w:tcPr>
          <w:p>
            <w:pPr>
              <w:spacing w:after="0"/>
              <w:rPr>
                <w:sz w:val="12"/>
                <w:szCs w:val="12"/>
                <w:color w:val="auto"/>
              </w:rPr>
            </w:pPr>
          </w:p>
        </w:tc>
      </w:tr>
      <w:tr>
        <w:trPr>
          <w:trHeight w:val="148"/>
        </w:trPr>
        <w:tc>
          <w:tcPr>
            <w:tcW w:w="4420" w:type="dxa"/>
            <w:vAlign w:val="bottom"/>
          </w:tcPr>
          <w:p>
            <w:pPr>
              <w:spacing w:after="0"/>
              <w:rPr>
                <w:sz w:val="20"/>
                <w:szCs w:val="20"/>
                <w:color w:val="auto"/>
              </w:rPr>
            </w:pPr>
            <w:r>
              <w:rPr>
                <w:rFonts w:ascii="Arial" w:cs="Arial" w:eastAsia="Arial" w:hAnsi="Arial"/>
                <w:sz w:val="13"/>
                <w:szCs w:val="13"/>
                <w:color w:val="auto"/>
              </w:rPr>
              <w:t>QMG HoldCo, LLC, Class B</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32"/>
        </w:trPr>
        <w:tc>
          <w:tcPr>
            <w:tcW w:w="4420" w:type="dxa"/>
            <w:vAlign w:val="bottom"/>
          </w:tcPr>
          <w:p>
            <w:pPr>
              <w:ind w:left="220"/>
              <w:spacing w:after="0" w:line="133" w:lineRule="exact"/>
              <w:rPr>
                <w:sz w:val="20"/>
                <w:szCs w:val="20"/>
                <w:color w:val="auto"/>
              </w:rPr>
            </w:pPr>
            <w:r>
              <w:rPr>
                <w:rFonts w:ascii="Arial" w:cs="Arial" w:eastAsia="Arial" w:hAnsi="Arial"/>
                <w:sz w:val="13"/>
                <w:szCs w:val="13"/>
                <w:color w:val="auto"/>
              </w:rPr>
              <w:t>(Questex Media Group, LLC)</w:t>
            </w:r>
          </w:p>
        </w:tc>
        <w:tc>
          <w:tcPr>
            <w:tcW w:w="800" w:type="dxa"/>
            <w:vAlign w:val="bottom"/>
          </w:tcPr>
          <w:p>
            <w:pPr>
              <w:spacing w:after="0"/>
              <w:rPr>
                <w:sz w:val="11"/>
                <w:szCs w:val="11"/>
                <w:color w:val="auto"/>
              </w:rPr>
            </w:pPr>
          </w:p>
        </w:tc>
      </w:tr>
      <w:tr>
        <w:trPr>
          <w:trHeight w:val="165"/>
        </w:trPr>
        <w:tc>
          <w:tcPr>
            <w:tcW w:w="4420" w:type="dxa"/>
            <w:vAlign w:val="bottom"/>
          </w:tcPr>
          <w:p>
            <w:pPr>
              <w:spacing w:after="0" w:line="164" w:lineRule="exact"/>
              <w:rPr>
                <w:sz w:val="20"/>
                <w:szCs w:val="20"/>
                <w:color w:val="auto"/>
              </w:rPr>
            </w:pPr>
            <w:r>
              <w:rPr>
                <w:rFonts w:ascii="Arial" w:cs="Arial" w:eastAsia="Arial" w:hAnsi="Arial"/>
                <w:sz w:val="12"/>
                <w:szCs w:val="12"/>
                <w:color w:val="auto"/>
              </w:rPr>
              <w:t xml:space="preserve">Realogy Holdings Corp. </w:t>
            </w:r>
            <w:r>
              <w:rPr>
                <w:rFonts w:ascii="Arial" w:cs="Arial" w:eastAsia="Arial" w:hAnsi="Arial"/>
                <w:sz w:val="19"/>
                <w:szCs w:val="19"/>
                <w:color w:val="auto"/>
                <w:vertAlign w:val="superscript"/>
              </w:rPr>
              <w:t>(14)</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48"/>
        </w:trPr>
        <w:tc>
          <w:tcPr>
            <w:tcW w:w="4420" w:type="dxa"/>
            <w:vAlign w:val="bottom"/>
          </w:tcPr>
          <w:p>
            <w:pPr>
              <w:ind w:left="220"/>
              <w:spacing w:after="0"/>
              <w:rPr>
                <w:sz w:val="20"/>
                <w:szCs w:val="20"/>
                <w:color w:val="auto"/>
              </w:rPr>
            </w:pPr>
            <w:r>
              <w:rPr>
                <w:rFonts w:ascii="Arial" w:cs="Arial" w:eastAsia="Arial" w:hAnsi="Arial"/>
                <w:sz w:val="13"/>
                <w:szCs w:val="13"/>
                <w:color w:val="auto"/>
              </w:rPr>
              <w:t>(f/k/a Realogy Corp.)</w:t>
            </w:r>
          </w:p>
        </w:tc>
        <w:tc>
          <w:tcPr>
            <w:tcW w:w="800" w:type="dxa"/>
            <w:vAlign w:val="bottom"/>
          </w:tcPr>
          <w:p>
            <w:pPr>
              <w:spacing w:after="0"/>
              <w:rPr>
                <w:sz w:val="12"/>
                <w:szCs w:val="12"/>
                <w:color w:val="auto"/>
              </w:rPr>
            </w:pPr>
          </w:p>
        </w:tc>
      </w:tr>
      <w:tr>
        <w:trPr>
          <w:trHeight w:val="149"/>
        </w:trPr>
        <w:tc>
          <w:tcPr>
            <w:tcW w:w="4420" w:type="dxa"/>
            <w:vAlign w:val="bottom"/>
          </w:tcPr>
          <w:p>
            <w:pPr>
              <w:spacing w:after="0"/>
              <w:rPr>
                <w:sz w:val="20"/>
                <w:szCs w:val="20"/>
                <w:color w:val="auto"/>
              </w:rPr>
            </w:pPr>
            <w:r>
              <w:rPr>
                <w:rFonts w:ascii="Arial" w:cs="Arial" w:eastAsia="Arial" w:hAnsi="Arial"/>
                <w:sz w:val="13"/>
                <w:szCs w:val="13"/>
                <w:color w:val="auto"/>
              </w:rPr>
              <w:t>SPG Boyd Holdings Corp.</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62"/>
        </w:trPr>
        <w:tc>
          <w:tcPr>
            <w:tcW w:w="4420" w:type="dxa"/>
            <w:vAlign w:val="bottom"/>
          </w:tcPr>
          <w:p>
            <w:pPr>
              <w:ind w:left="220"/>
              <w:spacing w:after="0"/>
              <w:rPr>
                <w:sz w:val="20"/>
                <w:szCs w:val="20"/>
                <w:color w:val="auto"/>
              </w:rPr>
            </w:pPr>
            <w:r>
              <w:rPr>
                <w:rFonts w:ascii="Arial" w:cs="Arial" w:eastAsia="Arial" w:hAnsi="Arial"/>
                <w:sz w:val="13"/>
                <w:szCs w:val="13"/>
                <w:color w:val="auto"/>
              </w:rPr>
              <w:t>(LTI Flexible Products, Inc.)</w:t>
            </w:r>
          </w:p>
        </w:tc>
        <w:tc>
          <w:tcPr>
            <w:tcW w:w="800" w:type="dxa"/>
            <w:vAlign w:val="bottom"/>
          </w:tcPr>
          <w:p>
            <w:pPr>
              <w:spacing w:after="0"/>
              <w:rPr>
                <w:sz w:val="14"/>
                <w:szCs w:val="14"/>
                <w:color w:val="auto"/>
              </w:rPr>
            </w:pPr>
          </w:p>
        </w:tc>
      </w:tr>
      <w:tr>
        <w:trPr>
          <w:trHeight w:val="149"/>
        </w:trPr>
        <w:tc>
          <w:tcPr>
            <w:tcW w:w="4420" w:type="dxa"/>
            <w:vAlign w:val="bottom"/>
          </w:tcPr>
          <w:p>
            <w:pPr>
              <w:spacing w:after="0"/>
              <w:rPr>
                <w:sz w:val="20"/>
                <w:szCs w:val="20"/>
                <w:color w:val="auto"/>
              </w:rPr>
            </w:pPr>
            <w:r>
              <w:rPr>
                <w:rFonts w:ascii="Arial" w:cs="Arial" w:eastAsia="Arial" w:hAnsi="Arial"/>
                <w:sz w:val="13"/>
                <w:szCs w:val="13"/>
                <w:color w:val="auto"/>
              </w:rPr>
              <w:t>Titan Private Holdings I, LLC – Class A</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48"/>
        </w:trPr>
        <w:tc>
          <w:tcPr>
            <w:tcW w:w="4420" w:type="dxa"/>
            <w:vAlign w:val="bottom"/>
          </w:tcPr>
          <w:p>
            <w:pPr>
              <w:ind w:left="220"/>
              <w:spacing w:after="0"/>
              <w:rPr>
                <w:sz w:val="20"/>
                <w:szCs w:val="20"/>
                <w:color w:val="auto"/>
              </w:rPr>
            </w:pPr>
            <w:r>
              <w:rPr>
                <w:rFonts w:ascii="Arial" w:cs="Arial" w:eastAsia="Arial" w:hAnsi="Arial"/>
                <w:sz w:val="13"/>
                <w:szCs w:val="13"/>
                <w:color w:val="auto"/>
              </w:rPr>
              <w:t>(Tekelec Global, Inc.)</w:t>
            </w:r>
          </w:p>
        </w:tc>
        <w:tc>
          <w:tcPr>
            <w:tcW w:w="800" w:type="dxa"/>
            <w:vAlign w:val="bottom"/>
          </w:tcPr>
          <w:p>
            <w:pPr>
              <w:spacing w:after="0"/>
              <w:rPr>
                <w:sz w:val="12"/>
                <w:szCs w:val="12"/>
                <w:color w:val="auto"/>
              </w:rPr>
            </w:pPr>
          </w:p>
        </w:tc>
      </w:tr>
      <w:tr>
        <w:trPr>
          <w:trHeight w:val="132"/>
        </w:trPr>
        <w:tc>
          <w:tcPr>
            <w:tcW w:w="4420" w:type="dxa"/>
            <w:vAlign w:val="bottom"/>
          </w:tcPr>
          <w:p>
            <w:pPr>
              <w:spacing w:after="0" w:line="133" w:lineRule="exact"/>
              <w:rPr>
                <w:sz w:val="20"/>
                <w:szCs w:val="20"/>
                <w:color w:val="auto"/>
              </w:rPr>
            </w:pPr>
            <w:r>
              <w:rPr>
                <w:rFonts w:ascii="Arial" w:cs="Arial" w:eastAsia="Arial" w:hAnsi="Arial"/>
                <w:sz w:val="13"/>
                <w:szCs w:val="13"/>
                <w:color w:val="auto"/>
              </w:rPr>
              <w:t>TRAK Acquisition Corp. (Warrants)</w:t>
            </w:r>
          </w:p>
        </w:tc>
        <w:tc>
          <w:tcPr>
            <w:tcW w:w="800" w:type="dxa"/>
            <w:vAlign w:val="bottom"/>
          </w:tcPr>
          <w:p>
            <w:pPr>
              <w:ind w:left="180"/>
              <w:spacing w:after="0" w:line="133" w:lineRule="exact"/>
              <w:rPr>
                <w:sz w:val="20"/>
                <w:szCs w:val="20"/>
                <w:color w:val="auto"/>
              </w:rPr>
            </w:pPr>
            <w:r>
              <w:rPr>
                <w:rFonts w:ascii="Arial" w:cs="Arial" w:eastAsia="Arial" w:hAnsi="Arial"/>
                <w:sz w:val="13"/>
                <w:szCs w:val="13"/>
                <w:color w:val="auto"/>
                <w:w w:val="92"/>
              </w:rPr>
              <w:t>12/29/2019</w:t>
            </w:r>
          </w:p>
        </w:tc>
      </w:tr>
      <w:tr>
        <w:trPr>
          <w:trHeight w:val="165"/>
        </w:trPr>
        <w:tc>
          <w:tcPr>
            <w:tcW w:w="4420" w:type="dxa"/>
            <w:vAlign w:val="bottom"/>
          </w:tcPr>
          <w:p>
            <w:pPr>
              <w:spacing w:after="0" w:line="164" w:lineRule="exact"/>
              <w:rPr>
                <w:sz w:val="20"/>
                <w:szCs w:val="20"/>
                <w:color w:val="auto"/>
              </w:rPr>
            </w:pPr>
            <w:r>
              <w:rPr>
                <w:rFonts w:ascii="Arial" w:cs="Arial" w:eastAsia="Arial" w:hAnsi="Arial"/>
                <w:sz w:val="12"/>
                <w:szCs w:val="12"/>
                <w:color w:val="auto"/>
              </w:rPr>
              <w:t xml:space="preserve">Transportation 100 Holdco, L.L.C. </w:t>
            </w:r>
            <w:r>
              <w:rPr>
                <w:rFonts w:ascii="Arial" w:cs="Arial" w:eastAsia="Arial" w:hAnsi="Arial"/>
                <w:sz w:val="19"/>
                <w:szCs w:val="19"/>
                <w:color w:val="auto"/>
                <w:vertAlign w:val="superscript"/>
              </w:rPr>
              <w:t>(13)</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48"/>
        </w:trPr>
        <w:tc>
          <w:tcPr>
            <w:tcW w:w="4420" w:type="dxa"/>
            <w:vAlign w:val="bottom"/>
          </w:tcPr>
          <w:p>
            <w:pPr>
              <w:ind w:left="220"/>
              <w:spacing w:after="0"/>
              <w:rPr>
                <w:sz w:val="20"/>
                <w:szCs w:val="20"/>
                <w:color w:val="auto"/>
              </w:rPr>
            </w:pPr>
            <w:r>
              <w:rPr>
                <w:rFonts w:ascii="Arial" w:cs="Arial" w:eastAsia="Arial" w:hAnsi="Arial"/>
                <w:sz w:val="13"/>
                <w:szCs w:val="13"/>
                <w:color w:val="auto"/>
              </w:rPr>
              <w:t>(Intermediate Transportation 100, L.L.C.)</w:t>
            </w:r>
          </w:p>
        </w:tc>
        <w:tc>
          <w:tcPr>
            <w:tcW w:w="800" w:type="dxa"/>
            <w:vAlign w:val="bottom"/>
          </w:tcPr>
          <w:p>
            <w:pPr>
              <w:spacing w:after="0"/>
              <w:rPr>
                <w:sz w:val="12"/>
                <w:szCs w:val="12"/>
                <w:color w:val="auto"/>
              </w:rPr>
            </w:pPr>
          </w:p>
        </w:tc>
      </w:tr>
      <w:tr>
        <w:trPr>
          <w:trHeight w:val="149"/>
        </w:trPr>
        <w:tc>
          <w:tcPr>
            <w:tcW w:w="4420" w:type="dxa"/>
            <w:vAlign w:val="bottom"/>
          </w:tcPr>
          <w:p>
            <w:pPr>
              <w:spacing w:after="0"/>
              <w:rPr>
                <w:sz w:val="20"/>
                <w:szCs w:val="20"/>
                <w:color w:val="auto"/>
              </w:rPr>
            </w:pPr>
            <w:r>
              <w:rPr>
                <w:rFonts w:ascii="Arial" w:cs="Arial" w:eastAsia="Arial" w:hAnsi="Arial"/>
                <w:sz w:val="13"/>
                <w:szCs w:val="13"/>
                <w:color w:val="auto"/>
              </w:rPr>
              <w:t>TZ Holdings, L.P.</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72"/>
        </w:trPr>
        <w:tc>
          <w:tcPr>
            <w:tcW w:w="4420" w:type="dxa"/>
            <w:vAlign w:val="bottom"/>
          </w:tcPr>
          <w:p>
            <w:pPr>
              <w:spacing w:after="0"/>
              <w:rPr>
                <w:sz w:val="20"/>
                <w:szCs w:val="20"/>
                <w:color w:val="auto"/>
              </w:rPr>
            </w:pPr>
            <w:r>
              <w:rPr>
                <w:rFonts w:ascii="Arial" w:cs="Arial" w:eastAsia="Arial" w:hAnsi="Arial"/>
                <w:sz w:val="13"/>
                <w:szCs w:val="13"/>
                <w:color w:val="auto"/>
              </w:rPr>
              <w:t>Verde Parent Holdings, Inc.</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273"/>
        </w:trPr>
        <w:tc>
          <w:tcPr>
            <w:tcW w:w="4420" w:type="dxa"/>
            <w:vAlign w:val="bottom"/>
          </w:tcPr>
          <w:p>
            <w:pPr>
              <w:spacing w:after="0"/>
              <w:rPr>
                <w:sz w:val="20"/>
                <w:szCs w:val="20"/>
                <w:color w:val="auto"/>
              </w:rPr>
            </w:pPr>
            <w:r>
              <w:rPr>
                <w:rFonts w:ascii="Arial" w:cs="Arial" w:eastAsia="Arial" w:hAnsi="Arial"/>
                <w:sz w:val="13"/>
                <w:szCs w:val="13"/>
                <w:color w:val="auto"/>
              </w:rPr>
              <w:t>Vestcom Parent Holdings, Inc.</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48"/>
        </w:trPr>
        <w:tc>
          <w:tcPr>
            <w:tcW w:w="4420" w:type="dxa"/>
            <w:vAlign w:val="bottom"/>
          </w:tcPr>
          <w:p>
            <w:pPr>
              <w:ind w:left="220"/>
              <w:spacing w:after="0"/>
              <w:rPr>
                <w:sz w:val="20"/>
                <w:szCs w:val="20"/>
                <w:color w:val="auto"/>
              </w:rPr>
            </w:pPr>
            <w:r>
              <w:rPr>
                <w:rFonts w:ascii="Arial" w:cs="Arial" w:eastAsia="Arial" w:hAnsi="Arial"/>
                <w:sz w:val="13"/>
                <w:szCs w:val="13"/>
                <w:color w:val="auto"/>
              </w:rPr>
              <w:t>(Vestcom International, Inc.)</w:t>
            </w:r>
          </w:p>
        </w:tc>
        <w:tc>
          <w:tcPr>
            <w:tcW w:w="800" w:type="dxa"/>
            <w:vAlign w:val="bottom"/>
          </w:tcPr>
          <w:p>
            <w:pPr>
              <w:spacing w:after="0"/>
              <w:rPr>
                <w:sz w:val="12"/>
                <w:szCs w:val="12"/>
                <w:color w:val="auto"/>
              </w:rPr>
            </w:pPr>
          </w:p>
        </w:tc>
      </w:tr>
      <w:tr>
        <w:trPr>
          <w:trHeight w:val="149"/>
        </w:trPr>
        <w:tc>
          <w:tcPr>
            <w:tcW w:w="4420" w:type="dxa"/>
            <w:vAlign w:val="bottom"/>
          </w:tcPr>
          <w:p>
            <w:pPr>
              <w:spacing w:after="0"/>
              <w:rPr>
                <w:sz w:val="20"/>
                <w:szCs w:val="20"/>
                <w:color w:val="auto"/>
              </w:rPr>
            </w:pPr>
            <w:r>
              <w:rPr>
                <w:rFonts w:ascii="Arial" w:cs="Arial" w:eastAsia="Arial" w:hAnsi="Arial"/>
                <w:sz w:val="13"/>
                <w:szCs w:val="13"/>
                <w:color w:val="auto"/>
              </w:rPr>
              <w:t>VText Holdings, Inc.</w:t>
            </w:r>
          </w:p>
        </w:tc>
        <w:tc>
          <w:tcPr>
            <w:tcW w:w="80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72"/>
        </w:trPr>
        <w:tc>
          <w:tcPr>
            <w:tcW w:w="4420" w:type="dxa"/>
            <w:vAlign w:val="bottom"/>
          </w:tcPr>
          <w:p>
            <w:pPr>
              <w:ind w:left="220"/>
              <w:spacing w:after="0"/>
              <w:rPr>
                <w:sz w:val="20"/>
                <w:szCs w:val="20"/>
                <w:color w:val="auto"/>
              </w:rPr>
            </w:pPr>
            <w:r>
              <w:rPr>
                <w:rFonts w:ascii="Arial" w:cs="Arial" w:eastAsia="Arial" w:hAnsi="Arial"/>
                <w:sz w:val="13"/>
                <w:szCs w:val="13"/>
                <w:color w:val="auto"/>
              </w:rPr>
              <w:t>(Veritext Corp.)</w:t>
            </w:r>
          </w:p>
        </w:tc>
        <w:tc>
          <w:tcPr>
            <w:tcW w:w="800" w:type="dxa"/>
            <w:vAlign w:val="bottom"/>
          </w:tcPr>
          <w:p>
            <w:pPr>
              <w:spacing w:after="0"/>
              <w:rPr>
                <w:sz w:val="14"/>
                <w:szCs w:val="14"/>
                <w:color w:val="auto"/>
              </w:rPr>
            </w:pPr>
          </w:p>
        </w:tc>
      </w:tr>
      <w:tr>
        <w:trPr>
          <w:trHeight w:val="176"/>
        </w:trPr>
        <w:tc>
          <w:tcPr>
            <w:tcW w:w="4420" w:type="dxa"/>
            <w:vAlign w:val="bottom"/>
          </w:tcPr>
          <w:p>
            <w:pPr>
              <w:spacing w:after="0"/>
              <w:rPr>
                <w:sz w:val="20"/>
                <w:szCs w:val="20"/>
                <w:color w:val="auto"/>
              </w:rPr>
            </w:pPr>
            <w:r>
              <w:rPr>
                <w:rFonts w:ascii="Arial" w:cs="Arial" w:eastAsia="Arial" w:hAnsi="Arial"/>
                <w:sz w:val="13"/>
                <w:szCs w:val="13"/>
                <w:b w:val="1"/>
                <w:bCs w:val="1"/>
                <w:color w:val="auto"/>
              </w:rPr>
              <w:t>Total Common Equity/Warrants/Partnership Interests</w:t>
            </w:r>
          </w:p>
        </w:tc>
        <w:tc>
          <w:tcPr>
            <w:tcW w:w="800" w:type="dxa"/>
            <w:vAlign w:val="bottom"/>
          </w:tcPr>
          <w:p>
            <w:pPr>
              <w:spacing w:after="0"/>
              <w:rPr>
                <w:sz w:val="15"/>
                <w:szCs w:val="15"/>
                <w:color w:val="auto"/>
              </w:rPr>
            </w:pPr>
          </w:p>
        </w:tc>
      </w:tr>
      <w:tr>
        <w:trPr>
          <w:trHeight w:val="175"/>
        </w:trPr>
        <w:tc>
          <w:tcPr>
            <w:tcW w:w="4420" w:type="dxa"/>
            <w:vAlign w:val="bottom"/>
          </w:tcPr>
          <w:p>
            <w:pPr>
              <w:spacing w:after="0"/>
              <w:rPr>
                <w:sz w:val="20"/>
                <w:szCs w:val="20"/>
                <w:color w:val="auto"/>
              </w:rPr>
            </w:pPr>
            <w:r>
              <w:rPr>
                <w:rFonts w:ascii="Arial" w:cs="Arial" w:eastAsia="Arial" w:hAnsi="Arial"/>
                <w:sz w:val="13"/>
                <w:szCs w:val="13"/>
                <w:b w:val="1"/>
                <w:bCs w:val="1"/>
                <w:color w:val="auto"/>
                <w:w w:val="98"/>
              </w:rPr>
              <w:t>Total Investments in Non-Controlled, Non-Affiliated Portfolio Companies</w:t>
            </w:r>
          </w:p>
        </w:tc>
        <w:tc>
          <w:tcPr>
            <w:tcW w:w="8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r>
      <w:tr>
        <w:trPr>
          <w:trHeight w:val="148"/>
        </w:trPr>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r>
      <w:tr>
        <w:trPr>
          <w:trHeight w:val="134"/>
        </w:trPr>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Current</w:t>
            </w:r>
          </w:p>
        </w:tc>
        <w:tc>
          <w:tcPr>
            <w:tcW w:w="6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Above</w:t>
            </w:r>
          </w:p>
        </w:tc>
      </w:tr>
      <w:tr>
        <w:trPr>
          <w:trHeight w:val="176"/>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Coupon</w:t>
            </w:r>
          </w:p>
        </w:tc>
        <w:tc>
          <w:tcPr>
            <w:tcW w:w="28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(4)</w:t>
            </w:r>
          </w:p>
        </w:tc>
      </w:tr>
      <w:tr>
        <w:trPr>
          <w:trHeight w:val="280"/>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Electronics</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48"/>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Healthcare, Education</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62"/>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and Childcare</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Financial Services</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273"/>
        </w:trPr>
        <w:tc>
          <w:tcPr>
            <w:tcW w:w="142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Broadcasting and</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62"/>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Entertainment</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1420" w:type="dxa"/>
            <w:vAlign w:val="bottom"/>
            <w:gridSpan w:val="2"/>
          </w:tcPr>
          <w:p>
            <w:pPr>
              <w:jc w:val="center"/>
              <w:ind w:right="240"/>
              <w:spacing w:after="0"/>
              <w:rPr>
                <w:sz w:val="20"/>
                <w:szCs w:val="20"/>
                <w:color w:val="auto"/>
              </w:rPr>
            </w:pPr>
            <w:r>
              <w:rPr>
                <w:rFonts w:ascii="Arial" w:cs="Arial" w:eastAsia="Arial" w:hAnsi="Arial"/>
                <w:sz w:val="13"/>
                <w:szCs w:val="13"/>
                <w:color w:val="auto"/>
              </w:rPr>
              <w:t>Distribution</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273"/>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Healthcare, Education</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62"/>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and Childcare</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8"/>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Healthcare, Education</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62"/>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and Childcare</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Electronics</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273"/>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Business Services</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48"/>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Other Media</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49"/>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Healthcare, Education</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62"/>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and Childcare</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8"/>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Healthcare, Education</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62"/>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and Childcare</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8"/>
        </w:trPr>
        <w:tc>
          <w:tcPr>
            <w:tcW w:w="142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Education</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72"/>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Oil and Gas</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297"/>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Oil and Gas</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297"/>
        </w:trPr>
        <w:tc>
          <w:tcPr>
            <w:tcW w:w="1420" w:type="dxa"/>
            <w:vAlign w:val="bottom"/>
            <w:gridSpan w:val="2"/>
          </w:tcPr>
          <w:p>
            <w:pPr>
              <w:jc w:val="center"/>
              <w:ind w:right="240"/>
              <w:spacing w:after="0"/>
              <w:rPr>
                <w:sz w:val="20"/>
                <w:szCs w:val="20"/>
                <w:color w:val="auto"/>
              </w:rPr>
            </w:pPr>
            <w:r>
              <w:rPr>
                <w:rFonts w:ascii="Arial" w:cs="Arial" w:eastAsia="Arial" w:hAnsi="Arial"/>
                <w:sz w:val="13"/>
                <w:szCs w:val="13"/>
                <w:color w:val="auto"/>
              </w:rPr>
              <w:t>Distribution</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273"/>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Personal, Food and</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49"/>
        </w:trPr>
        <w:tc>
          <w:tcPr>
            <w:tcW w:w="142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Miscellaneous</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142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Services</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Healthcare, Education</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62"/>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and Childcare</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Other Media</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297"/>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Other Media</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273"/>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Buildings and Real</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48"/>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Estate</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142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Chemical, Plastic</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62"/>
        </w:trPr>
        <w:tc>
          <w:tcPr>
            <w:tcW w:w="1420" w:type="dxa"/>
            <w:vAlign w:val="bottom"/>
            <w:gridSpan w:val="2"/>
          </w:tcPr>
          <w:p>
            <w:pPr>
              <w:jc w:val="center"/>
              <w:ind w:right="240"/>
              <w:spacing w:after="0"/>
              <w:rPr>
                <w:sz w:val="20"/>
                <w:szCs w:val="20"/>
                <w:color w:val="auto"/>
              </w:rPr>
            </w:pPr>
            <w:r>
              <w:rPr>
                <w:rFonts w:ascii="Arial" w:cs="Arial" w:eastAsia="Arial" w:hAnsi="Arial"/>
                <w:sz w:val="13"/>
                <w:szCs w:val="13"/>
                <w:color w:val="auto"/>
                <w:w w:val="91"/>
              </w:rPr>
              <w:t>and Rubber</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Telecommunications</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273"/>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Business Services</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72"/>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Cargo Transport</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273"/>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Insurance</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48"/>
        </w:trPr>
        <w:tc>
          <w:tcPr>
            <w:tcW w:w="142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Personal</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48"/>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Transportation</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142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Printing and</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r>
        <w:trPr>
          <w:trHeight w:val="148"/>
        </w:trPr>
        <w:tc>
          <w:tcPr>
            <w:tcW w:w="1420" w:type="dxa"/>
            <w:vAlign w:val="bottom"/>
            <w:gridSpan w:val="2"/>
          </w:tcPr>
          <w:p>
            <w:pPr>
              <w:jc w:val="center"/>
              <w:ind w:right="240"/>
              <w:spacing w:after="0"/>
              <w:rPr>
                <w:sz w:val="20"/>
                <w:szCs w:val="20"/>
                <w:color w:val="auto"/>
              </w:rPr>
            </w:pPr>
            <w:r>
              <w:rPr>
                <w:rFonts w:ascii="Arial" w:cs="Arial" w:eastAsia="Arial" w:hAnsi="Arial"/>
                <w:sz w:val="13"/>
                <w:szCs w:val="13"/>
                <w:color w:val="auto"/>
                <w:w w:val="96"/>
              </w:rPr>
              <w:t>Publishing</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2"/>
        </w:trPr>
        <w:tc>
          <w:tcPr>
            <w:tcW w:w="142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Business Services</w:t>
            </w: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-5082540</wp:posOffset>
            </wp:positionV>
            <wp:extent cx="713232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-4885055</wp:posOffset>
            </wp:positionV>
            <wp:extent cx="713232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-4499610</wp:posOffset>
            </wp:positionV>
            <wp:extent cx="7132320"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-4113530</wp:posOffset>
            </wp:positionV>
            <wp:extent cx="7132320"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-3719195</wp:posOffset>
            </wp:positionV>
            <wp:extent cx="71323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-3436620</wp:posOffset>
            </wp:positionV>
            <wp:extent cx="7132320" cy="93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-3145155</wp:posOffset>
            </wp:positionV>
            <wp:extent cx="7132320"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-2853690</wp:posOffset>
            </wp:positionV>
            <wp:extent cx="71323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-2476500</wp:posOffset>
            </wp:positionV>
            <wp:extent cx="71323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-2004695</wp:posOffset>
            </wp:positionV>
            <wp:extent cx="7132320"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-1619250</wp:posOffset>
            </wp:positionV>
            <wp:extent cx="71323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-1242060</wp:posOffset>
            </wp:positionV>
            <wp:extent cx="7132320"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-855980</wp:posOffset>
            </wp:positionV>
            <wp:extent cx="7132320"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-573405</wp:posOffset>
            </wp:positionV>
            <wp:extent cx="7132320" cy="9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-290195</wp:posOffset>
            </wp:positionV>
            <wp:extent cx="71323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103505</wp:posOffset>
            </wp:positionV>
            <wp:extent cx="7132320" cy="93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Par /</w:t>
            </w:r>
          </w:p>
        </w:tc>
        <w:tc>
          <w:tcPr>
            <w:tcW w:w="102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rPr>
              <w:t>Cost</w:t>
            </w: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1020" w:type="dxa"/>
            <w:vAlign w:val="bottom"/>
            <w:gridSpan w:val="2"/>
            <w:vMerge w:val="continue"/>
          </w:tcPr>
          <w:p>
            <w:pPr>
              <w:spacing w:after="0"/>
              <w:rPr>
                <w:sz w:val="12"/>
                <w:szCs w:val="12"/>
                <w:color w:val="auto"/>
              </w:rPr>
            </w:pPr>
          </w:p>
        </w:tc>
        <w:tc>
          <w:tcPr>
            <w:tcW w:w="76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280"/>
        </w:trPr>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1,998</w:t>
            </w:r>
          </w:p>
        </w:tc>
        <w:tc>
          <w:tcPr>
            <w:tcW w:w="28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  2,000,000</w:t>
            </w:r>
          </w:p>
        </w:tc>
        <w:tc>
          <w:tcPr>
            <w:tcW w:w="280" w:type="dxa"/>
            <w:vAlign w:val="bottom"/>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  1,354,294</w:t>
            </w:r>
          </w:p>
        </w:tc>
        <w:tc>
          <w:tcPr>
            <w:tcW w:w="0" w:type="dxa"/>
            <w:vAlign w:val="bottom"/>
          </w:tcPr>
          <w:p>
            <w:pPr>
              <w:spacing w:after="0"/>
              <w:rPr>
                <w:sz w:val="1"/>
                <w:szCs w:val="1"/>
                <w:color w:val="auto"/>
              </w:rPr>
            </w:pPr>
          </w:p>
        </w:tc>
      </w:tr>
      <w:tr>
        <w:trPr>
          <w:trHeight w:val="172"/>
        </w:trPr>
        <w:tc>
          <w:tcPr>
            <w:tcW w:w="580" w:type="dxa"/>
            <w:vAlign w:val="bottom"/>
          </w:tcPr>
          <w:p>
            <w:pPr>
              <w:jc w:val="right"/>
              <w:spacing w:after="0"/>
              <w:rPr>
                <w:sz w:val="20"/>
                <w:szCs w:val="20"/>
                <w:color w:val="auto"/>
              </w:rPr>
            </w:pPr>
            <w:r>
              <w:rPr>
                <w:rFonts w:ascii="Arial" w:cs="Arial" w:eastAsia="Arial" w:hAnsi="Arial"/>
                <w:sz w:val="13"/>
                <w:szCs w:val="13"/>
                <w:color w:val="auto"/>
              </w:rPr>
              <w:t>753</w:t>
            </w:r>
          </w:p>
        </w:tc>
        <w:tc>
          <w:tcPr>
            <w:tcW w:w="28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2,461,795</w:t>
            </w:r>
          </w:p>
        </w:tc>
        <w:tc>
          <w:tcPr>
            <w:tcW w:w="0" w:type="dxa"/>
            <w:vAlign w:val="bottom"/>
          </w:tcPr>
          <w:p>
            <w:pPr>
              <w:spacing w:after="0"/>
              <w:rPr>
                <w:sz w:val="1"/>
                <w:szCs w:val="1"/>
                <w:color w:val="auto"/>
              </w:rPr>
            </w:pPr>
          </w:p>
        </w:tc>
      </w:tr>
      <w:tr>
        <w:trPr>
          <w:trHeight w:val="311"/>
        </w:trPr>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950</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980</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3"/>
                <w:szCs w:val="13"/>
                <w:color w:val="auto"/>
                <w:w w:val="96"/>
              </w:rPr>
              <w:t>1,333,330</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3,000,000</w:t>
            </w:r>
          </w:p>
        </w:tc>
        <w:tc>
          <w:tcPr>
            <w:tcW w:w="280" w:type="dxa"/>
            <w:vAlign w:val="bottom"/>
          </w:tcPr>
          <w:p>
            <w:pPr>
              <w:spacing w:after="0"/>
              <w:rPr>
                <w:sz w:val="24"/>
                <w:szCs w:val="24"/>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1"/>
        </w:trPr>
        <w:tc>
          <w:tcPr>
            <w:tcW w:w="580" w:type="dxa"/>
            <w:vAlign w:val="bottom"/>
          </w:tcPr>
          <w:p>
            <w:pPr>
              <w:jc w:val="right"/>
              <w:spacing w:after="0"/>
              <w:rPr>
                <w:sz w:val="20"/>
                <w:szCs w:val="20"/>
                <w:color w:val="auto"/>
              </w:rPr>
            </w:pPr>
            <w:r>
              <w:rPr>
                <w:rFonts w:ascii="Arial" w:cs="Arial" w:eastAsia="Arial" w:hAnsi="Arial"/>
                <w:sz w:val="13"/>
                <w:szCs w:val="13"/>
                <w:color w:val="auto"/>
                <w:w w:val="96"/>
              </w:rPr>
              <w:t>1,505,000</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1,505,000</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2,043,502</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3"/>
                <w:szCs w:val="13"/>
                <w:color w:val="auto"/>
              </w:rPr>
              <w:t>23,416</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234,693</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376,363</w:t>
            </w:r>
          </w:p>
        </w:tc>
        <w:tc>
          <w:tcPr>
            <w:tcW w:w="0" w:type="dxa"/>
            <w:vAlign w:val="bottom"/>
          </w:tcPr>
          <w:p>
            <w:pPr>
              <w:spacing w:after="0"/>
              <w:rPr>
                <w:sz w:val="1"/>
                <w:szCs w:val="1"/>
                <w:color w:val="auto"/>
              </w:rPr>
            </w:pPr>
          </w:p>
        </w:tc>
      </w:tr>
      <w:tr>
        <w:trPr>
          <w:trHeight w:val="311"/>
        </w:trPr>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11,708</w:t>
            </w: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117,346</w:t>
            </w:r>
          </w:p>
        </w:tc>
        <w:tc>
          <w:tcPr>
            <w:tcW w:w="760" w:type="dxa"/>
            <w:vAlign w:val="bottom"/>
          </w:tcPr>
          <w:p>
            <w:pPr>
              <w:jc w:val="right"/>
              <w:spacing w:after="0"/>
              <w:rPr>
                <w:sz w:val="20"/>
                <w:szCs w:val="20"/>
                <w:color w:val="auto"/>
              </w:rPr>
            </w:pPr>
            <w:r>
              <w:rPr>
                <w:rFonts w:ascii="Arial" w:cs="Arial" w:eastAsia="Arial" w:hAnsi="Arial"/>
                <w:sz w:val="13"/>
                <w:szCs w:val="13"/>
                <w:color w:val="auto"/>
              </w:rPr>
              <w:t>188,182</w:t>
            </w:r>
          </w:p>
        </w:tc>
        <w:tc>
          <w:tcPr>
            <w:tcW w:w="0" w:type="dxa"/>
            <w:vAlign w:val="bottom"/>
          </w:tcPr>
          <w:p>
            <w:pPr>
              <w:spacing w:after="0"/>
              <w:rPr>
                <w:sz w:val="1"/>
                <w:szCs w:val="1"/>
                <w:color w:val="auto"/>
              </w:rPr>
            </w:pPr>
          </w:p>
        </w:tc>
      </w:tr>
      <w:tr>
        <w:trPr>
          <w:trHeight w:val="310"/>
        </w:trPr>
        <w:tc>
          <w:tcPr>
            <w:tcW w:w="580" w:type="dxa"/>
            <w:vAlign w:val="bottom"/>
          </w:tcPr>
          <w:p>
            <w:pPr>
              <w:jc w:val="right"/>
              <w:spacing w:after="0"/>
              <w:rPr>
                <w:sz w:val="20"/>
                <w:szCs w:val="20"/>
                <w:color w:val="auto"/>
              </w:rPr>
            </w:pPr>
            <w:r>
              <w:rPr>
                <w:rFonts w:ascii="Arial" w:cs="Arial" w:eastAsia="Arial" w:hAnsi="Arial"/>
                <w:sz w:val="13"/>
                <w:szCs w:val="13"/>
                <w:color w:val="auto"/>
              </w:rPr>
              <w:t>2,375</w:t>
            </w:r>
          </w:p>
        </w:tc>
        <w:tc>
          <w:tcPr>
            <w:tcW w:w="28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149,633</w:t>
            </w:r>
          </w:p>
        </w:tc>
        <w:tc>
          <w:tcPr>
            <w:tcW w:w="0" w:type="dxa"/>
            <w:vAlign w:val="bottom"/>
          </w:tcPr>
          <w:p>
            <w:pPr>
              <w:spacing w:after="0"/>
              <w:rPr>
                <w:sz w:val="1"/>
                <w:szCs w:val="1"/>
                <w:color w:val="auto"/>
              </w:rPr>
            </w:pPr>
          </w:p>
        </w:tc>
      </w:tr>
      <w:tr>
        <w:trPr>
          <w:trHeight w:val="273"/>
        </w:trPr>
        <w:tc>
          <w:tcPr>
            <w:tcW w:w="580" w:type="dxa"/>
            <w:vAlign w:val="bottom"/>
          </w:tcPr>
          <w:p>
            <w:pPr>
              <w:jc w:val="right"/>
              <w:spacing w:after="0"/>
              <w:rPr>
                <w:sz w:val="20"/>
                <w:szCs w:val="20"/>
                <w:color w:val="auto"/>
              </w:rPr>
            </w:pPr>
            <w:r>
              <w:rPr>
                <w:rFonts w:ascii="Arial" w:cs="Arial" w:eastAsia="Arial" w:hAnsi="Arial"/>
                <w:sz w:val="13"/>
                <w:szCs w:val="13"/>
                <w:color w:val="auto"/>
              </w:rPr>
              <w:t>5,556</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1,918,346</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6,806,853</w:t>
            </w:r>
          </w:p>
        </w:tc>
        <w:tc>
          <w:tcPr>
            <w:tcW w:w="0" w:type="dxa"/>
            <w:vAlign w:val="bottom"/>
          </w:tcPr>
          <w:p>
            <w:pPr>
              <w:spacing w:after="0"/>
              <w:rPr>
                <w:sz w:val="1"/>
                <w:szCs w:val="1"/>
                <w:color w:val="auto"/>
              </w:rPr>
            </w:pPr>
          </w:p>
        </w:tc>
      </w:tr>
      <w:tr>
        <w:trPr>
          <w:trHeight w:val="148"/>
        </w:trPr>
        <w:tc>
          <w:tcPr>
            <w:tcW w:w="580" w:type="dxa"/>
            <w:vAlign w:val="bottom"/>
          </w:tcPr>
          <w:p>
            <w:pPr>
              <w:jc w:val="right"/>
              <w:spacing w:after="0"/>
              <w:rPr>
                <w:sz w:val="20"/>
                <w:szCs w:val="20"/>
                <w:color w:val="auto"/>
              </w:rPr>
            </w:pPr>
            <w:r>
              <w:rPr>
                <w:rFonts w:ascii="Arial" w:cs="Arial" w:eastAsia="Arial" w:hAnsi="Arial"/>
                <w:sz w:val="13"/>
                <w:szCs w:val="13"/>
                <w:color w:val="auto"/>
              </w:rPr>
              <w:t>386,770</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2,697,834</w:t>
            </w: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2,693,070</w:t>
            </w:r>
          </w:p>
        </w:tc>
        <w:tc>
          <w:tcPr>
            <w:tcW w:w="0" w:type="dxa"/>
            <w:vAlign w:val="bottom"/>
          </w:tcPr>
          <w:p>
            <w:pPr>
              <w:spacing w:after="0"/>
              <w:rPr>
                <w:sz w:val="1"/>
                <w:szCs w:val="1"/>
                <w:color w:val="auto"/>
              </w:rPr>
            </w:pPr>
          </w:p>
        </w:tc>
      </w:tr>
      <w:tr>
        <w:trPr>
          <w:trHeight w:val="172"/>
        </w:trPr>
        <w:tc>
          <w:tcPr>
            <w:tcW w:w="580" w:type="dxa"/>
            <w:vAlign w:val="bottom"/>
          </w:tcPr>
          <w:p>
            <w:pPr>
              <w:jc w:val="right"/>
              <w:spacing w:after="0"/>
              <w:rPr>
                <w:sz w:val="20"/>
                <w:szCs w:val="20"/>
                <w:color w:val="auto"/>
              </w:rPr>
            </w:pPr>
            <w:r>
              <w:rPr>
                <w:rFonts w:ascii="Arial" w:cs="Arial" w:eastAsia="Arial" w:hAnsi="Arial"/>
                <w:sz w:val="13"/>
                <w:szCs w:val="13"/>
                <w:color w:val="auto"/>
                <w:w w:val="96"/>
              </w:rPr>
              <w:t>1,079,920</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1,236,831</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9,824,699</w:t>
            </w:r>
          </w:p>
        </w:tc>
        <w:tc>
          <w:tcPr>
            <w:tcW w:w="0" w:type="dxa"/>
            <w:vAlign w:val="bottom"/>
          </w:tcPr>
          <w:p>
            <w:pPr>
              <w:spacing w:after="0"/>
              <w:rPr>
                <w:sz w:val="1"/>
                <w:szCs w:val="1"/>
                <w:color w:val="auto"/>
              </w:rPr>
            </w:pPr>
          </w:p>
        </w:tc>
      </w:tr>
      <w:tr>
        <w:trPr>
          <w:trHeight w:val="310"/>
        </w:trPr>
        <w:tc>
          <w:tcPr>
            <w:tcW w:w="580" w:type="dxa"/>
            <w:vAlign w:val="bottom"/>
          </w:tcPr>
          <w:p>
            <w:pPr>
              <w:jc w:val="right"/>
              <w:spacing w:after="0"/>
              <w:rPr>
                <w:sz w:val="20"/>
                <w:szCs w:val="20"/>
                <w:color w:val="auto"/>
              </w:rPr>
            </w:pPr>
            <w:r>
              <w:rPr>
                <w:rFonts w:ascii="Arial" w:cs="Arial" w:eastAsia="Arial" w:hAnsi="Arial"/>
                <w:sz w:val="13"/>
                <w:szCs w:val="13"/>
                <w:color w:val="auto"/>
                <w:w w:val="96"/>
              </w:rPr>
              <w:t>1,079,920</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1,028,806</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1,028,807</w:t>
            </w:r>
          </w:p>
        </w:tc>
        <w:tc>
          <w:tcPr>
            <w:tcW w:w="0" w:type="dxa"/>
            <w:vAlign w:val="bottom"/>
          </w:tcPr>
          <w:p>
            <w:pPr>
              <w:spacing w:after="0"/>
              <w:rPr>
                <w:sz w:val="1"/>
                <w:szCs w:val="1"/>
                <w:color w:val="auto"/>
              </w:rPr>
            </w:pPr>
          </w:p>
        </w:tc>
      </w:tr>
      <w:tr>
        <w:trPr>
          <w:trHeight w:val="287"/>
        </w:trPr>
        <w:tc>
          <w:tcPr>
            <w:tcW w:w="580" w:type="dxa"/>
            <w:vAlign w:val="bottom"/>
          </w:tcPr>
          <w:p>
            <w:pPr>
              <w:jc w:val="right"/>
              <w:spacing w:after="0"/>
              <w:rPr>
                <w:sz w:val="20"/>
                <w:szCs w:val="20"/>
                <w:color w:val="auto"/>
              </w:rPr>
            </w:pPr>
            <w:r>
              <w:rPr>
                <w:rFonts w:ascii="Arial" w:cs="Arial" w:eastAsia="Arial" w:hAnsi="Arial"/>
                <w:sz w:val="13"/>
                <w:szCs w:val="13"/>
                <w:color w:val="auto"/>
              </w:rPr>
              <w:t>6,649</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779,920</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2,335,769</w:t>
            </w:r>
          </w:p>
        </w:tc>
        <w:tc>
          <w:tcPr>
            <w:tcW w:w="0" w:type="dxa"/>
            <w:vAlign w:val="bottom"/>
          </w:tcPr>
          <w:p>
            <w:pPr>
              <w:spacing w:after="0"/>
              <w:rPr>
                <w:sz w:val="1"/>
                <w:szCs w:val="1"/>
                <w:color w:val="auto"/>
              </w:rPr>
            </w:pPr>
          </w:p>
        </w:tc>
      </w:tr>
      <w:tr>
        <w:trPr>
          <w:trHeight w:val="172"/>
        </w:trPr>
        <w:tc>
          <w:tcPr>
            <w:tcW w:w="580" w:type="dxa"/>
            <w:vAlign w:val="bottom"/>
          </w:tcPr>
          <w:p>
            <w:pPr>
              <w:jc w:val="right"/>
              <w:spacing w:after="0"/>
              <w:rPr>
                <w:sz w:val="20"/>
                <w:szCs w:val="20"/>
                <w:color w:val="auto"/>
              </w:rPr>
            </w:pPr>
            <w:r>
              <w:rPr>
                <w:rFonts w:ascii="Arial" w:cs="Arial" w:eastAsia="Arial" w:hAnsi="Arial"/>
                <w:sz w:val="13"/>
                <w:szCs w:val="13"/>
                <w:color w:val="auto"/>
                <w:w w:val="96"/>
              </w:rPr>
              <w:t>1,221,932</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3,239,999</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4,899,947</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3"/>
                <w:szCs w:val="13"/>
                <w:color w:val="auto"/>
              </w:rPr>
              <w:t>122,193</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105,697</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909</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3"/>
                <w:szCs w:val="13"/>
                <w:color w:val="auto"/>
              </w:rPr>
              <w:t>1,850</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1,850,294</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1,928,624</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3"/>
                <w:szCs w:val="13"/>
                <w:color w:val="auto"/>
              </w:rPr>
              <w:t>3,000</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3,000,000</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4,337,857</w:t>
            </w:r>
          </w:p>
        </w:tc>
        <w:tc>
          <w:tcPr>
            <w:tcW w:w="0" w:type="dxa"/>
            <w:vAlign w:val="bottom"/>
          </w:tcPr>
          <w:p>
            <w:pPr>
              <w:spacing w:after="0"/>
              <w:rPr>
                <w:sz w:val="1"/>
                <w:szCs w:val="1"/>
                <w:color w:val="auto"/>
              </w:rPr>
            </w:pPr>
          </w:p>
        </w:tc>
      </w:tr>
      <w:tr>
        <w:trPr>
          <w:trHeight w:val="445"/>
        </w:trPr>
        <w:tc>
          <w:tcPr>
            <w:tcW w:w="580" w:type="dxa"/>
            <w:vAlign w:val="bottom"/>
          </w:tcPr>
          <w:p>
            <w:pPr>
              <w:jc w:val="right"/>
              <w:spacing w:after="0"/>
              <w:rPr>
                <w:sz w:val="20"/>
                <w:szCs w:val="20"/>
                <w:color w:val="auto"/>
              </w:rPr>
            </w:pPr>
            <w:r>
              <w:rPr>
                <w:rFonts w:ascii="Arial" w:cs="Arial" w:eastAsia="Arial" w:hAnsi="Arial"/>
                <w:sz w:val="13"/>
                <w:szCs w:val="13"/>
                <w:color w:val="auto"/>
              </w:rPr>
              <w:t>20,000</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2,000,000</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2,430,261</w:t>
            </w:r>
          </w:p>
        </w:tc>
        <w:tc>
          <w:tcPr>
            <w:tcW w:w="0" w:type="dxa"/>
            <w:vAlign w:val="bottom"/>
          </w:tcPr>
          <w:p>
            <w:pPr>
              <w:spacing w:after="0"/>
              <w:rPr>
                <w:sz w:val="1"/>
                <w:szCs w:val="1"/>
                <w:color w:val="auto"/>
              </w:rPr>
            </w:pPr>
          </w:p>
        </w:tc>
      </w:tr>
      <w:tr>
        <w:trPr>
          <w:trHeight w:val="310"/>
        </w:trPr>
        <w:tc>
          <w:tcPr>
            <w:tcW w:w="580" w:type="dxa"/>
            <w:vAlign w:val="bottom"/>
          </w:tcPr>
          <w:p>
            <w:pPr>
              <w:jc w:val="right"/>
              <w:spacing w:after="0"/>
              <w:rPr>
                <w:sz w:val="20"/>
                <w:szCs w:val="20"/>
                <w:color w:val="auto"/>
              </w:rPr>
            </w:pPr>
            <w:r>
              <w:rPr>
                <w:rFonts w:ascii="Arial" w:cs="Arial" w:eastAsia="Arial" w:hAnsi="Arial"/>
                <w:sz w:val="13"/>
                <w:szCs w:val="13"/>
                <w:color w:val="auto"/>
              </w:rPr>
              <w:t>4,325</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1,306,167</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1,435,435</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3"/>
                <w:szCs w:val="13"/>
                <w:color w:val="auto"/>
              </w:rPr>
              <w:t>531</w:t>
            </w:r>
          </w:p>
        </w:tc>
        <w:tc>
          <w:tcPr>
            <w:tcW w:w="28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176,235</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3"/>
                <w:szCs w:val="13"/>
                <w:color w:val="auto"/>
              </w:rPr>
              <w:t>417,054</w:t>
            </w:r>
          </w:p>
        </w:tc>
        <w:tc>
          <w:tcPr>
            <w:tcW w:w="28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10,929,118</w:t>
            </w:r>
          </w:p>
        </w:tc>
        <w:tc>
          <w:tcPr>
            <w:tcW w:w="760" w:type="dxa"/>
            <w:vAlign w:val="bottom"/>
          </w:tcPr>
          <w:p>
            <w:pPr>
              <w:jc w:val="right"/>
              <w:spacing w:after="0"/>
              <w:rPr>
                <w:sz w:val="20"/>
                <w:szCs w:val="20"/>
                <w:color w:val="auto"/>
              </w:rPr>
            </w:pPr>
            <w:r>
              <w:rPr>
                <w:rFonts w:ascii="Arial" w:cs="Arial" w:eastAsia="Arial" w:hAnsi="Arial"/>
                <w:sz w:val="13"/>
                <w:szCs w:val="13"/>
                <w:color w:val="auto"/>
              </w:rPr>
              <w:t>20,368,916</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3"/>
                <w:szCs w:val="13"/>
                <w:color w:val="auto"/>
              </w:rPr>
              <w:t>300,000</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3,000,000</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4,215,032</w:t>
            </w:r>
          </w:p>
        </w:tc>
        <w:tc>
          <w:tcPr>
            <w:tcW w:w="0" w:type="dxa"/>
            <w:vAlign w:val="bottom"/>
          </w:tcPr>
          <w:p>
            <w:pPr>
              <w:spacing w:after="0"/>
              <w:rPr>
                <w:sz w:val="1"/>
                <w:szCs w:val="1"/>
                <w:color w:val="auto"/>
              </w:rPr>
            </w:pPr>
          </w:p>
        </w:tc>
      </w:tr>
      <w:tr>
        <w:trPr>
          <w:trHeight w:val="310"/>
        </w:trPr>
        <w:tc>
          <w:tcPr>
            <w:tcW w:w="580" w:type="dxa"/>
            <w:vAlign w:val="bottom"/>
          </w:tcPr>
          <w:p>
            <w:pPr>
              <w:jc w:val="right"/>
              <w:spacing w:after="0"/>
              <w:rPr>
                <w:sz w:val="20"/>
                <w:szCs w:val="20"/>
                <w:color w:val="auto"/>
              </w:rPr>
            </w:pPr>
            <w:r>
              <w:rPr>
                <w:rFonts w:ascii="Arial" w:cs="Arial" w:eastAsia="Arial" w:hAnsi="Arial"/>
                <w:sz w:val="13"/>
                <w:szCs w:val="13"/>
                <w:color w:val="auto"/>
                <w:w w:val="96"/>
              </w:rPr>
              <w:t>2,276,847</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2,274,883</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8,470,962</w:t>
            </w:r>
          </w:p>
        </w:tc>
        <w:tc>
          <w:tcPr>
            <w:tcW w:w="0" w:type="dxa"/>
            <w:vAlign w:val="bottom"/>
          </w:tcPr>
          <w:p>
            <w:pPr>
              <w:spacing w:after="0"/>
              <w:rPr>
                <w:sz w:val="1"/>
                <w:szCs w:val="1"/>
                <w:color w:val="auto"/>
              </w:rPr>
            </w:pPr>
          </w:p>
        </w:tc>
      </w:tr>
      <w:tr>
        <w:trPr>
          <w:trHeight w:val="273"/>
        </w:trPr>
        <w:tc>
          <w:tcPr>
            <w:tcW w:w="580" w:type="dxa"/>
            <w:vAlign w:val="bottom"/>
          </w:tcPr>
          <w:p>
            <w:pPr>
              <w:jc w:val="right"/>
              <w:spacing w:after="0"/>
              <w:rPr>
                <w:sz w:val="20"/>
                <w:szCs w:val="20"/>
                <w:color w:val="auto"/>
              </w:rPr>
            </w:pPr>
            <w:r>
              <w:rPr>
                <w:rFonts w:ascii="Arial" w:cs="Arial" w:eastAsia="Arial" w:hAnsi="Arial"/>
                <w:sz w:val="13"/>
                <w:szCs w:val="13"/>
                <w:color w:val="auto"/>
              </w:rPr>
              <w:t>3,500</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29,400</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1,050,109</w:t>
            </w:r>
          </w:p>
        </w:tc>
        <w:tc>
          <w:tcPr>
            <w:tcW w:w="0" w:type="dxa"/>
            <w:vAlign w:val="bottom"/>
          </w:tcPr>
          <w:p>
            <w:pPr>
              <w:spacing w:after="0"/>
              <w:rPr>
                <w:sz w:val="1"/>
                <w:szCs w:val="1"/>
                <w:color w:val="auto"/>
              </w:rPr>
            </w:pPr>
          </w:p>
        </w:tc>
      </w:tr>
      <w:tr>
        <w:trPr>
          <w:trHeight w:val="172"/>
        </w:trPr>
        <w:tc>
          <w:tcPr>
            <w:tcW w:w="580" w:type="dxa"/>
            <w:vAlign w:val="bottom"/>
          </w:tcPr>
          <w:p>
            <w:pPr>
              <w:jc w:val="right"/>
              <w:spacing w:after="0"/>
              <w:rPr>
                <w:sz w:val="20"/>
                <w:szCs w:val="20"/>
                <w:color w:val="auto"/>
              </w:rPr>
            </w:pPr>
            <w:r>
              <w:rPr>
                <w:rFonts w:ascii="Arial" w:cs="Arial" w:eastAsia="Arial" w:hAnsi="Arial"/>
                <w:sz w:val="13"/>
                <w:szCs w:val="13"/>
                <w:color w:val="auto"/>
              </w:rPr>
              <w:t>137,923</w:t>
            </w:r>
          </w:p>
        </w:tc>
        <w:tc>
          <w:tcPr>
            <w:tcW w:w="2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2,111,588</w:t>
            </w:r>
          </w:p>
        </w:tc>
        <w:tc>
          <w:tcPr>
            <w:tcW w:w="760" w:type="dxa"/>
            <w:vAlign w:val="bottom"/>
          </w:tcPr>
          <w:p>
            <w:pPr>
              <w:jc w:val="right"/>
              <w:spacing w:after="0"/>
              <w:rPr>
                <w:sz w:val="20"/>
                <w:szCs w:val="20"/>
                <w:color w:val="auto"/>
              </w:rPr>
            </w:pPr>
            <w:r>
              <w:rPr>
                <w:rFonts w:ascii="Arial" w:cs="Arial" w:eastAsia="Arial" w:hAnsi="Arial"/>
                <w:sz w:val="13"/>
                <w:szCs w:val="13"/>
                <w:color w:val="auto"/>
              </w:rPr>
              <w:t>490,624</w:t>
            </w:r>
          </w:p>
        </w:tc>
        <w:tc>
          <w:tcPr>
            <w:tcW w:w="0" w:type="dxa"/>
            <w:vAlign w:val="bottom"/>
          </w:tcPr>
          <w:p>
            <w:pPr>
              <w:spacing w:after="0"/>
              <w:rPr>
                <w:sz w:val="1"/>
                <w:szCs w:val="1"/>
                <w:color w:val="auto"/>
              </w:rPr>
            </w:pPr>
          </w:p>
        </w:tc>
      </w:tr>
      <w:tr>
        <w:trPr>
          <w:trHeight w:val="273"/>
        </w:trPr>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9,568</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26,655</w:t>
            </w:r>
          </w:p>
        </w:tc>
        <w:tc>
          <w:tcPr>
            <w:tcW w:w="0" w:type="dxa"/>
            <w:vAlign w:val="bottom"/>
          </w:tcPr>
          <w:p>
            <w:pPr>
              <w:spacing w:after="0"/>
              <w:rPr>
                <w:sz w:val="1"/>
                <w:szCs w:val="1"/>
                <w:color w:val="auto"/>
              </w:rPr>
            </w:pPr>
          </w:p>
        </w:tc>
      </w:tr>
      <w:tr>
        <w:trPr>
          <w:trHeight w:val="172"/>
        </w:trPr>
        <w:tc>
          <w:tcPr>
            <w:tcW w:w="580" w:type="dxa"/>
            <w:vAlign w:val="bottom"/>
          </w:tcPr>
          <w:p>
            <w:pPr>
              <w:jc w:val="right"/>
              <w:spacing w:after="0"/>
              <w:rPr>
                <w:sz w:val="20"/>
                <w:szCs w:val="20"/>
                <w:color w:val="auto"/>
              </w:rPr>
            </w:pPr>
            <w:r>
              <w:rPr>
                <w:rFonts w:ascii="Arial" w:cs="Arial" w:eastAsia="Arial" w:hAnsi="Arial"/>
                <w:sz w:val="13"/>
                <w:szCs w:val="13"/>
                <w:color w:val="auto"/>
              </w:rPr>
              <w:t>9,166</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9,166</w:t>
            </w:r>
          </w:p>
        </w:tc>
        <w:tc>
          <w:tcPr>
            <w:tcW w:w="280" w:type="dxa"/>
            <w:vAlign w:val="bottom"/>
          </w:tcPr>
          <w:p>
            <w:pPr>
              <w:spacing w:after="0"/>
              <w:rPr>
                <w:sz w:val="14"/>
                <w:szCs w:val="14"/>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7"/>
        </w:trPr>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211,797</w:t>
            </w:r>
          </w:p>
        </w:tc>
        <w:tc>
          <w:tcPr>
            <w:tcW w:w="740" w:type="dxa"/>
            <w:vAlign w:val="bottom"/>
          </w:tcPr>
          <w:p>
            <w:pPr>
              <w:jc w:val="right"/>
              <w:spacing w:after="0"/>
              <w:rPr>
                <w:sz w:val="20"/>
                <w:szCs w:val="20"/>
                <w:color w:val="auto"/>
              </w:rPr>
            </w:pPr>
            <w:r>
              <w:rPr>
                <w:rFonts w:ascii="Arial" w:cs="Arial" w:eastAsia="Arial" w:hAnsi="Arial"/>
                <w:sz w:val="13"/>
                <w:szCs w:val="13"/>
                <w:color w:val="auto"/>
              </w:rPr>
              <w:t>2,325,555</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2,558,933</w:t>
            </w:r>
          </w:p>
        </w:tc>
        <w:tc>
          <w:tcPr>
            <w:tcW w:w="0" w:type="dxa"/>
            <w:vAlign w:val="bottom"/>
          </w:tcPr>
          <w:p>
            <w:pPr>
              <w:spacing w:after="0"/>
              <w:rPr>
                <w:sz w:val="1"/>
                <w:szCs w:val="1"/>
                <w:color w:val="auto"/>
              </w:rPr>
            </w:pPr>
          </w:p>
        </w:tc>
      </w:tr>
      <w:tr>
        <w:trPr>
          <w:trHeight w:val="297"/>
        </w:trPr>
        <w:tc>
          <w:tcPr>
            <w:tcW w:w="580" w:type="dxa"/>
            <w:vAlign w:val="bottom"/>
          </w:tcPr>
          <w:p>
            <w:pPr>
              <w:jc w:val="right"/>
              <w:spacing w:after="0"/>
              <w:rPr>
                <w:sz w:val="20"/>
                <w:szCs w:val="20"/>
                <w:color w:val="auto"/>
              </w:rPr>
            </w:pPr>
            <w:r>
              <w:rPr>
                <w:rFonts w:ascii="Arial" w:cs="Arial" w:eastAsia="Arial" w:hAnsi="Arial"/>
                <w:sz w:val="13"/>
                <w:szCs w:val="13"/>
                <w:color w:val="auto"/>
              </w:rPr>
              <w:t>35,526</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4,050,000</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7,084,614</w:t>
            </w: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50,761,161</w:t>
            </w:r>
          </w:p>
        </w:tc>
        <w:tc>
          <w:tcPr>
            <w:tcW w:w="28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88,739,060</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917,043,333</w:t>
            </w:r>
          </w:p>
        </w:tc>
        <w:tc>
          <w:tcPr>
            <w:tcW w:w="28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971,792,490</w:t>
            </w: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3">
            <w:col w:w="5220" w:space="220"/>
            <w:col w:w="2820" w:space="280"/>
            <w:col w:w="2640"/>
          </w:cols>
          <w:pgMar w:left="320" w:top="459"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SEE NOTES TO CONSOLIDATED FINANCIAL STATEMENTS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459" w:right="3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Basis Point</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Spread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right"/>
              <w:ind w:right="580"/>
              <w:spacing w:after="0" w:line="134" w:lineRule="exact"/>
              <w:rPr>
                <w:sz w:val="20"/>
                <w:szCs w:val="20"/>
                <w:color w:val="auto"/>
              </w:rPr>
            </w:pPr>
            <w:r>
              <w:rPr>
                <w:rFonts w:ascii="Arial" w:cs="Arial" w:eastAsia="Arial" w:hAnsi="Arial"/>
                <w:sz w:val="13"/>
                <w:szCs w:val="13"/>
                <w:b w:val="1"/>
                <w:bCs w:val="1"/>
                <w:color w:val="auto"/>
              </w:rPr>
              <w:t>Current</w:t>
            </w:r>
          </w:p>
        </w:tc>
        <w:tc>
          <w:tcPr>
            <w:tcW w:w="1040" w:type="dxa"/>
            <w:vAlign w:val="bottom"/>
            <w:gridSpan w:val="2"/>
          </w:tcPr>
          <w:p>
            <w:pPr>
              <w:jc w:val="center"/>
              <w:ind w:right="380"/>
              <w:spacing w:after="0" w:line="134" w:lineRule="exact"/>
              <w:rPr>
                <w:sz w:val="20"/>
                <w:szCs w:val="20"/>
                <w:color w:val="auto"/>
              </w:rPr>
            </w:pPr>
            <w:r>
              <w:rPr>
                <w:rFonts w:ascii="Arial" w:cs="Arial" w:eastAsia="Arial" w:hAnsi="Arial"/>
                <w:sz w:val="13"/>
                <w:szCs w:val="13"/>
                <w:b w:val="1"/>
                <w:bCs w:val="1"/>
                <w:color w:val="auto"/>
                <w:w w:val="95"/>
              </w:rPr>
              <w:t>Above</w:t>
            </w:r>
          </w:p>
        </w:tc>
        <w:tc>
          <w:tcPr>
            <w:tcW w:w="900" w:type="dxa"/>
            <w:vAlign w:val="bottom"/>
            <w:gridSpan w:val="2"/>
          </w:tcPr>
          <w:p>
            <w:pPr>
              <w:jc w:val="center"/>
              <w:ind w:right="260"/>
              <w:spacing w:after="0" w:line="134" w:lineRule="exact"/>
              <w:rPr>
                <w:sz w:val="20"/>
                <w:szCs w:val="20"/>
                <w:color w:val="auto"/>
              </w:rPr>
            </w:pPr>
            <w:r>
              <w:rPr>
                <w:rFonts w:ascii="Arial" w:cs="Arial" w:eastAsia="Arial" w:hAnsi="Arial"/>
                <w:sz w:val="13"/>
                <w:szCs w:val="13"/>
                <w:b w:val="1"/>
                <w:bCs w:val="1"/>
                <w:color w:val="auto"/>
                <w:w w:val="99"/>
              </w:rPr>
              <w:t>Par /</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22"/>
                <w:szCs w:val="22"/>
                <w:b w:val="1"/>
                <w:bCs w:val="1"/>
                <w:color w:val="auto"/>
                <w:w w:val="97"/>
                <w:vertAlign w:val="superscript"/>
              </w:rPr>
              <w:t>(3)</w:t>
            </w:r>
          </w:p>
        </w:tc>
        <w:tc>
          <w:tcPr>
            <w:tcW w:w="0" w:type="dxa"/>
            <w:vAlign w:val="bottom"/>
          </w:tcPr>
          <w:p>
            <w:pPr>
              <w:spacing w:after="0"/>
              <w:rPr>
                <w:sz w:val="1"/>
                <w:szCs w:val="1"/>
                <w:color w:val="auto"/>
              </w:rPr>
            </w:pPr>
          </w:p>
        </w:tc>
      </w:tr>
      <w:tr>
        <w:trPr>
          <w:trHeight w:val="176"/>
        </w:trPr>
        <w:tc>
          <w:tcPr>
            <w:tcW w:w="398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Industry</w:t>
            </w:r>
          </w:p>
        </w:tc>
        <w:tc>
          <w:tcPr>
            <w:tcW w:w="11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Coupon</w:t>
            </w:r>
          </w:p>
        </w:tc>
        <w:tc>
          <w:tcPr>
            <w:tcW w:w="1040" w:type="dxa"/>
            <w:vAlign w:val="bottom"/>
            <w:gridSpan w:val="2"/>
          </w:tcPr>
          <w:p>
            <w:pPr>
              <w:jc w:val="center"/>
              <w:ind w:right="380"/>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(4)</w:t>
            </w: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Shares</w:t>
            </w:r>
          </w:p>
        </w:tc>
        <w:tc>
          <w:tcPr>
            <w:tcW w:w="6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Affiliated Portfolio Companies—15.1% </w:t>
            </w:r>
            <w:r>
              <w:rPr>
                <w:rFonts w:ascii="Arial" w:cs="Arial" w:eastAsia="Arial" w:hAnsi="Arial"/>
                <w:sz w:val="16"/>
                <w:szCs w:val="16"/>
                <w:b w:val="1"/>
                <w:bCs w:val="1"/>
                <w:color w:val="auto"/>
                <w:vertAlign w:val="superscript"/>
              </w:rPr>
              <w:t>(1),(2)</w:t>
            </w:r>
          </w:p>
        </w:tc>
        <w:tc>
          <w:tcPr>
            <w:tcW w:w="12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20"/>
                <w:szCs w:val="20"/>
                <w:color w:val="auto"/>
              </w:rPr>
            </w:pPr>
            <w:r>
              <w:rPr>
                <w:rFonts w:ascii="Arial" w:cs="Arial" w:eastAsia="Arial" w:hAnsi="Arial"/>
                <w:sz w:val="13"/>
                <w:szCs w:val="13"/>
                <w:b w:val="1"/>
                <w:bCs w:val="1"/>
                <w:color w:val="auto"/>
              </w:rPr>
              <w:t>Second Lien Secured Debt—1.1%</w:t>
            </w: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Performance, Inc.</w:t>
            </w:r>
          </w:p>
        </w:tc>
        <w:tc>
          <w:tcPr>
            <w:tcW w:w="7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01/16/2015</w:t>
            </w:r>
          </w:p>
        </w:tc>
        <w:tc>
          <w:tcPr>
            <w:tcW w:w="144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3"/>
              </w:rPr>
              <w:t>Leisure, Amusement</w:t>
            </w:r>
          </w:p>
        </w:tc>
        <w:tc>
          <w:tcPr>
            <w:tcW w:w="112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3"/>
                <w:szCs w:val="13"/>
                <w:color w:val="auto"/>
              </w:rPr>
              <w:t>7.25%</w:t>
            </w:r>
          </w:p>
        </w:tc>
        <w:tc>
          <w:tcPr>
            <w:tcW w:w="104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0"/>
                <w:szCs w:val="10"/>
                <w:color w:val="auto"/>
              </w:rPr>
              <w:t xml:space="preserve">L+625 </w:t>
            </w:r>
            <w:r>
              <w:rPr>
                <w:rFonts w:ascii="Arial" w:cs="Arial" w:eastAsia="Arial" w:hAnsi="Arial"/>
                <w:sz w:val="15"/>
                <w:szCs w:val="15"/>
                <w:color w:val="auto"/>
                <w:vertAlign w:val="superscript"/>
              </w:rPr>
              <w:t>(8)</w:t>
            </w:r>
          </w:p>
        </w:tc>
        <w:tc>
          <w:tcPr>
            <w:tcW w:w="9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8,000,000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8,000,000</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7,932,000</w:t>
            </w: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Motion Pictures and</w:t>
            </w: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Entertainment</w:t>
            </w:r>
          </w:p>
        </w:tc>
        <w:tc>
          <w:tcPr>
            <w:tcW w:w="6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20"/>
                <w:szCs w:val="20"/>
                <w:color w:val="auto"/>
              </w:rPr>
            </w:pPr>
            <w:r>
              <w:rPr>
                <w:rFonts w:ascii="Arial" w:cs="Arial" w:eastAsia="Arial" w:hAnsi="Arial"/>
                <w:sz w:val="13"/>
                <w:szCs w:val="13"/>
                <w:b w:val="1"/>
                <w:bCs w:val="1"/>
                <w:color w:val="auto"/>
              </w:rPr>
              <w:t>Subordinated Debt/Corporate Notes—8.4%</w:t>
            </w: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DirectBuy Holdings, Inc.</w:t>
            </w:r>
          </w:p>
        </w:tc>
        <w:tc>
          <w:tcPr>
            <w:tcW w:w="7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11/05/2019</w:t>
            </w:r>
          </w:p>
        </w:tc>
        <w:tc>
          <w:tcPr>
            <w:tcW w:w="14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2"/>
              </w:rPr>
              <w:t>Consumer Products</w:t>
            </w:r>
          </w:p>
        </w:tc>
        <w:tc>
          <w:tcPr>
            <w:tcW w:w="112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3"/>
                <w:szCs w:val="13"/>
                <w:color w:val="auto"/>
              </w:rPr>
              <w:t>12.00%</w:t>
            </w:r>
          </w:p>
        </w:tc>
        <w:tc>
          <w:tcPr>
            <w:tcW w:w="10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w w:val="98"/>
              </w:rPr>
              <w:t>10,772,197</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10,772,197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10,772,197</w:t>
            </w:r>
          </w:p>
        </w:tc>
        <w:tc>
          <w:tcPr>
            <w:tcW w:w="0" w:type="dxa"/>
            <w:vAlign w:val="bottom"/>
          </w:tcPr>
          <w:p>
            <w:pPr>
              <w:spacing w:after="0"/>
              <w:rPr>
                <w:sz w:val="1"/>
                <w:szCs w:val="1"/>
                <w:color w:val="auto"/>
              </w:rPr>
            </w:pPr>
          </w:p>
        </w:tc>
      </w:tr>
      <w:tr>
        <w:trPr>
          <w:trHeight w:val="173"/>
        </w:trPr>
        <w:tc>
          <w:tcPr>
            <w:tcW w:w="39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(PIK 12.00%)</w:t>
            </w: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80" w:type="dxa"/>
            <w:vAlign w:val="bottom"/>
          </w:tcPr>
          <w:p>
            <w:pPr>
              <w:spacing w:after="0" w:line="138" w:lineRule="exact"/>
              <w:rPr>
                <w:sz w:val="20"/>
                <w:szCs w:val="20"/>
                <w:color w:val="auto"/>
              </w:rPr>
            </w:pPr>
            <w:r>
              <w:rPr>
                <w:rFonts w:ascii="Arial" w:cs="Arial" w:eastAsia="Arial" w:hAnsi="Arial"/>
                <w:sz w:val="13"/>
                <w:szCs w:val="13"/>
                <w:color w:val="auto"/>
              </w:rPr>
              <w:t>Performance Holdings, Inc.</w:t>
            </w:r>
          </w:p>
        </w:tc>
        <w:tc>
          <w:tcPr>
            <w:tcW w:w="740" w:type="dxa"/>
            <w:vAlign w:val="bottom"/>
          </w:tcPr>
          <w:p>
            <w:pPr>
              <w:jc w:val="center"/>
              <w:spacing w:after="0" w:line="138" w:lineRule="exact"/>
              <w:rPr>
                <w:sz w:val="20"/>
                <w:szCs w:val="20"/>
                <w:color w:val="auto"/>
              </w:rPr>
            </w:pPr>
            <w:r>
              <w:rPr>
                <w:rFonts w:ascii="Arial" w:cs="Arial" w:eastAsia="Arial" w:hAnsi="Arial"/>
                <w:sz w:val="13"/>
                <w:szCs w:val="13"/>
                <w:color w:val="auto"/>
                <w:w w:val="95"/>
              </w:rPr>
              <w:t>07/16/2015</w:t>
            </w:r>
          </w:p>
        </w:tc>
        <w:tc>
          <w:tcPr>
            <w:tcW w:w="144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4"/>
              </w:rPr>
              <w:t>Leisure, Amusement,</w:t>
            </w:r>
          </w:p>
        </w:tc>
        <w:tc>
          <w:tcPr>
            <w:tcW w:w="1120" w:type="dxa"/>
            <w:vAlign w:val="bottom"/>
            <w:gridSpan w:val="2"/>
          </w:tcPr>
          <w:p>
            <w:pPr>
              <w:jc w:val="right"/>
              <w:ind w:right="200"/>
              <w:spacing w:after="0" w:line="138" w:lineRule="exact"/>
              <w:rPr>
                <w:sz w:val="20"/>
                <w:szCs w:val="20"/>
                <w:color w:val="auto"/>
              </w:rPr>
            </w:pPr>
            <w:r>
              <w:rPr>
                <w:rFonts w:ascii="Arial" w:cs="Arial" w:eastAsia="Arial" w:hAnsi="Arial"/>
                <w:sz w:val="10"/>
                <w:szCs w:val="10"/>
                <w:color w:val="auto"/>
              </w:rPr>
              <w:t xml:space="preserve">15.00% </w:t>
            </w:r>
            <w:r>
              <w:rPr>
                <w:rFonts w:ascii="Arial" w:cs="Arial" w:eastAsia="Arial" w:hAnsi="Arial"/>
                <w:sz w:val="15"/>
                <w:szCs w:val="15"/>
                <w:color w:val="auto"/>
                <w:vertAlign w:val="superscript"/>
              </w:rPr>
              <w:t>(7)</w:t>
            </w:r>
          </w:p>
        </w:tc>
        <w:tc>
          <w:tcPr>
            <w:tcW w:w="104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7,567,234</w:t>
            </w:r>
          </w:p>
        </w:tc>
        <w:tc>
          <w:tcPr>
            <w:tcW w:w="6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7,450,132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7,567,234</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Motion Pictures and</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Entertainment</w:t>
            </w: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Service Champ, Inc.</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10/02/2017</w:t>
            </w:r>
          </w:p>
        </w:tc>
        <w:tc>
          <w:tcPr>
            <w:tcW w:w="14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4"/>
              </w:rPr>
              <w:t>Auto Sector</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12.50%</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8"/>
              </w:rPr>
              <w:t>24,000,000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23,531,789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24,276,307</w:t>
            </w:r>
          </w:p>
        </w:tc>
        <w:tc>
          <w:tcPr>
            <w:tcW w:w="0" w:type="dxa"/>
            <w:vAlign w:val="bottom"/>
          </w:tcPr>
          <w:p>
            <w:pPr>
              <w:spacing w:after="0"/>
              <w:rPr>
                <w:sz w:val="1"/>
                <w:szCs w:val="1"/>
                <w:color w:val="auto"/>
              </w:rPr>
            </w:pPr>
          </w:p>
        </w:tc>
      </w:tr>
      <w:tr>
        <w:trPr>
          <w:trHeight w:val="155"/>
        </w:trPr>
        <w:tc>
          <w:tcPr>
            <w:tcW w:w="3980" w:type="dxa"/>
            <w:vAlign w:val="bottom"/>
          </w:tcPr>
          <w:p>
            <w:pPr>
              <w:spacing w:after="0" w:line="149" w:lineRule="exact"/>
              <w:rPr>
                <w:sz w:val="20"/>
                <w:szCs w:val="20"/>
                <w:color w:val="auto"/>
              </w:rPr>
            </w:pPr>
            <w:r>
              <w:rPr>
                <w:rFonts w:ascii="Arial" w:cs="Arial" w:eastAsia="Arial" w:hAnsi="Arial"/>
                <w:sz w:val="11"/>
                <w:szCs w:val="11"/>
                <w:color w:val="auto"/>
              </w:rPr>
              <w:t xml:space="preserve">Service Champ, Inc. </w:t>
            </w:r>
            <w:r>
              <w:rPr>
                <w:rFonts w:ascii="Arial" w:cs="Arial" w:eastAsia="Arial" w:hAnsi="Arial"/>
                <w:sz w:val="17"/>
                <w:szCs w:val="17"/>
                <w:color w:val="auto"/>
                <w:vertAlign w:val="superscript"/>
              </w:rPr>
              <w:t>(9)</w:t>
            </w:r>
          </w:p>
        </w:tc>
        <w:tc>
          <w:tcPr>
            <w:tcW w:w="740" w:type="dxa"/>
            <w:vAlign w:val="bottom"/>
          </w:tcPr>
          <w:p>
            <w:pPr>
              <w:jc w:val="center"/>
              <w:spacing w:after="0"/>
              <w:rPr>
                <w:sz w:val="20"/>
                <w:szCs w:val="20"/>
                <w:color w:val="auto"/>
              </w:rPr>
            </w:pPr>
            <w:r>
              <w:rPr>
                <w:rFonts w:ascii="Arial" w:cs="Arial" w:eastAsia="Arial" w:hAnsi="Arial"/>
                <w:sz w:val="13"/>
                <w:szCs w:val="13"/>
                <w:color w:val="auto"/>
                <w:w w:val="95"/>
              </w:rPr>
              <w:t>10/02/2013</w:t>
            </w:r>
          </w:p>
        </w:tc>
        <w:tc>
          <w:tcPr>
            <w:tcW w:w="144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Auto Sector</w:t>
            </w:r>
          </w:p>
        </w:tc>
        <w:tc>
          <w:tcPr>
            <w:tcW w:w="112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w w:val="98"/>
              </w:rPr>
              <w:t>16,000,000</w:t>
            </w: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15,640,000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16,184,205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57,394,118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58,799,943</w:t>
            </w:r>
          </w:p>
        </w:tc>
        <w:tc>
          <w:tcPr>
            <w:tcW w:w="0" w:type="dxa"/>
            <w:vAlign w:val="bottom"/>
          </w:tcPr>
          <w:p>
            <w:pPr>
              <w:spacing w:after="0"/>
              <w:rPr>
                <w:sz w:val="1"/>
                <w:szCs w:val="1"/>
                <w:color w:val="auto"/>
              </w:rPr>
            </w:pPr>
          </w:p>
        </w:tc>
      </w:tr>
      <w:tr>
        <w:trPr>
          <w:trHeight w:val="263"/>
        </w:trPr>
        <w:tc>
          <w:tcPr>
            <w:tcW w:w="3980" w:type="dxa"/>
            <w:vAlign w:val="bottom"/>
          </w:tcPr>
          <w:p>
            <w:pPr>
              <w:spacing w:after="0"/>
              <w:rPr>
                <w:sz w:val="20"/>
                <w:szCs w:val="20"/>
                <w:color w:val="auto"/>
              </w:rPr>
            </w:pPr>
            <w:r>
              <w:rPr>
                <w:rFonts w:ascii="Arial" w:cs="Arial" w:eastAsia="Arial" w:hAnsi="Arial"/>
                <w:sz w:val="13"/>
                <w:szCs w:val="13"/>
                <w:b w:val="1"/>
                <w:bCs w:val="1"/>
                <w:color w:val="auto"/>
              </w:rPr>
              <w:t xml:space="preserve">Preferred Equity—0.8% </w:t>
            </w:r>
            <w:r>
              <w:rPr>
                <w:rFonts w:ascii="Arial" w:cs="Arial" w:eastAsia="Arial" w:hAnsi="Arial"/>
                <w:sz w:val="22"/>
                <w:szCs w:val="22"/>
                <w:b w:val="1"/>
                <w:bCs w:val="1"/>
                <w:color w:val="auto"/>
                <w:vertAlign w:val="superscript"/>
              </w:rPr>
              <w:t>(6)</w:t>
            </w:r>
          </w:p>
        </w:tc>
        <w:tc>
          <w:tcPr>
            <w:tcW w:w="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PAS International Holdings, Inc.</w:t>
            </w:r>
          </w:p>
        </w:tc>
        <w:tc>
          <w:tcPr>
            <w:tcW w:w="74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1"/>
              </w:rPr>
              <w:t>Aerospace and</w:t>
            </w:r>
          </w:p>
        </w:tc>
        <w:tc>
          <w:tcPr>
            <w:tcW w:w="112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53,071</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20,059,340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5,254,072</w:t>
            </w:r>
          </w:p>
        </w:tc>
        <w:tc>
          <w:tcPr>
            <w:tcW w:w="0" w:type="dxa"/>
            <w:vAlign w:val="bottom"/>
          </w:tcPr>
          <w:p>
            <w:pPr>
              <w:spacing w:after="0"/>
              <w:rPr>
                <w:sz w:val="1"/>
                <w:szCs w:val="1"/>
                <w:color w:val="auto"/>
              </w:rPr>
            </w:pPr>
          </w:p>
        </w:tc>
      </w:tr>
      <w:tr>
        <w:trPr>
          <w:trHeight w:val="173"/>
        </w:trPr>
        <w:tc>
          <w:tcPr>
            <w:tcW w:w="3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(PAS Technologies, Inc.)</w:t>
            </w:r>
          </w:p>
        </w:tc>
        <w:tc>
          <w:tcPr>
            <w:tcW w:w="7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0"/>
              </w:rPr>
              <w:t>Defense</w:t>
            </w: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line="156" w:lineRule="exact"/>
              <w:rPr>
                <w:sz w:val="20"/>
                <w:szCs w:val="20"/>
                <w:color w:val="auto"/>
              </w:rPr>
            </w:pPr>
            <w:r>
              <w:rPr>
                <w:rFonts w:ascii="Arial" w:cs="Arial" w:eastAsia="Arial" w:hAnsi="Arial"/>
                <w:sz w:val="11"/>
                <w:szCs w:val="11"/>
                <w:b w:val="1"/>
                <w:bCs w:val="1"/>
                <w:color w:val="auto"/>
              </w:rPr>
              <w:t xml:space="preserve">Common Equity/Partnership Interest—4.8% </w:t>
            </w:r>
            <w:r>
              <w:rPr>
                <w:rFonts w:ascii="Arial" w:cs="Arial" w:eastAsia="Arial" w:hAnsi="Arial"/>
                <w:sz w:val="18"/>
                <w:szCs w:val="18"/>
                <w:b w:val="1"/>
                <w:bCs w:val="1"/>
                <w:color w:val="auto"/>
                <w:vertAlign w:val="superscript"/>
              </w:rPr>
              <w:t>(6)</w:t>
            </w: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DirectBuy Holdings, Inc.</w:t>
            </w:r>
          </w:p>
        </w:tc>
        <w:tc>
          <w:tcPr>
            <w:tcW w:w="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Consumer Products</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104,719</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21,492,822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3,698,787</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20"/>
                <w:szCs w:val="20"/>
                <w:color w:val="auto"/>
              </w:rPr>
            </w:pPr>
            <w:r>
              <w:rPr>
                <w:rFonts w:ascii="Arial" w:cs="Arial" w:eastAsia="Arial" w:hAnsi="Arial"/>
                <w:sz w:val="13"/>
                <w:szCs w:val="13"/>
                <w:color w:val="auto"/>
              </w:rPr>
              <w:t>DirectBuy Holdings, Inc. (Warrants)</w:t>
            </w:r>
          </w:p>
        </w:tc>
        <w:tc>
          <w:tcPr>
            <w:tcW w:w="740" w:type="dxa"/>
            <w:vAlign w:val="bottom"/>
          </w:tcPr>
          <w:p>
            <w:pPr>
              <w:jc w:val="center"/>
              <w:spacing w:after="0"/>
              <w:rPr>
                <w:sz w:val="20"/>
                <w:szCs w:val="20"/>
                <w:color w:val="auto"/>
              </w:rPr>
            </w:pPr>
            <w:r>
              <w:rPr>
                <w:rFonts w:ascii="Arial" w:cs="Arial" w:eastAsia="Arial" w:hAnsi="Arial"/>
                <w:sz w:val="13"/>
                <w:szCs w:val="13"/>
                <w:color w:val="auto"/>
                <w:w w:val="95"/>
              </w:rPr>
              <w:t>11/05/2022</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Consumer Products</w:t>
            </w:r>
          </w:p>
        </w:tc>
        <w:tc>
          <w:tcPr>
            <w:tcW w:w="112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15,486</w:t>
            </w:r>
          </w:p>
        </w:tc>
        <w:tc>
          <w:tcPr>
            <w:tcW w:w="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546,982</w:t>
            </w: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EnviroSolutions Holdings, Inc.</w:t>
            </w:r>
          </w:p>
        </w:tc>
        <w:tc>
          <w:tcPr>
            <w:tcW w:w="74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6"/>
              </w:rPr>
              <w:t>Environmental</w:t>
            </w:r>
          </w:p>
        </w:tc>
        <w:tc>
          <w:tcPr>
            <w:tcW w:w="112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141,350</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11,792,664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21,136,467</w:t>
            </w:r>
          </w:p>
        </w:tc>
        <w:tc>
          <w:tcPr>
            <w:tcW w:w="0" w:type="dxa"/>
            <w:vAlign w:val="bottom"/>
          </w:tcPr>
          <w:p>
            <w:pPr>
              <w:spacing w:after="0"/>
              <w:rPr>
                <w:sz w:val="1"/>
                <w:szCs w:val="1"/>
                <w:color w:val="auto"/>
              </w:rPr>
            </w:pPr>
          </w:p>
        </w:tc>
      </w:tr>
      <w:tr>
        <w:trPr>
          <w:trHeight w:val="159"/>
        </w:trPr>
        <w:tc>
          <w:tcPr>
            <w:tcW w:w="39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Services</w:t>
            </w:r>
          </w:p>
        </w:tc>
        <w:tc>
          <w:tcPr>
            <w:tcW w:w="6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80" w:type="dxa"/>
            <w:vAlign w:val="bottom"/>
          </w:tcPr>
          <w:p>
            <w:pPr>
              <w:spacing w:after="0" w:line="138" w:lineRule="exact"/>
              <w:rPr>
                <w:sz w:val="20"/>
                <w:szCs w:val="20"/>
                <w:color w:val="auto"/>
              </w:rPr>
            </w:pPr>
            <w:r>
              <w:rPr>
                <w:rFonts w:ascii="Arial" w:cs="Arial" w:eastAsia="Arial" w:hAnsi="Arial"/>
                <w:sz w:val="13"/>
                <w:szCs w:val="13"/>
                <w:color w:val="auto"/>
              </w:rPr>
              <w:t>NCP-Performance (Performance Holdings, Inc.)</w:t>
            </w:r>
          </w:p>
        </w:tc>
        <w:tc>
          <w:tcPr>
            <w:tcW w:w="740" w:type="dxa"/>
            <w:vAlign w:val="bottom"/>
          </w:tcPr>
          <w:p>
            <w:pPr>
              <w:ind w:left="240"/>
              <w:spacing w:after="0" w:line="138" w:lineRule="exact"/>
              <w:rPr>
                <w:sz w:val="20"/>
                <w:szCs w:val="20"/>
                <w:color w:val="auto"/>
              </w:rPr>
            </w:pPr>
            <w:r>
              <w:rPr>
                <w:rFonts w:ascii="Arial" w:cs="Arial" w:eastAsia="Arial" w:hAnsi="Arial"/>
                <w:sz w:val="13"/>
                <w:szCs w:val="13"/>
                <w:color w:val="auto"/>
              </w:rPr>
              <w:t>—</w:t>
            </w:r>
          </w:p>
        </w:tc>
        <w:tc>
          <w:tcPr>
            <w:tcW w:w="144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4"/>
              </w:rPr>
              <w:t>Leisure, Amusement,</w:t>
            </w:r>
          </w:p>
        </w:tc>
        <w:tc>
          <w:tcPr>
            <w:tcW w:w="1120" w:type="dxa"/>
            <w:vAlign w:val="bottom"/>
            <w:gridSpan w:val="2"/>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375,000</w:t>
            </w:r>
          </w:p>
        </w:tc>
        <w:tc>
          <w:tcPr>
            <w:tcW w:w="6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3,750,000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2,900,218</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Motion Pictures and</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Entertainment</w:t>
            </w: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New Service Champ Holdings, Inc.</w:t>
            </w:r>
          </w:p>
        </w:tc>
        <w:tc>
          <w:tcPr>
            <w:tcW w:w="74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4"/>
              </w:rPr>
              <w:t>Auto Sector</w:t>
            </w:r>
          </w:p>
        </w:tc>
        <w:tc>
          <w:tcPr>
            <w:tcW w:w="112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16,800</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4,200,000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5,243,895</w:t>
            </w:r>
          </w:p>
        </w:tc>
        <w:tc>
          <w:tcPr>
            <w:tcW w:w="0" w:type="dxa"/>
            <w:vAlign w:val="bottom"/>
          </w:tcPr>
          <w:p>
            <w:pPr>
              <w:spacing w:after="0"/>
              <w:rPr>
                <w:sz w:val="1"/>
                <w:szCs w:val="1"/>
                <w:color w:val="auto"/>
              </w:rPr>
            </w:pPr>
          </w:p>
        </w:tc>
      </w:tr>
      <w:tr>
        <w:trPr>
          <w:trHeight w:val="159"/>
        </w:trPr>
        <w:tc>
          <w:tcPr>
            <w:tcW w:w="3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(Service Champ, Inc.)</w:t>
            </w:r>
          </w:p>
        </w:tc>
        <w:tc>
          <w:tcPr>
            <w:tcW w:w="7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80" w:type="dxa"/>
            <w:vAlign w:val="bottom"/>
          </w:tcPr>
          <w:p>
            <w:pPr>
              <w:spacing w:after="0" w:line="138" w:lineRule="exact"/>
              <w:rPr>
                <w:sz w:val="20"/>
                <w:szCs w:val="20"/>
                <w:color w:val="auto"/>
              </w:rPr>
            </w:pPr>
            <w:r>
              <w:rPr>
                <w:rFonts w:ascii="Arial" w:cs="Arial" w:eastAsia="Arial" w:hAnsi="Arial"/>
                <w:sz w:val="13"/>
                <w:szCs w:val="13"/>
                <w:color w:val="auto"/>
              </w:rPr>
              <w:t>PAS International Holdings, Inc.</w:t>
            </w:r>
          </w:p>
        </w:tc>
        <w:tc>
          <w:tcPr>
            <w:tcW w:w="740" w:type="dxa"/>
            <w:vAlign w:val="bottom"/>
          </w:tcPr>
          <w:p>
            <w:pPr>
              <w:ind w:left="240"/>
              <w:spacing w:after="0" w:line="138" w:lineRule="exact"/>
              <w:rPr>
                <w:sz w:val="20"/>
                <w:szCs w:val="20"/>
                <w:color w:val="auto"/>
              </w:rPr>
            </w:pPr>
            <w:r>
              <w:rPr>
                <w:rFonts w:ascii="Arial" w:cs="Arial" w:eastAsia="Arial" w:hAnsi="Arial"/>
                <w:sz w:val="13"/>
                <w:szCs w:val="13"/>
                <w:color w:val="auto"/>
              </w:rPr>
              <w:t>—</w:t>
            </w:r>
          </w:p>
        </w:tc>
        <w:tc>
          <w:tcPr>
            <w:tcW w:w="144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1"/>
              </w:rPr>
              <w:t>Aerospace and</w:t>
            </w:r>
          </w:p>
        </w:tc>
        <w:tc>
          <w:tcPr>
            <w:tcW w:w="1120" w:type="dxa"/>
            <w:vAlign w:val="bottom"/>
            <w:gridSpan w:val="2"/>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53,071</w:t>
            </w:r>
          </w:p>
        </w:tc>
        <w:tc>
          <w:tcPr>
            <w:tcW w:w="6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202,620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53,071</w:t>
            </w:r>
          </w:p>
        </w:tc>
        <w:tc>
          <w:tcPr>
            <w:tcW w:w="0" w:type="dxa"/>
            <w:vAlign w:val="bottom"/>
          </w:tcPr>
          <w:p>
            <w:pPr>
              <w:spacing w:after="0"/>
              <w:rPr>
                <w:sz w:val="1"/>
                <w:szCs w:val="1"/>
                <w:color w:val="auto"/>
              </w:rPr>
            </w:pPr>
          </w:p>
        </w:tc>
      </w:tr>
      <w:tr>
        <w:trPr>
          <w:trHeight w:val="166"/>
        </w:trPr>
        <w:tc>
          <w:tcPr>
            <w:tcW w:w="3980" w:type="dxa"/>
            <w:vAlign w:val="bottom"/>
          </w:tcPr>
          <w:p>
            <w:pPr>
              <w:ind w:left="220"/>
              <w:spacing w:after="0"/>
              <w:rPr>
                <w:sz w:val="20"/>
                <w:szCs w:val="20"/>
                <w:color w:val="auto"/>
              </w:rPr>
            </w:pPr>
            <w:r>
              <w:rPr>
                <w:rFonts w:ascii="Arial" w:cs="Arial" w:eastAsia="Arial" w:hAnsi="Arial"/>
                <w:sz w:val="13"/>
                <w:szCs w:val="13"/>
                <w:color w:val="auto"/>
              </w:rPr>
              <w:t>(PAS Technologies, Inc.)</w:t>
            </w:r>
          </w:p>
        </w:tc>
        <w:tc>
          <w:tcPr>
            <w:tcW w:w="74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Defense</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Common Equity/Partnership Interest</w:t>
            </w:r>
          </w:p>
        </w:tc>
        <w:tc>
          <w:tcPr>
            <w:tcW w:w="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41,438,106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33,579,420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3980" w:type="dxa"/>
            <w:vAlign w:val="bottom"/>
          </w:tcPr>
          <w:p>
            <w:pPr>
              <w:spacing w:after="0"/>
              <w:rPr>
                <w:sz w:val="20"/>
                <w:szCs w:val="20"/>
                <w:color w:val="auto"/>
              </w:rPr>
            </w:pPr>
            <w:r>
              <w:rPr>
                <w:rFonts w:ascii="Arial" w:cs="Arial" w:eastAsia="Arial" w:hAnsi="Arial"/>
                <w:sz w:val="13"/>
                <w:szCs w:val="13"/>
                <w:b w:val="1"/>
                <w:bCs w:val="1"/>
                <w:color w:val="auto"/>
                <w:w w:val="94"/>
              </w:rPr>
              <w:t>Total Investments in Non-Controlled, Affiliated Portfolio Companies</w:t>
            </w:r>
          </w:p>
        </w:tc>
        <w:tc>
          <w:tcPr>
            <w:tcW w:w="7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126,891,564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105,565,435</w:t>
            </w:r>
          </w:p>
        </w:tc>
        <w:tc>
          <w:tcPr>
            <w:tcW w:w="0" w:type="dxa"/>
            <w:vAlign w:val="bottom"/>
          </w:tcPr>
          <w:p>
            <w:pPr>
              <w:spacing w:after="0"/>
              <w:rPr>
                <w:sz w:val="1"/>
                <w:szCs w:val="1"/>
                <w:color w:val="auto"/>
              </w:rPr>
            </w:pPr>
          </w:p>
        </w:tc>
      </w:tr>
      <w:tr>
        <w:trPr>
          <w:trHeight w:val="148"/>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Controlled, Affiliated Portfolio Companies—5.5% </w:t>
            </w:r>
            <w:r>
              <w:rPr>
                <w:rFonts w:ascii="Arial" w:cs="Arial" w:eastAsia="Arial" w:hAnsi="Arial"/>
                <w:sz w:val="17"/>
                <w:szCs w:val="17"/>
                <w:b w:val="1"/>
                <w:bCs w:val="1"/>
                <w:color w:val="auto"/>
                <w:vertAlign w:val="superscript"/>
              </w:rPr>
              <w:t>(1),(2)</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20"/>
                <w:szCs w:val="20"/>
                <w:color w:val="auto"/>
              </w:rPr>
            </w:pPr>
            <w:r>
              <w:rPr>
                <w:rFonts w:ascii="Arial" w:cs="Arial" w:eastAsia="Arial" w:hAnsi="Arial"/>
                <w:sz w:val="13"/>
                <w:szCs w:val="13"/>
                <w:b w:val="1"/>
                <w:bCs w:val="1"/>
                <w:color w:val="auto"/>
              </w:rPr>
              <w:t>First Lien Secured Debt—1.8%</w:t>
            </w: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06/30/2020</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(7)</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8"/>
              </w:rPr>
              <w:t>10,000,000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10,346,043</w:t>
            </w:r>
          </w:p>
        </w:tc>
        <w:tc>
          <w:tcPr>
            <w:tcW w:w="0" w:type="dxa"/>
            <w:vAlign w:val="bottom"/>
          </w:tcPr>
          <w:p>
            <w:pPr>
              <w:spacing w:after="0"/>
              <w:rPr>
                <w:sz w:val="1"/>
                <w:szCs w:val="1"/>
                <w:color w:val="auto"/>
              </w:rPr>
            </w:pPr>
          </w:p>
        </w:tc>
      </w:tr>
      <w:tr>
        <w:trPr>
          <w:trHeight w:val="155"/>
        </w:trPr>
        <w:tc>
          <w:tcPr>
            <w:tcW w:w="3980" w:type="dxa"/>
            <w:vAlign w:val="bottom"/>
          </w:tcPr>
          <w:p>
            <w:pPr>
              <w:spacing w:after="0" w:line="149" w:lineRule="exact"/>
              <w:rPr>
                <w:sz w:val="20"/>
                <w:szCs w:val="20"/>
                <w:color w:val="auto"/>
              </w:rPr>
            </w:pPr>
            <w:r>
              <w:rPr>
                <w:rFonts w:ascii="Arial" w:cs="Arial" w:eastAsia="Arial" w:hAnsi="Arial"/>
                <w:sz w:val="11"/>
                <w:szCs w:val="11"/>
                <w:color w:val="auto"/>
              </w:rPr>
              <w:t xml:space="preserve">UP Support Services, Inc. </w:t>
            </w:r>
            <w:r>
              <w:rPr>
                <w:rFonts w:ascii="Arial" w:cs="Arial" w:eastAsia="Arial" w:hAnsi="Arial"/>
                <w:sz w:val="17"/>
                <w:szCs w:val="17"/>
                <w:color w:val="auto"/>
                <w:vertAlign w:val="superscript"/>
              </w:rPr>
              <w:t>(9)</w:t>
            </w:r>
          </w:p>
        </w:tc>
        <w:tc>
          <w:tcPr>
            <w:tcW w:w="740" w:type="dxa"/>
            <w:vAlign w:val="bottom"/>
          </w:tcPr>
          <w:p>
            <w:pPr>
              <w:jc w:val="center"/>
              <w:spacing w:after="0"/>
              <w:rPr>
                <w:sz w:val="20"/>
                <w:szCs w:val="20"/>
                <w:color w:val="auto"/>
              </w:rPr>
            </w:pPr>
            <w:r>
              <w:rPr>
                <w:rFonts w:ascii="Arial" w:cs="Arial" w:eastAsia="Arial" w:hAnsi="Arial"/>
                <w:sz w:val="13"/>
                <w:szCs w:val="13"/>
                <w:color w:val="auto"/>
                <w:w w:val="95"/>
              </w:rPr>
              <w:t>12/31/2015</w:t>
            </w:r>
          </w:p>
        </w:tc>
        <w:tc>
          <w:tcPr>
            <w:tcW w:w="144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Oil and Gas</w:t>
            </w:r>
          </w:p>
        </w:tc>
        <w:tc>
          <w:tcPr>
            <w:tcW w:w="112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1,916,667</w:t>
            </w: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1,758,998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1,916,667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11,758,998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12,262,710</w:t>
            </w:r>
          </w:p>
        </w:tc>
        <w:tc>
          <w:tcPr>
            <w:tcW w:w="0" w:type="dxa"/>
            <w:vAlign w:val="bottom"/>
          </w:tcPr>
          <w:p>
            <w:pPr>
              <w:spacing w:after="0"/>
              <w:rPr>
                <w:sz w:val="1"/>
                <w:szCs w:val="1"/>
                <w:color w:val="auto"/>
              </w:rPr>
            </w:pPr>
          </w:p>
        </w:tc>
      </w:tr>
      <w:tr>
        <w:trPr>
          <w:trHeight w:val="155"/>
        </w:trPr>
        <w:tc>
          <w:tcPr>
            <w:tcW w:w="3980" w:type="dxa"/>
            <w:vAlign w:val="bottom"/>
          </w:tcPr>
          <w:p>
            <w:pPr>
              <w:spacing w:after="0"/>
              <w:rPr>
                <w:sz w:val="20"/>
                <w:szCs w:val="20"/>
                <w:color w:val="auto"/>
              </w:rPr>
            </w:pPr>
            <w:r>
              <w:rPr>
                <w:rFonts w:ascii="Arial" w:cs="Arial" w:eastAsia="Arial" w:hAnsi="Arial"/>
                <w:sz w:val="13"/>
                <w:szCs w:val="13"/>
                <w:b w:val="1"/>
                <w:bCs w:val="1"/>
                <w:color w:val="auto"/>
              </w:rPr>
              <w:t>Second Lien Secured Debt—2.2%</w:t>
            </w: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UP Support Services, Inc.</w:t>
            </w:r>
          </w:p>
        </w:tc>
        <w:tc>
          <w:tcPr>
            <w:tcW w:w="7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12/31/2015</w:t>
            </w:r>
          </w:p>
        </w:tc>
        <w:tc>
          <w:tcPr>
            <w:tcW w:w="144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3"/>
              </w:rPr>
              <w:t>Oil and Gas</w:t>
            </w:r>
          </w:p>
        </w:tc>
        <w:tc>
          <w:tcPr>
            <w:tcW w:w="112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3"/>
                <w:szCs w:val="13"/>
                <w:color w:val="auto"/>
              </w:rPr>
              <w:t>15.00%</w:t>
            </w:r>
          </w:p>
        </w:tc>
        <w:tc>
          <w:tcPr>
            <w:tcW w:w="10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w w:val="98"/>
              </w:rPr>
              <w:t>15,417,641</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13,190,366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15,224,920</w:t>
            </w:r>
          </w:p>
        </w:tc>
        <w:tc>
          <w:tcPr>
            <w:tcW w:w="0" w:type="dxa"/>
            <w:vAlign w:val="bottom"/>
          </w:tcPr>
          <w:p>
            <w:pPr>
              <w:spacing w:after="0"/>
              <w:rPr>
                <w:sz w:val="1"/>
                <w:szCs w:val="1"/>
                <w:color w:val="auto"/>
              </w:rPr>
            </w:pPr>
          </w:p>
        </w:tc>
      </w:tr>
      <w:tr>
        <w:trPr>
          <w:trHeight w:val="173"/>
        </w:trPr>
        <w:tc>
          <w:tcPr>
            <w:tcW w:w="39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(PIK 15.00%)</w:t>
            </w: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20"/>
                <w:szCs w:val="20"/>
                <w:color w:val="auto"/>
              </w:rPr>
            </w:pPr>
            <w:r>
              <w:rPr>
                <w:rFonts w:ascii="Arial" w:cs="Arial" w:eastAsia="Arial" w:hAnsi="Arial"/>
                <w:sz w:val="13"/>
                <w:szCs w:val="13"/>
                <w:b w:val="1"/>
                <w:bCs w:val="1"/>
                <w:color w:val="auto"/>
              </w:rPr>
              <w:t>Subordinated Debt/Corporate Notes—0.3%</w:t>
            </w: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06/30/2020</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(7)</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2,500,000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2,167,431</w:t>
            </w:r>
          </w:p>
        </w:tc>
        <w:tc>
          <w:tcPr>
            <w:tcW w:w="0" w:type="dxa"/>
            <w:vAlign w:val="bottom"/>
          </w:tcPr>
          <w:p>
            <w:pPr>
              <w:spacing w:after="0"/>
              <w:rPr>
                <w:sz w:val="1"/>
                <w:szCs w:val="1"/>
                <w:color w:val="auto"/>
              </w:rPr>
            </w:pPr>
          </w:p>
        </w:tc>
      </w:tr>
      <w:tr>
        <w:trPr>
          <w:trHeight w:val="155"/>
        </w:trPr>
        <w:tc>
          <w:tcPr>
            <w:tcW w:w="3980" w:type="dxa"/>
            <w:vAlign w:val="bottom"/>
          </w:tcPr>
          <w:p>
            <w:pPr>
              <w:spacing w:after="0" w:line="156" w:lineRule="exact"/>
              <w:rPr>
                <w:sz w:val="20"/>
                <w:szCs w:val="20"/>
                <w:color w:val="auto"/>
              </w:rPr>
            </w:pPr>
            <w:r>
              <w:rPr>
                <w:rFonts w:ascii="Arial" w:cs="Arial" w:eastAsia="Arial" w:hAnsi="Arial"/>
                <w:sz w:val="11"/>
                <w:szCs w:val="11"/>
                <w:b w:val="1"/>
                <w:bCs w:val="1"/>
                <w:color w:val="auto"/>
              </w:rPr>
              <w:t>Preferred Equity—1.2</w:t>
            </w:r>
            <w:r>
              <w:rPr>
                <w:rFonts w:ascii="Arial" w:cs="Arial" w:eastAsia="Arial" w:hAnsi="Arial"/>
                <w:sz w:val="18"/>
                <w:szCs w:val="18"/>
                <w:b w:val="1"/>
                <w:bCs w:val="1"/>
                <w:color w:val="auto"/>
                <w:vertAlign w:val="superscript"/>
              </w:rPr>
              <w:t>(6)</w:t>
            </w: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(7)</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2,000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1,986,526</w:t>
            </w:r>
          </w:p>
        </w:tc>
        <w:tc>
          <w:tcPr>
            <w:tcW w:w="0" w:type="dxa"/>
            <w:vAlign w:val="bottom"/>
          </w:tcPr>
          <w:p>
            <w:pPr>
              <w:spacing w:after="0"/>
              <w:rPr>
                <w:sz w:val="1"/>
                <w:szCs w:val="1"/>
                <w:color w:val="auto"/>
              </w:rPr>
            </w:pPr>
          </w:p>
        </w:tc>
      </w:tr>
      <w:tr>
        <w:trPr>
          <w:trHeight w:val="138"/>
        </w:trPr>
        <w:tc>
          <w:tcPr>
            <w:tcW w:w="3980" w:type="dxa"/>
            <w:vAlign w:val="bottom"/>
          </w:tcPr>
          <w:p>
            <w:pPr>
              <w:spacing w:after="0" w:line="138" w:lineRule="exact"/>
              <w:rPr>
                <w:sz w:val="20"/>
                <w:szCs w:val="20"/>
                <w:color w:val="auto"/>
              </w:rPr>
            </w:pPr>
            <w:r>
              <w:rPr>
                <w:rFonts w:ascii="Arial" w:cs="Arial" w:eastAsia="Arial" w:hAnsi="Arial"/>
                <w:sz w:val="13"/>
                <w:szCs w:val="13"/>
                <w:color w:val="auto"/>
              </w:rPr>
              <w:t>Universal Pegasus International Holdings, Inc.</w:t>
            </w:r>
          </w:p>
        </w:tc>
        <w:tc>
          <w:tcPr>
            <w:tcW w:w="740" w:type="dxa"/>
            <w:vAlign w:val="bottom"/>
          </w:tcPr>
          <w:p>
            <w:pPr>
              <w:ind w:left="240"/>
              <w:spacing w:after="0" w:line="138" w:lineRule="exact"/>
              <w:rPr>
                <w:sz w:val="20"/>
                <w:szCs w:val="20"/>
                <w:color w:val="auto"/>
              </w:rPr>
            </w:pPr>
            <w:r>
              <w:rPr>
                <w:rFonts w:ascii="Arial" w:cs="Arial" w:eastAsia="Arial" w:hAnsi="Arial"/>
                <w:sz w:val="13"/>
                <w:szCs w:val="13"/>
                <w:color w:val="auto"/>
              </w:rPr>
              <w:t>—</w:t>
            </w:r>
          </w:p>
        </w:tc>
        <w:tc>
          <w:tcPr>
            <w:tcW w:w="144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3"/>
              </w:rPr>
              <w:t>Oil and Gas</w:t>
            </w:r>
          </w:p>
        </w:tc>
        <w:tc>
          <w:tcPr>
            <w:tcW w:w="1120" w:type="dxa"/>
            <w:vAlign w:val="bottom"/>
            <w:gridSpan w:val="2"/>
          </w:tcPr>
          <w:p>
            <w:pPr>
              <w:jc w:val="right"/>
              <w:ind w:right="360"/>
              <w:spacing w:after="0" w:line="138" w:lineRule="exact"/>
              <w:rPr>
                <w:sz w:val="20"/>
                <w:szCs w:val="20"/>
                <w:color w:val="auto"/>
              </w:rPr>
            </w:pPr>
            <w:r>
              <w:rPr>
                <w:rFonts w:ascii="Arial" w:cs="Arial" w:eastAsia="Arial" w:hAnsi="Arial"/>
                <w:sz w:val="13"/>
                <w:szCs w:val="13"/>
                <w:color w:val="auto"/>
              </w:rPr>
              <w:t>8.00%</w:t>
            </w:r>
          </w:p>
        </w:tc>
        <w:tc>
          <w:tcPr>
            <w:tcW w:w="104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376,988</w:t>
            </w:r>
          </w:p>
        </w:tc>
        <w:tc>
          <w:tcPr>
            <w:tcW w:w="6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34,420,612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5,877,695</w:t>
            </w:r>
          </w:p>
        </w:tc>
        <w:tc>
          <w:tcPr>
            <w:tcW w:w="0" w:type="dxa"/>
            <w:vAlign w:val="bottom"/>
          </w:tcPr>
          <w:p>
            <w:pPr>
              <w:spacing w:after="0"/>
              <w:rPr>
                <w:sz w:val="1"/>
                <w:szCs w:val="1"/>
                <w:color w:val="auto"/>
              </w:rPr>
            </w:pPr>
          </w:p>
        </w:tc>
      </w:tr>
      <w:tr>
        <w:trPr>
          <w:trHeight w:val="166"/>
        </w:trPr>
        <w:tc>
          <w:tcPr>
            <w:tcW w:w="3980" w:type="dxa"/>
            <w:vAlign w:val="bottom"/>
          </w:tcPr>
          <w:p>
            <w:pPr>
              <w:ind w:left="220"/>
              <w:spacing w:after="0"/>
              <w:rPr>
                <w:sz w:val="20"/>
                <w:szCs w:val="20"/>
                <w:color w:val="auto"/>
              </w:rPr>
            </w:pPr>
            <w:r>
              <w:rPr>
                <w:rFonts w:ascii="Arial" w:cs="Arial" w:eastAsia="Arial" w:hAnsi="Arial"/>
                <w:sz w:val="13"/>
                <w:szCs w:val="13"/>
                <w:color w:val="auto"/>
              </w:rPr>
              <w:t>(UP Support Services, Inc.)</w:t>
            </w: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Preferred Equity</w:t>
            </w:r>
          </w:p>
        </w:tc>
        <w:tc>
          <w:tcPr>
            <w:tcW w:w="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36,420,612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7,864,221</w:t>
            </w:r>
          </w:p>
        </w:tc>
        <w:tc>
          <w:tcPr>
            <w:tcW w:w="0" w:type="dxa"/>
            <w:vAlign w:val="bottom"/>
          </w:tcPr>
          <w:p>
            <w:pPr>
              <w:spacing w:after="0"/>
              <w:rPr>
                <w:sz w:val="1"/>
                <w:szCs w:val="1"/>
                <w:color w:val="auto"/>
              </w:rPr>
            </w:pPr>
          </w:p>
        </w:tc>
      </w:tr>
      <w:tr>
        <w:trPr>
          <w:trHeight w:val="156"/>
        </w:trPr>
        <w:tc>
          <w:tcPr>
            <w:tcW w:w="3980" w:type="dxa"/>
            <w:vAlign w:val="bottom"/>
          </w:tcPr>
          <w:p>
            <w:pPr>
              <w:spacing w:after="0" w:line="156"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8"/>
                <w:szCs w:val="18"/>
                <w:b w:val="1"/>
                <w:bCs w:val="1"/>
                <w:color w:val="auto"/>
                <w:vertAlign w:val="superscript"/>
              </w:rPr>
              <w:t>(6)</w:t>
            </w: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3"/>
                <w:szCs w:val="13"/>
                <w:b w:val="1"/>
                <w:bCs w:val="1"/>
                <w:color w:val="auto"/>
              </w:rPr>
              <w:t>Total Investments in Controlled, Affiliated Portfolio Companies</w:t>
            </w:r>
          </w:p>
        </w:tc>
        <w:tc>
          <w:tcPr>
            <w:tcW w:w="7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63,870,076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37,519,282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Investments—159.9%</w:t>
            </w:r>
          </w:p>
        </w:tc>
        <w:tc>
          <w:tcPr>
            <w:tcW w:w="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1,107,804,973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1,114,877,207</w:t>
            </w:r>
          </w:p>
        </w:tc>
        <w:tc>
          <w:tcPr>
            <w:tcW w:w="0" w:type="dxa"/>
            <w:vAlign w:val="bottom"/>
          </w:tcPr>
          <w:p>
            <w:pPr>
              <w:spacing w:after="0"/>
              <w:rPr>
                <w:sz w:val="1"/>
                <w:szCs w:val="1"/>
                <w:color w:val="auto"/>
              </w:rPr>
            </w:pPr>
          </w:p>
        </w:tc>
      </w:tr>
      <w:tr>
        <w:trPr>
          <w:trHeight w:val="155"/>
        </w:trPr>
        <w:tc>
          <w:tcPr>
            <w:tcW w:w="3980" w:type="dxa"/>
            <w:vAlign w:val="bottom"/>
          </w:tcPr>
          <w:p>
            <w:pPr>
              <w:spacing w:after="0"/>
              <w:rPr>
                <w:sz w:val="20"/>
                <w:szCs w:val="20"/>
                <w:color w:val="auto"/>
              </w:rPr>
            </w:pPr>
            <w:r>
              <w:rPr>
                <w:rFonts w:ascii="Arial" w:cs="Arial" w:eastAsia="Arial" w:hAnsi="Arial"/>
                <w:sz w:val="13"/>
                <w:szCs w:val="13"/>
                <w:b w:val="1"/>
                <w:bCs w:val="1"/>
                <w:color w:val="auto"/>
              </w:rPr>
              <w:t>Cash Equivalents—2.5%</w:t>
            </w: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17,333,318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17,333,318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Equivalents—162.4%</w:t>
            </w:r>
          </w:p>
        </w:tc>
        <w:tc>
          <w:tcPr>
            <w:tcW w:w="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1,125,138,291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1,132,210,525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Assets—(62.4%)</w:t>
            </w: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9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w w:val="98"/>
              </w:rPr>
              <w:t>(434,834,217)</w:t>
            </w: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697,376,308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12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77" w:lineRule="exact"/>
        <w:rPr>
          <w:sz w:val="20"/>
          <w:szCs w:val="20"/>
          <w:color w:val="auto"/>
        </w:rPr>
      </w:pPr>
    </w:p>
    <w:p>
      <w:pPr>
        <w:ind w:left="340" w:right="400" w:hanging="332"/>
        <w:spacing w:after="0" w:line="26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2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or “P,” rate.</w:t>
      </w:r>
    </w:p>
    <w:p>
      <w:pPr>
        <w:spacing w:after="0" w:line="10" w:lineRule="exact"/>
        <w:rPr>
          <w:rFonts w:ascii="Arial" w:cs="Arial" w:eastAsia="Arial" w:hAnsi="Arial"/>
          <w:sz w:val="12"/>
          <w:szCs w:val="12"/>
          <w:color w:val="auto"/>
        </w:rPr>
      </w:pPr>
    </w:p>
    <w:p>
      <w:pPr>
        <w:ind w:left="34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payable in cash and/or in-kind or PIK.</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Investment is held through PNNT CI (Galls) Prime Investment Holdings, LLC, a consolidated subsidiary.</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Investment is held through PNNT Acentia LLC, a consolidated subsidiary.</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Investment is held through PNNT Transportation 100 Holdco, LLC, a consolidated subsidiary.</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subject to restrictions on resale.</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jc w:val="center"/>
              <w:ind w:left="33"/>
              <w:spacing w:after="0"/>
              <w:rPr>
                <w:sz w:val="20"/>
                <w:szCs w:val="20"/>
                <w:color w:val="auto"/>
              </w:rPr>
            </w:pPr>
            <w:r>
              <w:rPr>
                <w:rFonts w:ascii="Arial" w:cs="Arial" w:eastAsia="Arial" w:hAnsi="Arial"/>
                <w:sz w:val="13"/>
                <w:szCs w:val="13"/>
                <w:b w:val="1"/>
                <w:bCs w:val="1"/>
                <w:color w:val="auto"/>
                <w:w w:val="90"/>
              </w:rPr>
              <w:t>Basis Point</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jc w:val="center"/>
              <w:ind w:left="33"/>
              <w:spacing w:after="0"/>
              <w:rPr>
                <w:sz w:val="20"/>
                <w:szCs w:val="20"/>
                <w:color w:val="auto"/>
              </w:rPr>
            </w:pPr>
            <w:r>
              <w:rPr>
                <w:rFonts w:ascii="Arial" w:cs="Arial" w:eastAsia="Arial" w:hAnsi="Arial"/>
                <w:sz w:val="13"/>
                <w:szCs w:val="13"/>
                <w:b w:val="1"/>
                <w:bCs w:val="1"/>
                <w:color w:val="auto"/>
                <w:w w:val="90"/>
              </w:rPr>
              <w:t>Spread</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40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Maturity</w:t>
            </w:r>
          </w:p>
        </w:tc>
        <w:tc>
          <w:tcPr>
            <w:tcW w:w="1760" w:type="dxa"/>
            <w:vAlign w:val="bottom"/>
            <w:vMerge w:val="restart"/>
          </w:tcPr>
          <w:p>
            <w:pPr>
              <w:jc w:val="center"/>
              <w:ind w:left="33"/>
              <w:spacing w:after="0"/>
              <w:rPr>
                <w:sz w:val="20"/>
                <w:szCs w:val="20"/>
                <w:color w:val="auto"/>
              </w:rPr>
            </w:pPr>
            <w:r>
              <w:rPr>
                <w:rFonts w:ascii="Arial" w:cs="Arial" w:eastAsia="Arial" w:hAnsi="Arial"/>
                <w:sz w:val="13"/>
                <w:szCs w:val="13"/>
                <w:b w:val="1"/>
                <w:bCs w:val="1"/>
                <w:color w:val="auto"/>
                <w:w w:val="97"/>
              </w:rPr>
              <w:t>Industry</w:t>
            </w:r>
          </w:p>
        </w:tc>
        <w:tc>
          <w:tcPr>
            <w:tcW w:w="980" w:type="dxa"/>
            <w:vAlign w:val="bottom"/>
          </w:tcPr>
          <w:p>
            <w:pPr>
              <w:jc w:val="right"/>
              <w:ind w:right="293"/>
              <w:spacing w:after="0"/>
              <w:rPr>
                <w:sz w:val="20"/>
                <w:szCs w:val="20"/>
                <w:color w:val="auto"/>
              </w:rPr>
            </w:pPr>
            <w:r>
              <w:rPr>
                <w:rFonts w:ascii="Arial" w:cs="Arial" w:eastAsia="Arial" w:hAnsi="Arial"/>
                <w:sz w:val="13"/>
                <w:szCs w:val="13"/>
                <w:b w:val="1"/>
                <w:bCs w:val="1"/>
                <w:color w:val="auto"/>
              </w:rPr>
              <w:t>Current</w:t>
            </w:r>
          </w:p>
        </w:tc>
        <w:tc>
          <w:tcPr>
            <w:tcW w:w="780" w:type="dxa"/>
            <w:vAlign w:val="bottom"/>
          </w:tcPr>
          <w:p>
            <w:pPr>
              <w:jc w:val="center"/>
              <w:ind w:left="33"/>
              <w:spacing w:after="0"/>
              <w:rPr>
                <w:sz w:val="20"/>
                <w:szCs w:val="20"/>
                <w:color w:val="auto"/>
              </w:rPr>
            </w:pPr>
            <w:r>
              <w:rPr>
                <w:rFonts w:ascii="Arial" w:cs="Arial" w:eastAsia="Arial" w:hAnsi="Arial"/>
                <w:sz w:val="13"/>
                <w:szCs w:val="13"/>
                <w:b w:val="1"/>
                <w:bCs w:val="1"/>
                <w:color w:val="auto"/>
                <w:w w:val="90"/>
              </w:rPr>
              <w:t>Above</w:t>
            </w:r>
          </w:p>
        </w:tc>
        <w:tc>
          <w:tcPr>
            <w:tcW w:w="26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Par /</w:t>
            </w:r>
          </w:p>
        </w:tc>
        <w:tc>
          <w:tcPr>
            <w:tcW w:w="98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10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980" w:type="dxa"/>
            <w:vAlign w:val="bottom"/>
          </w:tcPr>
          <w:p>
            <w:pPr>
              <w:jc w:val="right"/>
              <w:ind w:right="293"/>
              <w:spacing w:after="0"/>
              <w:rPr>
                <w:sz w:val="20"/>
                <w:szCs w:val="20"/>
                <w:color w:val="auto"/>
              </w:rPr>
            </w:pPr>
            <w:r>
              <w:rPr>
                <w:rFonts w:ascii="Arial" w:cs="Arial" w:eastAsia="Arial" w:hAnsi="Arial"/>
                <w:sz w:val="13"/>
                <w:szCs w:val="13"/>
                <w:b w:val="1"/>
                <w:bCs w:val="1"/>
                <w:color w:val="auto"/>
              </w:rPr>
              <w:t>Coupon</w:t>
            </w:r>
          </w:p>
        </w:tc>
        <w:tc>
          <w:tcPr>
            <w:tcW w:w="780" w:type="dxa"/>
            <w:vAlign w:val="bottom"/>
          </w:tcPr>
          <w:p>
            <w:pPr>
              <w:jc w:val="center"/>
              <w:ind w:left="33"/>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260" w:type="dxa"/>
            <w:vAlign w:val="bottom"/>
          </w:tcPr>
          <w:p>
            <w:pPr>
              <w:spacing w:after="0"/>
              <w:rPr>
                <w:sz w:val="12"/>
                <w:szCs w:val="12"/>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Shares</w:t>
            </w:r>
          </w:p>
        </w:tc>
        <w:tc>
          <w:tcPr>
            <w:tcW w:w="980" w:type="dxa"/>
            <w:vAlign w:val="bottom"/>
            <w:gridSpan w:val="2"/>
            <w:vMerge w:val="continue"/>
          </w:tcPr>
          <w:p>
            <w:pPr>
              <w:spacing w:after="0"/>
              <w:rPr>
                <w:sz w:val="12"/>
                <w:szCs w:val="12"/>
                <w:color w:val="auto"/>
              </w:rPr>
            </w:pPr>
          </w:p>
        </w:tc>
        <w:tc>
          <w:tcPr>
            <w:tcW w:w="76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Companies—130.3% </w:t>
            </w:r>
            <w:r>
              <w:rPr>
                <w:rFonts w:ascii="Arial" w:cs="Arial" w:eastAsia="Arial" w:hAnsi="Arial"/>
                <w:sz w:val="16"/>
                <w:szCs w:val="16"/>
                <w:b w:val="1"/>
                <w:bCs w:val="1"/>
                <w:color w:val="auto"/>
                <w:vertAlign w:val="superscript"/>
              </w:rPr>
              <w:t>(1),(2)</w:t>
            </w:r>
          </w:p>
        </w:tc>
        <w:tc>
          <w:tcPr>
            <w:tcW w:w="9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b w:val="1"/>
                <w:bCs w:val="1"/>
                <w:color w:val="auto"/>
              </w:rPr>
              <w:t>First Lien Secured Debt—41.7%</w:t>
            </w:r>
          </w:p>
        </w:tc>
        <w:tc>
          <w:tcPr>
            <w:tcW w:w="1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Aircell Business Aviation Services LLC</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06/21/2017</w:t>
            </w:r>
          </w:p>
        </w:tc>
        <w:tc>
          <w:tcPr>
            <w:tcW w:w="176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4"/>
              </w:rPr>
              <w:t>Communications</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11.25%</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L+975</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88"/>
              </w:rPr>
              <w:t>(8)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14,906,250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$ 14,332,682</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$ 14,906,250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3"/>
                <w:szCs w:val="13"/>
                <w:color w:val="auto"/>
              </w:rPr>
              <w:t>American Surgical Holdings, Inc.</w:t>
            </w:r>
          </w:p>
        </w:tc>
        <w:tc>
          <w:tcPr>
            <w:tcW w:w="14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03/23/2015</w:t>
            </w:r>
          </w:p>
        </w:tc>
        <w:tc>
          <w:tcPr>
            <w:tcW w:w="176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3"/>
              </w:rPr>
              <w:t>Healthcare, Education and</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14.00%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L+1,000</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(8)</w:t>
            </w:r>
          </w:p>
        </w:tc>
        <w:tc>
          <w:tcPr>
            <w:tcW w:w="1160" w:type="dxa"/>
            <w:vAlign w:val="bottom"/>
            <w:gridSpan w:val="2"/>
          </w:tcPr>
          <w:p>
            <w:pPr>
              <w:jc w:val="right"/>
              <w:ind w:right="420"/>
              <w:spacing w:after="0" w:line="138" w:lineRule="exact"/>
              <w:rPr>
                <w:sz w:val="20"/>
                <w:szCs w:val="20"/>
                <w:color w:val="auto"/>
              </w:rPr>
            </w:pPr>
            <w:r>
              <w:rPr>
                <w:rFonts w:ascii="Arial" w:cs="Arial" w:eastAsia="Arial" w:hAnsi="Arial"/>
                <w:sz w:val="13"/>
                <w:szCs w:val="13"/>
                <w:color w:val="auto"/>
              </w:rPr>
              <w:t>17,811,828</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17,441,366</w:t>
            </w:r>
          </w:p>
        </w:tc>
        <w:tc>
          <w:tcPr>
            <w:tcW w:w="240" w:type="dxa"/>
            <w:vAlign w:val="bottom"/>
          </w:tcPr>
          <w:p>
            <w:pPr>
              <w:spacing w:after="0"/>
              <w:rPr>
                <w:sz w:val="11"/>
                <w:szCs w:val="11"/>
                <w:color w:val="auto"/>
              </w:rPr>
            </w:pPr>
          </w:p>
        </w:tc>
        <w:tc>
          <w:tcPr>
            <w:tcW w:w="82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17,811,828</w:t>
            </w:r>
          </w:p>
        </w:tc>
        <w:tc>
          <w:tcPr>
            <w:tcW w:w="0" w:type="dxa"/>
            <w:vAlign w:val="bottom"/>
          </w:tcPr>
          <w:p>
            <w:pPr>
              <w:spacing w:after="0"/>
              <w:rPr>
                <w:sz w:val="1"/>
                <w:szCs w:val="1"/>
                <w:color w:val="auto"/>
              </w:rPr>
            </w:pPr>
          </w:p>
        </w:tc>
      </w:tr>
      <w:tr>
        <w:trPr>
          <w:trHeight w:val="159"/>
        </w:trPr>
        <w:tc>
          <w:tcPr>
            <w:tcW w:w="3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60" w:type="dxa"/>
            <w:vAlign w:val="bottom"/>
          </w:tcPr>
          <w:p>
            <w:pPr>
              <w:jc w:val="center"/>
              <w:ind w:left="13"/>
              <w:spacing w:after="0"/>
              <w:rPr>
                <w:sz w:val="20"/>
                <w:szCs w:val="20"/>
                <w:color w:val="auto"/>
              </w:rPr>
            </w:pPr>
            <w:r>
              <w:rPr>
                <w:rFonts w:ascii="Arial" w:cs="Arial" w:eastAsia="Arial" w:hAnsi="Arial"/>
                <w:sz w:val="13"/>
                <w:szCs w:val="13"/>
                <w:color w:val="auto"/>
                <w:w w:val="94"/>
              </w:rPr>
              <w:t>Childcare</w:t>
            </w: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02/07/2014</w:t>
            </w:r>
          </w:p>
        </w:tc>
        <w:tc>
          <w:tcPr>
            <w:tcW w:w="1760" w:type="dxa"/>
            <w:vAlign w:val="bottom"/>
            <w:shd w:val="clear" w:color="auto" w:fill="CCEEFF"/>
          </w:tcPr>
          <w:p>
            <w:pPr>
              <w:jc w:val="center"/>
              <w:ind w:left="33"/>
              <w:spacing w:after="0"/>
              <w:rPr>
                <w:sz w:val="20"/>
                <w:szCs w:val="20"/>
                <w:color w:val="auto"/>
              </w:rPr>
            </w:pPr>
            <w:r>
              <w:rPr>
                <w:rFonts w:ascii="Arial" w:cs="Arial" w:eastAsia="Arial" w:hAnsi="Arial"/>
                <w:sz w:val="13"/>
                <w:szCs w:val="13"/>
                <w:color w:val="auto"/>
                <w:w w:val="99"/>
              </w:rPr>
              <w:t>Energy/Utilities</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3.68%</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L+325</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1,757,029</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1,973,334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400" w:type="dxa"/>
            <w:vAlign w:val="bottom"/>
          </w:tcPr>
          <w:p>
            <w:pPr>
              <w:jc w:val="right"/>
              <w:ind w:right="133"/>
              <w:spacing w:after="0"/>
              <w:rPr>
                <w:sz w:val="20"/>
                <w:szCs w:val="20"/>
                <w:color w:val="auto"/>
              </w:rPr>
            </w:pPr>
            <w:r>
              <w:rPr>
                <w:rFonts w:ascii="Arial" w:cs="Arial" w:eastAsia="Arial" w:hAnsi="Arial"/>
                <w:sz w:val="13"/>
                <w:szCs w:val="13"/>
                <w:color w:val="auto"/>
              </w:rPr>
              <w:t>10/01/2016</w:t>
            </w:r>
          </w:p>
        </w:tc>
        <w:tc>
          <w:tcPr>
            <w:tcW w:w="1760" w:type="dxa"/>
            <w:vAlign w:val="bottom"/>
          </w:tcPr>
          <w:p>
            <w:pPr>
              <w:jc w:val="center"/>
              <w:ind w:left="13"/>
              <w:spacing w:after="0"/>
              <w:rPr>
                <w:sz w:val="20"/>
                <w:szCs w:val="20"/>
                <w:color w:val="auto"/>
              </w:rPr>
            </w:pPr>
            <w:r>
              <w:rPr>
                <w:rFonts w:ascii="Arial" w:cs="Arial" w:eastAsia="Arial" w:hAnsi="Arial"/>
                <w:sz w:val="13"/>
                <w:szCs w:val="13"/>
                <w:color w:val="auto"/>
                <w:w w:val="92"/>
              </w:rPr>
              <w:t>Cargo Transport</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11.63%</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7,500,000</w:t>
            </w:r>
          </w:p>
        </w:tc>
        <w:tc>
          <w:tcPr>
            <w:tcW w:w="740" w:type="dxa"/>
            <w:vAlign w:val="bottom"/>
          </w:tcPr>
          <w:p>
            <w:pPr>
              <w:jc w:val="right"/>
              <w:spacing w:after="0"/>
              <w:rPr>
                <w:sz w:val="20"/>
                <w:szCs w:val="20"/>
                <w:color w:val="auto"/>
              </w:rPr>
            </w:pPr>
            <w:r>
              <w:rPr>
                <w:rFonts w:ascii="Arial" w:cs="Arial" w:eastAsia="Arial" w:hAnsi="Arial"/>
                <w:sz w:val="13"/>
                <w:szCs w:val="13"/>
                <w:color w:val="auto"/>
              </w:rPr>
              <w:t>7,355,237</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7,687,500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04/01/2018</w:t>
            </w:r>
          </w:p>
        </w:tc>
        <w:tc>
          <w:tcPr>
            <w:tcW w:w="176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2"/>
              </w:rPr>
              <w:t>Cargo Transport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11.50%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990,089</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100" w:type="dxa"/>
            <w:vAlign w:val="bottom"/>
          </w:tcPr>
          <w:p>
            <w:pPr>
              <w:spacing w:after="0" w:line="122" w:lineRule="exact"/>
              <w:rPr>
                <w:sz w:val="20"/>
                <w:szCs w:val="20"/>
                <w:color w:val="auto"/>
              </w:rPr>
            </w:pPr>
            <w:r>
              <w:rPr>
                <w:rFonts w:ascii="Arial" w:cs="Arial" w:eastAsia="Arial" w:hAnsi="Arial"/>
                <w:sz w:val="9"/>
                <w:szCs w:val="9"/>
                <w:color w:val="auto"/>
              </w:rPr>
              <w:t xml:space="preserve">Columbus International, Inc. </w:t>
            </w:r>
            <w:r>
              <w:rPr>
                <w:rFonts w:ascii="Arial" w:cs="Arial" w:eastAsia="Arial" w:hAnsi="Arial"/>
                <w:sz w:val="14"/>
                <w:szCs w:val="14"/>
                <w:color w:val="auto"/>
                <w:vertAlign w:val="superscript"/>
              </w:rPr>
              <w:t>(5), (10)</w:t>
            </w:r>
          </w:p>
        </w:tc>
        <w:tc>
          <w:tcPr>
            <w:tcW w:w="1400" w:type="dxa"/>
            <w:vAlign w:val="bottom"/>
          </w:tcPr>
          <w:p>
            <w:pPr>
              <w:jc w:val="right"/>
              <w:ind w:right="133"/>
              <w:spacing w:after="0" w:line="122" w:lineRule="exact"/>
              <w:rPr>
                <w:sz w:val="20"/>
                <w:szCs w:val="20"/>
                <w:color w:val="auto"/>
              </w:rPr>
            </w:pPr>
            <w:r>
              <w:rPr>
                <w:rFonts w:ascii="Arial" w:cs="Arial" w:eastAsia="Arial" w:hAnsi="Arial"/>
                <w:sz w:val="13"/>
                <w:szCs w:val="13"/>
                <w:color w:val="auto"/>
              </w:rPr>
              <w:t>11/20/2014</w:t>
            </w:r>
          </w:p>
        </w:tc>
        <w:tc>
          <w:tcPr>
            <w:tcW w:w="1760" w:type="dxa"/>
            <w:vAlign w:val="bottom"/>
          </w:tcPr>
          <w:p>
            <w:pPr>
              <w:jc w:val="center"/>
              <w:ind w:left="13"/>
              <w:spacing w:after="0" w:line="122" w:lineRule="exact"/>
              <w:rPr>
                <w:sz w:val="20"/>
                <w:szCs w:val="20"/>
                <w:color w:val="auto"/>
              </w:rPr>
            </w:pPr>
            <w:r>
              <w:rPr>
                <w:rFonts w:ascii="Arial" w:cs="Arial" w:eastAsia="Arial" w:hAnsi="Arial"/>
                <w:sz w:val="13"/>
                <w:szCs w:val="13"/>
                <w:color w:val="auto"/>
                <w:w w:val="94"/>
              </w:rPr>
              <w:t>Communications</w:t>
            </w:r>
          </w:p>
        </w:tc>
        <w:tc>
          <w:tcPr>
            <w:tcW w:w="980" w:type="dxa"/>
            <w:vAlign w:val="bottom"/>
          </w:tcPr>
          <w:p>
            <w:pPr>
              <w:jc w:val="right"/>
              <w:ind w:right="93"/>
              <w:spacing w:after="0" w:line="122" w:lineRule="exact"/>
              <w:rPr>
                <w:sz w:val="20"/>
                <w:szCs w:val="20"/>
                <w:color w:val="auto"/>
              </w:rPr>
            </w:pPr>
            <w:r>
              <w:rPr>
                <w:rFonts w:ascii="Arial" w:cs="Arial" w:eastAsia="Arial" w:hAnsi="Arial"/>
                <w:sz w:val="13"/>
                <w:szCs w:val="13"/>
                <w:color w:val="auto"/>
              </w:rPr>
              <w:t>11.50%</w:t>
            </w:r>
          </w:p>
        </w:tc>
        <w:tc>
          <w:tcPr>
            <w:tcW w:w="780" w:type="dxa"/>
            <w:vAlign w:val="bottom"/>
          </w:tcPr>
          <w:p>
            <w:pPr>
              <w:jc w:val="right"/>
              <w:ind w:right="13"/>
              <w:spacing w:after="0" w:line="122"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1160" w:type="dxa"/>
            <w:vAlign w:val="bottom"/>
            <w:gridSpan w:val="2"/>
          </w:tcPr>
          <w:p>
            <w:pPr>
              <w:jc w:val="right"/>
              <w:ind w:right="420"/>
              <w:spacing w:after="0" w:line="122" w:lineRule="exact"/>
              <w:rPr>
                <w:sz w:val="20"/>
                <w:szCs w:val="20"/>
                <w:color w:val="auto"/>
              </w:rPr>
            </w:pPr>
            <w:r>
              <w:rPr>
                <w:rFonts w:ascii="Arial" w:cs="Arial" w:eastAsia="Arial" w:hAnsi="Arial"/>
                <w:sz w:val="13"/>
                <w:szCs w:val="13"/>
                <w:color w:val="auto"/>
              </w:rPr>
              <w:t>10,000,000</w:t>
            </w:r>
          </w:p>
        </w:tc>
        <w:tc>
          <w:tcPr>
            <w:tcW w:w="740" w:type="dxa"/>
            <w:vAlign w:val="bottom"/>
          </w:tcPr>
          <w:p>
            <w:pPr>
              <w:jc w:val="right"/>
              <w:spacing w:after="0" w:line="122" w:lineRule="exact"/>
              <w:rPr>
                <w:sz w:val="20"/>
                <w:szCs w:val="20"/>
                <w:color w:val="auto"/>
              </w:rPr>
            </w:pPr>
            <w:r>
              <w:rPr>
                <w:rFonts w:ascii="Arial" w:cs="Arial" w:eastAsia="Arial" w:hAnsi="Arial"/>
                <w:sz w:val="13"/>
                <w:szCs w:val="13"/>
                <w:color w:val="auto"/>
              </w:rPr>
              <w:t>10,000,000</w:t>
            </w:r>
          </w:p>
        </w:tc>
        <w:tc>
          <w:tcPr>
            <w:tcW w:w="24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Arial" w:cs="Arial" w:eastAsia="Arial" w:hAnsi="Arial"/>
                <w:sz w:val="13"/>
                <w:szCs w:val="13"/>
                <w:color w:val="auto"/>
              </w:rPr>
              <w:t>11,100,000</w:t>
            </w:r>
          </w:p>
        </w:tc>
        <w:tc>
          <w:tcPr>
            <w:tcW w:w="0" w:type="dxa"/>
            <w:vAlign w:val="bottom"/>
          </w:tcPr>
          <w:p>
            <w:pPr>
              <w:spacing w:after="0"/>
              <w:rPr>
                <w:sz w:val="1"/>
                <w:szCs w:val="1"/>
                <w:color w:val="auto"/>
              </w:rPr>
            </w:pPr>
          </w:p>
        </w:tc>
      </w:tr>
      <w:tr>
        <w:trPr>
          <w:trHeight w:val="175"/>
        </w:trPr>
        <w:tc>
          <w:tcPr>
            <w:tcW w:w="3100" w:type="dxa"/>
            <w:vAlign w:val="bottom"/>
          </w:tcPr>
          <w:p>
            <w:pPr>
              <w:spacing w:after="0" w:line="176" w:lineRule="exact"/>
              <w:rPr>
                <w:sz w:val="20"/>
                <w:szCs w:val="20"/>
                <w:color w:val="auto"/>
              </w:rPr>
            </w:pPr>
            <w:r>
              <w:rPr>
                <w:rFonts w:ascii="Arial" w:cs="Arial" w:eastAsia="Arial" w:hAnsi="Arial"/>
                <w:sz w:val="12"/>
                <w:szCs w:val="12"/>
                <w:color w:val="auto"/>
              </w:rPr>
              <w:t xml:space="preserve">Good Sam Enterprises, LLC </w:t>
            </w:r>
            <w:r>
              <w:rPr>
                <w:rFonts w:ascii="Arial" w:cs="Arial" w:eastAsia="Arial" w:hAnsi="Arial"/>
                <w:sz w:val="20"/>
                <w:szCs w:val="20"/>
                <w:color w:val="auto"/>
                <w:vertAlign w:val="superscript"/>
              </w:rPr>
              <w:t>(5)</w:t>
            </w:r>
          </w:p>
        </w:tc>
        <w:tc>
          <w:tcPr>
            <w:tcW w:w="1400" w:type="dxa"/>
            <w:vAlign w:val="bottom"/>
          </w:tcPr>
          <w:p>
            <w:pPr>
              <w:jc w:val="right"/>
              <w:ind w:right="133"/>
              <w:spacing w:after="0"/>
              <w:rPr>
                <w:sz w:val="20"/>
                <w:szCs w:val="20"/>
                <w:color w:val="auto"/>
              </w:rPr>
            </w:pPr>
            <w:r>
              <w:rPr>
                <w:rFonts w:ascii="Arial" w:cs="Arial" w:eastAsia="Arial" w:hAnsi="Arial"/>
                <w:sz w:val="13"/>
                <w:szCs w:val="13"/>
                <w:color w:val="auto"/>
              </w:rPr>
              <w:t>12/01/2016</w:t>
            </w:r>
          </w:p>
        </w:tc>
        <w:tc>
          <w:tcPr>
            <w:tcW w:w="1760" w:type="dxa"/>
            <w:vAlign w:val="bottom"/>
          </w:tcPr>
          <w:p>
            <w:pPr>
              <w:jc w:val="center"/>
              <w:ind w:left="33"/>
              <w:spacing w:after="0"/>
              <w:rPr>
                <w:sz w:val="20"/>
                <w:szCs w:val="20"/>
                <w:color w:val="auto"/>
              </w:rPr>
            </w:pPr>
            <w:r>
              <w:rPr>
                <w:rFonts w:ascii="Arial" w:cs="Arial" w:eastAsia="Arial" w:hAnsi="Arial"/>
                <w:sz w:val="13"/>
                <w:szCs w:val="13"/>
                <w:color w:val="auto"/>
                <w:w w:val="92"/>
              </w:rPr>
              <w:t>Consumer Products</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11.50%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auto"/>
                <w:w w:val="88"/>
              </w:rPr>
              <w:t>(8)</w:t>
            </w: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12,000,000</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11,795,443</w:t>
            </w:r>
          </w:p>
        </w:tc>
        <w:tc>
          <w:tcPr>
            <w:tcW w:w="760" w:type="dxa"/>
            <w:vAlign w:val="bottom"/>
          </w:tcPr>
          <w:p>
            <w:pPr>
              <w:jc w:val="right"/>
              <w:spacing w:after="0"/>
              <w:rPr>
                <w:sz w:val="20"/>
                <w:szCs w:val="20"/>
                <w:color w:val="auto"/>
              </w:rPr>
            </w:pPr>
            <w:r>
              <w:rPr>
                <w:rFonts w:ascii="Arial" w:cs="Arial" w:eastAsia="Arial" w:hAnsi="Arial"/>
                <w:sz w:val="13"/>
                <w:szCs w:val="13"/>
                <w:color w:val="auto"/>
              </w:rPr>
              <w:t>12,720,000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Hanley-Wood, L.L.C.</w:t>
            </w:r>
          </w:p>
        </w:tc>
        <w:tc>
          <w:tcPr>
            <w:tcW w:w="1400" w:type="dxa"/>
            <w:vAlign w:val="bottom"/>
          </w:tcPr>
          <w:p>
            <w:pPr>
              <w:jc w:val="right"/>
              <w:ind w:right="133"/>
              <w:spacing w:after="0"/>
              <w:rPr>
                <w:sz w:val="20"/>
                <w:szCs w:val="20"/>
                <w:color w:val="auto"/>
              </w:rPr>
            </w:pPr>
            <w:r>
              <w:rPr>
                <w:rFonts w:ascii="Arial" w:cs="Arial" w:eastAsia="Arial" w:hAnsi="Arial"/>
                <w:sz w:val="13"/>
                <w:szCs w:val="13"/>
                <w:color w:val="auto"/>
              </w:rPr>
              <w:t>01/13/2017</w:t>
            </w:r>
          </w:p>
        </w:tc>
        <w:tc>
          <w:tcPr>
            <w:tcW w:w="1760" w:type="dxa"/>
            <w:vAlign w:val="bottom"/>
          </w:tcPr>
          <w:p>
            <w:pPr>
              <w:jc w:val="center"/>
              <w:ind w:left="13"/>
              <w:spacing w:after="0"/>
              <w:rPr>
                <w:sz w:val="20"/>
                <w:szCs w:val="20"/>
                <w:color w:val="auto"/>
              </w:rPr>
            </w:pPr>
            <w:r>
              <w:rPr>
                <w:rFonts w:ascii="Arial" w:cs="Arial" w:eastAsia="Arial" w:hAnsi="Arial"/>
                <w:sz w:val="13"/>
                <w:szCs w:val="13"/>
                <w:color w:val="auto"/>
                <w:w w:val="95"/>
              </w:rPr>
              <w:t>Other Media</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8.00%</w:t>
            </w:r>
          </w:p>
        </w:tc>
        <w:tc>
          <w:tcPr>
            <w:tcW w:w="780" w:type="dxa"/>
            <w:vAlign w:val="bottom"/>
          </w:tcPr>
          <w:p>
            <w:pPr>
              <w:jc w:val="right"/>
              <w:spacing w:after="0"/>
              <w:rPr>
                <w:sz w:val="20"/>
                <w:szCs w:val="20"/>
                <w:color w:val="auto"/>
              </w:rPr>
            </w:pPr>
            <w:r>
              <w:rPr>
                <w:rFonts w:ascii="Arial" w:cs="Arial" w:eastAsia="Arial" w:hAnsi="Arial"/>
                <w:sz w:val="13"/>
                <w:szCs w:val="13"/>
                <w:color w:val="auto"/>
              </w:rPr>
              <w:t>L+650</w:t>
            </w:r>
          </w:p>
        </w:tc>
        <w:tc>
          <w:tcPr>
            <w:tcW w:w="260" w:type="dxa"/>
            <w:vAlign w:val="bottom"/>
            <w:vMerge w:val="continue"/>
          </w:tcPr>
          <w:p>
            <w:pPr>
              <w:spacing w:after="0"/>
              <w:rPr>
                <w:sz w:val="12"/>
                <w:szCs w:val="12"/>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1,752,896</w:t>
            </w:r>
          </w:p>
        </w:tc>
        <w:tc>
          <w:tcPr>
            <w:tcW w:w="740" w:type="dxa"/>
            <w:vAlign w:val="bottom"/>
          </w:tcPr>
          <w:p>
            <w:pPr>
              <w:jc w:val="right"/>
              <w:spacing w:after="0"/>
              <w:rPr>
                <w:sz w:val="20"/>
                <w:szCs w:val="20"/>
                <w:color w:val="auto"/>
              </w:rPr>
            </w:pPr>
            <w:r>
              <w:rPr>
                <w:rFonts w:ascii="Arial" w:cs="Arial" w:eastAsia="Arial" w:hAnsi="Arial"/>
                <w:sz w:val="13"/>
                <w:szCs w:val="13"/>
                <w:color w:val="auto"/>
              </w:rPr>
              <w:t>1,752,896</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1,752,896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04/01/2017</w:t>
            </w:r>
          </w:p>
        </w:tc>
        <w:tc>
          <w:tcPr>
            <w:tcW w:w="176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4"/>
              </w:rPr>
              <w:t>Auto Sector</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11.50%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11,500,000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11,288,165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12,218,750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3"/>
                <w:szCs w:val="13"/>
                <w:color w:val="auto"/>
              </w:rPr>
              <w:t>Instant Web, Inc.</w:t>
            </w:r>
          </w:p>
        </w:tc>
        <w:tc>
          <w:tcPr>
            <w:tcW w:w="1400" w:type="dxa"/>
            <w:vAlign w:val="bottom"/>
          </w:tcPr>
          <w:p>
            <w:pPr>
              <w:jc w:val="right"/>
              <w:ind w:right="133"/>
              <w:spacing w:after="0"/>
              <w:rPr>
                <w:sz w:val="20"/>
                <w:szCs w:val="20"/>
                <w:color w:val="auto"/>
              </w:rPr>
            </w:pPr>
            <w:r>
              <w:rPr>
                <w:rFonts w:ascii="Arial" w:cs="Arial" w:eastAsia="Arial" w:hAnsi="Arial"/>
                <w:sz w:val="13"/>
                <w:szCs w:val="13"/>
                <w:color w:val="auto"/>
              </w:rPr>
              <w:t>08/07/2014</w:t>
            </w:r>
          </w:p>
        </w:tc>
        <w:tc>
          <w:tcPr>
            <w:tcW w:w="1760" w:type="dxa"/>
            <w:vAlign w:val="bottom"/>
          </w:tcPr>
          <w:p>
            <w:pPr>
              <w:jc w:val="center"/>
              <w:ind w:left="13"/>
              <w:spacing w:after="0"/>
              <w:rPr>
                <w:sz w:val="20"/>
                <w:szCs w:val="20"/>
                <w:color w:val="auto"/>
              </w:rPr>
            </w:pPr>
            <w:r>
              <w:rPr>
                <w:rFonts w:ascii="Arial" w:cs="Arial" w:eastAsia="Arial" w:hAnsi="Arial"/>
                <w:sz w:val="13"/>
                <w:szCs w:val="13"/>
                <w:color w:val="auto"/>
                <w:w w:val="96"/>
              </w:rPr>
              <w:t>Printing and Publishing</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14.50%</w:t>
            </w:r>
          </w:p>
        </w:tc>
        <w:tc>
          <w:tcPr>
            <w:tcW w:w="780" w:type="dxa"/>
            <w:vAlign w:val="bottom"/>
          </w:tcPr>
          <w:p>
            <w:pPr>
              <w:jc w:val="right"/>
              <w:spacing w:after="0"/>
              <w:rPr>
                <w:sz w:val="20"/>
                <w:szCs w:val="20"/>
                <w:color w:val="auto"/>
              </w:rPr>
            </w:pPr>
            <w:r>
              <w:rPr>
                <w:rFonts w:ascii="Arial" w:cs="Arial" w:eastAsia="Arial" w:hAnsi="Arial"/>
                <w:sz w:val="13"/>
                <w:szCs w:val="13"/>
                <w:color w:val="auto"/>
              </w:rPr>
              <w:t>L+950</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(8)</w:t>
            </w: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24,115,645</w:t>
            </w:r>
          </w:p>
        </w:tc>
        <w:tc>
          <w:tcPr>
            <w:tcW w:w="740" w:type="dxa"/>
            <w:vAlign w:val="bottom"/>
          </w:tcPr>
          <w:p>
            <w:pPr>
              <w:jc w:val="right"/>
              <w:spacing w:after="0"/>
              <w:rPr>
                <w:sz w:val="20"/>
                <w:szCs w:val="20"/>
                <w:color w:val="auto"/>
              </w:rPr>
            </w:pPr>
            <w:r>
              <w:rPr>
                <w:rFonts w:ascii="Arial" w:cs="Arial" w:eastAsia="Arial" w:hAnsi="Arial"/>
                <w:sz w:val="13"/>
                <w:szCs w:val="13"/>
                <w:color w:val="auto"/>
              </w:rPr>
              <w:t>23,829,738</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23,802,142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Interactive Health Solutions, Inc.</w:t>
            </w:r>
          </w:p>
        </w:tc>
        <w:tc>
          <w:tcPr>
            <w:tcW w:w="14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10/04/2016</w:t>
            </w:r>
          </w:p>
        </w:tc>
        <w:tc>
          <w:tcPr>
            <w:tcW w:w="1760" w:type="dxa"/>
            <w:vAlign w:val="bottom"/>
            <w:shd w:val="clear" w:color="auto" w:fill="CCEEFF"/>
          </w:tcPr>
          <w:p>
            <w:pPr>
              <w:jc w:val="center"/>
              <w:ind w:left="13"/>
              <w:spacing w:after="0" w:line="138" w:lineRule="exact"/>
              <w:rPr>
                <w:sz w:val="20"/>
                <w:szCs w:val="20"/>
                <w:color w:val="auto"/>
              </w:rPr>
            </w:pPr>
            <w:r>
              <w:rPr>
                <w:rFonts w:ascii="Arial" w:cs="Arial" w:eastAsia="Arial" w:hAnsi="Arial"/>
                <w:sz w:val="13"/>
                <w:szCs w:val="13"/>
                <w:color w:val="auto"/>
                <w:w w:val="93"/>
              </w:rPr>
              <w:t>Healthcare, Education and</w:t>
            </w:r>
          </w:p>
        </w:tc>
        <w:tc>
          <w:tcPr>
            <w:tcW w:w="98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11.50%</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L+950</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88"/>
              </w:rPr>
              <w:t>(8)</w:t>
            </w:r>
          </w:p>
        </w:tc>
        <w:tc>
          <w:tcPr>
            <w:tcW w:w="116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3"/>
                <w:szCs w:val="13"/>
                <w:color w:val="auto"/>
              </w:rPr>
              <w:t>18,525,000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18,165,492</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18,571,313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6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4"/>
              </w:rPr>
              <w:t>Childcare</w:t>
            </w:r>
          </w:p>
        </w:tc>
        <w:tc>
          <w:tcPr>
            <w:tcW w:w="9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3"/>
                <w:szCs w:val="13"/>
                <w:color w:val="auto"/>
              </w:rPr>
              <w:t>Jacuzzi Brands Corp.</w:t>
            </w:r>
          </w:p>
        </w:tc>
        <w:tc>
          <w:tcPr>
            <w:tcW w:w="14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02/07/2014</w:t>
            </w:r>
          </w:p>
        </w:tc>
        <w:tc>
          <w:tcPr>
            <w:tcW w:w="176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4"/>
              </w:rPr>
              <w:t>Home and Office</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2.28%</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L+225</w:t>
            </w:r>
          </w:p>
        </w:tc>
        <w:tc>
          <w:tcPr>
            <w:tcW w:w="260" w:type="dxa"/>
            <w:vAlign w:val="bottom"/>
          </w:tcPr>
          <w:p>
            <w:pPr>
              <w:spacing w:after="0"/>
              <w:rPr>
                <w:sz w:val="11"/>
                <w:szCs w:val="11"/>
                <w:color w:val="auto"/>
              </w:rPr>
            </w:pPr>
          </w:p>
        </w:tc>
        <w:tc>
          <w:tcPr>
            <w:tcW w:w="1160" w:type="dxa"/>
            <w:vAlign w:val="bottom"/>
            <w:gridSpan w:val="2"/>
          </w:tcPr>
          <w:p>
            <w:pPr>
              <w:jc w:val="right"/>
              <w:ind w:right="420"/>
              <w:spacing w:after="0" w:line="138" w:lineRule="exact"/>
              <w:rPr>
                <w:sz w:val="20"/>
                <w:szCs w:val="20"/>
                <w:color w:val="auto"/>
              </w:rPr>
            </w:pPr>
            <w:r>
              <w:rPr>
                <w:rFonts w:ascii="Arial" w:cs="Arial" w:eastAsia="Arial" w:hAnsi="Arial"/>
                <w:sz w:val="13"/>
                <w:szCs w:val="13"/>
                <w:color w:val="auto"/>
              </w:rPr>
              <w:t>9,598,649</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9,598,649</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6,371,103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60" w:type="dxa"/>
            <w:vAlign w:val="bottom"/>
          </w:tcPr>
          <w:p>
            <w:pPr>
              <w:jc w:val="center"/>
              <w:ind w:left="13"/>
              <w:spacing w:after="0"/>
              <w:rPr>
                <w:sz w:val="20"/>
                <w:szCs w:val="20"/>
                <w:color w:val="auto"/>
              </w:rPr>
            </w:pPr>
            <w:r>
              <w:rPr>
                <w:rFonts w:ascii="Arial" w:cs="Arial" w:eastAsia="Arial" w:hAnsi="Arial"/>
                <w:sz w:val="13"/>
                <w:szCs w:val="13"/>
                <w:color w:val="auto"/>
                <w:w w:val="92"/>
              </w:rPr>
              <w:t>Furnishings, Housewares</w:t>
            </w: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60" w:type="dxa"/>
            <w:vAlign w:val="bottom"/>
          </w:tcPr>
          <w:p>
            <w:pPr>
              <w:jc w:val="center"/>
              <w:ind w:left="13"/>
              <w:spacing w:after="0"/>
              <w:rPr>
                <w:sz w:val="20"/>
                <w:szCs w:val="20"/>
                <w:color w:val="auto"/>
              </w:rPr>
            </w:pPr>
            <w:r>
              <w:rPr>
                <w:rFonts w:ascii="Arial" w:cs="Arial" w:eastAsia="Arial" w:hAnsi="Arial"/>
                <w:sz w:val="13"/>
                <w:szCs w:val="13"/>
                <w:color w:val="auto"/>
                <w:w w:val="92"/>
              </w:rPr>
              <w:t>and Durable Consumer</w:t>
            </w: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60" w:type="dxa"/>
            <w:vAlign w:val="bottom"/>
          </w:tcPr>
          <w:p>
            <w:pPr>
              <w:jc w:val="center"/>
              <w:ind w:left="13"/>
              <w:spacing w:after="0"/>
              <w:rPr>
                <w:sz w:val="20"/>
                <w:szCs w:val="20"/>
                <w:color w:val="auto"/>
              </w:rPr>
            </w:pPr>
            <w:r>
              <w:rPr>
                <w:rFonts w:ascii="Arial" w:cs="Arial" w:eastAsia="Arial" w:hAnsi="Arial"/>
                <w:sz w:val="13"/>
                <w:szCs w:val="13"/>
                <w:color w:val="auto"/>
                <w:w w:val="93"/>
              </w:rPr>
              <w:t>Products</w:t>
            </w: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K2 Pure Solutions NoCal, L.P.</w:t>
            </w:r>
          </w:p>
        </w:tc>
        <w:tc>
          <w:tcPr>
            <w:tcW w:w="14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09/10/2015</w:t>
            </w:r>
          </w:p>
        </w:tc>
        <w:tc>
          <w:tcPr>
            <w:tcW w:w="1760" w:type="dxa"/>
            <w:vAlign w:val="bottom"/>
            <w:shd w:val="clear" w:color="auto" w:fill="CCEEFF"/>
          </w:tcPr>
          <w:p>
            <w:pPr>
              <w:jc w:val="center"/>
              <w:ind w:left="13"/>
              <w:spacing w:after="0" w:line="138" w:lineRule="exact"/>
              <w:rPr>
                <w:sz w:val="20"/>
                <w:szCs w:val="20"/>
                <w:color w:val="auto"/>
              </w:rPr>
            </w:pPr>
            <w:r>
              <w:rPr>
                <w:rFonts w:ascii="Arial" w:cs="Arial" w:eastAsia="Arial" w:hAnsi="Arial"/>
                <w:sz w:val="13"/>
                <w:szCs w:val="13"/>
                <w:color w:val="auto"/>
                <w:w w:val="92"/>
              </w:rPr>
              <w:t>Chemicals, Plastics and</w:t>
            </w:r>
          </w:p>
        </w:tc>
        <w:tc>
          <w:tcPr>
            <w:tcW w:w="98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10.00%</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L+775</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88"/>
              </w:rPr>
              <w:t>(8)</w:t>
            </w:r>
          </w:p>
        </w:tc>
        <w:tc>
          <w:tcPr>
            <w:tcW w:w="116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3"/>
                <w:szCs w:val="13"/>
                <w:color w:val="auto"/>
              </w:rPr>
              <w:t>18,952,500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18,216,865</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19,236,788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6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3"/>
              </w:rPr>
              <w:t>Rubber</w:t>
            </w:r>
          </w:p>
        </w:tc>
        <w:tc>
          <w:tcPr>
            <w:tcW w:w="9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3"/>
                <w:szCs w:val="13"/>
                <w:color w:val="auto"/>
              </w:rPr>
              <w:t>Kadmon Pharmaceuticals, LLC</w:t>
            </w:r>
          </w:p>
        </w:tc>
        <w:tc>
          <w:tcPr>
            <w:tcW w:w="14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10/31/2012</w:t>
            </w:r>
          </w:p>
        </w:tc>
        <w:tc>
          <w:tcPr>
            <w:tcW w:w="176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3"/>
              </w:rPr>
              <w:t>Healthcare, Education and</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15.00%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L+1,300</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(8)</w:t>
            </w:r>
          </w:p>
        </w:tc>
        <w:tc>
          <w:tcPr>
            <w:tcW w:w="1160" w:type="dxa"/>
            <w:vAlign w:val="bottom"/>
            <w:gridSpan w:val="2"/>
          </w:tcPr>
          <w:p>
            <w:pPr>
              <w:jc w:val="right"/>
              <w:ind w:right="420"/>
              <w:spacing w:after="0" w:line="138" w:lineRule="exact"/>
              <w:rPr>
                <w:sz w:val="20"/>
                <w:szCs w:val="20"/>
                <w:color w:val="auto"/>
              </w:rPr>
            </w:pPr>
            <w:r>
              <w:rPr>
                <w:rFonts w:ascii="Arial" w:cs="Arial" w:eastAsia="Arial" w:hAnsi="Arial"/>
                <w:sz w:val="13"/>
                <w:szCs w:val="13"/>
                <w:color w:val="auto"/>
              </w:rPr>
              <w:t>4,931,494</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4,992,740</w:t>
            </w:r>
          </w:p>
        </w:tc>
        <w:tc>
          <w:tcPr>
            <w:tcW w:w="240" w:type="dxa"/>
            <w:vAlign w:val="bottom"/>
          </w:tcPr>
          <w:p>
            <w:pPr>
              <w:spacing w:after="0"/>
              <w:rPr>
                <w:sz w:val="11"/>
                <w:szCs w:val="11"/>
                <w:color w:val="auto"/>
              </w:rPr>
            </w:pPr>
          </w:p>
        </w:tc>
        <w:tc>
          <w:tcPr>
            <w:tcW w:w="82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5,110,409</w:t>
            </w:r>
          </w:p>
        </w:tc>
        <w:tc>
          <w:tcPr>
            <w:tcW w:w="0" w:type="dxa"/>
            <w:vAlign w:val="bottom"/>
          </w:tcPr>
          <w:p>
            <w:pPr>
              <w:spacing w:after="0"/>
              <w:rPr>
                <w:sz w:val="1"/>
                <w:szCs w:val="1"/>
                <w:color w:val="auto"/>
              </w:rPr>
            </w:pPr>
          </w:p>
        </w:tc>
      </w:tr>
      <w:tr>
        <w:trPr>
          <w:trHeight w:val="159"/>
        </w:trPr>
        <w:tc>
          <w:tcPr>
            <w:tcW w:w="3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60" w:type="dxa"/>
            <w:vAlign w:val="bottom"/>
          </w:tcPr>
          <w:p>
            <w:pPr>
              <w:jc w:val="center"/>
              <w:ind w:left="13"/>
              <w:spacing w:after="0"/>
              <w:rPr>
                <w:sz w:val="20"/>
                <w:szCs w:val="20"/>
                <w:color w:val="auto"/>
              </w:rPr>
            </w:pPr>
            <w:r>
              <w:rPr>
                <w:rFonts w:ascii="Arial" w:cs="Arial" w:eastAsia="Arial" w:hAnsi="Arial"/>
                <w:sz w:val="13"/>
                <w:szCs w:val="13"/>
                <w:color w:val="auto"/>
                <w:w w:val="94"/>
              </w:rPr>
              <w:t>Childcare</w:t>
            </w: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Learning Care Group, Inc.</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04/27/2016</w:t>
            </w:r>
          </w:p>
        </w:tc>
        <w:tc>
          <w:tcPr>
            <w:tcW w:w="176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6"/>
              </w:rPr>
              <w:t>Education</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26,052,632</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25,640,832</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25,857,237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3"/>
                <w:szCs w:val="13"/>
                <w:color w:val="auto"/>
              </w:rPr>
              <w:t>Penton Media, Inc.</w:t>
            </w:r>
          </w:p>
        </w:tc>
        <w:tc>
          <w:tcPr>
            <w:tcW w:w="14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08/01/2014</w:t>
            </w:r>
          </w:p>
        </w:tc>
        <w:tc>
          <w:tcPr>
            <w:tcW w:w="176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5"/>
              </w:rPr>
              <w:t>Other Media</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5.00%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L+400</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(8)</w:t>
            </w:r>
          </w:p>
        </w:tc>
        <w:tc>
          <w:tcPr>
            <w:tcW w:w="1160" w:type="dxa"/>
            <w:vAlign w:val="bottom"/>
            <w:gridSpan w:val="2"/>
          </w:tcPr>
          <w:p>
            <w:pPr>
              <w:jc w:val="right"/>
              <w:ind w:right="420"/>
              <w:spacing w:after="0" w:line="138" w:lineRule="exact"/>
              <w:rPr>
                <w:sz w:val="20"/>
                <w:szCs w:val="20"/>
                <w:color w:val="auto"/>
              </w:rPr>
            </w:pPr>
            <w:r>
              <w:rPr>
                <w:rFonts w:ascii="Arial" w:cs="Arial" w:eastAsia="Arial" w:hAnsi="Arial"/>
                <w:sz w:val="13"/>
                <w:szCs w:val="13"/>
                <w:color w:val="auto"/>
              </w:rPr>
              <w:t>37,775,294</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33,971,917</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30,503,550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(PIK 1.00%)</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Pre-Paid Legal Services, Inc., Tranche A</w:t>
            </w:r>
          </w:p>
        </w:tc>
        <w:tc>
          <w:tcPr>
            <w:tcW w:w="14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12/30/2016</w:t>
            </w:r>
          </w:p>
        </w:tc>
        <w:tc>
          <w:tcPr>
            <w:tcW w:w="1760" w:type="dxa"/>
            <w:vAlign w:val="bottom"/>
            <w:shd w:val="clear" w:color="auto" w:fill="CCEEFF"/>
          </w:tcPr>
          <w:p>
            <w:pPr>
              <w:jc w:val="center"/>
              <w:ind w:left="13"/>
              <w:spacing w:after="0" w:line="138" w:lineRule="exact"/>
              <w:rPr>
                <w:sz w:val="20"/>
                <w:szCs w:val="20"/>
                <w:color w:val="auto"/>
              </w:rPr>
            </w:pPr>
            <w:r>
              <w:rPr>
                <w:rFonts w:ascii="Arial" w:cs="Arial" w:eastAsia="Arial" w:hAnsi="Arial"/>
                <w:sz w:val="13"/>
                <w:szCs w:val="13"/>
                <w:color w:val="auto"/>
                <w:w w:val="91"/>
              </w:rPr>
              <w:t>Personal, Food and</w:t>
            </w:r>
          </w:p>
        </w:tc>
        <w:tc>
          <w:tcPr>
            <w:tcW w:w="98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7.50%</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L+600</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88"/>
              </w:rPr>
              <w:t>(8)</w:t>
            </w:r>
          </w:p>
        </w:tc>
        <w:tc>
          <w:tcPr>
            <w:tcW w:w="116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3"/>
                <w:szCs w:val="13"/>
                <w:color w:val="auto"/>
              </w:rPr>
              <w:t>1,552,846</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1,533,687</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1,556,728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6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4"/>
              </w:rPr>
              <w:t>Miscellaneous Services</w:t>
            </w:r>
          </w:p>
        </w:tc>
        <w:tc>
          <w:tcPr>
            <w:tcW w:w="9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3"/>
                <w:szCs w:val="13"/>
                <w:color w:val="auto"/>
              </w:rPr>
              <w:t>Pre-Paid Legal Services, Inc., Tranche B</w:t>
            </w:r>
          </w:p>
        </w:tc>
        <w:tc>
          <w:tcPr>
            <w:tcW w:w="14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12/30/2016</w:t>
            </w:r>
          </w:p>
        </w:tc>
        <w:tc>
          <w:tcPr>
            <w:tcW w:w="176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1"/>
              </w:rPr>
              <w:t>Personal, Food and</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11.00%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L+950</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(8)</w:t>
            </w:r>
          </w:p>
        </w:tc>
        <w:tc>
          <w:tcPr>
            <w:tcW w:w="1160" w:type="dxa"/>
            <w:vAlign w:val="bottom"/>
            <w:gridSpan w:val="2"/>
          </w:tcPr>
          <w:p>
            <w:pPr>
              <w:jc w:val="right"/>
              <w:ind w:right="420"/>
              <w:spacing w:after="0" w:line="138" w:lineRule="exact"/>
              <w:rPr>
                <w:sz w:val="20"/>
                <w:szCs w:val="20"/>
                <w:color w:val="auto"/>
              </w:rPr>
            </w:pPr>
            <w:r>
              <w:rPr>
                <w:rFonts w:ascii="Arial" w:cs="Arial" w:eastAsia="Arial" w:hAnsi="Arial"/>
                <w:sz w:val="13"/>
                <w:szCs w:val="13"/>
                <w:color w:val="auto"/>
              </w:rPr>
              <w:t>35,000,000</w:t>
            </w:r>
          </w:p>
        </w:tc>
        <w:tc>
          <w:tcPr>
            <w:tcW w:w="98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34,118,800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35,350,000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60" w:type="dxa"/>
            <w:vAlign w:val="bottom"/>
          </w:tcPr>
          <w:p>
            <w:pPr>
              <w:jc w:val="center"/>
              <w:ind w:left="13"/>
              <w:spacing w:after="0"/>
              <w:rPr>
                <w:sz w:val="20"/>
                <w:szCs w:val="20"/>
                <w:color w:val="auto"/>
              </w:rPr>
            </w:pPr>
            <w:r>
              <w:rPr>
                <w:rFonts w:ascii="Arial" w:cs="Arial" w:eastAsia="Arial" w:hAnsi="Arial"/>
                <w:sz w:val="13"/>
                <w:szCs w:val="13"/>
                <w:color w:val="auto"/>
                <w:w w:val="94"/>
              </w:rPr>
              <w:t>Miscellaneous Services</w:t>
            </w: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12/16/2012</w:t>
            </w:r>
          </w:p>
        </w:tc>
        <w:tc>
          <w:tcPr>
            <w:tcW w:w="176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5"/>
              </w:rPr>
              <w:t>Other Media</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1.36%</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133,603</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133,603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00" w:type="dxa"/>
            <w:vAlign w:val="bottom"/>
          </w:tcPr>
          <w:p>
            <w:pPr>
              <w:spacing w:after="0" w:line="122" w:lineRule="exact"/>
              <w:rPr>
                <w:sz w:val="20"/>
                <w:szCs w:val="20"/>
                <w:color w:val="auto"/>
              </w:rPr>
            </w:pPr>
            <w:r>
              <w:rPr>
                <w:rFonts w:ascii="Arial" w:cs="Arial" w:eastAsia="Arial" w:hAnsi="Arial"/>
                <w:sz w:val="13"/>
                <w:szCs w:val="13"/>
                <w:color w:val="auto"/>
              </w:rPr>
              <w:t>Tekelec Global Inc. (First Out)</w:t>
            </w:r>
          </w:p>
        </w:tc>
        <w:tc>
          <w:tcPr>
            <w:tcW w:w="1400" w:type="dxa"/>
            <w:vAlign w:val="bottom"/>
          </w:tcPr>
          <w:p>
            <w:pPr>
              <w:jc w:val="right"/>
              <w:ind w:right="133"/>
              <w:spacing w:after="0" w:line="122" w:lineRule="exact"/>
              <w:rPr>
                <w:sz w:val="20"/>
                <w:szCs w:val="20"/>
                <w:color w:val="auto"/>
              </w:rPr>
            </w:pPr>
            <w:r>
              <w:rPr>
                <w:rFonts w:ascii="Arial" w:cs="Arial" w:eastAsia="Arial" w:hAnsi="Arial"/>
                <w:sz w:val="13"/>
                <w:szCs w:val="13"/>
                <w:color w:val="auto"/>
              </w:rPr>
              <w:t>01/29/2018</w:t>
            </w:r>
          </w:p>
        </w:tc>
        <w:tc>
          <w:tcPr>
            <w:tcW w:w="1760" w:type="dxa"/>
            <w:vAlign w:val="bottom"/>
          </w:tcPr>
          <w:p>
            <w:pPr>
              <w:jc w:val="center"/>
              <w:ind w:left="13"/>
              <w:spacing w:after="0" w:line="122" w:lineRule="exact"/>
              <w:rPr>
                <w:sz w:val="20"/>
                <w:szCs w:val="20"/>
                <w:color w:val="auto"/>
              </w:rPr>
            </w:pPr>
            <w:r>
              <w:rPr>
                <w:rFonts w:ascii="Arial" w:cs="Arial" w:eastAsia="Arial" w:hAnsi="Arial"/>
                <w:sz w:val="13"/>
                <w:szCs w:val="13"/>
                <w:color w:val="auto"/>
                <w:w w:val="93"/>
              </w:rPr>
              <w:t>Telecommunications</w:t>
            </w:r>
          </w:p>
        </w:tc>
        <w:tc>
          <w:tcPr>
            <w:tcW w:w="980" w:type="dxa"/>
            <w:vAlign w:val="bottom"/>
          </w:tcPr>
          <w:p>
            <w:pPr>
              <w:jc w:val="right"/>
              <w:ind w:right="93"/>
              <w:spacing w:after="0" w:line="122" w:lineRule="exact"/>
              <w:rPr>
                <w:sz w:val="20"/>
                <w:szCs w:val="20"/>
                <w:color w:val="auto"/>
              </w:rPr>
            </w:pPr>
            <w:r>
              <w:rPr>
                <w:rFonts w:ascii="Arial" w:cs="Arial" w:eastAsia="Arial" w:hAnsi="Arial"/>
                <w:sz w:val="13"/>
                <w:szCs w:val="13"/>
                <w:color w:val="auto"/>
              </w:rPr>
              <w:t>9.00%</w:t>
            </w:r>
          </w:p>
        </w:tc>
        <w:tc>
          <w:tcPr>
            <w:tcW w:w="780" w:type="dxa"/>
            <w:vAlign w:val="bottom"/>
          </w:tcPr>
          <w:p>
            <w:pPr>
              <w:jc w:val="right"/>
              <w:spacing w:after="0" w:line="122" w:lineRule="exact"/>
              <w:rPr>
                <w:sz w:val="20"/>
                <w:szCs w:val="20"/>
                <w:color w:val="auto"/>
              </w:rPr>
            </w:pPr>
            <w:r>
              <w:rPr>
                <w:rFonts w:ascii="Arial" w:cs="Arial" w:eastAsia="Arial" w:hAnsi="Arial"/>
                <w:sz w:val="13"/>
                <w:szCs w:val="13"/>
                <w:color w:val="auto"/>
              </w:rPr>
              <w:t>L+750</w:t>
            </w:r>
          </w:p>
        </w:tc>
        <w:tc>
          <w:tcPr>
            <w:tcW w:w="260" w:type="dxa"/>
            <w:vAlign w:val="bottom"/>
          </w:tcPr>
          <w:p>
            <w:pPr>
              <w:jc w:val="right"/>
              <w:ind w:right="64"/>
              <w:spacing w:after="0" w:line="122" w:lineRule="exact"/>
              <w:rPr>
                <w:sz w:val="20"/>
                <w:szCs w:val="20"/>
                <w:color w:val="auto"/>
              </w:rPr>
            </w:pPr>
            <w:r>
              <w:rPr>
                <w:rFonts w:ascii="Arial" w:cs="Arial" w:eastAsia="Arial" w:hAnsi="Arial"/>
                <w:sz w:val="11"/>
                <w:szCs w:val="11"/>
                <w:color w:val="auto"/>
                <w:w w:val="88"/>
              </w:rPr>
              <w:t>(8)</w:t>
            </w:r>
          </w:p>
        </w:tc>
        <w:tc>
          <w:tcPr>
            <w:tcW w:w="1160" w:type="dxa"/>
            <w:vAlign w:val="bottom"/>
            <w:gridSpan w:val="2"/>
          </w:tcPr>
          <w:p>
            <w:pPr>
              <w:jc w:val="right"/>
              <w:ind w:right="420"/>
              <w:spacing w:after="0" w:line="122" w:lineRule="exact"/>
              <w:rPr>
                <w:sz w:val="20"/>
                <w:szCs w:val="20"/>
                <w:color w:val="auto"/>
              </w:rPr>
            </w:pPr>
            <w:r>
              <w:rPr>
                <w:rFonts w:ascii="Arial" w:cs="Arial" w:eastAsia="Arial" w:hAnsi="Arial"/>
                <w:sz w:val="13"/>
                <w:szCs w:val="13"/>
                <w:color w:val="auto"/>
              </w:rPr>
              <w:t>850,000</w:t>
            </w:r>
          </w:p>
        </w:tc>
        <w:tc>
          <w:tcPr>
            <w:tcW w:w="740" w:type="dxa"/>
            <w:vAlign w:val="bottom"/>
          </w:tcPr>
          <w:p>
            <w:pPr>
              <w:jc w:val="right"/>
              <w:spacing w:after="0" w:line="122" w:lineRule="exact"/>
              <w:rPr>
                <w:sz w:val="20"/>
                <w:szCs w:val="20"/>
                <w:color w:val="auto"/>
              </w:rPr>
            </w:pPr>
            <w:r>
              <w:rPr>
                <w:rFonts w:ascii="Arial" w:cs="Arial" w:eastAsia="Arial" w:hAnsi="Arial"/>
                <w:sz w:val="13"/>
                <w:szCs w:val="13"/>
                <w:color w:val="auto"/>
              </w:rPr>
              <w:t>838,369</w:t>
            </w:r>
          </w:p>
        </w:tc>
        <w:tc>
          <w:tcPr>
            <w:tcW w:w="2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3"/>
                <w:szCs w:val="13"/>
                <w:color w:val="auto"/>
              </w:rPr>
              <w:t>850,000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Tekelec Global Inc. (Second Out)</w:t>
            </w:r>
          </w:p>
        </w:tc>
        <w:tc>
          <w:tcPr>
            <w:tcW w:w="1400" w:type="dxa"/>
            <w:vAlign w:val="bottom"/>
          </w:tcPr>
          <w:p>
            <w:pPr>
              <w:jc w:val="right"/>
              <w:ind w:right="133"/>
              <w:spacing w:after="0"/>
              <w:rPr>
                <w:sz w:val="20"/>
                <w:szCs w:val="20"/>
                <w:color w:val="auto"/>
              </w:rPr>
            </w:pPr>
            <w:r>
              <w:rPr>
                <w:rFonts w:ascii="Arial" w:cs="Arial" w:eastAsia="Arial" w:hAnsi="Arial"/>
                <w:sz w:val="13"/>
                <w:szCs w:val="13"/>
                <w:color w:val="auto"/>
              </w:rPr>
              <w:t>01/29/2018</w:t>
            </w:r>
          </w:p>
        </w:tc>
        <w:tc>
          <w:tcPr>
            <w:tcW w:w="1760" w:type="dxa"/>
            <w:vAlign w:val="bottom"/>
          </w:tcPr>
          <w:p>
            <w:pPr>
              <w:jc w:val="center"/>
              <w:ind w:left="13"/>
              <w:spacing w:after="0"/>
              <w:rPr>
                <w:sz w:val="20"/>
                <w:szCs w:val="20"/>
                <w:color w:val="auto"/>
              </w:rPr>
            </w:pPr>
            <w:r>
              <w:rPr>
                <w:rFonts w:ascii="Arial" w:cs="Arial" w:eastAsia="Arial" w:hAnsi="Arial"/>
                <w:sz w:val="13"/>
                <w:szCs w:val="13"/>
                <w:color w:val="auto"/>
                <w:w w:val="93"/>
              </w:rPr>
              <w:t>Telecommunications</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13.50%</w:t>
            </w:r>
          </w:p>
        </w:tc>
        <w:tc>
          <w:tcPr>
            <w:tcW w:w="780" w:type="dxa"/>
            <w:vAlign w:val="bottom"/>
          </w:tcPr>
          <w:p>
            <w:pPr>
              <w:jc w:val="right"/>
              <w:spacing w:after="0"/>
              <w:rPr>
                <w:sz w:val="20"/>
                <w:szCs w:val="20"/>
                <w:color w:val="auto"/>
              </w:rPr>
            </w:pPr>
            <w:r>
              <w:rPr>
                <w:rFonts w:ascii="Arial" w:cs="Arial" w:eastAsia="Arial" w:hAnsi="Arial"/>
                <w:sz w:val="13"/>
                <w:szCs w:val="13"/>
                <w:color w:val="auto"/>
              </w:rPr>
              <w:t>L+1,200</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(8)</w:t>
            </w: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10,625,000</w:t>
            </w:r>
          </w:p>
        </w:tc>
        <w:tc>
          <w:tcPr>
            <w:tcW w:w="740" w:type="dxa"/>
            <w:vAlign w:val="bottom"/>
          </w:tcPr>
          <w:p>
            <w:pPr>
              <w:jc w:val="right"/>
              <w:spacing w:after="0"/>
              <w:rPr>
                <w:sz w:val="20"/>
                <w:szCs w:val="20"/>
                <w:color w:val="auto"/>
              </w:rPr>
            </w:pPr>
            <w:r>
              <w:rPr>
                <w:rFonts w:ascii="Arial" w:cs="Arial" w:eastAsia="Arial" w:hAnsi="Arial"/>
                <w:sz w:val="13"/>
                <w:szCs w:val="13"/>
                <w:color w:val="auto"/>
              </w:rPr>
              <w:t>10,338,450</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10,848,126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20"/>
                <w:szCs w:val="20"/>
                <w:color w:val="auto"/>
              </w:rPr>
            </w:pPr>
            <w:r>
              <w:rPr>
                <w:rFonts w:ascii="Arial" w:cs="Arial" w:eastAsia="Arial" w:hAnsi="Arial"/>
                <w:sz w:val="13"/>
                <w:szCs w:val="13"/>
                <w:color w:val="auto"/>
              </w:rPr>
              <w:t>Worley Claims Services, LLC</w:t>
            </w:r>
          </w:p>
        </w:tc>
        <w:tc>
          <w:tcPr>
            <w:tcW w:w="1400" w:type="dxa"/>
            <w:vAlign w:val="bottom"/>
          </w:tcPr>
          <w:p>
            <w:pPr>
              <w:jc w:val="right"/>
              <w:ind w:right="133"/>
              <w:spacing w:after="0"/>
              <w:rPr>
                <w:sz w:val="20"/>
                <w:szCs w:val="20"/>
                <w:color w:val="auto"/>
              </w:rPr>
            </w:pPr>
            <w:r>
              <w:rPr>
                <w:rFonts w:ascii="Arial" w:cs="Arial" w:eastAsia="Arial" w:hAnsi="Arial"/>
                <w:sz w:val="13"/>
                <w:szCs w:val="13"/>
                <w:color w:val="auto"/>
              </w:rPr>
              <w:t>07/06/2017</w:t>
            </w:r>
          </w:p>
        </w:tc>
        <w:tc>
          <w:tcPr>
            <w:tcW w:w="1760" w:type="dxa"/>
            <w:vAlign w:val="bottom"/>
          </w:tcPr>
          <w:p>
            <w:pPr>
              <w:jc w:val="center"/>
              <w:ind w:left="13"/>
              <w:spacing w:after="0"/>
              <w:rPr>
                <w:sz w:val="20"/>
                <w:szCs w:val="20"/>
                <w:color w:val="auto"/>
              </w:rPr>
            </w:pPr>
            <w:r>
              <w:rPr>
                <w:rFonts w:ascii="Arial" w:cs="Arial" w:eastAsia="Arial" w:hAnsi="Arial"/>
                <w:sz w:val="13"/>
                <w:szCs w:val="13"/>
                <w:color w:val="auto"/>
                <w:w w:val="91"/>
              </w:rPr>
              <w:t>Insurance</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12.50%</w:t>
            </w:r>
          </w:p>
        </w:tc>
        <w:tc>
          <w:tcPr>
            <w:tcW w:w="780" w:type="dxa"/>
            <w:vAlign w:val="bottom"/>
          </w:tcPr>
          <w:p>
            <w:pPr>
              <w:jc w:val="right"/>
              <w:spacing w:after="0"/>
              <w:rPr>
                <w:sz w:val="20"/>
                <w:szCs w:val="20"/>
                <w:color w:val="auto"/>
              </w:rPr>
            </w:pPr>
            <w:r>
              <w:rPr>
                <w:rFonts w:ascii="Arial" w:cs="Arial" w:eastAsia="Arial" w:hAnsi="Arial"/>
                <w:sz w:val="13"/>
                <w:szCs w:val="13"/>
                <w:color w:val="auto"/>
              </w:rPr>
              <w:t>L+1,100</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(8)</w:t>
            </w: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14,934,000</w:t>
            </w:r>
          </w:p>
        </w:tc>
        <w:tc>
          <w:tcPr>
            <w:tcW w:w="740" w:type="dxa"/>
            <w:vAlign w:val="bottom"/>
          </w:tcPr>
          <w:p>
            <w:pPr>
              <w:jc w:val="right"/>
              <w:spacing w:after="0"/>
              <w:rPr>
                <w:sz w:val="20"/>
                <w:szCs w:val="20"/>
                <w:color w:val="auto"/>
              </w:rPr>
            </w:pPr>
            <w:r>
              <w:rPr>
                <w:rFonts w:ascii="Arial" w:cs="Arial" w:eastAsia="Arial" w:hAnsi="Arial"/>
                <w:sz w:val="13"/>
                <w:szCs w:val="13"/>
                <w:color w:val="auto"/>
              </w:rPr>
              <w:t>14,934,000</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14,859,330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14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07/15/2016</w:t>
            </w:r>
          </w:p>
        </w:tc>
        <w:tc>
          <w:tcPr>
            <w:tcW w:w="1760" w:type="dxa"/>
            <w:vAlign w:val="bottom"/>
            <w:shd w:val="clear" w:color="auto" w:fill="CCEEFF"/>
          </w:tcPr>
          <w:p>
            <w:pPr>
              <w:jc w:val="center"/>
              <w:ind w:left="13"/>
              <w:spacing w:after="0" w:line="138" w:lineRule="exact"/>
              <w:rPr>
                <w:sz w:val="20"/>
                <w:szCs w:val="20"/>
                <w:color w:val="auto"/>
              </w:rPr>
            </w:pPr>
            <w:r>
              <w:rPr>
                <w:rFonts w:ascii="Arial" w:cs="Arial" w:eastAsia="Arial" w:hAnsi="Arial"/>
                <w:sz w:val="13"/>
                <w:szCs w:val="13"/>
                <w:color w:val="auto"/>
                <w:w w:val="94"/>
              </w:rPr>
              <w:t>Hotels, Motels, Inns and</w:t>
            </w:r>
          </w:p>
        </w:tc>
        <w:tc>
          <w:tcPr>
            <w:tcW w:w="98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11.38%</w:t>
            </w:r>
          </w:p>
        </w:tc>
        <w:tc>
          <w:tcPr>
            <w:tcW w:w="78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3"/>
                <w:szCs w:val="13"/>
                <w:color w:val="auto"/>
              </w:rPr>
              <w:t>4,500,000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4,401,515</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4,860,000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6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6"/>
              </w:rPr>
              <w:t>Gaming</w:t>
            </w:r>
          </w:p>
        </w:tc>
        <w:tc>
          <w:tcPr>
            <w:tcW w:w="9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100" w:type="dxa"/>
            <w:vAlign w:val="bottom"/>
          </w:tcPr>
          <w:p>
            <w:pPr>
              <w:spacing w:after="0"/>
              <w:rPr>
                <w:sz w:val="20"/>
                <w:szCs w:val="20"/>
                <w:color w:val="auto"/>
              </w:rPr>
            </w:pPr>
            <w:r>
              <w:rPr>
                <w:rFonts w:ascii="Arial" w:cs="Arial" w:eastAsia="Arial" w:hAnsi="Arial"/>
                <w:sz w:val="13"/>
                <w:szCs w:val="13"/>
                <w:b w:val="1"/>
                <w:bCs w:val="1"/>
                <w:color w:val="auto"/>
              </w:rPr>
              <w:t>Total First Lien Secured Debt</w:t>
            </w:r>
          </w:p>
        </w:tc>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277,427,564</w:t>
            </w: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278,960,887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Debt—25.3%</w:t>
            </w:r>
          </w:p>
        </w:tc>
        <w:tc>
          <w:tcPr>
            <w:tcW w:w="14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0"/>
                <w:szCs w:val="10"/>
                <w:color w:val="auto"/>
              </w:rPr>
              <w:t>American Gilsonite Company</w:t>
            </w:r>
            <w:r>
              <w:rPr>
                <w:rFonts w:ascii="Arial" w:cs="Arial" w:eastAsia="Arial" w:hAnsi="Arial"/>
                <w:sz w:val="15"/>
                <w:szCs w:val="15"/>
                <w:color w:val="auto"/>
                <w:vertAlign w:val="superscript"/>
              </w:rPr>
              <w:t>(5)</w:t>
            </w:r>
          </w:p>
        </w:tc>
        <w:tc>
          <w:tcPr>
            <w:tcW w:w="14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09/01/2017</w:t>
            </w:r>
          </w:p>
        </w:tc>
        <w:tc>
          <w:tcPr>
            <w:tcW w:w="176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7"/>
              </w:rPr>
              <w:t>Diversified Natural</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11.50%</w:t>
            </w:r>
          </w:p>
        </w:tc>
        <w:tc>
          <w:tcPr>
            <w:tcW w:w="78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160" w:type="dxa"/>
            <w:vAlign w:val="bottom"/>
            <w:gridSpan w:val="2"/>
          </w:tcPr>
          <w:p>
            <w:pPr>
              <w:jc w:val="right"/>
              <w:ind w:right="420"/>
              <w:spacing w:after="0" w:line="138" w:lineRule="exact"/>
              <w:rPr>
                <w:sz w:val="20"/>
                <w:szCs w:val="20"/>
                <w:color w:val="auto"/>
              </w:rPr>
            </w:pPr>
            <w:r>
              <w:rPr>
                <w:rFonts w:ascii="Arial" w:cs="Arial" w:eastAsia="Arial" w:hAnsi="Arial"/>
                <w:sz w:val="13"/>
                <w:szCs w:val="13"/>
                <w:color w:val="auto"/>
              </w:rPr>
              <w:t>25,400,000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25,400,000</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26,098,500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60" w:type="dxa"/>
            <w:vAlign w:val="bottom"/>
          </w:tcPr>
          <w:p>
            <w:pPr>
              <w:jc w:val="center"/>
              <w:ind w:left="13"/>
              <w:spacing w:after="0"/>
              <w:rPr>
                <w:sz w:val="20"/>
                <w:szCs w:val="20"/>
                <w:color w:val="auto"/>
              </w:rPr>
            </w:pPr>
            <w:r>
              <w:rPr>
                <w:rFonts w:ascii="Arial" w:cs="Arial" w:eastAsia="Arial" w:hAnsi="Arial"/>
                <w:sz w:val="13"/>
                <w:szCs w:val="13"/>
                <w:color w:val="auto"/>
                <w:w w:val="90"/>
              </w:rPr>
              <w:t>Resources, Precious</w:t>
            </w: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60" w:type="dxa"/>
            <w:vAlign w:val="bottom"/>
          </w:tcPr>
          <w:p>
            <w:pPr>
              <w:jc w:val="center"/>
              <w:ind w:left="13"/>
              <w:spacing w:after="0"/>
              <w:rPr>
                <w:sz w:val="20"/>
                <w:szCs w:val="20"/>
                <w:color w:val="auto"/>
              </w:rPr>
            </w:pPr>
            <w:r>
              <w:rPr>
                <w:rFonts w:ascii="Arial" w:cs="Arial" w:eastAsia="Arial" w:hAnsi="Arial"/>
                <w:sz w:val="13"/>
                <w:szCs w:val="13"/>
                <w:color w:val="auto"/>
                <w:w w:val="96"/>
              </w:rPr>
              <w:t>Metals and Minerals</w:t>
            </w: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02/07/2015</w:t>
            </w:r>
          </w:p>
        </w:tc>
        <w:tc>
          <w:tcPr>
            <w:tcW w:w="1760" w:type="dxa"/>
            <w:vAlign w:val="bottom"/>
            <w:shd w:val="clear" w:color="auto" w:fill="CCEEFF"/>
          </w:tcPr>
          <w:p>
            <w:pPr>
              <w:jc w:val="center"/>
              <w:ind w:left="33"/>
              <w:spacing w:after="0"/>
              <w:rPr>
                <w:sz w:val="20"/>
                <w:szCs w:val="20"/>
                <w:color w:val="auto"/>
              </w:rPr>
            </w:pPr>
            <w:r>
              <w:rPr>
                <w:rFonts w:ascii="Arial" w:cs="Arial" w:eastAsia="Arial" w:hAnsi="Arial"/>
                <w:sz w:val="13"/>
                <w:szCs w:val="13"/>
                <w:color w:val="auto"/>
                <w:w w:val="99"/>
              </w:rPr>
              <w:t>Energy/Utilities</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6.33%</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L+600</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13,600,000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13,378,432</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12,729,600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Brand Energy and Infrastructure Services, Inc.</w:t>
            </w:r>
          </w:p>
        </w:tc>
        <w:tc>
          <w:tcPr>
            <w:tcW w:w="1400" w:type="dxa"/>
            <w:vAlign w:val="bottom"/>
          </w:tcPr>
          <w:p>
            <w:pPr>
              <w:jc w:val="right"/>
              <w:ind w:right="133"/>
              <w:spacing w:after="0"/>
              <w:rPr>
                <w:sz w:val="20"/>
                <w:szCs w:val="20"/>
                <w:color w:val="auto"/>
              </w:rPr>
            </w:pPr>
            <w:r>
              <w:rPr>
                <w:rFonts w:ascii="Arial" w:cs="Arial" w:eastAsia="Arial" w:hAnsi="Arial"/>
                <w:sz w:val="13"/>
                <w:szCs w:val="13"/>
                <w:color w:val="auto"/>
              </w:rPr>
              <w:t>02/07/2015</w:t>
            </w:r>
          </w:p>
        </w:tc>
        <w:tc>
          <w:tcPr>
            <w:tcW w:w="1760" w:type="dxa"/>
            <w:vAlign w:val="bottom"/>
          </w:tcPr>
          <w:p>
            <w:pPr>
              <w:jc w:val="center"/>
              <w:ind w:left="33"/>
              <w:spacing w:after="0"/>
              <w:rPr>
                <w:sz w:val="20"/>
                <w:szCs w:val="20"/>
                <w:color w:val="auto"/>
              </w:rPr>
            </w:pPr>
            <w:r>
              <w:rPr>
                <w:rFonts w:ascii="Arial" w:cs="Arial" w:eastAsia="Arial" w:hAnsi="Arial"/>
                <w:sz w:val="13"/>
                <w:szCs w:val="13"/>
                <w:color w:val="auto"/>
                <w:w w:val="99"/>
              </w:rPr>
              <w:t>Energy/Utilities</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7.36%</w:t>
            </w:r>
          </w:p>
        </w:tc>
        <w:tc>
          <w:tcPr>
            <w:tcW w:w="780" w:type="dxa"/>
            <w:vAlign w:val="bottom"/>
          </w:tcPr>
          <w:p>
            <w:pPr>
              <w:jc w:val="right"/>
              <w:spacing w:after="0"/>
              <w:rPr>
                <w:sz w:val="20"/>
                <w:szCs w:val="20"/>
                <w:color w:val="auto"/>
              </w:rPr>
            </w:pPr>
            <w:r>
              <w:rPr>
                <w:rFonts w:ascii="Arial" w:cs="Arial" w:eastAsia="Arial" w:hAnsi="Arial"/>
                <w:sz w:val="13"/>
                <w:szCs w:val="13"/>
                <w:color w:val="auto"/>
              </w:rPr>
              <w:t>L+700</w:t>
            </w:r>
          </w:p>
        </w:tc>
        <w:tc>
          <w:tcPr>
            <w:tcW w:w="260" w:type="dxa"/>
            <w:vAlign w:val="bottom"/>
          </w:tcPr>
          <w:p>
            <w:pPr>
              <w:spacing w:after="0"/>
              <w:rPr>
                <w:sz w:val="12"/>
                <w:szCs w:val="12"/>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12,000,000</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11,866,485</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11,232,000</w:t>
            </w: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DirectBuy Holdings, Inc. </w:t>
            </w:r>
            <w:r>
              <w:rPr>
                <w:rFonts w:ascii="Arial" w:cs="Arial" w:eastAsia="Arial" w:hAnsi="Arial"/>
                <w:sz w:val="17"/>
                <w:szCs w:val="17"/>
                <w:color w:val="auto"/>
                <w:vertAlign w:val="superscript"/>
              </w:rPr>
              <w:t>(5), (6)</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02/01/2017</w:t>
            </w:r>
          </w:p>
        </w:tc>
        <w:tc>
          <w:tcPr>
            <w:tcW w:w="1760" w:type="dxa"/>
            <w:vAlign w:val="bottom"/>
            <w:shd w:val="clear" w:color="auto" w:fill="CCEEFF"/>
          </w:tcPr>
          <w:p>
            <w:pPr>
              <w:jc w:val="center"/>
              <w:ind w:left="33"/>
              <w:spacing w:after="0"/>
              <w:rPr>
                <w:sz w:val="20"/>
                <w:szCs w:val="20"/>
                <w:color w:val="auto"/>
              </w:rPr>
            </w:pPr>
            <w:r>
              <w:rPr>
                <w:rFonts w:ascii="Arial" w:cs="Arial" w:eastAsia="Arial" w:hAnsi="Arial"/>
                <w:sz w:val="13"/>
                <w:szCs w:val="13"/>
                <w:color w:val="auto"/>
                <w:w w:val="92"/>
              </w:rPr>
              <w:t>Consumer Products</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34,000,000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31,964,822</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3"/>
                <w:szCs w:val="13"/>
                <w:color w:val="auto"/>
              </w:rPr>
              <w:t>Eureka Hunter Pipeline, LLC</w:t>
            </w:r>
          </w:p>
        </w:tc>
        <w:tc>
          <w:tcPr>
            <w:tcW w:w="1400" w:type="dxa"/>
            <w:vAlign w:val="bottom"/>
          </w:tcPr>
          <w:p>
            <w:pPr>
              <w:jc w:val="right"/>
              <w:ind w:right="133"/>
              <w:spacing w:after="0"/>
              <w:rPr>
                <w:sz w:val="20"/>
                <w:szCs w:val="20"/>
                <w:color w:val="auto"/>
              </w:rPr>
            </w:pPr>
            <w:r>
              <w:rPr>
                <w:rFonts w:ascii="Arial" w:cs="Arial" w:eastAsia="Arial" w:hAnsi="Arial"/>
                <w:sz w:val="13"/>
                <w:szCs w:val="13"/>
                <w:color w:val="auto"/>
              </w:rPr>
              <w:t>08/16/2018</w:t>
            </w:r>
          </w:p>
        </w:tc>
        <w:tc>
          <w:tcPr>
            <w:tcW w:w="1760" w:type="dxa"/>
            <w:vAlign w:val="bottom"/>
          </w:tcPr>
          <w:p>
            <w:pPr>
              <w:jc w:val="center"/>
              <w:ind w:left="33"/>
              <w:spacing w:after="0"/>
              <w:rPr>
                <w:sz w:val="20"/>
                <w:szCs w:val="20"/>
                <w:color w:val="auto"/>
              </w:rPr>
            </w:pPr>
            <w:r>
              <w:rPr>
                <w:rFonts w:ascii="Arial" w:cs="Arial" w:eastAsia="Arial" w:hAnsi="Arial"/>
                <w:sz w:val="13"/>
                <w:szCs w:val="13"/>
                <w:color w:val="auto"/>
                <w:w w:val="99"/>
              </w:rPr>
              <w:t>Energy/Utilities</w:t>
            </w:r>
          </w:p>
        </w:tc>
        <w:tc>
          <w:tcPr>
            <w:tcW w:w="980" w:type="dxa"/>
            <w:vAlign w:val="bottom"/>
          </w:tcPr>
          <w:p>
            <w:pPr>
              <w:jc w:val="right"/>
              <w:ind w:right="93"/>
              <w:spacing w:after="0"/>
              <w:rPr>
                <w:sz w:val="20"/>
                <w:szCs w:val="20"/>
                <w:color w:val="auto"/>
              </w:rPr>
            </w:pPr>
            <w:r>
              <w:rPr>
                <w:rFonts w:ascii="Arial" w:cs="Arial" w:eastAsia="Arial" w:hAnsi="Arial"/>
                <w:sz w:val="13"/>
                <w:szCs w:val="13"/>
                <w:color w:val="auto"/>
              </w:rPr>
              <w:t>12.50%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auto"/>
                <w:w w:val="88"/>
              </w:rPr>
              <w:t>(8)</w:t>
            </w: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45,000,000</w:t>
            </w:r>
          </w:p>
        </w:tc>
        <w:tc>
          <w:tcPr>
            <w:tcW w:w="740" w:type="dxa"/>
            <w:vAlign w:val="bottom"/>
          </w:tcPr>
          <w:p>
            <w:pPr>
              <w:jc w:val="right"/>
              <w:spacing w:after="0"/>
              <w:rPr>
                <w:sz w:val="20"/>
                <w:szCs w:val="20"/>
                <w:color w:val="auto"/>
              </w:rPr>
            </w:pPr>
            <w:r>
              <w:rPr>
                <w:rFonts w:ascii="Arial" w:cs="Arial" w:eastAsia="Arial" w:hAnsi="Arial"/>
                <w:sz w:val="13"/>
                <w:szCs w:val="13"/>
                <w:color w:val="auto"/>
              </w:rPr>
              <w:t>44,543,688</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3"/>
                <w:szCs w:val="13"/>
                <w:color w:val="auto"/>
              </w:rPr>
              <w:t>Greatwide Logistics Services, L.L.C.</w:t>
            </w:r>
          </w:p>
        </w:tc>
        <w:tc>
          <w:tcPr>
            <w:tcW w:w="14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03/01/2014</w:t>
            </w:r>
          </w:p>
        </w:tc>
        <w:tc>
          <w:tcPr>
            <w:tcW w:w="176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2"/>
              </w:rPr>
              <w:t>Cargo Transport</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11.00%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L+700</w:t>
            </w:r>
          </w:p>
        </w:tc>
        <w:tc>
          <w:tcPr>
            <w:tcW w:w="260" w:type="dxa"/>
            <w:vAlign w:val="bottom"/>
            <w:vMerge w:val="continue"/>
          </w:tcPr>
          <w:p>
            <w:pPr>
              <w:spacing w:after="0"/>
              <w:rPr>
                <w:sz w:val="11"/>
                <w:szCs w:val="11"/>
                <w:color w:val="auto"/>
              </w:rPr>
            </w:pPr>
          </w:p>
        </w:tc>
        <w:tc>
          <w:tcPr>
            <w:tcW w:w="1160" w:type="dxa"/>
            <w:vAlign w:val="bottom"/>
            <w:gridSpan w:val="2"/>
          </w:tcPr>
          <w:p>
            <w:pPr>
              <w:jc w:val="right"/>
              <w:ind w:right="420"/>
              <w:spacing w:after="0" w:line="138" w:lineRule="exact"/>
              <w:rPr>
                <w:sz w:val="20"/>
                <w:szCs w:val="20"/>
                <w:color w:val="auto"/>
              </w:rPr>
            </w:pPr>
            <w:r>
              <w:rPr>
                <w:rFonts w:ascii="Arial" w:cs="Arial" w:eastAsia="Arial" w:hAnsi="Arial"/>
                <w:sz w:val="13"/>
                <w:szCs w:val="13"/>
                <w:color w:val="auto"/>
              </w:rPr>
              <w:t>3,184,219</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3,184,222</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2,292,640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(PIK 11.00%)</w:t>
            </w:r>
          </w:p>
        </w:tc>
        <w:tc>
          <w:tcPr>
            <w:tcW w:w="780" w:type="dxa"/>
            <w:vAlign w:val="bottom"/>
          </w:tcPr>
          <w:p>
            <w:pPr>
              <w:spacing w:after="0"/>
              <w:rPr>
                <w:sz w:val="14"/>
                <w:szCs w:val="14"/>
                <w:color w:val="auto"/>
              </w:rPr>
            </w:pP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3"/>
                <w:szCs w:val="13"/>
                <w:color w:val="auto"/>
              </w:rPr>
              <w:t>Paradigm Management Services, LLC</w:t>
            </w:r>
          </w:p>
        </w:tc>
        <w:tc>
          <w:tcPr>
            <w:tcW w:w="14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07/31/2017</w:t>
            </w:r>
          </w:p>
        </w:tc>
        <w:tc>
          <w:tcPr>
            <w:tcW w:w="176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3"/>
              </w:rPr>
              <w:t>Healthcare, Education and</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12.50%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L+1,100</w:t>
            </w:r>
          </w:p>
        </w:tc>
        <w:tc>
          <w:tcPr>
            <w:tcW w:w="260" w:type="dxa"/>
            <w:vAlign w:val="bottom"/>
            <w:vMerge w:val="continue"/>
          </w:tcPr>
          <w:p>
            <w:pPr>
              <w:spacing w:after="0"/>
              <w:rPr>
                <w:sz w:val="12"/>
                <w:szCs w:val="12"/>
                <w:color w:val="auto"/>
              </w:rPr>
            </w:pPr>
          </w:p>
        </w:tc>
        <w:tc>
          <w:tcPr>
            <w:tcW w:w="1160" w:type="dxa"/>
            <w:vAlign w:val="bottom"/>
            <w:gridSpan w:val="2"/>
          </w:tcPr>
          <w:p>
            <w:pPr>
              <w:jc w:val="right"/>
              <w:ind w:right="420"/>
              <w:spacing w:after="0" w:line="138" w:lineRule="exact"/>
              <w:rPr>
                <w:sz w:val="20"/>
                <w:szCs w:val="20"/>
                <w:color w:val="auto"/>
              </w:rPr>
            </w:pPr>
            <w:r>
              <w:rPr>
                <w:rFonts w:ascii="Arial" w:cs="Arial" w:eastAsia="Arial" w:hAnsi="Arial"/>
                <w:sz w:val="13"/>
                <w:szCs w:val="13"/>
                <w:color w:val="auto"/>
              </w:rPr>
              <w:t>20,512,821</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20,059,979</w:t>
            </w:r>
          </w:p>
        </w:tc>
        <w:tc>
          <w:tcPr>
            <w:tcW w:w="240" w:type="dxa"/>
            <w:vAlign w:val="bottom"/>
          </w:tcPr>
          <w:p>
            <w:pPr>
              <w:spacing w:after="0"/>
              <w:rPr>
                <w:sz w:val="12"/>
                <w:szCs w:val="12"/>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20,512,821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60" w:type="dxa"/>
            <w:vAlign w:val="bottom"/>
          </w:tcPr>
          <w:p>
            <w:pPr>
              <w:jc w:val="center"/>
              <w:ind w:left="13"/>
              <w:spacing w:after="0"/>
              <w:rPr>
                <w:sz w:val="20"/>
                <w:szCs w:val="20"/>
                <w:color w:val="auto"/>
              </w:rPr>
            </w:pPr>
            <w:r>
              <w:rPr>
                <w:rFonts w:ascii="Arial" w:cs="Arial" w:eastAsia="Arial" w:hAnsi="Arial"/>
                <w:sz w:val="13"/>
                <w:szCs w:val="13"/>
                <w:color w:val="auto"/>
                <w:w w:val="94"/>
              </w:rPr>
              <w:t>Childcare</w:t>
            </w: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Questex Media Group LLC, Term Loan A</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12/15/2014</w:t>
            </w:r>
          </w:p>
        </w:tc>
        <w:tc>
          <w:tcPr>
            <w:tcW w:w="176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5"/>
              </w:rPr>
              <w:t>Other Media</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9.50%</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L+650</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88"/>
              </w:rPr>
              <w:t>(8)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2,752,666</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2,752,666</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2,584,753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3"/>
                <w:szCs w:val="13"/>
                <w:color w:val="auto"/>
              </w:rPr>
              <w:t>Questex Media Group LLC, Term Loan B</w:t>
            </w:r>
          </w:p>
        </w:tc>
        <w:tc>
          <w:tcPr>
            <w:tcW w:w="14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12/15/2015</w:t>
            </w:r>
          </w:p>
        </w:tc>
        <w:tc>
          <w:tcPr>
            <w:tcW w:w="176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5"/>
              </w:rPr>
              <w:t>Other Media</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11.50%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L+850</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(8)</w:t>
            </w:r>
          </w:p>
        </w:tc>
        <w:tc>
          <w:tcPr>
            <w:tcW w:w="1160" w:type="dxa"/>
            <w:vAlign w:val="bottom"/>
            <w:gridSpan w:val="2"/>
          </w:tcPr>
          <w:p>
            <w:pPr>
              <w:jc w:val="right"/>
              <w:ind w:right="420"/>
              <w:spacing w:after="0" w:line="138" w:lineRule="exact"/>
              <w:rPr>
                <w:sz w:val="20"/>
                <w:szCs w:val="20"/>
                <w:color w:val="auto"/>
              </w:rPr>
            </w:pPr>
            <w:r>
              <w:rPr>
                <w:rFonts w:ascii="Arial" w:cs="Arial" w:eastAsia="Arial" w:hAnsi="Arial"/>
                <w:sz w:val="13"/>
                <w:szCs w:val="13"/>
                <w:color w:val="auto"/>
              </w:rPr>
              <w:t>2,230,508</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2,230,508</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2,002,996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(PIK 11.50%)</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Realogy Corp.</w:t>
            </w:r>
          </w:p>
        </w:tc>
        <w:tc>
          <w:tcPr>
            <w:tcW w:w="14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10/15/2017</w:t>
            </w:r>
          </w:p>
        </w:tc>
        <w:tc>
          <w:tcPr>
            <w:tcW w:w="1760" w:type="dxa"/>
            <w:vAlign w:val="bottom"/>
            <w:shd w:val="clear" w:color="auto" w:fill="CCEEFF"/>
          </w:tcPr>
          <w:p>
            <w:pPr>
              <w:jc w:val="center"/>
              <w:ind w:left="13"/>
              <w:spacing w:after="0" w:line="138" w:lineRule="exact"/>
              <w:rPr>
                <w:sz w:val="20"/>
                <w:szCs w:val="20"/>
                <w:color w:val="auto"/>
              </w:rPr>
            </w:pPr>
            <w:r>
              <w:rPr>
                <w:rFonts w:ascii="Arial" w:cs="Arial" w:eastAsia="Arial" w:hAnsi="Arial"/>
                <w:sz w:val="13"/>
                <w:szCs w:val="13"/>
                <w:color w:val="auto"/>
                <w:w w:val="95"/>
              </w:rPr>
              <w:t>Buildings and Real</w:t>
            </w:r>
          </w:p>
        </w:tc>
        <w:tc>
          <w:tcPr>
            <w:tcW w:w="98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13.50%</w:t>
            </w:r>
          </w:p>
        </w:tc>
        <w:tc>
          <w:tcPr>
            <w:tcW w:w="78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3"/>
                <w:szCs w:val="13"/>
                <w:color w:val="auto"/>
              </w:rPr>
              <w:t>10,000,000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10,000,000</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10,062,500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76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86"/>
              </w:rPr>
              <w:t>Estate</w:t>
            </w:r>
          </w:p>
        </w:tc>
        <w:tc>
          <w:tcPr>
            <w:tcW w:w="9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3"/>
                <w:szCs w:val="13"/>
                <w:color w:val="auto"/>
              </w:rPr>
              <w:t>ROC Finance LLC and ROC Finance 1 Corp.</w:t>
            </w:r>
          </w:p>
        </w:tc>
        <w:tc>
          <w:tcPr>
            <w:tcW w:w="14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09/01/2018</w:t>
            </w:r>
          </w:p>
        </w:tc>
        <w:tc>
          <w:tcPr>
            <w:tcW w:w="176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7"/>
              </w:rPr>
              <w:t>Hotels, Motels,</w:t>
            </w:r>
          </w:p>
        </w:tc>
        <w:tc>
          <w:tcPr>
            <w:tcW w:w="98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12.13%</w:t>
            </w:r>
          </w:p>
        </w:tc>
        <w:tc>
          <w:tcPr>
            <w:tcW w:w="78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160" w:type="dxa"/>
            <w:vAlign w:val="bottom"/>
            <w:gridSpan w:val="2"/>
          </w:tcPr>
          <w:p>
            <w:pPr>
              <w:jc w:val="right"/>
              <w:ind w:right="420"/>
              <w:spacing w:after="0" w:line="138" w:lineRule="exact"/>
              <w:rPr>
                <w:sz w:val="20"/>
                <w:szCs w:val="20"/>
                <w:color w:val="auto"/>
              </w:rPr>
            </w:pPr>
            <w:r>
              <w:rPr>
                <w:rFonts w:ascii="Arial" w:cs="Arial" w:eastAsia="Arial" w:hAnsi="Arial"/>
                <w:sz w:val="13"/>
                <w:szCs w:val="13"/>
                <w:color w:val="auto"/>
              </w:rPr>
              <w:t>16,000,000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15,752,822</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18,560,000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60" w:type="dxa"/>
            <w:vAlign w:val="bottom"/>
          </w:tcPr>
          <w:p>
            <w:pPr>
              <w:jc w:val="center"/>
              <w:ind w:left="13"/>
              <w:spacing w:after="0"/>
              <w:rPr>
                <w:sz w:val="20"/>
                <w:szCs w:val="20"/>
                <w:color w:val="auto"/>
              </w:rPr>
            </w:pPr>
            <w:r>
              <w:rPr>
                <w:rFonts w:ascii="Arial" w:cs="Arial" w:eastAsia="Arial" w:hAnsi="Arial"/>
                <w:sz w:val="13"/>
                <w:szCs w:val="13"/>
                <w:color w:val="auto"/>
                <w:w w:val="92"/>
              </w:rPr>
              <w:t>Inns and Gaming</w:t>
            </w: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TransFirst Holdings, Inc.</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06/15/2015</w:t>
            </w:r>
          </w:p>
        </w:tc>
        <w:tc>
          <w:tcPr>
            <w:tcW w:w="176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4"/>
              </w:rPr>
              <w:t>Financial Services</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6.22%</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L+600</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7,811,488</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7,511,344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7,411,149</w:t>
            </w:r>
          </w:p>
        </w:tc>
        <w:tc>
          <w:tcPr>
            <w:tcW w:w="0" w:type="dxa"/>
            <w:vAlign w:val="bottom"/>
          </w:tcPr>
          <w:p>
            <w:pPr>
              <w:spacing w:after="0"/>
              <w:rPr>
                <w:sz w:val="1"/>
                <w:szCs w:val="1"/>
                <w:color w:val="auto"/>
              </w:rPr>
            </w:pPr>
          </w:p>
        </w:tc>
      </w:tr>
      <w:tr>
        <w:trPr>
          <w:trHeight w:val="155"/>
        </w:trPr>
        <w:tc>
          <w:tcPr>
            <w:tcW w:w="3100" w:type="dxa"/>
            <w:vAlign w:val="bottom"/>
          </w:tcPr>
          <w:p>
            <w:pPr>
              <w:spacing w:after="0"/>
              <w:rPr>
                <w:sz w:val="20"/>
                <w:szCs w:val="20"/>
                <w:color w:val="auto"/>
              </w:rPr>
            </w:pPr>
            <w:r>
              <w:rPr>
                <w:rFonts w:ascii="Arial" w:cs="Arial" w:eastAsia="Arial" w:hAnsi="Arial"/>
                <w:sz w:val="13"/>
                <w:szCs w:val="13"/>
                <w:b w:val="1"/>
                <w:bCs w:val="1"/>
                <w:color w:val="auto"/>
              </w:rPr>
              <w:t>Total Second Lien Secured Debt</w:t>
            </w:r>
          </w:p>
        </w:tc>
        <w:tc>
          <w:tcPr>
            <w:tcW w:w="1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188,644,968</w:t>
            </w:r>
          </w:p>
        </w:tc>
        <w:tc>
          <w:tcPr>
            <w:tcW w:w="2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169,366,959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-4731385</wp:posOffset>
            </wp:positionV>
            <wp:extent cx="7132320" cy="9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-2553970</wp:posOffset>
            </wp:positionV>
            <wp:extent cx="713232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96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Basis Point</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Spread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540" w:type="dxa"/>
            <w:vAlign w:val="bottom"/>
            <w:gridSpan w:val="2"/>
            <w:vMerge w:val="restart"/>
          </w:tcPr>
          <w:p>
            <w:pPr>
              <w:jc w:val="center"/>
              <w:ind w:left="453"/>
              <w:spacing w:after="0"/>
              <w:rPr>
                <w:sz w:val="20"/>
                <w:szCs w:val="20"/>
                <w:color w:val="auto"/>
              </w:rPr>
            </w:pPr>
            <w:r>
              <w:rPr>
                <w:rFonts w:ascii="Arial" w:cs="Arial" w:eastAsia="Arial" w:hAnsi="Arial"/>
                <w:sz w:val="13"/>
                <w:szCs w:val="13"/>
                <w:b w:val="1"/>
                <w:bCs w:val="1"/>
                <w:color w:val="auto"/>
              </w:rPr>
              <w:t>Maturity</w:t>
            </w: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Industry</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Current</w:t>
            </w:r>
          </w:p>
        </w:tc>
        <w:tc>
          <w:tcPr>
            <w:tcW w:w="3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Above</w:t>
            </w: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Par /</w:t>
            </w:r>
          </w:p>
        </w:tc>
        <w:tc>
          <w:tcPr>
            <w:tcW w:w="98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580" w:type="dxa"/>
            <w:vAlign w:val="bottom"/>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Coupon</w:t>
            </w:r>
          </w:p>
        </w:tc>
        <w:tc>
          <w:tcPr>
            <w:tcW w:w="36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Shares</w:t>
            </w:r>
          </w:p>
        </w:tc>
        <w:tc>
          <w:tcPr>
            <w:tcW w:w="980" w:type="dxa"/>
            <w:vAlign w:val="bottom"/>
            <w:gridSpan w:val="2"/>
            <w:vMerge w:val="continue"/>
          </w:tcPr>
          <w:p>
            <w:pPr>
              <w:spacing w:after="0"/>
              <w:rPr>
                <w:sz w:val="12"/>
                <w:szCs w:val="12"/>
                <w:color w:val="auto"/>
              </w:rPr>
            </w:pPr>
          </w:p>
        </w:tc>
        <w:tc>
          <w:tcPr>
            <w:tcW w:w="76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Subordinated Debt/Corporate Notes—52.4%</w:t>
            </w:r>
          </w:p>
        </w:tc>
        <w:tc>
          <w:tcPr>
            <w:tcW w:w="13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20"/>
                <w:szCs w:val="20"/>
                <w:color w:val="auto"/>
              </w:rPr>
            </w:pPr>
            <w:r>
              <w:rPr>
                <w:rFonts w:ascii="Arial" w:cs="Arial" w:eastAsia="Arial" w:hAnsi="Arial"/>
                <w:sz w:val="13"/>
                <w:szCs w:val="13"/>
                <w:color w:val="auto"/>
              </w:rPr>
              <w:t>Acentia, LLC</w:t>
            </w:r>
          </w:p>
        </w:tc>
        <w:tc>
          <w:tcPr>
            <w:tcW w:w="1340" w:type="dxa"/>
            <w:vAlign w:val="bottom"/>
          </w:tcPr>
          <w:p>
            <w:pPr>
              <w:jc w:val="center"/>
              <w:ind w:left="653"/>
              <w:spacing w:after="0"/>
              <w:rPr>
                <w:sz w:val="20"/>
                <w:szCs w:val="20"/>
                <w:color w:val="auto"/>
              </w:rPr>
            </w:pPr>
            <w:r>
              <w:rPr>
                <w:rFonts w:ascii="Arial" w:cs="Arial" w:eastAsia="Arial" w:hAnsi="Arial"/>
                <w:sz w:val="13"/>
                <w:szCs w:val="13"/>
                <w:color w:val="auto"/>
                <w:w w:val="95"/>
              </w:rPr>
              <w:t>10/02/2017</w:t>
            </w:r>
          </w:p>
        </w:tc>
        <w:tc>
          <w:tcPr>
            <w:tcW w:w="200" w:type="dxa"/>
            <w:vAlign w:val="bottom"/>
          </w:tcPr>
          <w:p>
            <w:pPr>
              <w:spacing w:after="0"/>
              <w:rPr>
                <w:sz w:val="12"/>
                <w:szCs w:val="12"/>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Electronics</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13.75%</w:t>
            </w:r>
          </w:p>
        </w:tc>
        <w:tc>
          <w:tcPr>
            <w:tcW w:w="360" w:type="dxa"/>
            <w:vAlign w:val="bottom"/>
          </w:tcPr>
          <w:p>
            <w:pPr>
              <w:spacing w:after="0"/>
              <w:rPr>
                <w:sz w:val="12"/>
                <w:szCs w:val="12"/>
                <w:color w:val="auto"/>
              </w:rPr>
            </w:pPr>
          </w:p>
        </w:tc>
        <w:tc>
          <w:tcPr>
            <w:tcW w:w="8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19,000,000</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4"/>
              </w:rPr>
              <w:t>$ 18,563,943</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w w:val="97"/>
              </w:rPr>
              <w:t>$ 19,000,000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1340" w:type="dxa"/>
            <w:vAlign w:val="bottom"/>
            <w:shd w:val="clear" w:color="auto" w:fill="CCEEFF"/>
          </w:tcPr>
          <w:p>
            <w:pPr>
              <w:jc w:val="center"/>
              <w:ind w:left="653"/>
              <w:spacing w:after="0"/>
              <w:rPr>
                <w:sz w:val="20"/>
                <w:szCs w:val="20"/>
                <w:color w:val="auto"/>
              </w:rPr>
            </w:pPr>
            <w:r>
              <w:rPr>
                <w:rFonts w:ascii="Arial" w:cs="Arial" w:eastAsia="Arial" w:hAnsi="Arial"/>
                <w:sz w:val="13"/>
                <w:szCs w:val="13"/>
                <w:color w:val="auto"/>
                <w:w w:val="95"/>
              </w:rPr>
              <w:t>11/15/2015</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2"/>
              </w:rPr>
              <w:t>Consumer Products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11.63%</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35,552,000</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34,172,451</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24,175,360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20"/>
                <w:szCs w:val="20"/>
                <w:color w:val="auto"/>
              </w:rPr>
            </w:pPr>
            <w:r>
              <w:rPr>
                <w:rFonts w:ascii="Arial" w:cs="Arial" w:eastAsia="Arial" w:hAnsi="Arial"/>
                <w:sz w:val="13"/>
                <w:szCs w:val="13"/>
                <w:color w:val="auto"/>
              </w:rPr>
              <w:t>Alegeus Technologies, LLC</w:t>
            </w:r>
          </w:p>
        </w:tc>
        <w:tc>
          <w:tcPr>
            <w:tcW w:w="1340" w:type="dxa"/>
            <w:vAlign w:val="bottom"/>
          </w:tcPr>
          <w:p>
            <w:pPr>
              <w:jc w:val="center"/>
              <w:ind w:left="653"/>
              <w:spacing w:after="0"/>
              <w:rPr>
                <w:sz w:val="20"/>
                <w:szCs w:val="20"/>
                <w:color w:val="auto"/>
              </w:rPr>
            </w:pPr>
            <w:r>
              <w:rPr>
                <w:rFonts w:ascii="Arial" w:cs="Arial" w:eastAsia="Arial" w:hAnsi="Arial"/>
                <w:sz w:val="13"/>
                <w:szCs w:val="13"/>
                <w:color w:val="auto"/>
                <w:w w:val="95"/>
              </w:rPr>
              <w:t>02/15/2019</w:t>
            </w:r>
          </w:p>
        </w:tc>
        <w:tc>
          <w:tcPr>
            <w:tcW w:w="200" w:type="dxa"/>
            <w:vAlign w:val="bottom"/>
          </w:tcPr>
          <w:p>
            <w:pPr>
              <w:spacing w:after="0"/>
              <w:rPr>
                <w:sz w:val="12"/>
                <w:szCs w:val="12"/>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3"/>
                <w:szCs w:val="13"/>
                <w:color w:val="auto"/>
                <w:w w:val="92"/>
              </w:rPr>
              <w:t>Financial Services</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12.00%</w:t>
            </w:r>
          </w:p>
        </w:tc>
        <w:tc>
          <w:tcPr>
            <w:tcW w:w="360" w:type="dxa"/>
            <w:vAlign w:val="bottom"/>
          </w:tcPr>
          <w:p>
            <w:pPr>
              <w:spacing w:after="0"/>
              <w:rPr>
                <w:sz w:val="12"/>
                <w:szCs w:val="12"/>
                <w:color w:val="auto"/>
              </w:rPr>
            </w:pPr>
          </w:p>
        </w:tc>
        <w:tc>
          <w:tcPr>
            <w:tcW w:w="8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8,930,000</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8,754,461</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8,930,000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Convergint Technologies LLC</w:t>
            </w:r>
          </w:p>
        </w:tc>
        <w:tc>
          <w:tcPr>
            <w:tcW w:w="1340" w:type="dxa"/>
            <w:vAlign w:val="bottom"/>
            <w:shd w:val="clear" w:color="auto" w:fill="CCEEFF"/>
          </w:tcPr>
          <w:p>
            <w:pPr>
              <w:jc w:val="center"/>
              <w:ind w:left="653"/>
              <w:spacing w:after="0" w:line="138" w:lineRule="exact"/>
              <w:rPr>
                <w:sz w:val="20"/>
                <w:szCs w:val="20"/>
                <w:color w:val="auto"/>
              </w:rPr>
            </w:pPr>
            <w:r>
              <w:rPr>
                <w:rFonts w:ascii="Arial" w:cs="Arial" w:eastAsia="Arial" w:hAnsi="Arial"/>
                <w:sz w:val="13"/>
                <w:szCs w:val="13"/>
                <w:color w:val="auto"/>
                <w:w w:val="95"/>
              </w:rPr>
              <w:t>03/26/2018</w:t>
            </w:r>
          </w:p>
        </w:tc>
        <w:tc>
          <w:tcPr>
            <w:tcW w:w="2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7"/>
              </w:rPr>
              <w:t>Electronics</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12.00%</w:t>
            </w:r>
          </w:p>
        </w:tc>
        <w:tc>
          <w:tcPr>
            <w:tcW w:w="3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23,277,586</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22,812,086</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22,812,034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284"/>
              <w:spacing w:after="0"/>
              <w:rPr>
                <w:sz w:val="20"/>
                <w:szCs w:val="20"/>
                <w:color w:val="auto"/>
              </w:rPr>
            </w:pPr>
            <w:r>
              <w:rPr>
                <w:rFonts w:ascii="Arial" w:cs="Arial" w:eastAsia="Arial" w:hAnsi="Arial"/>
                <w:sz w:val="13"/>
                <w:szCs w:val="13"/>
                <w:color w:val="auto"/>
              </w:rPr>
              <w:t>(PIK 1.00%)</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Diversitech Corporation</w:t>
            </w:r>
          </w:p>
        </w:tc>
        <w:tc>
          <w:tcPr>
            <w:tcW w:w="1340" w:type="dxa"/>
            <w:vAlign w:val="bottom"/>
          </w:tcPr>
          <w:p>
            <w:pPr>
              <w:jc w:val="center"/>
              <w:ind w:left="653"/>
              <w:spacing w:after="0" w:line="138" w:lineRule="exact"/>
              <w:rPr>
                <w:sz w:val="20"/>
                <w:szCs w:val="20"/>
                <w:color w:val="auto"/>
              </w:rPr>
            </w:pPr>
            <w:r>
              <w:rPr>
                <w:rFonts w:ascii="Arial" w:cs="Arial" w:eastAsia="Arial" w:hAnsi="Arial"/>
                <w:sz w:val="13"/>
                <w:szCs w:val="13"/>
                <w:color w:val="auto"/>
                <w:w w:val="95"/>
              </w:rPr>
              <w:t>01/29/2017</w:t>
            </w:r>
          </w:p>
        </w:tc>
        <w:tc>
          <w:tcPr>
            <w:tcW w:w="200" w:type="dxa"/>
            <w:vAlign w:val="bottom"/>
          </w:tcPr>
          <w:p>
            <w:pPr>
              <w:spacing w:after="0"/>
              <w:rPr>
                <w:sz w:val="11"/>
                <w:szCs w:val="11"/>
                <w:color w:val="auto"/>
              </w:rPr>
            </w:pPr>
          </w:p>
        </w:tc>
        <w:tc>
          <w:tcPr>
            <w:tcW w:w="13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7"/>
              </w:rPr>
              <w:t>Manufacturing/</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13.50%</w:t>
            </w:r>
          </w:p>
        </w:tc>
        <w:tc>
          <w:tcPr>
            <w:tcW w:w="360" w:type="dxa"/>
            <w:vAlign w:val="bottom"/>
          </w:tcPr>
          <w:p>
            <w:pPr>
              <w:jc w:val="right"/>
              <w:ind w:right="164"/>
              <w:spacing w:after="0"/>
              <w:rPr>
                <w:sz w:val="20"/>
                <w:szCs w:val="20"/>
                <w:color w:val="auto"/>
              </w:rPr>
            </w:pPr>
            <w:r>
              <w:rPr>
                <w:rFonts w:ascii="Arial" w:cs="Arial" w:eastAsia="Arial" w:hAnsi="Arial"/>
                <w:sz w:val="11"/>
                <w:szCs w:val="11"/>
                <w:color w:val="auto"/>
                <w:w w:val="88"/>
              </w:rPr>
              <w:t>(7)</w:t>
            </w:r>
          </w:p>
        </w:tc>
        <w:tc>
          <w:tcPr>
            <w:tcW w:w="8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w w:val="98"/>
              </w:rPr>
              <w:t>11,000,000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10,836,901</w:t>
            </w:r>
          </w:p>
        </w:tc>
        <w:tc>
          <w:tcPr>
            <w:tcW w:w="240" w:type="dxa"/>
            <w:vAlign w:val="bottom"/>
          </w:tcPr>
          <w:p>
            <w:pPr>
              <w:spacing w:after="0"/>
              <w:rPr>
                <w:sz w:val="11"/>
                <w:szCs w:val="11"/>
                <w:color w:val="auto"/>
              </w:rPr>
            </w:pPr>
          </w:p>
        </w:tc>
        <w:tc>
          <w:tcPr>
            <w:tcW w:w="82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11,275,000</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Basic Industry</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Escort, Inc.</w:t>
            </w:r>
          </w:p>
        </w:tc>
        <w:tc>
          <w:tcPr>
            <w:tcW w:w="1340" w:type="dxa"/>
            <w:vAlign w:val="bottom"/>
            <w:shd w:val="clear" w:color="auto" w:fill="CCEEFF"/>
          </w:tcPr>
          <w:p>
            <w:pPr>
              <w:jc w:val="center"/>
              <w:ind w:left="653"/>
              <w:spacing w:after="0" w:line="138" w:lineRule="exact"/>
              <w:rPr>
                <w:sz w:val="20"/>
                <w:szCs w:val="20"/>
                <w:color w:val="auto"/>
              </w:rPr>
            </w:pPr>
            <w:r>
              <w:rPr>
                <w:rFonts w:ascii="Arial" w:cs="Arial" w:eastAsia="Arial" w:hAnsi="Arial"/>
                <w:sz w:val="13"/>
                <w:szCs w:val="13"/>
                <w:color w:val="auto"/>
                <w:w w:val="95"/>
              </w:rPr>
              <w:t>06/01/2016</w:t>
            </w:r>
          </w:p>
        </w:tc>
        <w:tc>
          <w:tcPr>
            <w:tcW w:w="2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7"/>
              </w:rPr>
              <w:t>Electronics</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14.75%</w:t>
            </w:r>
          </w:p>
        </w:tc>
        <w:tc>
          <w:tcPr>
            <w:tcW w:w="3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25,254,035</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24,751,548</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25,254,035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284"/>
              <w:spacing w:after="0"/>
              <w:rPr>
                <w:sz w:val="20"/>
                <w:szCs w:val="20"/>
                <w:color w:val="auto"/>
              </w:rPr>
            </w:pPr>
            <w:r>
              <w:rPr>
                <w:rFonts w:ascii="Arial" w:cs="Arial" w:eastAsia="Arial" w:hAnsi="Arial"/>
                <w:sz w:val="13"/>
                <w:szCs w:val="13"/>
                <w:color w:val="auto"/>
              </w:rPr>
              <w:t>(PIK 2.75%)</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Galls, LLC; Quartermaster Inc.</w:t>
            </w:r>
          </w:p>
        </w:tc>
        <w:tc>
          <w:tcPr>
            <w:tcW w:w="1340" w:type="dxa"/>
            <w:vAlign w:val="bottom"/>
          </w:tcPr>
          <w:p>
            <w:pPr>
              <w:jc w:val="center"/>
              <w:ind w:left="653"/>
              <w:spacing w:after="0" w:line="138" w:lineRule="exact"/>
              <w:rPr>
                <w:sz w:val="20"/>
                <w:szCs w:val="20"/>
                <w:color w:val="auto"/>
              </w:rPr>
            </w:pPr>
            <w:r>
              <w:rPr>
                <w:rFonts w:ascii="Arial" w:cs="Arial" w:eastAsia="Arial" w:hAnsi="Arial"/>
                <w:sz w:val="13"/>
                <w:szCs w:val="13"/>
                <w:color w:val="auto"/>
                <w:w w:val="95"/>
              </w:rPr>
              <w:t>03/31/2017</w:t>
            </w:r>
          </w:p>
        </w:tc>
        <w:tc>
          <w:tcPr>
            <w:tcW w:w="200" w:type="dxa"/>
            <w:vAlign w:val="bottom"/>
          </w:tcPr>
          <w:p>
            <w:pPr>
              <w:spacing w:after="0"/>
              <w:rPr>
                <w:sz w:val="11"/>
                <w:szCs w:val="11"/>
                <w:color w:val="auto"/>
              </w:rPr>
            </w:pPr>
          </w:p>
        </w:tc>
        <w:tc>
          <w:tcPr>
            <w:tcW w:w="138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rPr>
              <w:t>Distribution</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13.00%</w:t>
            </w:r>
          </w:p>
        </w:tc>
        <w:tc>
          <w:tcPr>
            <w:tcW w:w="360" w:type="dxa"/>
            <w:vAlign w:val="bottom"/>
          </w:tcPr>
          <w:p>
            <w:pPr>
              <w:spacing w:after="0"/>
              <w:rPr>
                <w:sz w:val="11"/>
                <w:szCs w:val="11"/>
                <w:color w:val="auto"/>
              </w:rPr>
            </w:pPr>
          </w:p>
        </w:tc>
        <w:tc>
          <w:tcPr>
            <w:tcW w:w="8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21,797,263</w:t>
            </w:r>
          </w:p>
        </w:tc>
        <w:tc>
          <w:tcPr>
            <w:tcW w:w="2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21,399,764</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21,906,249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3"/>
          </w:tcPr>
          <w:p>
            <w:pPr>
              <w:jc w:val="right"/>
              <w:ind w:right="284"/>
              <w:spacing w:after="0"/>
              <w:rPr>
                <w:sz w:val="20"/>
                <w:szCs w:val="20"/>
                <w:color w:val="auto"/>
              </w:rPr>
            </w:pPr>
            <w:r>
              <w:rPr>
                <w:rFonts w:ascii="Arial" w:cs="Arial" w:eastAsia="Arial" w:hAnsi="Arial"/>
                <w:sz w:val="13"/>
                <w:szCs w:val="13"/>
                <w:color w:val="auto"/>
              </w:rPr>
              <w:t>(PIK 2.00%)</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JF Acquisition, LLC</w:t>
            </w:r>
          </w:p>
        </w:tc>
        <w:tc>
          <w:tcPr>
            <w:tcW w:w="1340" w:type="dxa"/>
            <w:vAlign w:val="bottom"/>
            <w:shd w:val="clear" w:color="auto" w:fill="CCEEFF"/>
          </w:tcPr>
          <w:p>
            <w:pPr>
              <w:jc w:val="center"/>
              <w:ind w:left="653"/>
              <w:spacing w:after="0" w:line="138" w:lineRule="exact"/>
              <w:rPr>
                <w:sz w:val="20"/>
                <w:szCs w:val="20"/>
                <w:color w:val="auto"/>
              </w:rPr>
            </w:pPr>
            <w:r>
              <w:rPr>
                <w:rFonts w:ascii="Arial" w:cs="Arial" w:eastAsia="Arial" w:hAnsi="Arial"/>
                <w:sz w:val="13"/>
                <w:szCs w:val="13"/>
                <w:color w:val="auto"/>
                <w:w w:val="95"/>
              </w:rPr>
              <w:t>06/30/2017</w:t>
            </w:r>
          </w:p>
        </w:tc>
        <w:tc>
          <w:tcPr>
            <w:tcW w:w="2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rPr>
              <w:t>Distribution</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14.00%</w:t>
            </w:r>
          </w:p>
        </w:tc>
        <w:tc>
          <w:tcPr>
            <w:tcW w:w="3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17,171,374</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16,748,220</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17,377,430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284"/>
              <w:spacing w:after="0"/>
              <w:rPr>
                <w:sz w:val="20"/>
                <w:szCs w:val="20"/>
                <w:color w:val="auto"/>
              </w:rPr>
            </w:pPr>
            <w:r>
              <w:rPr>
                <w:rFonts w:ascii="Arial" w:cs="Arial" w:eastAsia="Arial" w:hAnsi="Arial"/>
                <w:sz w:val="13"/>
                <w:szCs w:val="13"/>
                <w:color w:val="auto"/>
              </w:rPr>
              <w:t>(PIK 2.00%)</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Last Mile Funding Corp.</w:t>
            </w:r>
          </w:p>
        </w:tc>
        <w:tc>
          <w:tcPr>
            <w:tcW w:w="1340" w:type="dxa"/>
            <w:vAlign w:val="bottom"/>
          </w:tcPr>
          <w:p>
            <w:pPr>
              <w:jc w:val="center"/>
              <w:ind w:left="653"/>
              <w:spacing w:after="0" w:line="138" w:lineRule="exact"/>
              <w:rPr>
                <w:sz w:val="20"/>
                <w:szCs w:val="20"/>
                <w:color w:val="auto"/>
              </w:rPr>
            </w:pPr>
            <w:r>
              <w:rPr>
                <w:rFonts w:ascii="Arial" w:cs="Arial" w:eastAsia="Arial" w:hAnsi="Arial"/>
                <w:sz w:val="13"/>
                <w:szCs w:val="13"/>
                <w:color w:val="auto"/>
                <w:w w:val="95"/>
              </w:rPr>
              <w:t>06/30/2016</w:t>
            </w:r>
          </w:p>
        </w:tc>
        <w:tc>
          <w:tcPr>
            <w:tcW w:w="200" w:type="dxa"/>
            <w:vAlign w:val="bottom"/>
          </w:tcPr>
          <w:p>
            <w:pPr>
              <w:spacing w:after="0"/>
              <w:rPr>
                <w:sz w:val="11"/>
                <w:szCs w:val="11"/>
                <w:color w:val="auto"/>
              </w:rPr>
            </w:pPr>
          </w:p>
        </w:tc>
        <w:tc>
          <w:tcPr>
            <w:tcW w:w="13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2"/>
              </w:rPr>
              <w:t>Cargo Transport</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14.50%</w:t>
            </w:r>
          </w:p>
        </w:tc>
        <w:tc>
          <w:tcPr>
            <w:tcW w:w="360" w:type="dxa"/>
            <w:vAlign w:val="bottom"/>
          </w:tcPr>
          <w:p>
            <w:pPr>
              <w:spacing w:after="0"/>
              <w:rPr>
                <w:sz w:val="11"/>
                <w:szCs w:val="11"/>
                <w:color w:val="auto"/>
              </w:rPr>
            </w:pPr>
          </w:p>
        </w:tc>
        <w:tc>
          <w:tcPr>
            <w:tcW w:w="8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45,597,139</w:t>
            </w:r>
          </w:p>
        </w:tc>
        <w:tc>
          <w:tcPr>
            <w:tcW w:w="2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44,677,474</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45,095,570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3"/>
          </w:tcPr>
          <w:p>
            <w:pPr>
              <w:jc w:val="right"/>
              <w:ind w:right="284"/>
              <w:spacing w:after="0"/>
              <w:rPr>
                <w:sz w:val="20"/>
                <w:szCs w:val="20"/>
                <w:color w:val="auto"/>
              </w:rPr>
            </w:pPr>
            <w:r>
              <w:rPr>
                <w:rFonts w:ascii="Arial" w:cs="Arial" w:eastAsia="Arial" w:hAnsi="Arial"/>
                <w:sz w:val="13"/>
                <w:szCs w:val="13"/>
                <w:color w:val="auto"/>
              </w:rPr>
              <w:t>(PIK 2.50%)</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Learning Care Group (US) Inc.</w:t>
            </w:r>
          </w:p>
        </w:tc>
        <w:tc>
          <w:tcPr>
            <w:tcW w:w="1340" w:type="dxa"/>
            <w:vAlign w:val="bottom"/>
            <w:shd w:val="clear" w:color="auto" w:fill="CCEEFF"/>
          </w:tcPr>
          <w:p>
            <w:pPr>
              <w:jc w:val="center"/>
              <w:ind w:left="653"/>
              <w:spacing w:after="0" w:line="138" w:lineRule="exact"/>
              <w:rPr>
                <w:sz w:val="20"/>
                <w:szCs w:val="20"/>
                <w:color w:val="auto"/>
              </w:rPr>
            </w:pPr>
            <w:r>
              <w:rPr>
                <w:rFonts w:ascii="Arial" w:cs="Arial" w:eastAsia="Arial" w:hAnsi="Arial"/>
                <w:sz w:val="13"/>
                <w:szCs w:val="13"/>
                <w:color w:val="auto"/>
                <w:w w:val="95"/>
              </w:rPr>
              <w:t>06/30/2016</w:t>
            </w:r>
          </w:p>
        </w:tc>
        <w:tc>
          <w:tcPr>
            <w:tcW w:w="2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3"/>
              </w:rPr>
              <w:t>Education</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15.00%</w:t>
            </w:r>
          </w:p>
        </w:tc>
        <w:tc>
          <w:tcPr>
            <w:tcW w:w="3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5,277,718</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4,696,436</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4,815,918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284"/>
              <w:spacing w:after="0"/>
              <w:rPr>
                <w:sz w:val="20"/>
                <w:szCs w:val="20"/>
                <w:color w:val="auto"/>
              </w:rPr>
            </w:pPr>
            <w:r>
              <w:rPr>
                <w:rFonts w:ascii="Arial" w:cs="Arial" w:eastAsia="Arial" w:hAnsi="Arial"/>
                <w:sz w:val="13"/>
                <w:szCs w:val="13"/>
                <w:color w:val="auto"/>
              </w:rPr>
              <w:t>(PIK 15.00%)</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LTI Flexible Products, Inc.</w:t>
            </w:r>
          </w:p>
        </w:tc>
        <w:tc>
          <w:tcPr>
            <w:tcW w:w="1340" w:type="dxa"/>
            <w:vAlign w:val="bottom"/>
          </w:tcPr>
          <w:p>
            <w:pPr>
              <w:jc w:val="center"/>
              <w:ind w:left="653"/>
              <w:spacing w:after="0" w:line="138" w:lineRule="exact"/>
              <w:rPr>
                <w:sz w:val="20"/>
                <w:szCs w:val="20"/>
                <w:color w:val="auto"/>
              </w:rPr>
            </w:pPr>
            <w:r>
              <w:rPr>
                <w:rFonts w:ascii="Arial" w:cs="Arial" w:eastAsia="Arial" w:hAnsi="Arial"/>
                <w:sz w:val="13"/>
                <w:szCs w:val="13"/>
                <w:color w:val="auto"/>
                <w:w w:val="95"/>
              </w:rPr>
              <w:t>01/19/2019</w:t>
            </w:r>
          </w:p>
        </w:tc>
        <w:tc>
          <w:tcPr>
            <w:tcW w:w="200" w:type="dxa"/>
            <w:vAlign w:val="bottom"/>
          </w:tcPr>
          <w:p>
            <w:pPr>
              <w:spacing w:after="0"/>
              <w:rPr>
                <w:sz w:val="11"/>
                <w:szCs w:val="11"/>
                <w:color w:val="auto"/>
              </w:rPr>
            </w:pPr>
          </w:p>
        </w:tc>
        <w:tc>
          <w:tcPr>
            <w:tcW w:w="138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4"/>
              </w:rPr>
              <w:t>Chemical, Plastic and</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12.50%</w:t>
            </w:r>
          </w:p>
        </w:tc>
        <w:tc>
          <w:tcPr>
            <w:tcW w:w="360" w:type="dxa"/>
            <w:vAlign w:val="bottom"/>
          </w:tcPr>
          <w:p>
            <w:pPr>
              <w:spacing w:after="0"/>
              <w:rPr>
                <w:sz w:val="11"/>
                <w:szCs w:val="11"/>
                <w:color w:val="auto"/>
              </w:rPr>
            </w:pPr>
          </w:p>
        </w:tc>
        <w:tc>
          <w:tcPr>
            <w:tcW w:w="8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30,000,000</w:t>
            </w:r>
          </w:p>
        </w:tc>
        <w:tc>
          <w:tcPr>
            <w:tcW w:w="2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30,000,000</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30,000,000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3"/>
                <w:szCs w:val="13"/>
                <w:color w:val="auto"/>
                <w:w w:val="93"/>
              </w:rPr>
              <w:t>Rubber</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LTI Flexible Products, Inc.</w:t>
            </w:r>
            <w:r>
              <w:rPr>
                <w:rFonts w:ascii="Arial" w:cs="Arial" w:eastAsia="Arial" w:hAnsi="Arial"/>
                <w:sz w:val="15"/>
                <w:szCs w:val="15"/>
                <w:color w:val="auto"/>
                <w:vertAlign w:val="superscript"/>
              </w:rPr>
              <w:t>(9)</w:t>
            </w:r>
          </w:p>
        </w:tc>
        <w:tc>
          <w:tcPr>
            <w:tcW w:w="1340" w:type="dxa"/>
            <w:vAlign w:val="bottom"/>
            <w:shd w:val="clear" w:color="auto" w:fill="CCEEFF"/>
          </w:tcPr>
          <w:p>
            <w:pPr>
              <w:jc w:val="center"/>
              <w:ind w:left="653"/>
              <w:spacing w:after="0" w:line="138" w:lineRule="exact"/>
              <w:rPr>
                <w:sz w:val="20"/>
                <w:szCs w:val="20"/>
                <w:color w:val="auto"/>
              </w:rPr>
            </w:pPr>
            <w:r>
              <w:rPr>
                <w:rFonts w:ascii="Arial" w:cs="Arial" w:eastAsia="Arial" w:hAnsi="Arial"/>
                <w:sz w:val="13"/>
                <w:szCs w:val="13"/>
                <w:color w:val="auto"/>
                <w:w w:val="95"/>
              </w:rPr>
              <w:t>01/11/2014</w:t>
            </w:r>
          </w:p>
        </w:tc>
        <w:tc>
          <w:tcPr>
            <w:tcW w:w="2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4"/>
              </w:rPr>
              <w:t>Chemical, Plastic and</w:t>
            </w:r>
          </w:p>
        </w:tc>
        <w:tc>
          <w:tcPr>
            <w:tcW w:w="7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5,000,000</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4,825,000</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3"/>
              </w:rPr>
              <w:t>Rubber</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Mailsouth, Inc.</w:t>
            </w:r>
          </w:p>
        </w:tc>
        <w:tc>
          <w:tcPr>
            <w:tcW w:w="1340" w:type="dxa"/>
            <w:vAlign w:val="bottom"/>
          </w:tcPr>
          <w:p>
            <w:pPr>
              <w:jc w:val="center"/>
              <w:ind w:left="653"/>
              <w:spacing w:after="0" w:line="138" w:lineRule="exact"/>
              <w:rPr>
                <w:sz w:val="20"/>
                <w:szCs w:val="20"/>
                <w:color w:val="auto"/>
              </w:rPr>
            </w:pPr>
            <w:r>
              <w:rPr>
                <w:rFonts w:ascii="Arial" w:cs="Arial" w:eastAsia="Arial" w:hAnsi="Arial"/>
                <w:sz w:val="13"/>
                <w:szCs w:val="13"/>
                <w:color w:val="auto"/>
                <w:w w:val="95"/>
              </w:rPr>
              <w:t>06/15/2017</w:t>
            </w:r>
          </w:p>
        </w:tc>
        <w:tc>
          <w:tcPr>
            <w:tcW w:w="200" w:type="dxa"/>
            <w:vAlign w:val="bottom"/>
          </w:tcPr>
          <w:p>
            <w:pPr>
              <w:spacing w:after="0"/>
              <w:rPr>
                <w:sz w:val="11"/>
                <w:szCs w:val="11"/>
                <w:color w:val="auto"/>
              </w:rPr>
            </w:pPr>
          </w:p>
        </w:tc>
        <w:tc>
          <w:tcPr>
            <w:tcW w:w="138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5"/>
              </w:rPr>
              <w:t>Printing</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14.50%</w:t>
            </w:r>
          </w:p>
        </w:tc>
        <w:tc>
          <w:tcPr>
            <w:tcW w:w="360" w:type="dxa"/>
            <w:vAlign w:val="bottom"/>
          </w:tcPr>
          <w:p>
            <w:pPr>
              <w:spacing w:after="0"/>
              <w:rPr>
                <w:sz w:val="11"/>
                <w:szCs w:val="11"/>
                <w:color w:val="auto"/>
              </w:rPr>
            </w:pPr>
          </w:p>
        </w:tc>
        <w:tc>
          <w:tcPr>
            <w:tcW w:w="8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15,000,000</w:t>
            </w:r>
          </w:p>
        </w:tc>
        <w:tc>
          <w:tcPr>
            <w:tcW w:w="2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14,632,413</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15,210,000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and Publishing</w:t>
            </w:r>
          </w:p>
        </w:tc>
        <w:tc>
          <w:tcPr>
            <w:tcW w:w="1140" w:type="dxa"/>
            <w:vAlign w:val="bottom"/>
            <w:gridSpan w:val="3"/>
          </w:tcPr>
          <w:p>
            <w:pPr>
              <w:jc w:val="right"/>
              <w:ind w:right="284"/>
              <w:spacing w:after="0"/>
              <w:rPr>
                <w:sz w:val="20"/>
                <w:szCs w:val="20"/>
                <w:color w:val="auto"/>
              </w:rPr>
            </w:pPr>
            <w:r>
              <w:rPr>
                <w:rFonts w:ascii="Arial" w:cs="Arial" w:eastAsia="Arial" w:hAnsi="Arial"/>
                <w:sz w:val="13"/>
                <w:szCs w:val="13"/>
                <w:color w:val="auto"/>
              </w:rPr>
              <w:t>(PIK 2.00%)</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PAS Technologies, Inc.</w:t>
            </w:r>
          </w:p>
        </w:tc>
        <w:tc>
          <w:tcPr>
            <w:tcW w:w="1340" w:type="dxa"/>
            <w:vAlign w:val="bottom"/>
            <w:shd w:val="clear" w:color="auto" w:fill="CCEEFF"/>
          </w:tcPr>
          <w:p>
            <w:pPr>
              <w:jc w:val="center"/>
              <w:ind w:left="653"/>
              <w:spacing w:after="0" w:line="138" w:lineRule="exact"/>
              <w:rPr>
                <w:sz w:val="20"/>
                <w:szCs w:val="20"/>
                <w:color w:val="auto"/>
              </w:rPr>
            </w:pPr>
            <w:r>
              <w:rPr>
                <w:rFonts w:ascii="Arial" w:cs="Arial" w:eastAsia="Arial" w:hAnsi="Arial"/>
                <w:sz w:val="13"/>
                <w:szCs w:val="13"/>
                <w:color w:val="auto"/>
                <w:w w:val="95"/>
              </w:rPr>
              <w:t>05/12/2017</w:t>
            </w:r>
          </w:p>
        </w:tc>
        <w:tc>
          <w:tcPr>
            <w:tcW w:w="2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3"/>
              </w:rPr>
              <w:t>Aerospace</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15.02%</w:t>
            </w:r>
          </w:p>
        </w:tc>
        <w:tc>
          <w:tcPr>
            <w:tcW w:w="3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17,123,218</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16,783,033</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17,123,218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89"/>
              </w:rPr>
              <w:t>and Defense</w:t>
            </w:r>
          </w:p>
        </w:tc>
        <w:tc>
          <w:tcPr>
            <w:tcW w:w="1140" w:type="dxa"/>
            <w:vAlign w:val="bottom"/>
            <w:gridSpan w:val="3"/>
            <w:shd w:val="clear" w:color="auto" w:fill="CCEEFF"/>
          </w:tcPr>
          <w:p>
            <w:pPr>
              <w:jc w:val="right"/>
              <w:ind w:right="284"/>
              <w:spacing w:after="0"/>
              <w:rPr>
                <w:sz w:val="20"/>
                <w:szCs w:val="20"/>
                <w:color w:val="auto"/>
              </w:rPr>
            </w:pPr>
            <w:r>
              <w:rPr>
                <w:rFonts w:ascii="Arial" w:cs="Arial" w:eastAsia="Arial" w:hAnsi="Arial"/>
                <w:sz w:val="13"/>
                <w:szCs w:val="13"/>
                <w:color w:val="auto"/>
              </w:rPr>
              <w:t>(PIK 3.02%)</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Prince Mineral Holdings Corp.</w:t>
            </w:r>
          </w:p>
        </w:tc>
        <w:tc>
          <w:tcPr>
            <w:tcW w:w="1340" w:type="dxa"/>
            <w:vAlign w:val="bottom"/>
          </w:tcPr>
          <w:p>
            <w:pPr>
              <w:jc w:val="center"/>
              <w:ind w:left="653"/>
              <w:spacing w:after="0" w:line="138" w:lineRule="exact"/>
              <w:rPr>
                <w:sz w:val="20"/>
                <w:szCs w:val="20"/>
                <w:color w:val="auto"/>
              </w:rPr>
            </w:pPr>
            <w:r>
              <w:rPr>
                <w:rFonts w:ascii="Arial" w:cs="Arial" w:eastAsia="Arial" w:hAnsi="Arial"/>
                <w:sz w:val="13"/>
                <w:szCs w:val="13"/>
                <w:color w:val="auto"/>
                <w:w w:val="95"/>
              </w:rPr>
              <w:t>12/03/2016</w:t>
            </w:r>
          </w:p>
        </w:tc>
        <w:tc>
          <w:tcPr>
            <w:tcW w:w="200" w:type="dxa"/>
            <w:vAlign w:val="bottom"/>
          </w:tcPr>
          <w:p>
            <w:pPr>
              <w:spacing w:after="0"/>
              <w:rPr>
                <w:sz w:val="11"/>
                <w:szCs w:val="11"/>
                <w:color w:val="auto"/>
              </w:rPr>
            </w:pPr>
          </w:p>
        </w:tc>
        <w:tc>
          <w:tcPr>
            <w:tcW w:w="138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7"/>
              </w:rPr>
              <w:t>Mining, Steel, Iron</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13.50%</w:t>
            </w:r>
          </w:p>
        </w:tc>
        <w:tc>
          <w:tcPr>
            <w:tcW w:w="360" w:type="dxa"/>
            <w:vAlign w:val="bottom"/>
          </w:tcPr>
          <w:p>
            <w:pPr>
              <w:spacing w:after="0"/>
              <w:rPr>
                <w:sz w:val="11"/>
                <w:szCs w:val="11"/>
                <w:color w:val="auto"/>
              </w:rPr>
            </w:pPr>
          </w:p>
        </w:tc>
        <w:tc>
          <w:tcPr>
            <w:tcW w:w="8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26,696,517</w:t>
            </w:r>
          </w:p>
        </w:tc>
        <w:tc>
          <w:tcPr>
            <w:tcW w:w="2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26,263,685</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26,696,517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and Non-</w:t>
            </w:r>
          </w:p>
        </w:tc>
        <w:tc>
          <w:tcPr>
            <w:tcW w:w="1140" w:type="dxa"/>
            <w:vAlign w:val="bottom"/>
            <w:gridSpan w:val="3"/>
          </w:tcPr>
          <w:p>
            <w:pPr>
              <w:jc w:val="right"/>
              <w:ind w:right="284"/>
              <w:spacing w:after="0"/>
              <w:rPr>
                <w:sz w:val="20"/>
                <w:szCs w:val="20"/>
                <w:color w:val="auto"/>
              </w:rPr>
            </w:pPr>
            <w:r>
              <w:rPr>
                <w:rFonts w:ascii="Arial" w:cs="Arial" w:eastAsia="Arial" w:hAnsi="Arial"/>
                <w:sz w:val="13"/>
                <w:szCs w:val="13"/>
                <w:color w:val="auto"/>
              </w:rPr>
              <w:t>(PIK 2.00%)</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3"/>
                <w:szCs w:val="13"/>
                <w:color w:val="auto"/>
                <w:w w:val="92"/>
              </w:rPr>
              <w:t>Precious Metals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Realogy Corp.</w:t>
            </w:r>
          </w:p>
        </w:tc>
        <w:tc>
          <w:tcPr>
            <w:tcW w:w="1340" w:type="dxa"/>
            <w:vAlign w:val="bottom"/>
            <w:shd w:val="clear" w:color="auto" w:fill="CCEEFF"/>
          </w:tcPr>
          <w:p>
            <w:pPr>
              <w:jc w:val="center"/>
              <w:ind w:left="653"/>
              <w:spacing w:after="0" w:line="138" w:lineRule="exact"/>
              <w:rPr>
                <w:sz w:val="20"/>
                <w:szCs w:val="20"/>
                <w:color w:val="auto"/>
              </w:rPr>
            </w:pPr>
            <w:r>
              <w:rPr>
                <w:rFonts w:ascii="Arial" w:cs="Arial" w:eastAsia="Arial" w:hAnsi="Arial"/>
                <w:sz w:val="13"/>
                <w:szCs w:val="13"/>
                <w:color w:val="auto"/>
                <w:w w:val="95"/>
              </w:rPr>
              <w:t>04/15/2018</w:t>
            </w:r>
          </w:p>
        </w:tc>
        <w:tc>
          <w:tcPr>
            <w:tcW w:w="2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4"/>
              </w:rPr>
              <w:t>Buildings and Real</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11.00%</w:t>
            </w:r>
          </w:p>
        </w:tc>
        <w:tc>
          <w:tcPr>
            <w:tcW w:w="3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10,000,000</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9,247,298</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9,400,000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2"/>
              </w:rPr>
              <w:t>Estate</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20"/>
                <w:szCs w:val="20"/>
                <w:color w:val="auto"/>
              </w:rPr>
            </w:pPr>
            <w:r>
              <w:rPr>
                <w:rFonts w:ascii="Arial" w:cs="Arial" w:eastAsia="Arial" w:hAnsi="Arial"/>
                <w:sz w:val="13"/>
                <w:szCs w:val="13"/>
                <w:color w:val="auto"/>
              </w:rPr>
              <w:t>TRAK Acquisition Corp.</w:t>
            </w:r>
          </w:p>
        </w:tc>
        <w:tc>
          <w:tcPr>
            <w:tcW w:w="1340" w:type="dxa"/>
            <w:vAlign w:val="bottom"/>
          </w:tcPr>
          <w:p>
            <w:pPr>
              <w:jc w:val="center"/>
              <w:ind w:left="653"/>
              <w:spacing w:after="0"/>
              <w:rPr>
                <w:sz w:val="20"/>
                <w:szCs w:val="20"/>
                <w:color w:val="auto"/>
              </w:rPr>
            </w:pPr>
            <w:r>
              <w:rPr>
                <w:rFonts w:ascii="Arial" w:cs="Arial" w:eastAsia="Arial" w:hAnsi="Arial"/>
                <w:sz w:val="13"/>
                <w:szCs w:val="13"/>
                <w:color w:val="auto"/>
                <w:w w:val="95"/>
              </w:rPr>
              <w:t>12/29/2015</w:t>
            </w:r>
          </w:p>
        </w:tc>
        <w:tc>
          <w:tcPr>
            <w:tcW w:w="200" w:type="dxa"/>
            <w:vAlign w:val="bottom"/>
          </w:tcPr>
          <w:p>
            <w:pPr>
              <w:spacing w:after="0"/>
              <w:rPr>
                <w:sz w:val="12"/>
                <w:szCs w:val="12"/>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3"/>
                <w:szCs w:val="13"/>
                <w:color w:val="auto"/>
                <w:w w:val="92"/>
              </w:rPr>
              <w:t>Business Services</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15.00%</w:t>
            </w:r>
          </w:p>
        </w:tc>
        <w:tc>
          <w:tcPr>
            <w:tcW w:w="360" w:type="dxa"/>
            <w:vAlign w:val="bottom"/>
          </w:tcPr>
          <w:p>
            <w:pPr>
              <w:jc w:val="right"/>
              <w:ind w:right="164"/>
              <w:spacing w:after="0"/>
              <w:rPr>
                <w:sz w:val="20"/>
                <w:szCs w:val="20"/>
                <w:color w:val="auto"/>
              </w:rPr>
            </w:pPr>
            <w:r>
              <w:rPr>
                <w:rFonts w:ascii="Arial" w:cs="Arial" w:eastAsia="Arial" w:hAnsi="Arial"/>
                <w:sz w:val="11"/>
                <w:szCs w:val="11"/>
                <w:color w:val="auto"/>
                <w:w w:val="88"/>
              </w:rPr>
              <w:t>(7)</w:t>
            </w:r>
          </w:p>
        </w:tc>
        <w:tc>
          <w:tcPr>
            <w:tcW w:w="8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12,020,950</w:t>
            </w:r>
          </w:p>
        </w:tc>
        <w:tc>
          <w:tcPr>
            <w:tcW w:w="26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11,708,199</w:t>
            </w:r>
          </w:p>
        </w:tc>
        <w:tc>
          <w:tcPr>
            <w:tcW w:w="760" w:type="dxa"/>
            <w:vAlign w:val="bottom"/>
          </w:tcPr>
          <w:p>
            <w:pPr>
              <w:jc w:val="right"/>
              <w:spacing w:after="0"/>
              <w:rPr>
                <w:sz w:val="20"/>
                <w:szCs w:val="20"/>
                <w:color w:val="auto"/>
              </w:rPr>
            </w:pPr>
            <w:r>
              <w:rPr>
                <w:rFonts w:ascii="Arial" w:cs="Arial" w:eastAsia="Arial" w:hAnsi="Arial"/>
                <w:sz w:val="13"/>
                <w:szCs w:val="13"/>
                <w:color w:val="auto"/>
              </w:rPr>
              <w:t>12,020,950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Group, Inc.</w:t>
            </w:r>
          </w:p>
        </w:tc>
        <w:tc>
          <w:tcPr>
            <w:tcW w:w="1340" w:type="dxa"/>
            <w:vAlign w:val="bottom"/>
            <w:shd w:val="clear" w:color="auto" w:fill="CCEEFF"/>
          </w:tcPr>
          <w:p>
            <w:pPr>
              <w:jc w:val="center"/>
              <w:ind w:left="653"/>
              <w:spacing w:after="0" w:line="138" w:lineRule="exact"/>
              <w:rPr>
                <w:sz w:val="20"/>
                <w:szCs w:val="20"/>
                <w:color w:val="auto"/>
              </w:rPr>
            </w:pPr>
            <w:r>
              <w:rPr>
                <w:rFonts w:ascii="Arial" w:cs="Arial" w:eastAsia="Arial" w:hAnsi="Arial"/>
                <w:sz w:val="13"/>
                <w:szCs w:val="13"/>
                <w:color w:val="auto"/>
                <w:w w:val="95"/>
              </w:rPr>
              <w:t>06/03/2019</w:t>
            </w:r>
          </w:p>
        </w:tc>
        <w:tc>
          <w:tcPr>
            <w:tcW w:w="2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2"/>
              </w:rPr>
              <w:t>Beverage, Food, and</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14.25%</w:t>
            </w:r>
          </w:p>
        </w:tc>
        <w:tc>
          <w:tcPr>
            <w:tcW w:w="3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14,778,578</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14,527,411</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14,778,578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2"/>
              </w:rPr>
              <w:t>Tobacco</w:t>
            </w:r>
          </w:p>
        </w:tc>
        <w:tc>
          <w:tcPr>
            <w:tcW w:w="1140" w:type="dxa"/>
            <w:vAlign w:val="bottom"/>
            <w:gridSpan w:val="3"/>
            <w:shd w:val="clear" w:color="auto" w:fill="CCEEFF"/>
          </w:tcPr>
          <w:p>
            <w:pPr>
              <w:jc w:val="right"/>
              <w:ind w:right="284"/>
              <w:spacing w:after="0"/>
              <w:rPr>
                <w:sz w:val="20"/>
                <w:szCs w:val="20"/>
                <w:color w:val="auto"/>
              </w:rPr>
            </w:pPr>
            <w:r>
              <w:rPr>
                <w:rFonts w:ascii="Arial" w:cs="Arial" w:eastAsia="Arial" w:hAnsi="Arial"/>
                <w:sz w:val="13"/>
                <w:szCs w:val="13"/>
                <w:color w:val="auto"/>
              </w:rPr>
              <w:t>(PIK 2.25%)</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0"/>
                <w:szCs w:val="10"/>
                <w:color w:val="auto"/>
              </w:rPr>
              <w:t>TrustHouse Services Group, Inc.</w:t>
            </w:r>
            <w:r>
              <w:rPr>
                <w:rFonts w:ascii="Arial" w:cs="Arial" w:eastAsia="Arial" w:hAnsi="Arial"/>
                <w:sz w:val="15"/>
                <w:szCs w:val="15"/>
                <w:color w:val="auto"/>
                <w:vertAlign w:val="superscript"/>
              </w:rPr>
              <w:t>(9)</w:t>
            </w:r>
          </w:p>
        </w:tc>
        <w:tc>
          <w:tcPr>
            <w:tcW w:w="1340" w:type="dxa"/>
            <w:vAlign w:val="bottom"/>
          </w:tcPr>
          <w:p>
            <w:pPr>
              <w:jc w:val="center"/>
              <w:ind w:left="653"/>
              <w:spacing w:after="0" w:line="138" w:lineRule="exact"/>
              <w:rPr>
                <w:sz w:val="20"/>
                <w:szCs w:val="20"/>
                <w:color w:val="auto"/>
              </w:rPr>
            </w:pPr>
            <w:r>
              <w:rPr>
                <w:rFonts w:ascii="Arial" w:cs="Arial" w:eastAsia="Arial" w:hAnsi="Arial"/>
                <w:sz w:val="13"/>
                <w:szCs w:val="13"/>
                <w:color w:val="auto"/>
                <w:w w:val="95"/>
              </w:rPr>
              <w:t>06/02/2014</w:t>
            </w:r>
          </w:p>
        </w:tc>
        <w:tc>
          <w:tcPr>
            <w:tcW w:w="200" w:type="dxa"/>
            <w:vAlign w:val="bottom"/>
          </w:tcPr>
          <w:p>
            <w:pPr>
              <w:spacing w:after="0"/>
              <w:rPr>
                <w:sz w:val="11"/>
                <w:szCs w:val="11"/>
                <w:color w:val="auto"/>
              </w:rPr>
            </w:pPr>
          </w:p>
        </w:tc>
        <w:tc>
          <w:tcPr>
            <w:tcW w:w="13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2"/>
              </w:rPr>
              <w:t>Beverage, Food, and</w:t>
            </w: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8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4,000,000</w:t>
            </w:r>
          </w:p>
        </w:tc>
        <w:tc>
          <w:tcPr>
            <w:tcW w:w="2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3,920,000</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4,000,000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3"/>
                <w:szCs w:val="13"/>
                <w:color w:val="auto"/>
                <w:w w:val="92"/>
              </w:rPr>
              <w:t>Tobacco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Veritext Corp.</w:t>
            </w:r>
          </w:p>
        </w:tc>
        <w:tc>
          <w:tcPr>
            <w:tcW w:w="1340" w:type="dxa"/>
            <w:vAlign w:val="bottom"/>
            <w:shd w:val="clear" w:color="auto" w:fill="CCEEFF"/>
          </w:tcPr>
          <w:p>
            <w:pPr>
              <w:jc w:val="center"/>
              <w:ind w:left="653"/>
              <w:spacing w:after="0"/>
              <w:rPr>
                <w:sz w:val="20"/>
                <w:szCs w:val="20"/>
                <w:color w:val="auto"/>
              </w:rPr>
            </w:pPr>
            <w:r>
              <w:rPr>
                <w:rFonts w:ascii="Arial" w:cs="Arial" w:eastAsia="Arial" w:hAnsi="Arial"/>
                <w:sz w:val="13"/>
                <w:szCs w:val="13"/>
                <w:color w:val="auto"/>
                <w:w w:val="95"/>
              </w:rPr>
              <w:t>12/31/2015</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2"/>
              </w:rPr>
              <w:t>Business Services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13.00%</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16,200,000</w:t>
            </w:r>
          </w:p>
        </w:tc>
        <w:tc>
          <w:tcPr>
            <w:tcW w:w="2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15,916,579</w:t>
            </w:r>
          </w:p>
        </w:tc>
        <w:tc>
          <w:tcPr>
            <w:tcW w:w="2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355,236,902</w:t>
            </w: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351,070,859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Interests—1.7% </w:t>
            </w:r>
            <w:r>
              <w:rPr>
                <w:rFonts w:ascii="Arial" w:cs="Arial" w:eastAsia="Arial" w:hAnsi="Arial"/>
                <w:sz w:val="17"/>
                <w:szCs w:val="17"/>
                <w:b w:val="1"/>
                <w:bCs w:val="1"/>
                <w:color w:val="auto"/>
                <w:vertAlign w:val="superscript"/>
              </w:rPr>
              <w:t>(6)</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AH Holdings, Inc.</w:t>
            </w:r>
          </w:p>
        </w:tc>
        <w:tc>
          <w:tcPr>
            <w:tcW w:w="1540" w:type="dxa"/>
            <w:vAlign w:val="bottom"/>
            <w:gridSpan w:val="2"/>
          </w:tcPr>
          <w:p>
            <w:pPr>
              <w:ind w:left="94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3"/>
              </w:rPr>
              <w:t>Healthcare, Education</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6.00%</w:t>
            </w:r>
          </w:p>
        </w:tc>
        <w:tc>
          <w:tcPr>
            <w:tcW w:w="360" w:type="dxa"/>
            <w:vAlign w:val="bottom"/>
          </w:tcPr>
          <w:p>
            <w:pPr>
              <w:spacing w:after="0"/>
              <w:rPr>
                <w:sz w:val="11"/>
                <w:szCs w:val="11"/>
                <w:color w:val="auto"/>
              </w:rPr>
            </w:pPr>
          </w:p>
        </w:tc>
        <w:tc>
          <w:tcPr>
            <w:tcW w:w="8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211</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500,000</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624,081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tcPr>
          <w:p>
            <w:pPr>
              <w:ind w:left="220"/>
              <w:spacing w:after="0"/>
              <w:rPr>
                <w:sz w:val="20"/>
                <w:szCs w:val="20"/>
                <w:color w:val="auto"/>
              </w:rPr>
            </w:pPr>
            <w:r>
              <w:rPr>
                <w:rFonts w:ascii="Arial" w:cs="Arial" w:eastAsia="Arial" w:hAnsi="Arial"/>
                <w:sz w:val="13"/>
                <w:szCs w:val="13"/>
                <w:color w:val="auto"/>
              </w:rPr>
              <w:t>(American Surgical Holdings, Inc.)</w:t>
            </w: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3"/>
                <w:szCs w:val="13"/>
                <w:color w:val="auto"/>
                <w:w w:val="92"/>
              </w:rPr>
              <w:t>and Childcare</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AHC Mezzanine, LLC</w:t>
            </w:r>
          </w:p>
        </w:tc>
        <w:tc>
          <w:tcPr>
            <w:tcW w:w="154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7"/>
              </w:rPr>
              <w:t>Other Media</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7,505</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318,896</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Alegeus Technologies Holding Corp., Series A</w:t>
            </w:r>
          </w:p>
        </w:tc>
        <w:tc>
          <w:tcPr>
            <w:tcW w:w="1540" w:type="dxa"/>
            <w:vAlign w:val="bottom"/>
            <w:gridSpan w:val="2"/>
          </w:tcPr>
          <w:p>
            <w:pPr>
              <w:ind w:left="94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2"/>
              </w:rPr>
              <w:t>Financial Services</w:t>
            </w: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8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949</w:t>
            </w:r>
          </w:p>
        </w:tc>
        <w:tc>
          <w:tcPr>
            <w:tcW w:w="2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949,050</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1,031,820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tcPr>
          <w:p>
            <w:pPr>
              <w:ind w:left="220"/>
              <w:spacing w:after="0"/>
              <w:rPr>
                <w:sz w:val="20"/>
                <w:szCs w:val="20"/>
                <w:color w:val="auto"/>
              </w:rPr>
            </w:pPr>
            <w:r>
              <w:rPr>
                <w:rFonts w:ascii="Arial" w:cs="Arial" w:eastAsia="Arial" w:hAnsi="Arial"/>
                <w:sz w:val="13"/>
                <w:szCs w:val="13"/>
                <w:color w:val="auto"/>
              </w:rPr>
              <w:t>(Alegeus Technologies, LLC)</w:t>
            </w: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CI (IHS) Investment Holdings, LLC</w:t>
            </w:r>
          </w:p>
        </w:tc>
        <w:tc>
          <w:tcPr>
            <w:tcW w:w="1540" w:type="dxa"/>
            <w:vAlign w:val="bottom"/>
            <w:gridSpan w:val="2"/>
            <w:shd w:val="clear" w:color="auto" w:fill="CCEEFF"/>
          </w:tcPr>
          <w:p>
            <w:pPr>
              <w:ind w:left="94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3"/>
              </w:rPr>
              <w:t>Healthcare, Education</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8.00%</w:t>
            </w:r>
          </w:p>
        </w:tc>
        <w:tc>
          <w:tcPr>
            <w:tcW w:w="3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76,357</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765,307</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881,885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(Interactive Health Solutions, Inc.)</w:t>
            </w:r>
          </w:p>
        </w:tc>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2"/>
              </w:rPr>
              <w:t>and Childcare</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1540" w:type="dxa"/>
            <w:vAlign w:val="bottom"/>
            <w:gridSpan w:val="2"/>
          </w:tcPr>
          <w:p>
            <w:pPr>
              <w:ind w:left="94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3"/>
              </w:rPr>
              <w:t>Healthcare, Education</w:t>
            </w: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8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38,179</w:t>
            </w:r>
          </w:p>
        </w:tc>
        <w:tc>
          <w:tcPr>
            <w:tcW w:w="2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382,654</w:t>
            </w:r>
          </w:p>
        </w:tc>
        <w:tc>
          <w:tcPr>
            <w:tcW w:w="240" w:type="dxa"/>
            <w:vAlign w:val="bottom"/>
          </w:tcPr>
          <w:p>
            <w:pPr>
              <w:spacing w:after="0"/>
              <w:rPr>
                <w:sz w:val="11"/>
                <w:szCs w:val="11"/>
                <w:color w:val="auto"/>
              </w:rPr>
            </w:pPr>
          </w:p>
        </w:tc>
        <w:tc>
          <w:tcPr>
            <w:tcW w:w="820" w:type="dxa"/>
            <w:vAlign w:val="bottom"/>
            <w:gridSpan w:val="2"/>
          </w:tcPr>
          <w:p>
            <w:pPr>
              <w:ind w:left="5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3580" w:type="dxa"/>
            <w:vAlign w:val="bottom"/>
          </w:tcPr>
          <w:p>
            <w:pPr>
              <w:ind w:left="220"/>
              <w:spacing w:after="0"/>
              <w:rPr>
                <w:sz w:val="20"/>
                <w:szCs w:val="20"/>
                <w:color w:val="auto"/>
              </w:rPr>
            </w:pPr>
            <w:r>
              <w:rPr>
                <w:rFonts w:ascii="Arial" w:cs="Arial" w:eastAsia="Arial" w:hAnsi="Arial"/>
                <w:sz w:val="13"/>
                <w:szCs w:val="13"/>
                <w:color w:val="auto"/>
              </w:rPr>
              <w:t>(Interactive Health Solutions, Inc.)</w:t>
            </w: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3"/>
                <w:szCs w:val="13"/>
                <w:color w:val="auto"/>
                <w:w w:val="92"/>
              </w:rPr>
              <w:t>and Childcare</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Convergint Technologies Holdings, LLC</w:t>
            </w:r>
          </w:p>
        </w:tc>
        <w:tc>
          <w:tcPr>
            <w:tcW w:w="154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7"/>
              </w:rPr>
              <w:t>Electronics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2,375,000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HW Topco, Inc.</w:t>
            </w:r>
          </w:p>
        </w:tc>
        <w:tc>
          <w:tcPr>
            <w:tcW w:w="1540" w:type="dxa"/>
            <w:vAlign w:val="bottom"/>
            <w:gridSpan w:val="2"/>
          </w:tcPr>
          <w:p>
            <w:pPr>
              <w:ind w:left="94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7"/>
              </w:rPr>
              <w:t>Other Media</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8.00%</w:t>
            </w:r>
          </w:p>
        </w:tc>
        <w:tc>
          <w:tcPr>
            <w:tcW w:w="360" w:type="dxa"/>
            <w:vAlign w:val="bottom"/>
          </w:tcPr>
          <w:p>
            <w:pPr>
              <w:spacing w:after="0"/>
              <w:rPr>
                <w:sz w:val="11"/>
                <w:szCs w:val="11"/>
                <w:color w:val="auto"/>
              </w:rPr>
            </w:pPr>
          </w:p>
        </w:tc>
        <w:tc>
          <w:tcPr>
            <w:tcW w:w="8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3,591</w:t>
            </w:r>
          </w:p>
        </w:tc>
        <w:tc>
          <w:tcPr>
            <w:tcW w:w="2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24,177</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27,916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tcPr>
          <w:p>
            <w:pPr>
              <w:ind w:left="220"/>
              <w:spacing w:after="0"/>
              <w:rPr>
                <w:sz w:val="20"/>
                <w:szCs w:val="20"/>
                <w:color w:val="auto"/>
              </w:rPr>
            </w:pPr>
            <w:r>
              <w:rPr>
                <w:rFonts w:ascii="Arial" w:cs="Arial" w:eastAsia="Arial" w:hAnsi="Arial"/>
                <w:sz w:val="13"/>
                <w:szCs w:val="13"/>
                <w:color w:val="auto"/>
              </w:rPr>
              <w:t>(Hanley-Wood, LLC)</w:t>
            </w: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PAS Tech Holdings, Inc., Series A-1</w:t>
            </w:r>
          </w:p>
        </w:tc>
        <w:tc>
          <w:tcPr>
            <w:tcW w:w="1540" w:type="dxa"/>
            <w:vAlign w:val="bottom"/>
            <w:gridSpan w:val="2"/>
            <w:shd w:val="clear" w:color="auto" w:fill="CCEEFF"/>
          </w:tcPr>
          <w:p>
            <w:pPr>
              <w:ind w:left="94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1"/>
              </w:rPr>
              <w:t>Aerospace and</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8.00%</w:t>
            </w:r>
          </w:p>
        </w:tc>
        <w:tc>
          <w:tcPr>
            <w:tcW w:w="3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20,000</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1,980,000</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823,710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(PAS Technologies, Inc.)</w:t>
            </w:r>
          </w:p>
        </w:tc>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0"/>
              </w:rPr>
              <w:t>Defense</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1540" w:type="dxa"/>
            <w:vAlign w:val="bottom"/>
            <w:gridSpan w:val="2"/>
          </w:tcPr>
          <w:p>
            <w:pPr>
              <w:ind w:left="94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3"/>
              </w:rPr>
              <w:t>Beverage, Food,</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12.00%</w:t>
            </w:r>
          </w:p>
        </w:tc>
        <w:tc>
          <w:tcPr>
            <w:tcW w:w="360" w:type="dxa"/>
            <w:vAlign w:val="bottom"/>
          </w:tcPr>
          <w:p>
            <w:pPr>
              <w:spacing w:after="0"/>
              <w:rPr>
                <w:sz w:val="11"/>
                <w:szCs w:val="11"/>
                <w:color w:val="auto"/>
              </w:rPr>
            </w:pPr>
          </w:p>
        </w:tc>
        <w:tc>
          <w:tcPr>
            <w:tcW w:w="8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1,099</w:t>
            </w:r>
          </w:p>
        </w:tc>
        <w:tc>
          <w:tcPr>
            <w:tcW w:w="2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984,344</w:t>
            </w:r>
          </w:p>
        </w:tc>
        <w:tc>
          <w:tcPr>
            <w:tcW w:w="240" w:type="dxa"/>
            <w:vAlign w:val="bottom"/>
          </w:tcPr>
          <w:p>
            <w:pPr>
              <w:spacing w:after="0"/>
              <w:rPr>
                <w:sz w:val="11"/>
                <w:szCs w:val="11"/>
                <w:color w:val="auto"/>
              </w:rPr>
            </w:pPr>
          </w:p>
        </w:tc>
        <w:tc>
          <w:tcPr>
            <w:tcW w:w="82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1,111,742</w:t>
            </w: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3"/>
                <w:szCs w:val="13"/>
                <w:color w:val="auto"/>
                <w:w w:val="90"/>
              </w:rPr>
              <w:t>and Tobacco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TZ Holdings, L.P., Series A</w:t>
            </w:r>
          </w:p>
        </w:tc>
        <w:tc>
          <w:tcPr>
            <w:tcW w:w="1540" w:type="dxa"/>
            <w:vAlign w:val="bottom"/>
            <w:gridSpan w:val="2"/>
            <w:shd w:val="clear" w:color="auto" w:fill="CCEEFF"/>
          </w:tcPr>
          <w:p>
            <w:pPr>
              <w:ind w:left="94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4"/>
              </w:rPr>
              <w:t>Insurance</w:t>
            </w:r>
          </w:p>
        </w:tc>
        <w:tc>
          <w:tcPr>
            <w:tcW w:w="7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686</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685,820</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685,820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(Trizetto Group, Inc.)</w:t>
            </w:r>
          </w:p>
        </w:tc>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TZ Holdings, L.P., Series B</w:t>
            </w:r>
          </w:p>
        </w:tc>
        <w:tc>
          <w:tcPr>
            <w:tcW w:w="1540" w:type="dxa"/>
            <w:vAlign w:val="bottom"/>
            <w:gridSpan w:val="2"/>
          </w:tcPr>
          <w:p>
            <w:pPr>
              <w:ind w:left="94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4"/>
              </w:rPr>
              <w:t>Insurance</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6.50%</w:t>
            </w:r>
          </w:p>
        </w:tc>
        <w:tc>
          <w:tcPr>
            <w:tcW w:w="360" w:type="dxa"/>
            <w:vAlign w:val="bottom"/>
          </w:tcPr>
          <w:p>
            <w:pPr>
              <w:spacing w:after="0"/>
              <w:rPr>
                <w:sz w:val="11"/>
                <w:szCs w:val="11"/>
                <w:color w:val="auto"/>
              </w:rPr>
            </w:pPr>
          </w:p>
        </w:tc>
        <w:tc>
          <w:tcPr>
            <w:tcW w:w="8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1,312</w:t>
            </w:r>
          </w:p>
        </w:tc>
        <w:tc>
          <w:tcPr>
            <w:tcW w:w="2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1,312,006</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1,666,679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tcPr>
          <w:p>
            <w:pPr>
              <w:ind w:left="220"/>
              <w:spacing w:after="0"/>
              <w:rPr>
                <w:sz w:val="20"/>
                <w:szCs w:val="20"/>
                <w:color w:val="auto"/>
              </w:rPr>
            </w:pPr>
            <w:r>
              <w:rPr>
                <w:rFonts w:ascii="Arial" w:cs="Arial" w:eastAsia="Arial" w:hAnsi="Arial"/>
                <w:sz w:val="13"/>
                <w:szCs w:val="13"/>
                <w:color w:val="auto"/>
              </w:rPr>
              <w:t>(Trizetto Group, Inc.)</w:t>
            </w: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Verde Parent Holdings, Inc.</w:t>
            </w:r>
          </w:p>
        </w:tc>
        <w:tc>
          <w:tcPr>
            <w:tcW w:w="1540" w:type="dxa"/>
            <w:vAlign w:val="bottom"/>
            <w:gridSpan w:val="2"/>
            <w:shd w:val="clear" w:color="auto" w:fill="CCEEFF"/>
          </w:tcPr>
          <w:p>
            <w:pPr>
              <w:ind w:left="94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89"/>
              </w:rPr>
              <w:t>Personal</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8.00%</w:t>
            </w:r>
          </w:p>
        </w:tc>
        <w:tc>
          <w:tcPr>
            <w:tcW w:w="3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1,824,167</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1,824,167</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1,949,629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3"/>
              </w:rPr>
              <w:t>Transportation</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12,101,421</w:t>
            </w: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11,178,282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Basis Point</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Spread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90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Maturity</w:t>
            </w: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Industry</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Current</w:t>
            </w: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Above</w:t>
            </w:r>
          </w:p>
        </w:tc>
        <w:tc>
          <w:tcPr>
            <w:tcW w:w="8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Par /</w:t>
            </w:r>
          </w:p>
        </w:tc>
        <w:tc>
          <w:tcPr>
            <w:tcW w:w="102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44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Coupon</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1020" w:type="dxa"/>
            <w:vAlign w:val="bottom"/>
            <w:gridSpan w:val="2"/>
            <w:vMerge w:val="continue"/>
          </w:tcPr>
          <w:p>
            <w:pPr>
              <w:spacing w:after="0"/>
              <w:rPr>
                <w:sz w:val="12"/>
                <w:szCs w:val="12"/>
                <w:color w:val="auto"/>
              </w:rPr>
            </w:pPr>
          </w:p>
        </w:tc>
        <w:tc>
          <w:tcPr>
            <w:tcW w:w="76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Common Equity/Warrants/Partnership Interests—9.2% </w:t>
            </w:r>
            <w:r>
              <w:rPr>
                <w:rFonts w:ascii="Arial" w:cs="Arial" w:eastAsia="Arial" w:hAnsi="Arial"/>
                <w:sz w:val="16"/>
                <w:szCs w:val="16"/>
                <w:b w:val="1"/>
                <w:bCs w:val="1"/>
                <w:color w:val="auto"/>
                <w:vertAlign w:val="superscript"/>
              </w:rPr>
              <w:t>(6)</w:t>
            </w:r>
          </w:p>
        </w:tc>
        <w:tc>
          <w:tcPr>
            <w:tcW w:w="9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line="149" w:lineRule="exact"/>
              <w:rPr>
                <w:sz w:val="20"/>
                <w:szCs w:val="20"/>
                <w:color w:val="auto"/>
              </w:rPr>
            </w:pPr>
            <w:r>
              <w:rPr>
                <w:rFonts w:ascii="Arial" w:cs="Arial" w:eastAsia="Arial" w:hAnsi="Arial"/>
                <w:sz w:val="11"/>
                <w:szCs w:val="11"/>
                <w:color w:val="auto"/>
              </w:rPr>
              <w:t xml:space="preserve">Acentia, LLC, Class A Units </w:t>
            </w:r>
            <w:r>
              <w:rPr>
                <w:rFonts w:ascii="Arial" w:cs="Arial" w:eastAsia="Arial" w:hAnsi="Arial"/>
                <w:sz w:val="17"/>
                <w:szCs w:val="17"/>
                <w:color w:val="auto"/>
                <w:vertAlign w:val="superscript"/>
              </w:rPr>
              <w:t>(12)</w:t>
            </w:r>
          </w:p>
        </w:tc>
        <w:tc>
          <w:tcPr>
            <w:tcW w:w="900" w:type="dxa"/>
            <w:vAlign w:val="bottom"/>
          </w:tcPr>
          <w:p>
            <w:pPr>
              <w:ind w:left="380"/>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Electronics</w:t>
            </w:r>
          </w:p>
        </w:tc>
        <w:tc>
          <w:tcPr>
            <w:tcW w:w="7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1,998</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9"/>
              </w:rPr>
              <w:t>$  2,000,000</w:t>
            </w: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  1,737,396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AH Holdings, Inc. (Warrants)</w:t>
            </w:r>
          </w:p>
        </w:tc>
        <w:tc>
          <w:tcPr>
            <w:tcW w:w="900" w:type="dxa"/>
            <w:vAlign w:val="bottom"/>
            <w:shd w:val="clear" w:color="auto" w:fill="CCEEFF"/>
          </w:tcPr>
          <w:p>
            <w:pPr>
              <w:ind w:left="180"/>
              <w:spacing w:after="0" w:line="138" w:lineRule="exact"/>
              <w:rPr>
                <w:sz w:val="20"/>
                <w:szCs w:val="20"/>
                <w:color w:val="auto"/>
              </w:rPr>
            </w:pPr>
            <w:r>
              <w:rPr>
                <w:rFonts w:ascii="Arial" w:cs="Arial" w:eastAsia="Arial" w:hAnsi="Arial"/>
                <w:sz w:val="13"/>
                <w:szCs w:val="13"/>
                <w:color w:val="auto"/>
              </w:rPr>
              <w:t>03/23/2021</w:t>
            </w:r>
          </w:p>
        </w:tc>
        <w:tc>
          <w:tcPr>
            <w:tcW w:w="16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3"/>
              </w:rPr>
              <w:t>Healthcare, Education</w:t>
            </w: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753</w:t>
            </w:r>
          </w:p>
        </w:tc>
        <w:tc>
          <w:tcPr>
            <w:tcW w:w="2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2,063,780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(American Surgical Holdings, Inc.)</w:t>
            </w:r>
          </w:p>
        </w:tc>
        <w:tc>
          <w:tcPr>
            <w:tcW w:w="9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and Childcare</w:t>
            </w: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tcPr>
          <w:p>
            <w:pPr>
              <w:spacing w:after="0" w:line="138" w:lineRule="exact"/>
              <w:rPr>
                <w:sz w:val="20"/>
                <w:szCs w:val="20"/>
                <w:color w:val="auto"/>
              </w:rPr>
            </w:pPr>
            <w:r>
              <w:rPr>
                <w:rFonts w:ascii="Arial" w:cs="Arial" w:eastAsia="Arial" w:hAnsi="Arial"/>
                <w:sz w:val="13"/>
                <w:szCs w:val="13"/>
                <w:color w:val="auto"/>
              </w:rPr>
              <w:t>Alegeus Technologies Holding Corp., Class A</w:t>
            </w:r>
          </w:p>
        </w:tc>
        <w:tc>
          <w:tcPr>
            <w:tcW w:w="9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2"/>
              </w:rPr>
              <w:t>Financial Services</w:t>
            </w:r>
          </w:p>
        </w:tc>
        <w:tc>
          <w:tcPr>
            <w:tcW w:w="7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c>
          <w:tcPr>
            <w:tcW w:w="2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950</w:t>
            </w:r>
          </w:p>
        </w:tc>
        <w:tc>
          <w:tcPr>
            <w:tcW w:w="2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1,033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tcPr>
          <w:p>
            <w:pPr>
              <w:ind w:left="220"/>
              <w:spacing w:after="0"/>
              <w:rPr>
                <w:sz w:val="20"/>
                <w:szCs w:val="20"/>
                <w:color w:val="auto"/>
              </w:rPr>
            </w:pPr>
            <w:r>
              <w:rPr>
                <w:rFonts w:ascii="Arial" w:cs="Arial" w:eastAsia="Arial" w:hAnsi="Arial"/>
                <w:sz w:val="13"/>
                <w:szCs w:val="13"/>
                <w:color w:val="auto"/>
              </w:rPr>
              <w:t>(Alegeus Technologies, LLC)</w:t>
            </w: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Autumn Games, LLC</w:t>
            </w:r>
          </w:p>
        </w:tc>
        <w:tc>
          <w:tcPr>
            <w:tcW w:w="90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2"/>
              </w:rPr>
              <w:t>Broadcasting and</w:t>
            </w:r>
          </w:p>
        </w:tc>
        <w:tc>
          <w:tcPr>
            <w:tcW w:w="7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1,333,330</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3,000,000</w:t>
            </w:r>
          </w:p>
        </w:tc>
        <w:tc>
          <w:tcPr>
            <w:tcW w:w="2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Entertainment</w:t>
            </w: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tcPr>
          <w:p>
            <w:pPr>
              <w:spacing w:after="0" w:line="138" w:lineRule="exact"/>
              <w:rPr>
                <w:sz w:val="20"/>
                <w:szCs w:val="20"/>
                <w:color w:val="auto"/>
              </w:rPr>
            </w:pPr>
            <w:r>
              <w:rPr>
                <w:rFonts w:ascii="Arial" w:cs="Arial" w:eastAsia="Arial" w:hAnsi="Arial"/>
                <w:sz w:val="10"/>
                <w:szCs w:val="10"/>
                <w:color w:val="auto"/>
              </w:rPr>
              <w:t xml:space="preserve">CI (Galls) Prime Investment Holdings, LLC </w:t>
            </w:r>
            <w:r>
              <w:rPr>
                <w:rFonts w:ascii="Arial" w:cs="Arial" w:eastAsia="Arial" w:hAnsi="Arial"/>
                <w:sz w:val="15"/>
                <w:szCs w:val="15"/>
                <w:color w:val="auto"/>
                <w:vertAlign w:val="superscript"/>
              </w:rPr>
              <w:t>(11)</w:t>
            </w:r>
          </w:p>
        </w:tc>
        <w:tc>
          <w:tcPr>
            <w:tcW w:w="9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rPr>
              <w:t>Distribution</w:t>
            </w:r>
          </w:p>
        </w:tc>
        <w:tc>
          <w:tcPr>
            <w:tcW w:w="7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1,505,000</w:t>
            </w:r>
          </w:p>
        </w:tc>
        <w:tc>
          <w:tcPr>
            <w:tcW w:w="2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1,505,000</w:t>
            </w:r>
          </w:p>
        </w:tc>
        <w:tc>
          <w:tcPr>
            <w:tcW w:w="2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1,680,720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tcPr>
          <w:p>
            <w:pPr>
              <w:ind w:left="220"/>
              <w:spacing w:after="0"/>
              <w:rPr>
                <w:sz w:val="20"/>
                <w:szCs w:val="20"/>
                <w:color w:val="auto"/>
              </w:rPr>
            </w:pPr>
            <w:r>
              <w:rPr>
                <w:rFonts w:ascii="Arial" w:cs="Arial" w:eastAsia="Arial" w:hAnsi="Arial"/>
                <w:sz w:val="13"/>
                <w:szCs w:val="13"/>
                <w:color w:val="auto"/>
              </w:rPr>
              <w:t>(Galls, LLC; Quartermaster Inc.)</w:t>
            </w: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CI (IHS) Investment Holdings, LLC</w:t>
            </w:r>
          </w:p>
        </w:tc>
        <w:tc>
          <w:tcPr>
            <w:tcW w:w="90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3"/>
              </w:rPr>
              <w:t>Healthcare, Education</w:t>
            </w:r>
          </w:p>
        </w:tc>
        <w:tc>
          <w:tcPr>
            <w:tcW w:w="7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23,416</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234,693</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270,457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(Interactive Health Solutions, Inc.)</w:t>
            </w:r>
          </w:p>
        </w:tc>
        <w:tc>
          <w:tcPr>
            <w:tcW w:w="9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and Childcare</w:t>
            </w: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9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3"/>
              </w:rPr>
              <w:t>Healthcare, Education</w:t>
            </w:r>
          </w:p>
        </w:tc>
        <w:tc>
          <w:tcPr>
            <w:tcW w:w="7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11,708</w:t>
            </w:r>
          </w:p>
        </w:tc>
        <w:tc>
          <w:tcPr>
            <w:tcW w:w="102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117,346</w:t>
            </w:r>
          </w:p>
        </w:tc>
        <w:tc>
          <w:tcPr>
            <w:tcW w:w="820" w:type="dxa"/>
            <w:vAlign w:val="bottom"/>
            <w:gridSpan w:val="2"/>
          </w:tcPr>
          <w:p>
            <w:pPr>
              <w:ind w:left="5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400" w:type="dxa"/>
            <w:vAlign w:val="bottom"/>
          </w:tcPr>
          <w:p>
            <w:pPr>
              <w:ind w:left="220"/>
              <w:spacing w:after="0"/>
              <w:rPr>
                <w:sz w:val="20"/>
                <w:szCs w:val="20"/>
                <w:color w:val="auto"/>
              </w:rPr>
            </w:pPr>
            <w:r>
              <w:rPr>
                <w:rFonts w:ascii="Arial" w:cs="Arial" w:eastAsia="Arial" w:hAnsi="Arial"/>
                <w:sz w:val="13"/>
                <w:szCs w:val="13"/>
                <w:color w:val="auto"/>
              </w:rPr>
              <w:t>(Interactive Health Solutions, Inc.)</w:t>
            </w:r>
          </w:p>
        </w:tc>
        <w:tc>
          <w:tcPr>
            <w:tcW w:w="900" w:type="dxa"/>
            <w:vAlign w:val="bottom"/>
          </w:tcPr>
          <w:p>
            <w:pPr>
              <w:spacing w:after="0"/>
              <w:rPr>
                <w:sz w:val="13"/>
                <w:szCs w:val="1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and Childcare</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Convergint Technologies Holdings, LLC</w:t>
            </w:r>
          </w:p>
        </w:tc>
        <w:tc>
          <w:tcPr>
            <w:tcW w:w="90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7"/>
              </w:rPr>
              <w:t>Electronics</w:t>
            </w:r>
          </w:p>
        </w:tc>
        <w:tc>
          <w:tcPr>
            <w:tcW w:w="7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2,375</w:t>
            </w:r>
          </w:p>
        </w:tc>
        <w:tc>
          <w:tcPr>
            <w:tcW w:w="2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(Convergint Technologies) LLC</w:t>
            </w:r>
          </w:p>
        </w:tc>
        <w:tc>
          <w:tcPr>
            <w:tcW w:w="9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20"/>
                <w:szCs w:val="20"/>
                <w:color w:val="auto"/>
              </w:rPr>
            </w:pPr>
            <w:r>
              <w:rPr>
                <w:rFonts w:ascii="Arial" w:cs="Arial" w:eastAsia="Arial" w:hAnsi="Arial"/>
                <w:sz w:val="13"/>
                <w:szCs w:val="13"/>
                <w:color w:val="auto"/>
              </w:rPr>
              <w:t>CT Technologies Holdings, LLC</w:t>
            </w:r>
          </w:p>
        </w:tc>
        <w:tc>
          <w:tcPr>
            <w:tcW w:w="900" w:type="dxa"/>
            <w:vAlign w:val="bottom"/>
          </w:tcPr>
          <w:p>
            <w:pPr>
              <w:ind w:left="380"/>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7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5,556</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1,904,033</w:t>
            </w: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6,665,183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DirectBuy Investors, L.P.</w:t>
            </w:r>
          </w:p>
        </w:tc>
        <w:tc>
          <w:tcPr>
            <w:tcW w:w="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Consumer Products</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1,350,000</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20"/>
                <w:szCs w:val="20"/>
                <w:color w:val="auto"/>
              </w:rPr>
            </w:pPr>
            <w:r>
              <w:rPr>
                <w:rFonts w:ascii="Arial" w:cs="Arial" w:eastAsia="Arial" w:hAnsi="Arial"/>
                <w:sz w:val="13"/>
                <w:szCs w:val="13"/>
                <w:color w:val="auto"/>
              </w:rPr>
              <w:t>HW Topco, Inc. (Hanley-Wood, LLC)</w:t>
            </w:r>
          </w:p>
        </w:tc>
        <w:tc>
          <w:tcPr>
            <w:tcW w:w="900" w:type="dxa"/>
            <w:vAlign w:val="bottom"/>
          </w:tcPr>
          <w:p>
            <w:pPr>
              <w:ind w:left="380"/>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Other Media</w:t>
            </w:r>
          </w:p>
        </w:tc>
        <w:tc>
          <w:tcPr>
            <w:tcW w:w="7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348,912</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2,443,050</w:t>
            </w: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2,642,438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Kadmon Holdings, LLC, Class A</w:t>
            </w:r>
          </w:p>
        </w:tc>
        <w:tc>
          <w:tcPr>
            <w:tcW w:w="90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3"/>
              </w:rPr>
              <w:t>Healthcare, Education</w:t>
            </w:r>
          </w:p>
        </w:tc>
        <w:tc>
          <w:tcPr>
            <w:tcW w:w="7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1,079,920</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1,236,832</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12,013,688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(Kadmon Pharmaceuticals, LLC)</w:t>
            </w:r>
          </w:p>
        </w:tc>
        <w:tc>
          <w:tcPr>
            <w:tcW w:w="9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and Childcare</w:t>
            </w: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tcPr>
          <w:p>
            <w:pPr>
              <w:spacing w:after="0" w:line="138" w:lineRule="exact"/>
              <w:rPr>
                <w:sz w:val="20"/>
                <w:szCs w:val="20"/>
                <w:color w:val="auto"/>
              </w:rPr>
            </w:pPr>
            <w:r>
              <w:rPr>
                <w:rFonts w:ascii="Arial" w:cs="Arial" w:eastAsia="Arial" w:hAnsi="Arial"/>
                <w:sz w:val="13"/>
                <w:szCs w:val="13"/>
                <w:color w:val="auto"/>
              </w:rPr>
              <w:t>Kadmon Holdings, LLC, Class D</w:t>
            </w:r>
          </w:p>
        </w:tc>
        <w:tc>
          <w:tcPr>
            <w:tcW w:w="9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3"/>
              </w:rPr>
              <w:t>Healthcare, Education</w:t>
            </w:r>
          </w:p>
        </w:tc>
        <w:tc>
          <w:tcPr>
            <w:tcW w:w="7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1,079,920</w:t>
            </w:r>
          </w:p>
        </w:tc>
        <w:tc>
          <w:tcPr>
            <w:tcW w:w="2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1,028,807</w:t>
            </w:r>
          </w:p>
        </w:tc>
        <w:tc>
          <w:tcPr>
            <w:tcW w:w="2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1,028,807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tcPr>
          <w:p>
            <w:pPr>
              <w:ind w:left="220"/>
              <w:spacing w:after="0"/>
              <w:rPr>
                <w:sz w:val="20"/>
                <w:szCs w:val="20"/>
                <w:color w:val="auto"/>
              </w:rPr>
            </w:pPr>
            <w:r>
              <w:rPr>
                <w:rFonts w:ascii="Arial" w:cs="Arial" w:eastAsia="Arial" w:hAnsi="Arial"/>
                <w:sz w:val="13"/>
                <w:szCs w:val="13"/>
                <w:color w:val="auto"/>
              </w:rPr>
              <w:t>(Kadmon Pharmaceuticals, LLC)</w:t>
            </w:r>
          </w:p>
        </w:tc>
        <w:tc>
          <w:tcPr>
            <w:tcW w:w="900" w:type="dxa"/>
            <w:vAlign w:val="bottom"/>
          </w:tcPr>
          <w:p>
            <w:pPr>
              <w:spacing w:after="0"/>
              <w:rPr>
                <w:sz w:val="13"/>
                <w:szCs w:val="1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and Childcare</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Learning Care Group (US) Inc. (Warrants)</w:t>
            </w:r>
          </w:p>
        </w:tc>
        <w:tc>
          <w:tcPr>
            <w:tcW w:w="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04/27/2020</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Education</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779,920</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4400" w:type="dxa"/>
            <w:vAlign w:val="bottom"/>
          </w:tcPr>
          <w:p>
            <w:pPr>
              <w:spacing w:after="0" w:line="138" w:lineRule="exact"/>
              <w:rPr>
                <w:sz w:val="20"/>
                <w:szCs w:val="20"/>
                <w:color w:val="auto"/>
              </w:rPr>
            </w:pPr>
            <w:r>
              <w:rPr>
                <w:rFonts w:ascii="Arial" w:cs="Arial" w:eastAsia="Arial" w:hAnsi="Arial"/>
                <w:sz w:val="13"/>
                <w:szCs w:val="13"/>
                <w:color w:val="auto"/>
              </w:rPr>
              <w:t>Magnum Hunter Resources Corporation</w:t>
            </w:r>
          </w:p>
        </w:tc>
        <w:tc>
          <w:tcPr>
            <w:tcW w:w="9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6"/>
              </w:rPr>
              <w:t>Oil and Gas</w:t>
            </w:r>
          </w:p>
        </w:tc>
        <w:tc>
          <w:tcPr>
            <w:tcW w:w="7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1,221,932</w:t>
            </w:r>
          </w:p>
        </w:tc>
        <w:tc>
          <w:tcPr>
            <w:tcW w:w="2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3,239,999</w:t>
            </w:r>
          </w:p>
        </w:tc>
        <w:tc>
          <w:tcPr>
            <w:tcW w:w="2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5,425,378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tcPr>
          <w:p>
            <w:pPr>
              <w:ind w:left="220"/>
              <w:spacing w:after="0"/>
              <w:rPr>
                <w:sz w:val="20"/>
                <w:szCs w:val="20"/>
                <w:color w:val="auto"/>
              </w:rPr>
            </w:pPr>
            <w:r>
              <w:rPr>
                <w:rFonts w:ascii="Arial" w:cs="Arial" w:eastAsia="Arial" w:hAnsi="Arial"/>
                <w:sz w:val="13"/>
                <w:szCs w:val="13"/>
                <w:color w:val="auto"/>
              </w:rPr>
              <w:t>(Eureka Hunter Pipeline, LLC)</w:t>
            </w: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Magnum Hunter Resources Corporation</w:t>
            </w:r>
          </w:p>
        </w:tc>
        <w:tc>
          <w:tcPr>
            <w:tcW w:w="900" w:type="dxa"/>
            <w:vAlign w:val="bottom"/>
            <w:shd w:val="clear" w:color="auto" w:fill="CCEEFF"/>
          </w:tcPr>
          <w:p>
            <w:pPr>
              <w:ind w:left="180"/>
              <w:spacing w:after="0" w:line="138" w:lineRule="exact"/>
              <w:rPr>
                <w:sz w:val="20"/>
                <w:szCs w:val="20"/>
                <w:color w:val="auto"/>
              </w:rPr>
            </w:pPr>
            <w:r>
              <w:rPr>
                <w:rFonts w:ascii="Arial" w:cs="Arial" w:eastAsia="Arial" w:hAnsi="Arial"/>
                <w:sz w:val="13"/>
                <w:szCs w:val="13"/>
                <w:color w:val="auto"/>
              </w:rPr>
              <w:t>10/14/2013</w:t>
            </w:r>
          </w:p>
        </w:tc>
        <w:tc>
          <w:tcPr>
            <w:tcW w:w="16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6"/>
              </w:rPr>
              <w:t>Oil and Gas</w:t>
            </w:r>
          </w:p>
        </w:tc>
        <w:tc>
          <w:tcPr>
            <w:tcW w:w="7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122,193</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105,697</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31,778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(Warrants)</w:t>
            </w:r>
          </w:p>
        </w:tc>
        <w:tc>
          <w:tcPr>
            <w:tcW w:w="9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(Eureka Hunter Pipeline, LLC)</w:t>
            </w:r>
          </w:p>
        </w:tc>
        <w:tc>
          <w:tcPr>
            <w:tcW w:w="9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tcPr>
          <w:p>
            <w:pPr>
              <w:spacing w:after="0" w:line="138" w:lineRule="exact"/>
              <w:rPr>
                <w:sz w:val="20"/>
                <w:szCs w:val="20"/>
                <w:color w:val="auto"/>
              </w:rPr>
            </w:pPr>
            <w:r>
              <w:rPr>
                <w:rFonts w:ascii="Arial" w:cs="Arial" w:eastAsia="Arial" w:hAnsi="Arial"/>
                <w:sz w:val="13"/>
                <w:szCs w:val="13"/>
                <w:color w:val="auto"/>
              </w:rPr>
              <w:t>MidOcean JF Holdings Corp.</w:t>
            </w:r>
          </w:p>
        </w:tc>
        <w:tc>
          <w:tcPr>
            <w:tcW w:w="9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rPr>
              <w:t>Distribution</w:t>
            </w:r>
          </w:p>
        </w:tc>
        <w:tc>
          <w:tcPr>
            <w:tcW w:w="7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1,700</w:t>
            </w:r>
          </w:p>
        </w:tc>
        <w:tc>
          <w:tcPr>
            <w:tcW w:w="2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1,700,000</w:t>
            </w:r>
          </w:p>
        </w:tc>
        <w:tc>
          <w:tcPr>
            <w:tcW w:w="2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1,641,575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tcPr>
          <w:p>
            <w:pPr>
              <w:ind w:left="220"/>
              <w:spacing w:after="0"/>
              <w:rPr>
                <w:sz w:val="20"/>
                <w:szCs w:val="20"/>
                <w:color w:val="auto"/>
              </w:rPr>
            </w:pPr>
            <w:r>
              <w:rPr>
                <w:rFonts w:ascii="Arial" w:cs="Arial" w:eastAsia="Arial" w:hAnsi="Arial"/>
                <w:sz w:val="13"/>
                <w:szCs w:val="13"/>
                <w:color w:val="auto"/>
              </w:rPr>
              <w:t>(JF Acquisition, LLC)</w:t>
            </w: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MidOcean PPL Holdings, Inc.</w:t>
            </w:r>
          </w:p>
        </w:tc>
        <w:tc>
          <w:tcPr>
            <w:tcW w:w="90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89"/>
              </w:rPr>
              <w:t>Personal, Food and</w:t>
            </w:r>
          </w:p>
        </w:tc>
        <w:tc>
          <w:tcPr>
            <w:tcW w:w="7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3,000</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3,000,000</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4,377,360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(Pre-Paid Legal Services, Inc.)</w:t>
            </w:r>
          </w:p>
        </w:tc>
        <w:tc>
          <w:tcPr>
            <w:tcW w:w="9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Miscellaneous Services</w:t>
            </w: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tcPr>
          <w:p>
            <w:pPr>
              <w:spacing w:after="0" w:line="138" w:lineRule="exact"/>
              <w:rPr>
                <w:sz w:val="20"/>
                <w:szCs w:val="20"/>
                <w:color w:val="auto"/>
              </w:rPr>
            </w:pPr>
            <w:r>
              <w:rPr>
                <w:rFonts w:ascii="Arial" w:cs="Arial" w:eastAsia="Arial" w:hAnsi="Arial"/>
                <w:sz w:val="13"/>
                <w:szCs w:val="13"/>
                <w:color w:val="auto"/>
              </w:rPr>
              <w:t>Paradigm Acquisition Corp.</w:t>
            </w:r>
          </w:p>
        </w:tc>
        <w:tc>
          <w:tcPr>
            <w:tcW w:w="9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3"/>
              </w:rPr>
              <w:t>Healthcare, Education</w:t>
            </w:r>
          </w:p>
        </w:tc>
        <w:tc>
          <w:tcPr>
            <w:tcW w:w="7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20,000</w:t>
            </w:r>
          </w:p>
        </w:tc>
        <w:tc>
          <w:tcPr>
            <w:tcW w:w="2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2,000,000</w:t>
            </w:r>
          </w:p>
        </w:tc>
        <w:tc>
          <w:tcPr>
            <w:tcW w:w="2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2,124,491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00" w:type="dxa"/>
            <w:vAlign w:val="bottom"/>
          </w:tcPr>
          <w:p>
            <w:pPr>
              <w:ind w:left="220"/>
              <w:spacing w:after="0"/>
              <w:rPr>
                <w:sz w:val="20"/>
                <w:szCs w:val="20"/>
                <w:color w:val="auto"/>
              </w:rPr>
            </w:pPr>
            <w:r>
              <w:rPr>
                <w:rFonts w:ascii="Arial" w:cs="Arial" w:eastAsia="Arial" w:hAnsi="Arial"/>
                <w:sz w:val="13"/>
                <w:szCs w:val="13"/>
                <w:color w:val="auto"/>
              </w:rPr>
              <w:t>(Paradigm Management Services, LLC)</w:t>
            </w:r>
          </w:p>
        </w:tc>
        <w:tc>
          <w:tcPr>
            <w:tcW w:w="90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and Childcare</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PAS Tech Holdings, Inc.</w:t>
            </w:r>
          </w:p>
        </w:tc>
        <w:tc>
          <w:tcPr>
            <w:tcW w:w="90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0"/>
              </w:rPr>
              <w:t>Aerospace and Defense</w:t>
            </w:r>
          </w:p>
        </w:tc>
        <w:tc>
          <w:tcPr>
            <w:tcW w:w="7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20,000</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20,000</w:t>
            </w:r>
          </w:p>
        </w:tc>
        <w:tc>
          <w:tcPr>
            <w:tcW w:w="2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(PAS Technologies, Inc.)</w:t>
            </w:r>
          </w:p>
        </w:tc>
        <w:tc>
          <w:tcPr>
            <w:tcW w:w="9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tcPr>
          <w:p>
            <w:pPr>
              <w:spacing w:after="0" w:line="138" w:lineRule="exact"/>
              <w:rPr>
                <w:sz w:val="20"/>
                <w:szCs w:val="20"/>
                <w:color w:val="auto"/>
              </w:rPr>
            </w:pPr>
            <w:r>
              <w:rPr>
                <w:rFonts w:ascii="Arial" w:cs="Arial" w:eastAsia="Arial" w:hAnsi="Arial"/>
                <w:sz w:val="13"/>
                <w:szCs w:val="13"/>
                <w:color w:val="auto"/>
              </w:rPr>
              <w:t>QMG HoldCo, LLC, Class A</w:t>
            </w:r>
          </w:p>
        </w:tc>
        <w:tc>
          <w:tcPr>
            <w:tcW w:w="9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7"/>
              </w:rPr>
              <w:t>Other Media</w:t>
            </w:r>
          </w:p>
        </w:tc>
        <w:tc>
          <w:tcPr>
            <w:tcW w:w="7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4,325</w:t>
            </w:r>
          </w:p>
        </w:tc>
        <w:tc>
          <w:tcPr>
            <w:tcW w:w="2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1,306,166</w:t>
            </w:r>
          </w:p>
        </w:tc>
        <w:tc>
          <w:tcPr>
            <w:tcW w:w="2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1,404,661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tcPr>
          <w:p>
            <w:pPr>
              <w:ind w:left="220"/>
              <w:spacing w:after="0"/>
              <w:rPr>
                <w:sz w:val="20"/>
                <w:szCs w:val="20"/>
                <w:color w:val="auto"/>
              </w:rPr>
            </w:pPr>
            <w:r>
              <w:rPr>
                <w:rFonts w:ascii="Arial" w:cs="Arial" w:eastAsia="Arial" w:hAnsi="Arial"/>
                <w:sz w:val="13"/>
                <w:szCs w:val="13"/>
                <w:color w:val="auto"/>
              </w:rPr>
              <w:t>(Questex Media Group, Inc.)</w:t>
            </w: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QMG HoldCo, LLC, Class B</w:t>
            </w:r>
          </w:p>
        </w:tc>
        <w:tc>
          <w:tcPr>
            <w:tcW w:w="90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7"/>
              </w:rPr>
              <w:t>Other Media</w:t>
            </w:r>
          </w:p>
        </w:tc>
        <w:tc>
          <w:tcPr>
            <w:tcW w:w="7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531</w:t>
            </w:r>
          </w:p>
        </w:tc>
        <w:tc>
          <w:tcPr>
            <w:tcW w:w="2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172,457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(Questex Media Group, Inc.)</w:t>
            </w:r>
          </w:p>
        </w:tc>
        <w:tc>
          <w:tcPr>
            <w:tcW w:w="9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tcPr>
          <w:p>
            <w:pPr>
              <w:spacing w:after="0" w:line="138" w:lineRule="exact"/>
              <w:rPr>
                <w:sz w:val="20"/>
                <w:szCs w:val="20"/>
                <w:color w:val="auto"/>
              </w:rPr>
            </w:pPr>
            <w:r>
              <w:rPr>
                <w:rFonts w:ascii="Arial" w:cs="Arial" w:eastAsia="Arial" w:hAnsi="Arial"/>
                <w:sz w:val="13"/>
                <w:szCs w:val="13"/>
                <w:color w:val="auto"/>
              </w:rPr>
              <w:t>SPG Boyd Holdings Corp.</w:t>
            </w:r>
          </w:p>
        </w:tc>
        <w:tc>
          <w:tcPr>
            <w:tcW w:w="9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4"/>
              </w:rPr>
              <w:t>Chemical, Plastic</w:t>
            </w:r>
          </w:p>
        </w:tc>
        <w:tc>
          <w:tcPr>
            <w:tcW w:w="7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300,000</w:t>
            </w:r>
          </w:p>
        </w:tc>
        <w:tc>
          <w:tcPr>
            <w:tcW w:w="2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3,000,000</w:t>
            </w:r>
          </w:p>
        </w:tc>
        <w:tc>
          <w:tcPr>
            <w:tcW w:w="2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00" w:type="dxa"/>
            <w:vAlign w:val="bottom"/>
          </w:tcPr>
          <w:p>
            <w:pPr>
              <w:ind w:left="220"/>
              <w:spacing w:after="0"/>
              <w:rPr>
                <w:sz w:val="20"/>
                <w:szCs w:val="20"/>
                <w:color w:val="auto"/>
              </w:rPr>
            </w:pPr>
            <w:r>
              <w:rPr>
                <w:rFonts w:ascii="Arial" w:cs="Arial" w:eastAsia="Arial" w:hAnsi="Arial"/>
                <w:sz w:val="13"/>
                <w:szCs w:val="13"/>
                <w:color w:val="auto"/>
              </w:rPr>
              <w:t>(LTI Flexible Products, Inc.)</w:t>
            </w:r>
          </w:p>
        </w:tc>
        <w:tc>
          <w:tcPr>
            <w:tcW w:w="90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and Rubber</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Titan Private Holdings I, LLC – Class A</w:t>
            </w:r>
          </w:p>
        </w:tc>
        <w:tc>
          <w:tcPr>
            <w:tcW w:w="90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5"/>
              </w:rPr>
              <w:t>Telecommunications</w:t>
            </w:r>
          </w:p>
        </w:tc>
        <w:tc>
          <w:tcPr>
            <w:tcW w:w="7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2,276,847</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2,274,883</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6,182,426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(Tekelec Global, Inc.)</w:t>
            </w:r>
          </w:p>
        </w:tc>
        <w:tc>
          <w:tcPr>
            <w:tcW w:w="9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20"/>
                <w:szCs w:val="20"/>
                <w:color w:val="auto"/>
              </w:rPr>
            </w:pPr>
            <w:r>
              <w:rPr>
                <w:rFonts w:ascii="Arial" w:cs="Arial" w:eastAsia="Arial" w:hAnsi="Arial"/>
                <w:sz w:val="13"/>
                <w:szCs w:val="13"/>
                <w:color w:val="auto"/>
              </w:rPr>
              <w:t>TRAK Acquisition Corp. (Warrants)</w:t>
            </w:r>
          </w:p>
        </w:tc>
        <w:tc>
          <w:tcPr>
            <w:tcW w:w="900" w:type="dxa"/>
            <w:vAlign w:val="bottom"/>
          </w:tcPr>
          <w:p>
            <w:pPr>
              <w:ind w:left="180"/>
              <w:spacing w:after="0"/>
              <w:rPr>
                <w:sz w:val="20"/>
                <w:szCs w:val="20"/>
                <w:color w:val="auto"/>
              </w:rPr>
            </w:pPr>
            <w:r>
              <w:rPr>
                <w:rFonts w:ascii="Arial" w:cs="Arial" w:eastAsia="Arial" w:hAnsi="Arial"/>
                <w:sz w:val="13"/>
                <w:szCs w:val="13"/>
                <w:color w:val="auto"/>
              </w:rPr>
              <w:t>12/29/2019</w:t>
            </w: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7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3,500</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29,400</w:t>
            </w: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1,197,412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Transportation 100 Holdco, L.L.C. </w:t>
            </w:r>
            <w:r>
              <w:rPr>
                <w:rFonts w:ascii="Arial" w:cs="Arial" w:eastAsia="Arial" w:hAnsi="Arial"/>
                <w:sz w:val="15"/>
                <w:szCs w:val="15"/>
                <w:color w:val="auto"/>
                <w:vertAlign w:val="superscript"/>
              </w:rPr>
              <w:t>(13)</w:t>
            </w:r>
          </w:p>
        </w:tc>
        <w:tc>
          <w:tcPr>
            <w:tcW w:w="90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5"/>
              </w:rPr>
              <w:t>Cargo Transport</w:t>
            </w:r>
          </w:p>
        </w:tc>
        <w:tc>
          <w:tcPr>
            <w:tcW w:w="7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137,923</w:t>
            </w:r>
          </w:p>
        </w:tc>
        <w:tc>
          <w:tcPr>
            <w:tcW w:w="2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2,111,588</w:t>
            </w:r>
          </w:p>
        </w:tc>
        <w:tc>
          <w:tcPr>
            <w:tcW w:w="820" w:type="dxa"/>
            <w:vAlign w:val="bottom"/>
            <w:gridSpan w:val="2"/>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(Greatwide Logistics Services, L.L.C.)</w:t>
            </w:r>
          </w:p>
        </w:tc>
        <w:tc>
          <w:tcPr>
            <w:tcW w:w="9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tcPr>
          <w:p>
            <w:pPr>
              <w:spacing w:after="0" w:line="138" w:lineRule="exact"/>
              <w:rPr>
                <w:sz w:val="20"/>
                <w:szCs w:val="20"/>
                <w:color w:val="auto"/>
              </w:rPr>
            </w:pPr>
            <w:r>
              <w:rPr>
                <w:rFonts w:ascii="Arial" w:cs="Arial" w:eastAsia="Arial" w:hAnsi="Arial"/>
                <w:sz w:val="13"/>
                <w:szCs w:val="13"/>
                <w:color w:val="auto"/>
              </w:rPr>
              <w:t>TZ Holdings, L.P.</w:t>
            </w:r>
          </w:p>
        </w:tc>
        <w:tc>
          <w:tcPr>
            <w:tcW w:w="9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4"/>
              </w:rPr>
              <w:t>Insurance</w:t>
            </w:r>
          </w:p>
        </w:tc>
        <w:tc>
          <w:tcPr>
            <w:tcW w:w="7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2</w:t>
            </w:r>
          </w:p>
        </w:tc>
        <w:tc>
          <w:tcPr>
            <w:tcW w:w="2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9,567</w:t>
            </w:r>
          </w:p>
        </w:tc>
        <w:tc>
          <w:tcPr>
            <w:tcW w:w="2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713,718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tcPr>
          <w:p>
            <w:pPr>
              <w:ind w:left="220"/>
              <w:spacing w:after="0"/>
              <w:rPr>
                <w:sz w:val="20"/>
                <w:szCs w:val="20"/>
                <w:color w:val="auto"/>
              </w:rPr>
            </w:pPr>
            <w:r>
              <w:rPr>
                <w:rFonts w:ascii="Arial" w:cs="Arial" w:eastAsia="Arial" w:hAnsi="Arial"/>
                <w:sz w:val="13"/>
                <w:szCs w:val="13"/>
                <w:color w:val="auto"/>
              </w:rPr>
              <w:t>(Trizetto Group, Inc.)</w:t>
            </w: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Verde Parent Holdings, Inc.</w:t>
            </w:r>
          </w:p>
        </w:tc>
        <w:tc>
          <w:tcPr>
            <w:tcW w:w="90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89"/>
              </w:rPr>
              <w:t>Personal</w:t>
            </w:r>
          </w:p>
        </w:tc>
        <w:tc>
          <w:tcPr>
            <w:tcW w:w="7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9,166</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9,167</w:t>
            </w:r>
          </w:p>
        </w:tc>
        <w:tc>
          <w:tcPr>
            <w:tcW w:w="2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Transportation</w:t>
            </w: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00" w:type="dxa"/>
            <w:vAlign w:val="bottom"/>
          </w:tcPr>
          <w:p>
            <w:pPr>
              <w:spacing w:after="0" w:line="138" w:lineRule="exact"/>
              <w:rPr>
                <w:sz w:val="20"/>
                <w:szCs w:val="20"/>
                <w:color w:val="auto"/>
              </w:rPr>
            </w:pPr>
            <w:r>
              <w:rPr>
                <w:rFonts w:ascii="Arial" w:cs="Arial" w:eastAsia="Arial" w:hAnsi="Arial"/>
                <w:sz w:val="13"/>
                <w:szCs w:val="13"/>
                <w:color w:val="auto"/>
              </w:rPr>
              <w:t>VText Holdings, Inc.</w:t>
            </w:r>
          </w:p>
        </w:tc>
        <w:tc>
          <w:tcPr>
            <w:tcW w:w="9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160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2"/>
              </w:rPr>
              <w:t>Business Services</w:t>
            </w:r>
          </w:p>
        </w:tc>
        <w:tc>
          <w:tcPr>
            <w:tcW w:w="7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35,526</w:t>
            </w:r>
          </w:p>
        </w:tc>
        <w:tc>
          <w:tcPr>
            <w:tcW w:w="2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4,050,000</w:t>
            </w:r>
          </w:p>
        </w:tc>
        <w:tc>
          <w:tcPr>
            <w:tcW w:w="2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6,941,000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400" w:type="dxa"/>
            <w:vAlign w:val="bottom"/>
          </w:tcPr>
          <w:p>
            <w:pPr>
              <w:ind w:left="220"/>
              <w:spacing w:after="0"/>
              <w:rPr>
                <w:sz w:val="20"/>
                <w:szCs w:val="20"/>
                <w:color w:val="auto"/>
              </w:rPr>
            </w:pPr>
            <w:r>
              <w:rPr>
                <w:rFonts w:ascii="Arial" w:cs="Arial" w:eastAsia="Arial" w:hAnsi="Arial"/>
                <w:sz w:val="13"/>
                <w:szCs w:val="13"/>
                <w:color w:val="auto"/>
              </w:rPr>
              <w:t>(Veritext Corp.)</w:t>
            </w: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Common Equity/Warrants/ Partnership Interests</w:t>
            </w:r>
          </w:p>
        </w:tc>
        <w:tc>
          <w:tcPr>
            <w:tcW w:w="9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38,457,098</w:t>
            </w:r>
          </w:p>
        </w:tc>
        <w:tc>
          <w:tcPr>
            <w:tcW w:w="2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61,315,758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20"/>
                <w:szCs w:val="20"/>
                <w:color w:val="auto"/>
              </w:rPr>
            </w:pPr>
            <w:r>
              <w:rPr>
                <w:rFonts w:ascii="Arial" w:cs="Arial" w:eastAsia="Arial" w:hAnsi="Arial"/>
                <w:sz w:val="13"/>
                <w:szCs w:val="13"/>
                <w:b w:val="1"/>
                <w:bCs w:val="1"/>
                <w:color w:val="auto"/>
                <w:w w:val="97"/>
              </w:rPr>
              <w:t>Total Investments in Non-Controlled, Non-Affiliated Portfolio Companies</w:t>
            </w: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871,867,953</w:t>
            </w:r>
          </w:p>
        </w:tc>
        <w:tc>
          <w:tcPr>
            <w:tcW w:w="28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871,892,745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60" w:type="dxa"/>
            <w:vAlign w:val="bottom"/>
          </w:tcPr>
          <w:p>
            <w:pPr>
              <w:jc w:val="center"/>
              <w:ind w:right="113"/>
              <w:spacing w:after="0"/>
              <w:rPr>
                <w:sz w:val="20"/>
                <w:szCs w:val="20"/>
                <w:color w:val="auto"/>
              </w:rPr>
            </w:pPr>
            <w:r>
              <w:rPr>
                <w:rFonts w:ascii="Arial" w:cs="Arial" w:eastAsia="Arial" w:hAnsi="Arial"/>
                <w:sz w:val="13"/>
                <w:szCs w:val="13"/>
                <w:b w:val="1"/>
                <w:bCs w:val="1"/>
                <w:color w:val="auto"/>
                <w:w w:val="90"/>
              </w:rPr>
              <w:t>Basis Point</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7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Maturity</w:t>
            </w:r>
          </w:p>
        </w:tc>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100" w:type="dxa"/>
            <w:vAlign w:val="bottom"/>
          </w:tcPr>
          <w:p>
            <w:pPr>
              <w:jc w:val="right"/>
              <w:ind w:right="415"/>
              <w:spacing w:after="0"/>
              <w:rPr>
                <w:sz w:val="20"/>
                <w:szCs w:val="20"/>
                <w:color w:val="auto"/>
              </w:rPr>
            </w:pPr>
            <w:r>
              <w:rPr>
                <w:rFonts w:ascii="Arial" w:cs="Arial" w:eastAsia="Arial" w:hAnsi="Arial"/>
                <w:sz w:val="13"/>
                <w:szCs w:val="13"/>
                <w:b w:val="1"/>
                <w:bCs w:val="1"/>
                <w:color w:val="auto"/>
              </w:rPr>
              <w:t>Current</w:t>
            </w:r>
          </w:p>
        </w:tc>
        <w:tc>
          <w:tcPr>
            <w:tcW w:w="1260" w:type="dxa"/>
            <w:vAlign w:val="bottom"/>
          </w:tcPr>
          <w:p>
            <w:pPr>
              <w:jc w:val="center"/>
              <w:ind w:right="93"/>
              <w:spacing w:after="0"/>
              <w:rPr>
                <w:sz w:val="20"/>
                <w:szCs w:val="20"/>
                <w:color w:val="auto"/>
              </w:rPr>
            </w:pPr>
            <w:r>
              <w:rPr>
                <w:rFonts w:ascii="Arial" w:cs="Arial" w:eastAsia="Arial" w:hAnsi="Arial"/>
                <w:sz w:val="13"/>
                <w:szCs w:val="13"/>
                <w:b w:val="1"/>
                <w:bCs w:val="1"/>
                <w:color w:val="auto"/>
                <w:w w:val="95"/>
              </w:rPr>
              <w:t>Spread</w:t>
            </w:r>
          </w:p>
        </w:tc>
        <w:tc>
          <w:tcPr>
            <w:tcW w:w="840" w:type="dxa"/>
            <w:vAlign w:val="bottom"/>
          </w:tcPr>
          <w:p>
            <w:pPr>
              <w:jc w:val="right"/>
              <w:ind w:right="233"/>
              <w:spacing w:after="0"/>
              <w:rPr>
                <w:sz w:val="20"/>
                <w:szCs w:val="20"/>
                <w:color w:val="auto"/>
              </w:rPr>
            </w:pPr>
            <w:r>
              <w:rPr>
                <w:rFonts w:ascii="Arial" w:cs="Arial" w:eastAsia="Arial" w:hAnsi="Arial"/>
                <w:sz w:val="13"/>
                <w:szCs w:val="13"/>
                <w:b w:val="1"/>
                <w:bCs w:val="1"/>
                <w:color w:val="auto"/>
              </w:rPr>
              <w:t>Par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48"/>
        </w:trPr>
        <w:tc>
          <w:tcPr>
            <w:tcW w:w="378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Coupon</w:t>
            </w:r>
          </w:p>
        </w:tc>
        <w:tc>
          <w:tcPr>
            <w:tcW w:w="1260" w:type="dxa"/>
            <w:vAlign w:val="bottom"/>
            <w:tcBorders>
              <w:bottom w:val="single" w:sz="8" w:color="auto"/>
            </w:tcBorders>
          </w:tcPr>
          <w:p>
            <w:pPr>
              <w:jc w:val="center"/>
              <w:ind w:right="93"/>
              <w:spacing w:after="0" w:line="149" w:lineRule="exact"/>
              <w:rPr>
                <w:sz w:val="20"/>
                <w:szCs w:val="20"/>
                <w:color w:val="auto"/>
              </w:rPr>
            </w:pPr>
            <w:r>
              <w:rPr>
                <w:rFonts w:ascii="Arial" w:cs="Arial" w:eastAsia="Arial" w:hAnsi="Arial"/>
                <w:sz w:val="11"/>
                <w:szCs w:val="11"/>
                <w:b w:val="1"/>
                <w:bCs w:val="1"/>
                <w:color w:val="auto"/>
              </w:rPr>
              <w:t xml:space="preserve">Above Index </w:t>
            </w:r>
            <w:r>
              <w:rPr>
                <w:rFonts w:ascii="Arial" w:cs="Arial" w:eastAsia="Arial" w:hAnsi="Arial"/>
                <w:sz w:val="17"/>
                <w:szCs w:val="17"/>
                <w:b w:val="1"/>
                <w:bCs w:val="1"/>
                <w:color w:val="auto"/>
                <w:vertAlign w:val="superscript"/>
              </w:rPr>
              <w:t>(4)</w:t>
            </w: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rPr>
              <w:t>(3)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gridSpan w:val="2"/>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Affiliated Portfolio Companies—12.0% </w:t>
            </w:r>
            <w:r>
              <w:rPr>
                <w:rFonts w:ascii="Arial" w:cs="Arial" w:eastAsia="Arial" w:hAnsi="Arial"/>
                <w:sz w:val="16"/>
                <w:szCs w:val="16"/>
                <w:b w:val="1"/>
                <w:bCs w:val="1"/>
                <w:color w:val="auto"/>
                <w:vertAlign w:val="superscript"/>
              </w:rPr>
              <w:t>(1),(2)</w:t>
            </w: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20"/>
                <w:szCs w:val="20"/>
                <w:color w:val="auto"/>
              </w:rPr>
            </w:pPr>
            <w:r>
              <w:rPr>
                <w:rFonts w:ascii="Arial" w:cs="Arial" w:eastAsia="Arial" w:hAnsi="Arial"/>
                <w:sz w:val="13"/>
                <w:szCs w:val="13"/>
                <w:b w:val="1"/>
                <w:bCs w:val="1"/>
                <w:color w:val="auto"/>
              </w:rPr>
              <w:t>Second Lien Secured Debt—1.1%</w:t>
            </w: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vMerge w:val="restart"/>
          </w:tcPr>
          <w:p>
            <w:pPr>
              <w:ind w:left="640"/>
              <w:spacing w:after="0"/>
              <w:rPr>
                <w:sz w:val="20"/>
                <w:szCs w:val="20"/>
                <w:color w:val="auto"/>
              </w:rPr>
            </w:pPr>
            <w:r>
              <w:rPr>
                <w:rFonts w:ascii="Arial" w:cs="Arial" w:eastAsia="Arial" w:hAnsi="Arial"/>
                <w:sz w:val="13"/>
                <w:szCs w:val="13"/>
                <w:color w:val="auto"/>
              </w:rPr>
              <w:t xml:space="preserve">L+625 </w:t>
            </w:r>
            <w:r>
              <w:rPr>
                <w:rFonts w:ascii="Arial" w:cs="Arial" w:eastAsia="Arial" w:hAnsi="Arial"/>
                <w:sz w:val="22"/>
                <w:szCs w:val="22"/>
                <w:color w:val="auto"/>
                <w:vertAlign w:val="superscript"/>
              </w:rPr>
              <w:t>(8)</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80" w:type="dxa"/>
            <w:vAlign w:val="bottom"/>
          </w:tcPr>
          <w:p>
            <w:pPr>
              <w:spacing w:after="0" w:line="138" w:lineRule="exact"/>
              <w:rPr>
                <w:sz w:val="20"/>
                <w:szCs w:val="20"/>
                <w:color w:val="auto"/>
              </w:rPr>
            </w:pPr>
            <w:r>
              <w:rPr>
                <w:rFonts w:ascii="Arial" w:cs="Arial" w:eastAsia="Arial" w:hAnsi="Arial"/>
                <w:sz w:val="13"/>
                <w:szCs w:val="13"/>
                <w:color w:val="auto"/>
              </w:rPr>
              <w:t>Performance, Inc.</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5"/>
              </w:rPr>
              <w:t>01/16/2015</w:t>
            </w:r>
          </w:p>
        </w:tc>
        <w:tc>
          <w:tcPr>
            <w:tcW w:w="1360" w:type="dxa"/>
            <w:vAlign w:val="bottom"/>
          </w:tcPr>
          <w:p>
            <w:pPr>
              <w:jc w:val="center"/>
              <w:spacing w:after="0" w:line="138" w:lineRule="exact"/>
              <w:rPr>
                <w:sz w:val="20"/>
                <w:szCs w:val="20"/>
                <w:color w:val="auto"/>
              </w:rPr>
            </w:pPr>
            <w:r>
              <w:rPr>
                <w:rFonts w:ascii="Arial" w:cs="Arial" w:eastAsia="Arial" w:hAnsi="Arial"/>
                <w:sz w:val="13"/>
                <w:szCs w:val="13"/>
                <w:color w:val="auto"/>
                <w:w w:val="93"/>
              </w:rPr>
              <w:t>Leisure, Amusement</w:t>
            </w:r>
          </w:p>
        </w:tc>
        <w:tc>
          <w:tcPr>
            <w:tcW w:w="1100" w:type="dxa"/>
            <w:vAlign w:val="bottom"/>
          </w:tcPr>
          <w:p>
            <w:pPr>
              <w:jc w:val="right"/>
              <w:ind w:right="215"/>
              <w:spacing w:after="0" w:line="138" w:lineRule="exact"/>
              <w:rPr>
                <w:sz w:val="20"/>
                <w:szCs w:val="20"/>
                <w:color w:val="auto"/>
              </w:rPr>
            </w:pPr>
            <w:r>
              <w:rPr>
                <w:rFonts w:ascii="Arial" w:cs="Arial" w:eastAsia="Arial" w:hAnsi="Arial"/>
                <w:sz w:val="13"/>
                <w:szCs w:val="13"/>
                <w:color w:val="auto"/>
              </w:rPr>
              <w:t>7.25%</w:t>
            </w:r>
          </w:p>
        </w:tc>
        <w:tc>
          <w:tcPr>
            <w:tcW w:w="1260" w:type="dxa"/>
            <w:vAlign w:val="bottom"/>
            <w:vMerge w:val="continue"/>
          </w:tcPr>
          <w:p>
            <w:pPr>
              <w:spacing w:after="0"/>
              <w:rPr>
                <w:sz w:val="11"/>
                <w:szCs w:val="11"/>
                <w:color w:val="auto"/>
              </w:rPr>
            </w:pPr>
          </w:p>
        </w:tc>
        <w:tc>
          <w:tcPr>
            <w:tcW w:w="840" w:type="dxa"/>
            <w:vAlign w:val="bottom"/>
          </w:tcPr>
          <w:p>
            <w:pPr>
              <w:jc w:val="right"/>
              <w:ind w:right="53"/>
              <w:spacing w:after="0" w:line="138" w:lineRule="exact"/>
              <w:rPr>
                <w:sz w:val="20"/>
                <w:szCs w:val="20"/>
                <w:color w:val="auto"/>
              </w:rPr>
            </w:pPr>
            <w:r>
              <w:rPr>
                <w:rFonts w:ascii="Arial" w:cs="Arial" w:eastAsia="Arial" w:hAnsi="Arial"/>
                <w:sz w:val="13"/>
                <w:szCs w:val="13"/>
                <w:color w:val="auto"/>
              </w:rPr>
              <w:t>8,000,000</w:t>
            </w:r>
          </w:p>
        </w:tc>
        <w:tc>
          <w:tcPr>
            <w:tcW w:w="2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8,000,000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7,672,000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color w:val="auto"/>
                <w:w w:val="95"/>
              </w:rPr>
              <w:t>Motion Pictures and</w:t>
            </w:r>
          </w:p>
        </w:tc>
        <w:tc>
          <w:tcPr>
            <w:tcW w:w="1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color w:val="auto"/>
                <w:w w:val="93"/>
              </w:rPr>
              <w:t>Entertainment</w:t>
            </w:r>
          </w:p>
        </w:tc>
        <w:tc>
          <w:tcPr>
            <w:tcW w:w="1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20"/>
                <w:szCs w:val="20"/>
                <w:color w:val="auto"/>
              </w:rPr>
            </w:pPr>
            <w:r>
              <w:rPr>
                <w:rFonts w:ascii="Arial" w:cs="Arial" w:eastAsia="Arial" w:hAnsi="Arial"/>
                <w:sz w:val="13"/>
                <w:szCs w:val="13"/>
                <w:b w:val="1"/>
                <w:bCs w:val="1"/>
                <w:color w:val="auto"/>
              </w:rPr>
              <w:t>Subordinated Debt/Corporate Notes—7.1%</w:t>
            </w: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7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Performance Holdings, Inc.</w:t>
            </w:r>
          </w:p>
        </w:tc>
        <w:tc>
          <w:tcPr>
            <w:tcW w:w="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07/16/2015</w:t>
            </w: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Leisure, Amusement,</w:t>
            </w:r>
          </w:p>
        </w:tc>
        <w:tc>
          <w:tcPr>
            <w:tcW w:w="1100" w:type="dxa"/>
            <w:vAlign w:val="bottom"/>
            <w:shd w:val="clear" w:color="auto" w:fill="CCEEFF"/>
          </w:tcPr>
          <w:p>
            <w:pPr>
              <w:jc w:val="right"/>
              <w:ind w:right="55"/>
              <w:spacing w:after="0" w:line="138" w:lineRule="exact"/>
              <w:rPr>
                <w:sz w:val="20"/>
                <w:szCs w:val="20"/>
                <w:color w:val="auto"/>
              </w:rPr>
            </w:pPr>
            <w:r>
              <w:rPr>
                <w:rFonts w:ascii="Arial" w:cs="Arial" w:eastAsia="Arial" w:hAnsi="Arial"/>
                <w:sz w:val="10"/>
                <w:szCs w:val="10"/>
                <w:color w:val="auto"/>
              </w:rPr>
              <w:t xml:space="preserve">15.00% </w:t>
            </w:r>
            <w:r>
              <w:rPr>
                <w:rFonts w:ascii="Arial" w:cs="Arial" w:eastAsia="Arial" w:hAnsi="Arial"/>
                <w:sz w:val="15"/>
                <w:szCs w:val="15"/>
                <w:color w:val="auto"/>
                <w:vertAlign w:val="superscript"/>
              </w:rPr>
              <w:t>(7)</w:t>
            </w:r>
          </w:p>
        </w:tc>
        <w:tc>
          <w:tcPr>
            <w:tcW w:w="1260" w:type="dxa"/>
            <w:vAlign w:val="bottom"/>
            <w:shd w:val="clear" w:color="auto" w:fill="CCEEFF"/>
          </w:tcPr>
          <w:p>
            <w:pPr>
              <w:ind w:left="800"/>
              <w:spacing w:after="0" w:line="138"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7,567,234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7,435,314</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7,453,725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Motion Pictures and</w:t>
            </w: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1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20"/>
                <w:szCs w:val="20"/>
                <w:color w:val="auto"/>
              </w:rPr>
            </w:pPr>
            <w:r>
              <w:rPr>
                <w:rFonts w:ascii="Arial" w:cs="Arial" w:eastAsia="Arial" w:hAnsi="Arial"/>
                <w:sz w:val="13"/>
                <w:szCs w:val="13"/>
                <w:color w:val="auto"/>
              </w:rPr>
              <w:t>Service Champ, Inc.</w:t>
            </w:r>
          </w:p>
        </w:tc>
        <w:tc>
          <w:tcPr>
            <w:tcW w:w="820" w:type="dxa"/>
            <w:vAlign w:val="bottom"/>
          </w:tcPr>
          <w:p>
            <w:pPr>
              <w:jc w:val="center"/>
              <w:spacing w:after="0"/>
              <w:rPr>
                <w:sz w:val="20"/>
                <w:szCs w:val="20"/>
                <w:color w:val="auto"/>
              </w:rPr>
            </w:pPr>
            <w:r>
              <w:rPr>
                <w:rFonts w:ascii="Arial" w:cs="Arial" w:eastAsia="Arial" w:hAnsi="Arial"/>
                <w:sz w:val="13"/>
                <w:szCs w:val="13"/>
                <w:color w:val="auto"/>
                <w:w w:val="95"/>
              </w:rPr>
              <w:t>10/02/2017</w:t>
            </w:r>
          </w:p>
        </w:tc>
        <w:tc>
          <w:tcPr>
            <w:tcW w:w="1360" w:type="dxa"/>
            <w:vAlign w:val="bottom"/>
          </w:tcPr>
          <w:p>
            <w:pPr>
              <w:jc w:val="center"/>
              <w:spacing w:after="0"/>
              <w:rPr>
                <w:sz w:val="20"/>
                <w:szCs w:val="20"/>
                <w:color w:val="auto"/>
              </w:rPr>
            </w:pPr>
            <w:r>
              <w:rPr>
                <w:rFonts w:ascii="Arial" w:cs="Arial" w:eastAsia="Arial" w:hAnsi="Arial"/>
                <w:sz w:val="13"/>
                <w:szCs w:val="13"/>
                <w:color w:val="auto"/>
                <w:w w:val="97"/>
              </w:rPr>
              <w:t>Auto Sector</w:t>
            </w:r>
          </w:p>
        </w:tc>
        <w:tc>
          <w:tcPr>
            <w:tcW w:w="1100" w:type="dxa"/>
            <w:vAlign w:val="bottom"/>
          </w:tcPr>
          <w:p>
            <w:pPr>
              <w:jc w:val="right"/>
              <w:ind w:right="215"/>
              <w:spacing w:after="0"/>
              <w:rPr>
                <w:sz w:val="20"/>
                <w:szCs w:val="20"/>
                <w:color w:val="auto"/>
              </w:rPr>
            </w:pPr>
            <w:r>
              <w:rPr>
                <w:rFonts w:ascii="Arial" w:cs="Arial" w:eastAsia="Arial" w:hAnsi="Arial"/>
                <w:sz w:val="13"/>
                <w:szCs w:val="13"/>
                <w:color w:val="auto"/>
              </w:rPr>
              <w:t>12.50%</w:t>
            </w:r>
          </w:p>
        </w:tc>
        <w:tc>
          <w:tcPr>
            <w:tcW w:w="1260" w:type="dxa"/>
            <w:vAlign w:val="bottom"/>
          </w:tcPr>
          <w:p>
            <w:pPr>
              <w:ind w:left="8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24,000,000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23,495,700</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24,000,000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Service Champ, Inc. </w:t>
            </w:r>
            <w:r>
              <w:rPr>
                <w:rFonts w:ascii="Arial" w:cs="Arial" w:eastAsia="Arial" w:hAnsi="Arial"/>
                <w:sz w:val="17"/>
                <w:szCs w:val="17"/>
                <w:color w:val="auto"/>
                <w:vertAlign w:val="superscript"/>
              </w:rPr>
              <w:t>(9)</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10/02/2013</w:t>
            </w: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Auto Sector</w:t>
            </w:r>
          </w:p>
        </w:tc>
        <w:tc>
          <w:tcPr>
            <w:tcW w:w="1100" w:type="dxa"/>
            <w:vAlign w:val="bottom"/>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16,000,000</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15,640,000</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3780" w:type="dxa"/>
            <w:vAlign w:val="bottom"/>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8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46,571,014</w:t>
            </w:r>
          </w:p>
        </w:tc>
        <w:tc>
          <w:tcPr>
            <w:tcW w:w="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47,453,725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Interest—3.8% </w:t>
            </w:r>
            <w:r>
              <w:rPr>
                <w:rFonts w:ascii="Arial" w:cs="Arial" w:eastAsia="Arial" w:hAnsi="Arial"/>
                <w:sz w:val="17"/>
                <w:szCs w:val="17"/>
                <w:b w:val="1"/>
                <w:bCs w:val="1"/>
                <w:color w:val="auto"/>
                <w:vertAlign w:val="superscript"/>
              </w:rPr>
              <w:t>(6)</w:t>
            </w:r>
          </w:p>
        </w:tc>
        <w:tc>
          <w:tcPr>
            <w:tcW w:w="8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80" w:type="dxa"/>
            <w:vAlign w:val="bottom"/>
          </w:tcPr>
          <w:p>
            <w:pPr>
              <w:spacing w:after="0" w:line="138" w:lineRule="exact"/>
              <w:rPr>
                <w:sz w:val="20"/>
                <w:szCs w:val="20"/>
                <w:color w:val="auto"/>
              </w:rPr>
            </w:pPr>
            <w:r>
              <w:rPr>
                <w:rFonts w:ascii="Arial" w:cs="Arial" w:eastAsia="Arial" w:hAnsi="Arial"/>
                <w:sz w:val="13"/>
                <w:szCs w:val="13"/>
                <w:color w:val="auto"/>
              </w:rPr>
              <w:t>EnviroSolutions, Inc.</w:t>
            </w:r>
          </w:p>
        </w:tc>
        <w:tc>
          <w:tcPr>
            <w:tcW w:w="820" w:type="dxa"/>
            <w:vAlign w:val="bottom"/>
          </w:tcPr>
          <w:p>
            <w:pPr>
              <w:ind w:left="320"/>
              <w:spacing w:after="0" w:line="138" w:lineRule="exact"/>
              <w:rPr>
                <w:sz w:val="20"/>
                <w:szCs w:val="20"/>
                <w:color w:val="auto"/>
              </w:rPr>
            </w:pPr>
            <w:r>
              <w:rPr>
                <w:rFonts w:ascii="Arial" w:cs="Arial" w:eastAsia="Arial" w:hAnsi="Arial"/>
                <w:sz w:val="13"/>
                <w:szCs w:val="13"/>
                <w:color w:val="auto"/>
              </w:rPr>
              <w:t>—</w:t>
            </w:r>
          </w:p>
        </w:tc>
        <w:tc>
          <w:tcPr>
            <w:tcW w:w="1360" w:type="dxa"/>
            <w:vAlign w:val="bottom"/>
          </w:tcPr>
          <w:p>
            <w:pPr>
              <w:jc w:val="center"/>
              <w:spacing w:after="0" w:line="138" w:lineRule="exact"/>
              <w:rPr>
                <w:sz w:val="20"/>
                <w:szCs w:val="20"/>
                <w:color w:val="auto"/>
              </w:rPr>
            </w:pPr>
            <w:r>
              <w:rPr>
                <w:rFonts w:ascii="Arial" w:cs="Arial" w:eastAsia="Arial" w:hAnsi="Arial"/>
                <w:sz w:val="13"/>
                <w:szCs w:val="13"/>
                <w:color w:val="auto"/>
                <w:w w:val="96"/>
              </w:rPr>
              <w:t>Environmental</w:t>
            </w:r>
          </w:p>
        </w:tc>
        <w:tc>
          <w:tcPr>
            <w:tcW w:w="1100" w:type="dxa"/>
            <w:vAlign w:val="bottom"/>
          </w:tcPr>
          <w:p>
            <w:pPr>
              <w:jc w:val="right"/>
              <w:ind w:right="395"/>
              <w:spacing w:after="0" w:line="138" w:lineRule="exact"/>
              <w:rPr>
                <w:sz w:val="20"/>
                <w:szCs w:val="20"/>
                <w:color w:val="auto"/>
              </w:rPr>
            </w:pPr>
            <w:r>
              <w:rPr>
                <w:rFonts w:ascii="Arial" w:cs="Arial" w:eastAsia="Arial" w:hAnsi="Arial"/>
                <w:sz w:val="13"/>
                <w:szCs w:val="13"/>
                <w:color w:val="auto"/>
              </w:rPr>
              <w:t>—</w:t>
            </w:r>
          </w:p>
        </w:tc>
        <w:tc>
          <w:tcPr>
            <w:tcW w:w="1260" w:type="dxa"/>
            <w:vAlign w:val="bottom"/>
          </w:tcPr>
          <w:p>
            <w:pPr>
              <w:ind w:left="800"/>
              <w:spacing w:after="0" w:line="138"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125,106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10,055,844</w:t>
            </w:r>
          </w:p>
        </w:tc>
        <w:tc>
          <w:tcPr>
            <w:tcW w:w="6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18,425,519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color w:val="auto"/>
                <w:w w:val="92"/>
              </w:rPr>
              <w:t>Services</w:t>
            </w:r>
          </w:p>
        </w:tc>
        <w:tc>
          <w:tcPr>
            <w:tcW w:w="1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7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NCP-Performance</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Leisure, Amusement,</w:t>
            </w:r>
          </w:p>
        </w:tc>
        <w:tc>
          <w:tcPr>
            <w:tcW w:w="1100" w:type="dxa"/>
            <w:vAlign w:val="bottom"/>
            <w:shd w:val="clear" w:color="auto" w:fill="CCEEFF"/>
          </w:tcPr>
          <w:p>
            <w:pPr>
              <w:jc w:val="right"/>
              <w:ind w:right="395"/>
              <w:spacing w:after="0" w:line="138"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ind w:left="800"/>
              <w:spacing w:after="0" w:line="138"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375,000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3,750,000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2,902,355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(Performance Holdings, Inc.)</w:t>
            </w:r>
          </w:p>
        </w:tc>
        <w:tc>
          <w:tcPr>
            <w:tcW w:w="8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Motion Pictures and</w:t>
            </w: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1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80" w:type="dxa"/>
            <w:vAlign w:val="bottom"/>
          </w:tcPr>
          <w:p>
            <w:pPr>
              <w:spacing w:after="0" w:line="138" w:lineRule="exact"/>
              <w:rPr>
                <w:sz w:val="20"/>
                <w:szCs w:val="20"/>
                <w:color w:val="auto"/>
              </w:rPr>
            </w:pPr>
            <w:r>
              <w:rPr>
                <w:rFonts w:ascii="Arial" w:cs="Arial" w:eastAsia="Arial" w:hAnsi="Arial"/>
                <w:sz w:val="13"/>
                <w:szCs w:val="13"/>
                <w:color w:val="auto"/>
              </w:rPr>
              <w:t>New Service Champ Holdings, Inc.</w:t>
            </w:r>
          </w:p>
        </w:tc>
        <w:tc>
          <w:tcPr>
            <w:tcW w:w="820" w:type="dxa"/>
            <w:vAlign w:val="bottom"/>
          </w:tcPr>
          <w:p>
            <w:pPr>
              <w:ind w:left="320"/>
              <w:spacing w:after="0" w:line="138" w:lineRule="exact"/>
              <w:rPr>
                <w:sz w:val="20"/>
                <w:szCs w:val="20"/>
                <w:color w:val="auto"/>
              </w:rPr>
            </w:pPr>
            <w:r>
              <w:rPr>
                <w:rFonts w:ascii="Arial" w:cs="Arial" w:eastAsia="Arial" w:hAnsi="Arial"/>
                <w:sz w:val="13"/>
                <w:szCs w:val="13"/>
                <w:color w:val="auto"/>
              </w:rPr>
              <w:t>—</w:t>
            </w:r>
          </w:p>
        </w:tc>
        <w:tc>
          <w:tcPr>
            <w:tcW w:w="1360" w:type="dxa"/>
            <w:vAlign w:val="bottom"/>
          </w:tcPr>
          <w:p>
            <w:pPr>
              <w:jc w:val="center"/>
              <w:spacing w:after="0" w:line="138" w:lineRule="exact"/>
              <w:rPr>
                <w:sz w:val="20"/>
                <w:szCs w:val="20"/>
                <w:color w:val="auto"/>
              </w:rPr>
            </w:pPr>
            <w:r>
              <w:rPr>
                <w:rFonts w:ascii="Arial" w:cs="Arial" w:eastAsia="Arial" w:hAnsi="Arial"/>
                <w:sz w:val="13"/>
                <w:szCs w:val="13"/>
                <w:color w:val="auto"/>
                <w:w w:val="97"/>
              </w:rPr>
              <w:t>Auto Sector</w:t>
            </w:r>
          </w:p>
        </w:tc>
        <w:tc>
          <w:tcPr>
            <w:tcW w:w="1100" w:type="dxa"/>
            <w:vAlign w:val="bottom"/>
          </w:tcPr>
          <w:p>
            <w:pPr>
              <w:jc w:val="right"/>
              <w:ind w:right="395"/>
              <w:spacing w:after="0" w:line="138" w:lineRule="exact"/>
              <w:rPr>
                <w:sz w:val="20"/>
                <w:szCs w:val="20"/>
                <w:color w:val="auto"/>
              </w:rPr>
            </w:pPr>
            <w:r>
              <w:rPr>
                <w:rFonts w:ascii="Arial" w:cs="Arial" w:eastAsia="Arial" w:hAnsi="Arial"/>
                <w:sz w:val="13"/>
                <w:szCs w:val="13"/>
                <w:color w:val="auto"/>
              </w:rPr>
              <w:t>—</w:t>
            </w:r>
          </w:p>
        </w:tc>
        <w:tc>
          <w:tcPr>
            <w:tcW w:w="1260" w:type="dxa"/>
            <w:vAlign w:val="bottom"/>
          </w:tcPr>
          <w:p>
            <w:pPr>
              <w:ind w:left="800"/>
              <w:spacing w:after="0" w:line="138"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16,800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4,200,000</w:t>
            </w:r>
          </w:p>
        </w:tc>
        <w:tc>
          <w:tcPr>
            <w:tcW w:w="6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4,501,658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780" w:type="dxa"/>
            <w:vAlign w:val="bottom"/>
          </w:tcPr>
          <w:p>
            <w:pPr>
              <w:ind w:left="220"/>
              <w:spacing w:after="0"/>
              <w:rPr>
                <w:sz w:val="20"/>
                <w:szCs w:val="20"/>
                <w:color w:val="auto"/>
              </w:rPr>
            </w:pPr>
            <w:r>
              <w:rPr>
                <w:rFonts w:ascii="Arial" w:cs="Arial" w:eastAsia="Arial" w:hAnsi="Arial"/>
                <w:sz w:val="13"/>
                <w:szCs w:val="13"/>
                <w:color w:val="auto"/>
              </w:rPr>
              <w:t>(Service Champ, Inc.)</w:t>
            </w: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Common Equity/Partnership Interest</w:t>
            </w:r>
          </w:p>
        </w:tc>
        <w:tc>
          <w:tcPr>
            <w:tcW w:w="8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18,005,844</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25,829,532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4600" w:type="dxa"/>
            <w:vAlign w:val="bottom"/>
            <w:gridSpan w:val="2"/>
          </w:tcPr>
          <w:p>
            <w:pPr>
              <w:spacing w:after="0"/>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1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72,576,858</w:t>
            </w:r>
          </w:p>
        </w:tc>
        <w:tc>
          <w:tcPr>
            <w:tcW w:w="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80,955,257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Controlled, Affiliated Portfolio Companies—5.6% </w:t>
            </w:r>
            <w:r>
              <w:rPr>
                <w:rFonts w:ascii="Arial" w:cs="Arial" w:eastAsia="Arial" w:hAnsi="Arial"/>
                <w:sz w:val="17"/>
                <w:szCs w:val="17"/>
                <w:b w:val="1"/>
                <w:bCs w:val="1"/>
                <w:color w:val="auto"/>
                <w:vertAlign w:val="superscript"/>
              </w:rPr>
              <w:t>(1),(2)</w:t>
            </w: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20"/>
                <w:szCs w:val="20"/>
                <w:color w:val="auto"/>
              </w:rPr>
            </w:pPr>
            <w:r>
              <w:rPr>
                <w:rFonts w:ascii="Arial" w:cs="Arial" w:eastAsia="Arial" w:hAnsi="Arial"/>
                <w:sz w:val="13"/>
                <w:szCs w:val="13"/>
                <w:b w:val="1"/>
                <w:bCs w:val="1"/>
                <w:color w:val="auto"/>
              </w:rPr>
              <w:t>First Lien Secured Debt—1.9%</w:t>
            </w: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06/30/2020</w:t>
            </w: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100" w:type="dxa"/>
            <w:vAlign w:val="bottom"/>
            <w:shd w:val="clear" w:color="auto" w:fill="CCEEFF"/>
          </w:tcPr>
          <w:p>
            <w:pPr>
              <w:jc w:val="right"/>
              <w:ind w:right="55"/>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(7)</w:t>
            </w:r>
          </w:p>
        </w:tc>
        <w:tc>
          <w:tcPr>
            <w:tcW w:w="1260" w:type="dxa"/>
            <w:vAlign w:val="bottom"/>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10,800,000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10,800,000</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1"/>
                <w:szCs w:val="11"/>
                <w:color w:val="auto"/>
              </w:rPr>
              <w:t xml:space="preserve">UP Support Services, Inc. </w:t>
            </w:r>
            <w:r>
              <w:rPr>
                <w:rFonts w:ascii="Arial" w:cs="Arial" w:eastAsia="Arial" w:hAnsi="Arial"/>
                <w:sz w:val="17"/>
                <w:szCs w:val="17"/>
                <w:color w:val="auto"/>
                <w:vertAlign w:val="superscript"/>
              </w:rPr>
              <w:t>(9)</w:t>
            </w:r>
          </w:p>
        </w:tc>
        <w:tc>
          <w:tcPr>
            <w:tcW w:w="820" w:type="dxa"/>
            <w:vAlign w:val="bottom"/>
          </w:tcPr>
          <w:p>
            <w:pPr>
              <w:jc w:val="center"/>
              <w:spacing w:after="0"/>
              <w:rPr>
                <w:sz w:val="20"/>
                <w:szCs w:val="20"/>
                <w:color w:val="auto"/>
              </w:rPr>
            </w:pPr>
            <w:r>
              <w:rPr>
                <w:rFonts w:ascii="Arial" w:cs="Arial" w:eastAsia="Arial" w:hAnsi="Arial"/>
                <w:sz w:val="13"/>
                <w:szCs w:val="13"/>
                <w:color w:val="auto"/>
                <w:w w:val="95"/>
              </w:rPr>
              <w:t>12/31/2015</w:t>
            </w:r>
          </w:p>
        </w:tc>
        <w:tc>
          <w:tcPr>
            <w:tcW w:w="136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1100" w:type="dxa"/>
            <w:vAlign w:val="bottom"/>
          </w:tcPr>
          <w:p>
            <w:pPr>
              <w:jc w:val="right"/>
              <w:ind w:right="395"/>
              <w:spacing w:after="0"/>
              <w:rPr>
                <w:sz w:val="20"/>
                <w:szCs w:val="20"/>
                <w:color w:val="auto"/>
              </w:rPr>
            </w:pPr>
            <w:r>
              <w:rPr>
                <w:rFonts w:ascii="Arial" w:cs="Arial" w:eastAsia="Arial" w:hAnsi="Arial"/>
                <w:sz w:val="13"/>
                <w:szCs w:val="13"/>
                <w:color w:val="auto"/>
              </w:rPr>
              <w:t>—</w:t>
            </w:r>
          </w:p>
        </w:tc>
        <w:tc>
          <w:tcPr>
            <w:tcW w:w="1260" w:type="dxa"/>
            <w:vAlign w:val="bottom"/>
          </w:tcPr>
          <w:p>
            <w:pPr>
              <w:ind w:left="8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743,187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668,632</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743,187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UP Support Services, Inc. </w:t>
            </w:r>
            <w:r>
              <w:rPr>
                <w:rFonts w:ascii="Arial" w:cs="Arial" w:eastAsia="Arial" w:hAnsi="Arial"/>
                <w:sz w:val="17"/>
                <w:szCs w:val="17"/>
                <w:color w:val="auto"/>
                <w:vertAlign w:val="superscript"/>
              </w:rPr>
              <w:t>(9)</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12/31/2015</w:t>
            </w: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Oil and Gas</w:t>
            </w:r>
          </w:p>
        </w:tc>
        <w:tc>
          <w:tcPr>
            <w:tcW w:w="1100" w:type="dxa"/>
            <w:vAlign w:val="bottom"/>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1,173,479</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1,068,059</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1,173,479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rPr>
                <w:sz w:val="20"/>
                <w:szCs w:val="20"/>
                <w:color w:val="auto"/>
              </w:rPr>
            </w:pPr>
            <w:r>
              <w:rPr>
                <w:rFonts w:ascii="Arial" w:cs="Arial" w:eastAsia="Arial" w:hAnsi="Arial"/>
                <w:sz w:val="13"/>
                <w:szCs w:val="13"/>
                <w:b w:val="1"/>
                <w:bCs w:val="1"/>
                <w:color w:val="auto"/>
              </w:rPr>
              <w:t>Total First Lien Secured Debt</w:t>
            </w: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12,536,691</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12,716,666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Debt—2.1%</w:t>
            </w:r>
          </w:p>
        </w:tc>
        <w:tc>
          <w:tcPr>
            <w:tcW w:w="8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80" w:type="dxa"/>
            <w:vAlign w:val="bottom"/>
          </w:tcPr>
          <w:p>
            <w:pPr>
              <w:spacing w:after="0" w:line="138" w:lineRule="exact"/>
              <w:rPr>
                <w:sz w:val="20"/>
                <w:szCs w:val="20"/>
                <w:color w:val="auto"/>
              </w:rPr>
            </w:pPr>
            <w:r>
              <w:rPr>
                <w:rFonts w:ascii="Arial" w:cs="Arial" w:eastAsia="Arial" w:hAnsi="Arial"/>
                <w:sz w:val="13"/>
                <w:szCs w:val="13"/>
                <w:color w:val="auto"/>
              </w:rPr>
              <w:t>UP Support Services, Inc.</w:t>
            </w:r>
          </w:p>
        </w:tc>
        <w:tc>
          <w:tcPr>
            <w:tcW w:w="820" w:type="dxa"/>
            <w:vAlign w:val="bottom"/>
          </w:tcPr>
          <w:p>
            <w:pPr>
              <w:jc w:val="center"/>
              <w:spacing w:after="0" w:line="138" w:lineRule="exact"/>
              <w:rPr>
                <w:sz w:val="20"/>
                <w:szCs w:val="20"/>
                <w:color w:val="auto"/>
              </w:rPr>
            </w:pPr>
            <w:r>
              <w:rPr>
                <w:rFonts w:ascii="Arial" w:cs="Arial" w:eastAsia="Arial" w:hAnsi="Arial"/>
                <w:sz w:val="13"/>
                <w:szCs w:val="13"/>
                <w:color w:val="auto"/>
                <w:w w:val="95"/>
              </w:rPr>
              <w:t>12/31/2015</w:t>
            </w:r>
          </w:p>
        </w:tc>
        <w:tc>
          <w:tcPr>
            <w:tcW w:w="1360" w:type="dxa"/>
            <w:vAlign w:val="bottom"/>
          </w:tcPr>
          <w:p>
            <w:pPr>
              <w:jc w:val="center"/>
              <w:spacing w:after="0" w:line="138" w:lineRule="exact"/>
              <w:rPr>
                <w:sz w:val="20"/>
                <w:szCs w:val="20"/>
                <w:color w:val="auto"/>
              </w:rPr>
            </w:pPr>
            <w:r>
              <w:rPr>
                <w:rFonts w:ascii="Arial" w:cs="Arial" w:eastAsia="Arial" w:hAnsi="Arial"/>
                <w:sz w:val="13"/>
                <w:szCs w:val="13"/>
                <w:color w:val="auto"/>
                <w:w w:val="93"/>
              </w:rPr>
              <w:t>Oil and Gas</w:t>
            </w:r>
          </w:p>
        </w:tc>
        <w:tc>
          <w:tcPr>
            <w:tcW w:w="1100" w:type="dxa"/>
            <w:vAlign w:val="bottom"/>
          </w:tcPr>
          <w:p>
            <w:pPr>
              <w:jc w:val="right"/>
              <w:ind w:right="215"/>
              <w:spacing w:after="0" w:line="138" w:lineRule="exact"/>
              <w:rPr>
                <w:sz w:val="20"/>
                <w:szCs w:val="20"/>
                <w:color w:val="auto"/>
              </w:rPr>
            </w:pPr>
            <w:r>
              <w:rPr>
                <w:rFonts w:ascii="Arial" w:cs="Arial" w:eastAsia="Arial" w:hAnsi="Arial"/>
                <w:sz w:val="13"/>
                <w:szCs w:val="13"/>
                <w:color w:val="auto"/>
              </w:rPr>
              <w:t>15.00%</w:t>
            </w:r>
          </w:p>
        </w:tc>
        <w:tc>
          <w:tcPr>
            <w:tcW w:w="1260" w:type="dxa"/>
            <w:vAlign w:val="bottom"/>
          </w:tcPr>
          <w:p>
            <w:pPr>
              <w:ind w:left="800"/>
              <w:spacing w:after="0" w:line="138"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14,300,282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11,809,647</w:t>
            </w:r>
          </w:p>
        </w:tc>
        <w:tc>
          <w:tcPr>
            <w:tcW w:w="6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14,300,282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tcPr>
          <w:p>
            <w:pPr>
              <w:jc w:val="right"/>
              <w:ind w:right="155"/>
              <w:spacing w:after="0"/>
              <w:rPr>
                <w:sz w:val="20"/>
                <w:szCs w:val="20"/>
                <w:color w:val="auto"/>
              </w:rPr>
            </w:pPr>
            <w:r>
              <w:rPr>
                <w:rFonts w:ascii="Arial" w:cs="Arial" w:eastAsia="Arial" w:hAnsi="Arial"/>
                <w:sz w:val="13"/>
                <w:szCs w:val="13"/>
                <w:color w:val="auto"/>
              </w:rPr>
              <w:t>(PIK 15.00%)</w:t>
            </w:r>
          </w:p>
        </w:tc>
        <w:tc>
          <w:tcPr>
            <w:tcW w:w="1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Subordinated Debt/Corporate Notes—0.3%</w:t>
            </w:r>
          </w:p>
        </w:tc>
        <w:tc>
          <w:tcPr>
            <w:tcW w:w="8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820" w:type="dxa"/>
            <w:vAlign w:val="bottom"/>
          </w:tcPr>
          <w:p>
            <w:pPr>
              <w:jc w:val="center"/>
              <w:spacing w:after="0"/>
              <w:rPr>
                <w:sz w:val="20"/>
                <w:szCs w:val="20"/>
                <w:color w:val="auto"/>
              </w:rPr>
            </w:pPr>
            <w:r>
              <w:rPr>
                <w:rFonts w:ascii="Arial" w:cs="Arial" w:eastAsia="Arial" w:hAnsi="Arial"/>
                <w:sz w:val="13"/>
                <w:szCs w:val="13"/>
                <w:color w:val="auto"/>
                <w:w w:val="95"/>
              </w:rPr>
              <w:t>06/30/2020</w:t>
            </w:r>
          </w:p>
        </w:tc>
        <w:tc>
          <w:tcPr>
            <w:tcW w:w="13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100" w:type="dxa"/>
            <w:vAlign w:val="bottom"/>
          </w:tcPr>
          <w:p>
            <w:pPr>
              <w:jc w:val="right"/>
              <w:ind w:right="55"/>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(7)</w:t>
            </w:r>
          </w:p>
        </w:tc>
        <w:tc>
          <w:tcPr>
            <w:tcW w:w="1260" w:type="dxa"/>
            <w:vAlign w:val="bottom"/>
          </w:tcPr>
          <w:p>
            <w:pPr>
              <w:ind w:left="8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2,700,000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2,700,000</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2,158,053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Equity—1.3% </w:t>
            </w:r>
            <w:r>
              <w:rPr>
                <w:rFonts w:ascii="Arial" w:cs="Arial" w:eastAsia="Arial" w:hAnsi="Arial"/>
                <w:sz w:val="17"/>
                <w:szCs w:val="17"/>
                <w:b w:val="1"/>
                <w:bCs w:val="1"/>
                <w:color w:val="auto"/>
                <w:vertAlign w:val="superscript"/>
              </w:rPr>
              <w:t>(6)</w:t>
            </w:r>
          </w:p>
        </w:tc>
        <w:tc>
          <w:tcPr>
            <w:tcW w:w="8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820" w:type="dxa"/>
            <w:vAlign w:val="bottom"/>
          </w:tcPr>
          <w:p>
            <w:pPr>
              <w:ind w:left="320"/>
              <w:spacing w:after="0"/>
              <w:rPr>
                <w:sz w:val="20"/>
                <w:szCs w:val="20"/>
                <w:color w:val="auto"/>
              </w:rPr>
            </w:pPr>
            <w:r>
              <w:rPr>
                <w:rFonts w:ascii="Arial" w:cs="Arial" w:eastAsia="Arial" w:hAnsi="Arial"/>
                <w:sz w:val="13"/>
                <w:szCs w:val="13"/>
                <w:color w:val="auto"/>
              </w:rPr>
              <w:t>—</w:t>
            </w:r>
          </w:p>
        </w:tc>
        <w:tc>
          <w:tcPr>
            <w:tcW w:w="13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100" w:type="dxa"/>
            <w:vAlign w:val="bottom"/>
          </w:tcPr>
          <w:p>
            <w:pPr>
              <w:jc w:val="right"/>
              <w:ind w:right="215"/>
              <w:spacing w:after="0"/>
              <w:rPr>
                <w:sz w:val="20"/>
                <w:szCs w:val="20"/>
                <w:color w:val="auto"/>
              </w:rPr>
            </w:pPr>
            <w:r>
              <w:rPr>
                <w:rFonts w:ascii="Arial" w:cs="Arial" w:eastAsia="Arial" w:hAnsi="Arial"/>
                <w:sz w:val="13"/>
                <w:szCs w:val="13"/>
                <w:color w:val="auto"/>
              </w:rPr>
              <w:t>14.00%</w:t>
            </w:r>
          </w:p>
        </w:tc>
        <w:tc>
          <w:tcPr>
            <w:tcW w:w="1260" w:type="dxa"/>
            <w:vAlign w:val="bottom"/>
          </w:tcPr>
          <w:p>
            <w:pPr>
              <w:ind w:left="8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2,000,000</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216,947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Universal Pegasus International Holdings, Inc.</w:t>
            </w:r>
          </w:p>
        </w:tc>
        <w:tc>
          <w:tcPr>
            <w:tcW w:w="8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Oil and Gas</w:t>
            </w:r>
          </w:p>
        </w:tc>
        <w:tc>
          <w:tcPr>
            <w:tcW w:w="110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8.00%</w:t>
            </w:r>
          </w:p>
        </w:tc>
        <w:tc>
          <w:tcPr>
            <w:tcW w:w="1260" w:type="dxa"/>
            <w:vAlign w:val="bottom"/>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411,988</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35,120,613</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8,239,760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rPr>
                <w:sz w:val="20"/>
                <w:szCs w:val="20"/>
                <w:color w:val="auto"/>
              </w:rPr>
            </w:pPr>
            <w:r>
              <w:rPr>
                <w:rFonts w:ascii="Arial" w:cs="Arial" w:eastAsia="Arial" w:hAnsi="Arial"/>
                <w:sz w:val="13"/>
                <w:szCs w:val="13"/>
                <w:b w:val="1"/>
                <w:bCs w:val="1"/>
                <w:color w:val="auto"/>
              </w:rPr>
              <w:t>Total Preferred Equity</w:t>
            </w: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37,120,613</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8,456,707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7"/>
                <w:szCs w:val="17"/>
                <w:b w:val="1"/>
                <w:bCs w:val="1"/>
                <w:color w:val="auto"/>
                <w:vertAlign w:val="superscript"/>
              </w:rPr>
              <w:t>(6)</w:t>
            </w:r>
          </w:p>
        </w:tc>
        <w:tc>
          <w:tcPr>
            <w:tcW w:w="8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820" w:type="dxa"/>
            <w:vAlign w:val="bottom"/>
          </w:tcPr>
          <w:p>
            <w:pPr>
              <w:ind w:left="320"/>
              <w:spacing w:after="0"/>
              <w:rPr>
                <w:sz w:val="20"/>
                <w:szCs w:val="20"/>
                <w:color w:val="auto"/>
              </w:rPr>
            </w:pPr>
            <w:r>
              <w:rPr>
                <w:rFonts w:ascii="Arial" w:cs="Arial" w:eastAsia="Arial" w:hAnsi="Arial"/>
                <w:sz w:val="13"/>
                <w:szCs w:val="13"/>
                <w:color w:val="auto"/>
              </w:rPr>
              <w:t>—</w:t>
            </w:r>
          </w:p>
        </w:tc>
        <w:tc>
          <w:tcPr>
            <w:tcW w:w="13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100" w:type="dxa"/>
            <w:vAlign w:val="bottom"/>
          </w:tcPr>
          <w:p>
            <w:pPr>
              <w:jc w:val="right"/>
              <w:ind w:right="395"/>
              <w:spacing w:after="0"/>
              <w:rPr>
                <w:sz w:val="20"/>
                <w:szCs w:val="20"/>
                <w:color w:val="auto"/>
              </w:rPr>
            </w:pPr>
            <w:r>
              <w:rPr>
                <w:rFonts w:ascii="Arial" w:cs="Arial" w:eastAsia="Arial" w:hAnsi="Arial"/>
                <w:sz w:val="13"/>
                <w:szCs w:val="13"/>
                <w:color w:val="auto"/>
              </w:rPr>
              <w:t>—</w:t>
            </w:r>
          </w:p>
        </w:tc>
        <w:tc>
          <w:tcPr>
            <w:tcW w:w="1260" w:type="dxa"/>
            <w:vAlign w:val="bottom"/>
          </w:tcPr>
          <w:p>
            <w:pPr>
              <w:ind w:left="8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6"/>
              </w:rPr>
              <w:t>Total Investments in Controlled, Affiliated Portfolio Companies</w:t>
            </w:r>
          </w:p>
        </w:tc>
        <w:tc>
          <w:tcPr>
            <w:tcW w:w="8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64,167,051</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37,631,708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rPr>
                <w:sz w:val="20"/>
                <w:szCs w:val="20"/>
                <w:color w:val="auto"/>
              </w:rPr>
            </w:pPr>
            <w:r>
              <w:rPr>
                <w:rFonts w:ascii="Arial" w:cs="Arial" w:eastAsia="Arial" w:hAnsi="Arial"/>
                <w:sz w:val="13"/>
                <w:szCs w:val="13"/>
                <w:b w:val="1"/>
                <w:bCs w:val="1"/>
                <w:color w:val="auto"/>
              </w:rPr>
              <w:t>Total Investments—147.9%</w:t>
            </w: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1,008,611,862</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990,479,710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Equivalents—1.1%</w:t>
            </w:r>
          </w:p>
        </w:tc>
        <w:tc>
          <w:tcPr>
            <w:tcW w:w="8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7,559,453</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7,559,453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rPr>
                <w:sz w:val="20"/>
                <w:szCs w:val="20"/>
                <w:color w:val="auto"/>
              </w:rPr>
            </w:pPr>
            <w:r>
              <w:rPr>
                <w:rFonts w:ascii="Arial" w:cs="Arial" w:eastAsia="Arial" w:hAnsi="Arial"/>
                <w:sz w:val="13"/>
                <w:szCs w:val="13"/>
                <w:b w:val="1"/>
                <w:bCs w:val="1"/>
                <w:color w:val="auto"/>
              </w:rPr>
              <w:t>Total Investments and Cash Equivalents—149.0%</w:t>
            </w: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u w:val="single" w:color="auto"/>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w w:val="91"/>
              </w:rPr>
              <w:t>1,016,171,315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w w:val="96"/>
              </w:rPr>
              <w:t>998,039,163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Liabilities in Excess of Other Assets—(49.0%)</w:t>
            </w:r>
          </w:p>
        </w:tc>
        <w:tc>
          <w:tcPr>
            <w:tcW w:w="8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w w:val="91"/>
              </w:rPr>
              <w:t>(328,322,116)</w:t>
            </w:r>
          </w:p>
        </w:tc>
        <w:tc>
          <w:tcPr>
            <w:tcW w:w="0" w:type="dxa"/>
            <w:vAlign w:val="bottom"/>
          </w:tcPr>
          <w:p>
            <w:pPr>
              <w:spacing w:after="0"/>
              <w:rPr>
                <w:sz w:val="1"/>
                <w:szCs w:val="1"/>
                <w:color w:val="auto"/>
              </w:rPr>
            </w:pPr>
          </w:p>
        </w:tc>
      </w:tr>
      <w:tr>
        <w:trPr>
          <w:trHeight w:val="155"/>
        </w:trPr>
        <w:tc>
          <w:tcPr>
            <w:tcW w:w="3780" w:type="dxa"/>
            <w:vAlign w:val="bottom"/>
          </w:tcPr>
          <w:p>
            <w:pPr>
              <w:spacing w:after="0"/>
              <w:rPr>
                <w:sz w:val="20"/>
                <w:szCs w:val="20"/>
                <w:color w:val="auto"/>
              </w:rPr>
            </w:pPr>
            <w:r>
              <w:rPr>
                <w:rFonts w:ascii="Arial" w:cs="Arial" w:eastAsia="Arial" w:hAnsi="Arial"/>
                <w:sz w:val="13"/>
                <w:szCs w:val="13"/>
                <w:b w:val="1"/>
                <w:bCs w:val="1"/>
                <w:color w:val="auto"/>
              </w:rPr>
              <w:t>Net Assets—100.0%</w:t>
            </w: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669,717,047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-4568190</wp:posOffset>
            </wp:positionV>
            <wp:extent cx="7132320" cy="282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1" w:lineRule="exact"/>
        <w:rPr>
          <w:sz w:val="20"/>
          <w:szCs w:val="20"/>
          <w:color w:val="auto"/>
        </w:rPr>
      </w:pPr>
    </w:p>
    <w:p>
      <w:pPr>
        <w:ind w:left="340" w:right="540" w:hanging="332"/>
        <w:spacing w:after="0" w:line="26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or “P”, rate.</w:t>
      </w:r>
    </w:p>
    <w:p>
      <w:pPr>
        <w:ind w:left="340" w:right="58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payable in cash and/or PIK.</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investments). This security does not have a basis point spread above an index.</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Investment is held through PNNT CI (Galls) Prime Investment Holdings, LLC, a consolidated subsidiary.</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Investment is held through PNNT Acentia LLC, a consolidated subsidiary.</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Investment is held through PNNT Transportation 100 Holdco, LLC, a consolidated subsidiary.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40" w:firstLine="449"/>
        <w:spacing w:after="0" w:line="256" w:lineRule="auto"/>
        <w:rPr>
          <w:sz w:val="20"/>
          <w:szCs w:val="20"/>
          <w:color w:val="auto"/>
        </w:rPr>
      </w:pPr>
      <w:r>
        <w:rPr>
          <w:rFonts w:ascii="Arial" w:cs="Arial" w:eastAsia="Arial" w:hAnsi="Arial"/>
          <w:sz w:val="18"/>
          <w:szCs w:val="18"/>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w:t>
      </w:r>
    </w:p>
    <w:p>
      <w:pPr>
        <w:spacing w:after="0" w:line="143"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On April 24, 2007, we closed our initial public offering and our common stock trades on the NASDAQ Global Select Market under the symbol “PNNT.” We completed our initial public offering of common stock in 2007 and issued 21.0 million shares raising $294.1 million in net proceeds. Since our initial public offering, we have sold 44.3 million shares of common stock through follow-on public offerings, resulting in net proceeds of $448.8 million.</w:t>
      </w:r>
    </w:p>
    <w:p>
      <w:pPr>
        <w:spacing w:after="0" w:line="106"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12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4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may reclassify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20"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38"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7"/>
        <w:spacing w:after="0" w:line="256"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right="20" w:hanging="447"/>
        <w:spacing w:after="0" w:line="331"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80" w:hanging="447"/>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12" w:lineRule="exact"/>
        <w:rPr>
          <w:rFonts w:ascii="Arial" w:cs="Arial" w:eastAsia="Arial" w:hAnsi="Arial"/>
          <w:sz w:val="18"/>
          <w:szCs w:val="18"/>
          <w:color w:val="auto"/>
        </w:rPr>
      </w:pPr>
    </w:p>
    <w:p>
      <w:pPr>
        <w:ind w:left="480" w:hanging="248"/>
        <w:spacing w:after="0"/>
        <w:tabs>
          <w:tab w:leader="none" w:pos="4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90"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our Credit Facility during the reporting period, including any reversal of previously recorded unrealized appreciation or depreciation, when gains or losses are realized.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and we then accrete or amortize such amounts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For the three and six months ended March 31, 2013 we received an excise tax credit of $0.2 million and $0.1 million, respectively. Although not required for us to maintain our RIC tax status, for the three and six months ended March 31, 2012 we elected to retain a portion of our calendar year income and incurred an excise tax of approximately $0.2 million and $0.3 million, respectively.</w:t>
      </w:r>
    </w:p>
    <w:p>
      <w:pPr>
        <w:spacing w:after="0" w:line="118"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 and the state department of revenue.</w:t>
      </w:r>
    </w:p>
    <w:p>
      <w:pPr>
        <w:spacing w:after="0" w:line="147"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to be paid, if any, as a dividend or distributions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ind w:right="140" w:firstLine="449"/>
        <w:spacing w:after="0" w:line="256" w:lineRule="auto"/>
        <w:rPr>
          <w:sz w:val="20"/>
          <w:szCs w:val="20"/>
          <w:color w:val="auto"/>
        </w:rPr>
      </w:pPr>
      <w:r>
        <w:rPr>
          <w:rFonts w:ascii="Arial" w:cs="Arial" w:eastAsia="Arial" w:hAnsi="Arial"/>
          <w:sz w:val="18"/>
          <w:szCs w:val="18"/>
          <w:color w:val="auto"/>
        </w:rPr>
        <w:t>As permitted under Regulation S-X and as explained by ASC 946-810-45, Financial Services – Investment Companies – Consolidation,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180" w:firstLine="449"/>
        <w:spacing w:after="0" w:line="291" w:lineRule="auto"/>
        <w:rPr>
          <w:sz w:val="20"/>
          <w:szCs w:val="20"/>
          <w:color w:val="auto"/>
        </w:rPr>
      </w:pPr>
      <w:r>
        <w:rPr>
          <w:rFonts w:ascii="Arial" w:cs="Arial" w:eastAsia="Arial" w:hAnsi="Arial"/>
          <w:sz w:val="16"/>
          <w:szCs w:val="16"/>
          <w:color w:val="auto"/>
        </w:rPr>
        <w:t>PennantPark Investment’s Investment Management Agreement with the Investment Adviser was re-approved by our board of directors, including a majority of our directors who are not interested persons of PennantPark Investment, in February 2013. Under the Investment Management Agreement the Investment Adviser, subject to the overall supervision of PennantPark Investment’s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20"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The base management fee is calculated at an annual rate of 2.00% of our “average adjusted gross assets” (net of U.S. Treasury Bills and/or temporary draws under any credit facility, repurchase agreements or other balance sheet transactions undertaken at the end of a fiscal quarter for purposes of preserving investment flexibility for the next quarter, if any). The base management fee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2013, the Investment Adviser earned a base management fee of $5.3 million and $10.5 million, respectively, from us. For the three and six months ended March 31, 2012, the Investment Adviser earned a base management fee of $4.2 million and $8.2 million, respectively, from us.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three and six months ended March 31, 2013, the Investment Adviser earned a performance based incentive fee on net investment income, as calculated under the Investment Management Agreement, of $3.6 million and $8.1 million, respectively, from us. For the three and six months ended March 31, 2012, the Investment Adviser earned an incentive fee of $2.4 million and $6.1 million, respectively, from us.</w:t>
      </w:r>
    </w:p>
    <w:p>
      <w:pPr>
        <w:spacing w:after="0" w:line="133" w:lineRule="exact"/>
        <w:rPr>
          <w:sz w:val="20"/>
          <w:szCs w:val="20"/>
          <w:color w:val="auto"/>
        </w:rPr>
      </w:pPr>
    </w:p>
    <w:p>
      <w:pPr>
        <w:ind w:right="200" w:firstLine="449"/>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from inception. For the three and six months ended March 31, 2013 and 2012, the Investment Adviser did not earn a performance based incentive fee on capital gains as calculated under the Investment Management Agreement.</w:t>
      </w:r>
    </w:p>
    <w:p>
      <w:pPr>
        <w:spacing w:after="0" w:line="115"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and six months ended March 31, 2013 and 2012, the Investment Adviser did not earn a performance based incentive fee on capital gains as calculated under GAAP.</w:t>
      </w:r>
    </w:p>
    <w:p>
      <w:pPr>
        <w:sectPr>
          <w:pgSz w:w="11900" w:h="16838" w:orient="portrait"/>
          <w:cols w:equalWidth="0" w:num="1">
            <w:col w:w="11220"/>
          </w:cols>
          <w:pgMar w:left="320" w:top="459" w:right="359" w:bottom="1440" w:gutter="0" w:footer="0" w:header="0"/>
        </w:sectPr>
      </w:pP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20"/>
          </w:cols>
          <w:pgMar w:left="320" w:top="459" w:right="3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our directors who are not interested persons of PennantPark Investment, in February 2013. Under this agreement, the Administrator provides administrative services to us. The Administrator provides similar services to our SBIC Funds under each of their administration agreements with PennantPark Investment.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and six months ended March 31, 2013, the Investment Adviser and Administrator, collectively, were reimbursed $1.5 million and $2.0 million, respectively, from us, including expenses the Investment Adviser incurred on behalf of the Administrator, for the services described above. For the three and six months ended March 31, 2012, the Investment Adviser and Administrator, collectively, were reimbursed $1.7 million and $2.4 million, respectively, from us, including expenses incurred by the Investment Advisor on behalf of the Administrator, for the services described above.</w:t>
      </w:r>
    </w:p>
    <w:p>
      <w:pPr>
        <w:spacing w:after="0" w:line="123"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three and six months ended March 31, 2013, PennantPark Investment was reimbursed $0.1 million and $0.2 million, respectively, for the services described above. For the three and six months ended March 31, 2012, PennantPark Investment was reimbursed $0.3 million and $0.5 million, respectively, for the services described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Purchases of long-term investments, including PIK, for the three and six months ended March 31, 2013 totaled $77.7 million and $250.2 million, respectively. For the same periods in the prior year, purchases of long-term investments including PIK totaled $114.0 million and $160.0 million, respectively. Sales and repayments of long-term investments for the three and six months ended March 31, 2013 totaled $42.5 million and $153.4 million, respectively. For the same periods in the prior year, sales and repayments of long-term investments totaled $49.3 million and $118.5 million, respectively. Investments and cash equivalents consisted of the following:</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4"/>
          </w:tcPr>
          <w:p>
            <w:pPr>
              <w:jc w:val="right"/>
              <w:ind w:right="775"/>
              <w:spacing w:after="0"/>
              <w:rPr>
                <w:sz w:val="20"/>
                <w:szCs w:val="20"/>
                <w:color w:val="auto"/>
              </w:rPr>
            </w:pPr>
            <w:r>
              <w:rPr>
                <w:rFonts w:ascii="Arial" w:cs="Arial" w:eastAsia="Arial" w:hAnsi="Arial"/>
                <w:sz w:val="13"/>
                <w:szCs w:val="13"/>
                <w:b w:val="1"/>
                <w:bCs w:val="1"/>
                <w:color w:val="auto"/>
              </w:rPr>
              <w:t>March 31, 2013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ind w:left="580"/>
              <w:spacing w:after="0"/>
              <w:rPr>
                <w:sz w:val="20"/>
                <w:szCs w:val="20"/>
                <w:color w:val="auto"/>
              </w:rPr>
            </w:pPr>
            <w:r>
              <w:rPr>
                <w:rFonts w:ascii="Arial" w:cs="Arial" w:eastAsia="Arial" w:hAnsi="Arial"/>
                <w:sz w:val="13"/>
                <w:szCs w:val="13"/>
                <w:b w:val="1"/>
                <w:bCs w:val="1"/>
                <w:color w:val="auto"/>
              </w:rPr>
              <w:t>September 30, 2012</w:t>
            </w:r>
          </w:p>
        </w:tc>
      </w:tr>
      <w:tr>
        <w:trPr>
          <w:trHeight w:val="142"/>
        </w:trPr>
        <w:tc>
          <w:tcPr>
            <w:tcW w:w="37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3"/>
                <w:szCs w:val="13"/>
                <w:b w:val="1"/>
                <w:bCs w:val="1"/>
                <w:color w:val="auto"/>
              </w:rPr>
              <w:t>Cost</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3"/>
                <w:szCs w:val="13"/>
                <w:b w:val="1"/>
                <w:bCs w:val="1"/>
                <w:color w:val="auto"/>
              </w:rPr>
              <w:t>Fair Value</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Fair Value</w:t>
            </w:r>
          </w:p>
        </w:tc>
        <w:tc>
          <w:tcPr>
            <w:tcW w:w="100" w:type="dxa"/>
            <w:vAlign w:val="bottom"/>
            <w:tcBorders>
              <w:bottom w:val="single" w:sz="8" w:color="CCEEFF"/>
            </w:tcBorders>
          </w:tcPr>
          <w:p>
            <w:pPr>
              <w:spacing w:after="0"/>
              <w:rPr>
                <w:sz w:val="12"/>
                <w:szCs w:val="12"/>
                <w:color w:val="auto"/>
              </w:rPr>
            </w:pPr>
          </w:p>
        </w:tc>
      </w:tr>
      <w:tr>
        <w:trPr>
          <w:trHeight w:val="209"/>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281,154,196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291,304,100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289,964,255</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$291,677,553</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Second lien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237,029,448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249,067,314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208,454,615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191,339,241</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430,494,373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427,580,102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404,507,916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400,682,637</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Preferred equity</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66,927,589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24,607,210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49,222,034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19,634,989</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92,199,367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122,318,481</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56,463,042</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87,145,290</w:t>
            </w:r>
          </w:p>
        </w:tc>
        <w:tc>
          <w:tcPr>
            <w:tcW w:w="100" w:type="dxa"/>
            <w:vAlign w:val="bottom"/>
            <w:shd w:val="clear" w:color="auto" w:fill="CCEEFF"/>
          </w:tcPr>
          <w:p>
            <w:pPr>
              <w:spacing w:after="0"/>
              <w:rPr>
                <w:sz w:val="18"/>
                <w:szCs w:val="18"/>
                <w:color w:val="auto"/>
              </w:rPr>
            </w:pPr>
          </w:p>
        </w:tc>
      </w:tr>
      <w:tr>
        <w:trPr>
          <w:trHeight w:val="221"/>
        </w:trPr>
        <w:tc>
          <w:tcPr>
            <w:tcW w:w="3760" w:type="dxa"/>
            <w:vAlign w:val="bottom"/>
          </w:tcPr>
          <w:p>
            <w:pPr>
              <w:spacing w:after="0"/>
              <w:rPr>
                <w:sz w:val="20"/>
                <w:szCs w:val="20"/>
                <w:color w:val="auto"/>
              </w:rPr>
            </w:pPr>
            <w:r>
              <w:rPr>
                <w:rFonts w:ascii="Arial" w:cs="Arial" w:eastAsia="Arial" w:hAnsi="Arial"/>
                <w:sz w:val="18"/>
                <w:szCs w:val="18"/>
                <w:color w:val="auto"/>
              </w:rPr>
              <w:t>Total investments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1,107,804,973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1,114,877,207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5"/>
              </w:rPr>
              <w:t>1,008,611,862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990,479,710</w:t>
            </w:r>
          </w:p>
        </w:tc>
        <w:tc>
          <w:tcPr>
            <w:tcW w:w="100" w:type="dxa"/>
            <w:vAlign w:val="bottom"/>
          </w:tcPr>
          <w:p>
            <w:pPr>
              <w:spacing w:after="0"/>
              <w:rPr>
                <w:sz w:val="19"/>
                <w:szCs w:val="19"/>
                <w:color w:val="auto"/>
              </w:rPr>
            </w:pPr>
          </w:p>
        </w:tc>
      </w:tr>
      <w:tr>
        <w:trPr>
          <w:trHeight w:val="218"/>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17,333,318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17,333,318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100" w:type="dxa"/>
            <w:vAlign w:val="bottom"/>
            <w:shd w:val="clear" w:color="auto" w:fill="CCEEFF"/>
          </w:tcPr>
          <w:p>
            <w:pPr>
              <w:spacing w:after="0"/>
              <w:rPr>
                <w:sz w:val="18"/>
                <w:szCs w:val="18"/>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1,125,138,291</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1,132,210,525</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5"/>
              </w:rPr>
              <w:t>1,016,171,315</w:t>
            </w: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998,039,163</w:t>
            </w:r>
          </w:p>
        </w:tc>
        <w:tc>
          <w:tcPr>
            <w:tcW w:w="10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ind w:right="536"/>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00" w:firstLine="449"/>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w:t>
      </w:r>
    </w:p>
    <w:p>
      <w:pPr>
        <w:spacing w:after="0" w:line="16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Industry Classification</w:t>
            </w:r>
          </w:p>
        </w:tc>
        <w:tc>
          <w:tcPr>
            <w:tcW w:w="45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3"/>
                <w:szCs w:val="13"/>
                <w:b w:val="1"/>
                <w:bCs w:val="1"/>
                <w:color w:val="auto"/>
              </w:rPr>
              <w:t>March 31, 2013</w:t>
            </w:r>
          </w:p>
        </w:tc>
        <w:tc>
          <w:tcPr>
            <w:tcW w:w="12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2"/>
              </w:rPr>
              <w:t>September 30, 2012</w:t>
            </w:r>
          </w:p>
        </w:tc>
        <w:tc>
          <w:tcPr>
            <w:tcW w:w="0" w:type="dxa"/>
            <w:vAlign w:val="bottom"/>
          </w:tcPr>
          <w:p>
            <w:pPr>
              <w:spacing w:after="0"/>
              <w:rPr>
                <w:sz w:val="1"/>
                <w:szCs w:val="1"/>
                <w:color w:val="auto"/>
              </w:rPr>
            </w:pPr>
          </w:p>
        </w:tc>
      </w:tr>
      <w:tr>
        <w:trPr>
          <w:trHeight w:val="20"/>
        </w:trPr>
        <w:tc>
          <w:tcPr>
            <w:tcW w:w="5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80" w:type="dxa"/>
            <w:vAlign w:val="bottom"/>
            <w:gridSpan w:val="2"/>
            <w:vMerge w:val="continue"/>
            <w:shd w:val="clear" w:color="auto" w:fill="CCEEFF"/>
          </w:tcPr>
          <w:p>
            <w:pPr>
              <w:spacing w:after="0"/>
              <w:rPr>
                <w:sz w:val="17"/>
                <w:szCs w:val="17"/>
                <w:color w:val="auto"/>
              </w:rPr>
            </w:pPr>
          </w:p>
        </w:tc>
        <w:tc>
          <w:tcPr>
            <w:tcW w:w="1360" w:type="dxa"/>
            <w:vAlign w:val="bottom"/>
            <w:gridSpan w:val="2"/>
            <w:shd w:val="clear" w:color="auto" w:fill="CCEEFF"/>
          </w:tcPr>
          <w:p>
            <w:pPr>
              <w:ind w:left="820"/>
              <w:spacing w:after="0" w:line="203" w:lineRule="exact"/>
              <w:rPr>
                <w:sz w:val="20"/>
                <w:szCs w:val="20"/>
                <w:color w:val="auto"/>
              </w:rPr>
            </w:pPr>
            <w:r>
              <w:rPr>
                <w:rFonts w:ascii="Arial" w:cs="Arial" w:eastAsia="Arial" w:hAnsi="Arial"/>
                <w:sz w:val="18"/>
                <w:szCs w:val="18"/>
                <w:color w:val="auto"/>
              </w:rPr>
              <w:t>8%</w:t>
            </w:r>
          </w:p>
        </w:tc>
        <w:tc>
          <w:tcPr>
            <w:tcW w:w="12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900" w:type="dxa"/>
            <w:vAlign w:val="bottom"/>
          </w:tcPr>
          <w:p>
            <w:pPr>
              <w:ind w:left="820"/>
              <w:spacing w:after="0"/>
              <w:rPr>
                <w:sz w:val="20"/>
                <w:szCs w:val="20"/>
                <w:color w:val="auto"/>
              </w:rPr>
            </w:pPr>
            <w:r>
              <w:rPr>
                <w:rFonts w:ascii="Arial" w:cs="Arial" w:eastAsia="Arial" w:hAnsi="Arial"/>
                <w:sz w:val="15"/>
                <w:szCs w:val="15"/>
                <w:color w:val="auto"/>
                <w:w w:val="71"/>
              </w:rPr>
              <w:t>7</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900" w:type="dxa"/>
            <w:vAlign w:val="bottom"/>
            <w:shd w:val="clear" w:color="auto" w:fill="CCEEFF"/>
          </w:tcPr>
          <w:p>
            <w:pPr>
              <w:ind w:left="820"/>
              <w:spacing w:after="0"/>
              <w:rPr>
                <w:sz w:val="20"/>
                <w:szCs w:val="20"/>
                <w:color w:val="auto"/>
              </w:rPr>
            </w:pPr>
            <w:r>
              <w:rPr>
                <w:rFonts w:ascii="Arial" w:cs="Arial" w:eastAsia="Arial" w:hAnsi="Arial"/>
                <w:sz w:val="15"/>
                <w:szCs w:val="15"/>
                <w:color w:val="auto"/>
                <w:w w:val="71"/>
              </w:rPr>
              <w:t>7</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900" w:type="dxa"/>
            <w:vAlign w:val="bottom"/>
          </w:tcPr>
          <w:p>
            <w:pPr>
              <w:ind w:left="820"/>
              <w:spacing w:after="0"/>
              <w:rPr>
                <w:sz w:val="20"/>
                <w:szCs w:val="20"/>
                <w:color w:val="auto"/>
              </w:rPr>
            </w:pPr>
            <w:r>
              <w:rPr>
                <w:rFonts w:ascii="Arial" w:cs="Arial" w:eastAsia="Arial" w:hAnsi="Arial"/>
                <w:sz w:val="15"/>
                <w:szCs w:val="15"/>
                <w:color w:val="auto"/>
                <w:w w:val="71"/>
              </w:rPr>
              <w:t>6</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900" w:type="dxa"/>
            <w:vAlign w:val="bottom"/>
            <w:shd w:val="clear" w:color="auto" w:fill="CCEEFF"/>
          </w:tcPr>
          <w:p>
            <w:pPr>
              <w:ind w:left="820"/>
              <w:spacing w:after="0"/>
              <w:rPr>
                <w:sz w:val="20"/>
                <w:szCs w:val="20"/>
                <w:color w:val="auto"/>
              </w:rPr>
            </w:pPr>
            <w:r>
              <w:rPr>
                <w:rFonts w:ascii="Arial" w:cs="Arial" w:eastAsia="Arial" w:hAnsi="Arial"/>
                <w:sz w:val="15"/>
                <w:szCs w:val="15"/>
                <w:color w:val="auto"/>
                <w:w w:val="71"/>
              </w:rPr>
              <w:t>5</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900" w:type="dxa"/>
            <w:vAlign w:val="bottom"/>
          </w:tcPr>
          <w:p>
            <w:pPr>
              <w:ind w:left="820"/>
              <w:spacing w:after="0"/>
              <w:rPr>
                <w:sz w:val="20"/>
                <w:szCs w:val="20"/>
                <w:color w:val="auto"/>
              </w:rPr>
            </w:pPr>
            <w:r>
              <w:rPr>
                <w:rFonts w:ascii="Arial" w:cs="Arial" w:eastAsia="Arial" w:hAnsi="Arial"/>
                <w:sz w:val="15"/>
                <w:szCs w:val="15"/>
                <w:color w:val="auto"/>
                <w:w w:val="71"/>
              </w:rPr>
              <w:t>5</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900" w:type="dxa"/>
            <w:vAlign w:val="bottom"/>
            <w:shd w:val="clear" w:color="auto" w:fill="CCEEFF"/>
          </w:tcPr>
          <w:p>
            <w:pPr>
              <w:ind w:left="820"/>
              <w:spacing w:after="0"/>
              <w:rPr>
                <w:sz w:val="20"/>
                <w:szCs w:val="20"/>
                <w:color w:val="auto"/>
              </w:rPr>
            </w:pPr>
            <w:r>
              <w:rPr>
                <w:rFonts w:ascii="Arial" w:cs="Arial" w:eastAsia="Arial" w:hAnsi="Arial"/>
                <w:sz w:val="15"/>
                <w:szCs w:val="15"/>
                <w:color w:val="auto"/>
                <w:w w:val="71"/>
              </w:rPr>
              <w:t>5</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Chemical, Plastic and Rubber</w:t>
            </w:r>
          </w:p>
        </w:tc>
        <w:tc>
          <w:tcPr>
            <w:tcW w:w="900" w:type="dxa"/>
            <w:vAlign w:val="bottom"/>
          </w:tcPr>
          <w:p>
            <w:pPr>
              <w:ind w:left="820"/>
              <w:spacing w:after="0"/>
              <w:rPr>
                <w:sz w:val="20"/>
                <w:szCs w:val="20"/>
                <w:color w:val="auto"/>
              </w:rPr>
            </w:pPr>
            <w:r>
              <w:rPr>
                <w:rFonts w:ascii="Arial" w:cs="Arial" w:eastAsia="Arial" w:hAnsi="Arial"/>
                <w:sz w:val="15"/>
                <w:szCs w:val="15"/>
                <w:color w:val="auto"/>
                <w:w w:val="71"/>
              </w:rPr>
              <w:t>5</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900" w:type="dxa"/>
            <w:vAlign w:val="bottom"/>
            <w:shd w:val="clear" w:color="auto" w:fill="CCEEFF"/>
          </w:tcPr>
          <w:p>
            <w:pPr>
              <w:ind w:left="820"/>
              <w:spacing w:after="0"/>
              <w:rPr>
                <w:sz w:val="20"/>
                <w:szCs w:val="20"/>
                <w:color w:val="auto"/>
              </w:rPr>
            </w:pPr>
            <w:r>
              <w:rPr>
                <w:rFonts w:ascii="Arial" w:cs="Arial" w:eastAsia="Arial" w:hAnsi="Arial"/>
                <w:sz w:val="15"/>
                <w:szCs w:val="15"/>
                <w:color w:val="auto"/>
                <w:w w:val="71"/>
              </w:rPr>
              <w:t>5</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900" w:type="dxa"/>
            <w:vAlign w:val="bottom"/>
          </w:tcPr>
          <w:p>
            <w:pPr>
              <w:ind w:left="820"/>
              <w:spacing w:after="0"/>
              <w:rPr>
                <w:sz w:val="20"/>
                <w:szCs w:val="20"/>
                <w:color w:val="auto"/>
              </w:rPr>
            </w:pPr>
            <w:r>
              <w:rPr>
                <w:rFonts w:ascii="Arial" w:cs="Arial" w:eastAsia="Arial" w:hAnsi="Arial"/>
                <w:sz w:val="15"/>
                <w:szCs w:val="15"/>
                <w:color w:val="auto"/>
                <w:w w:val="71"/>
              </w:rPr>
              <w:t>5</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900" w:type="dxa"/>
            <w:vAlign w:val="bottom"/>
            <w:shd w:val="clear" w:color="auto" w:fill="CCEEFF"/>
          </w:tcPr>
          <w:p>
            <w:pPr>
              <w:ind w:left="820"/>
              <w:spacing w:after="0"/>
              <w:rPr>
                <w:sz w:val="20"/>
                <w:szCs w:val="20"/>
                <w:color w:val="auto"/>
              </w:rPr>
            </w:pPr>
            <w:r>
              <w:rPr>
                <w:rFonts w:ascii="Arial" w:cs="Arial" w:eastAsia="Arial" w:hAnsi="Arial"/>
                <w:sz w:val="15"/>
                <w:szCs w:val="15"/>
                <w:color w:val="auto"/>
                <w:w w:val="71"/>
              </w:rPr>
              <w:t>5</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900" w:type="dxa"/>
            <w:vAlign w:val="bottom"/>
          </w:tcPr>
          <w:p>
            <w:pPr>
              <w:ind w:left="820"/>
              <w:spacing w:after="0"/>
              <w:rPr>
                <w:sz w:val="20"/>
                <w:szCs w:val="20"/>
                <w:color w:val="auto"/>
              </w:rPr>
            </w:pPr>
            <w:r>
              <w:rPr>
                <w:rFonts w:ascii="Arial" w:cs="Arial" w:eastAsia="Arial" w:hAnsi="Arial"/>
                <w:sz w:val="15"/>
                <w:szCs w:val="15"/>
                <w:color w:val="auto"/>
                <w:w w:val="71"/>
              </w:rPr>
              <w:t>5</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900" w:type="dxa"/>
            <w:vAlign w:val="bottom"/>
            <w:shd w:val="clear" w:color="auto" w:fill="CCEEFF"/>
          </w:tcPr>
          <w:p>
            <w:pPr>
              <w:ind w:left="820"/>
              <w:spacing w:after="0"/>
              <w:rPr>
                <w:sz w:val="20"/>
                <w:szCs w:val="20"/>
                <w:color w:val="auto"/>
              </w:rPr>
            </w:pPr>
            <w:r>
              <w:rPr>
                <w:rFonts w:ascii="Arial" w:cs="Arial" w:eastAsia="Arial" w:hAnsi="Arial"/>
                <w:sz w:val="15"/>
                <w:szCs w:val="15"/>
                <w:color w:val="auto"/>
                <w:w w:val="71"/>
              </w:rPr>
              <w:t>4</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900" w:type="dxa"/>
            <w:vAlign w:val="bottom"/>
          </w:tcPr>
          <w:p>
            <w:pPr>
              <w:ind w:left="820"/>
              <w:spacing w:after="0"/>
              <w:rPr>
                <w:sz w:val="20"/>
                <w:szCs w:val="20"/>
                <w:color w:val="auto"/>
              </w:rPr>
            </w:pPr>
            <w:r>
              <w:rPr>
                <w:rFonts w:ascii="Arial" w:cs="Arial" w:eastAsia="Arial" w:hAnsi="Arial"/>
                <w:sz w:val="15"/>
                <w:szCs w:val="15"/>
                <w:color w:val="auto"/>
                <w:w w:val="71"/>
              </w:rPr>
              <w:t>4</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900" w:type="dxa"/>
            <w:vAlign w:val="bottom"/>
            <w:shd w:val="clear" w:color="auto" w:fill="CCEEFF"/>
          </w:tcPr>
          <w:p>
            <w:pPr>
              <w:ind w:left="820"/>
              <w:spacing w:after="0"/>
              <w:rPr>
                <w:sz w:val="20"/>
                <w:szCs w:val="20"/>
                <w:color w:val="auto"/>
              </w:rPr>
            </w:pPr>
            <w:r>
              <w:rPr>
                <w:rFonts w:ascii="Arial" w:cs="Arial" w:eastAsia="Arial" w:hAnsi="Arial"/>
                <w:sz w:val="15"/>
                <w:szCs w:val="15"/>
                <w:color w:val="auto"/>
                <w:w w:val="71"/>
              </w:rPr>
              <w:t>3</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900" w:type="dxa"/>
            <w:vAlign w:val="bottom"/>
          </w:tcPr>
          <w:p>
            <w:pPr>
              <w:ind w:left="820"/>
              <w:spacing w:after="0"/>
              <w:rPr>
                <w:sz w:val="20"/>
                <w:szCs w:val="20"/>
                <w:color w:val="auto"/>
              </w:rPr>
            </w:pPr>
            <w:r>
              <w:rPr>
                <w:rFonts w:ascii="Arial" w:cs="Arial" w:eastAsia="Arial" w:hAnsi="Arial"/>
                <w:sz w:val="15"/>
                <w:szCs w:val="15"/>
                <w:color w:val="auto"/>
                <w:w w:val="71"/>
              </w:rPr>
              <w:t>2</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900" w:type="dxa"/>
            <w:vAlign w:val="bottom"/>
            <w:shd w:val="clear" w:color="auto" w:fill="CCEEFF"/>
          </w:tcPr>
          <w:p>
            <w:pPr>
              <w:ind w:left="820"/>
              <w:spacing w:after="0"/>
              <w:rPr>
                <w:sz w:val="20"/>
                <w:szCs w:val="20"/>
                <w:color w:val="auto"/>
              </w:rPr>
            </w:pPr>
            <w:r>
              <w:rPr>
                <w:rFonts w:ascii="Arial" w:cs="Arial" w:eastAsia="Arial" w:hAnsi="Arial"/>
                <w:sz w:val="15"/>
                <w:szCs w:val="15"/>
                <w:color w:val="auto"/>
                <w:w w:val="71"/>
              </w:rPr>
              <w:t>2</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900" w:type="dxa"/>
            <w:vAlign w:val="bottom"/>
          </w:tcPr>
          <w:p>
            <w:pPr>
              <w:ind w:left="820"/>
              <w:spacing w:after="0"/>
              <w:rPr>
                <w:sz w:val="20"/>
                <w:szCs w:val="20"/>
                <w:color w:val="auto"/>
              </w:rPr>
            </w:pPr>
            <w:r>
              <w:rPr>
                <w:rFonts w:ascii="Arial" w:cs="Arial" w:eastAsia="Arial" w:hAnsi="Arial"/>
                <w:sz w:val="15"/>
                <w:szCs w:val="15"/>
                <w:color w:val="auto"/>
                <w:w w:val="71"/>
              </w:rPr>
              <w:t>2</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Natural Resources, Precious Metals and Minerals</w:t>
            </w:r>
          </w:p>
        </w:tc>
        <w:tc>
          <w:tcPr>
            <w:tcW w:w="900" w:type="dxa"/>
            <w:vAlign w:val="bottom"/>
            <w:shd w:val="clear" w:color="auto" w:fill="CCEEFF"/>
          </w:tcPr>
          <w:p>
            <w:pPr>
              <w:ind w:left="820"/>
              <w:spacing w:after="0"/>
              <w:rPr>
                <w:sz w:val="20"/>
                <w:szCs w:val="20"/>
                <w:color w:val="auto"/>
              </w:rPr>
            </w:pPr>
            <w:r>
              <w:rPr>
                <w:rFonts w:ascii="Arial" w:cs="Arial" w:eastAsia="Arial" w:hAnsi="Arial"/>
                <w:sz w:val="15"/>
                <w:szCs w:val="15"/>
                <w:color w:val="auto"/>
                <w:w w:val="71"/>
              </w:rPr>
              <w:t>2</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900" w:type="dxa"/>
            <w:vAlign w:val="bottom"/>
          </w:tcPr>
          <w:p>
            <w:pPr>
              <w:ind w:left="820"/>
              <w:spacing w:after="0"/>
              <w:rPr>
                <w:sz w:val="20"/>
                <w:szCs w:val="20"/>
                <w:color w:val="auto"/>
              </w:rPr>
            </w:pPr>
            <w:r>
              <w:rPr>
                <w:rFonts w:ascii="Arial" w:cs="Arial" w:eastAsia="Arial" w:hAnsi="Arial"/>
                <w:sz w:val="15"/>
                <w:szCs w:val="15"/>
                <w:color w:val="auto"/>
                <w:w w:val="71"/>
              </w:rPr>
              <w:t>2</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900" w:type="dxa"/>
            <w:vAlign w:val="bottom"/>
            <w:shd w:val="clear" w:color="auto" w:fill="CCEEFF"/>
          </w:tcPr>
          <w:p>
            <w:pPr>
              <w:ind w:left="820"/>
              <w:spacing w:after="0"/>
              <w:rPr>
                <w:sz w:val="20"/>
                <w:szCs w:val="20"/>
                <w:color w:val="auto"/>
              </w:rPr>
            </w:pPr>
            <w:r>
              <w:rPr>
                <w:rFonts w:ascii="Arial" w:cs="Arial" w:eastAsia="Arial" w:hAnsi="Arial"/>
                <w:sz w:val="15"/>
                <w:szCs w:val="15"/>
                <w:color w:val="auto"/>
                <w:w w:val="71"/>
              </w:rPr>
              <w:t>2</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900" w:type="dxa"/>
            <w:vAlign w:val="bottom"/>
          </w:tcPr>
          <w:p>
            <w:pPr>
              <w:ind w:left="820"/>
              <w:spacing w:after="0"/>
              <w:rPr>
                <w:sz w:val="20"/>
                <w:szCs w:val="20"/>
                <w:color w:val="auto"/>
              </w:rPr>
            </w:pPr>
            <w:r>
              <w:rPr>
                <w:rFonts w:ascii="Arial" w:cs="Arial" w:eastAsia="Arial" w:hAnsi="Arial"/>
                <w:sz w:val="15"/>
                <w:szCs w:val="15"/>
                <w:color w:val="auto"/>
                <w:w w:val="71"/>
              </w:rPr>
              <w:t>2</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900" w:type="dxa"/>
            <w:vAlign w:val="bottom"/>
            <w:shd w:val="clear" w:color="auto" w:fill="CCEEFF"/>
          </w:tcPr>
          <w:p>
            <w:pPr>
              <w:ind w:left="820"/>
              <w:spacing w:after="0"/>
              <w:rPr>
                <w:sz w:val="20"/>
                <w:szCs w:val="20"/>
                <w:color w:val="auto"/>
              </w:rPr>
            </w:pPr>
            <w:r>
              <w:rPr>
                <w:rFonts w:ascii="Arial" w:cs="Arial" w:eastAsia="Arial" w:hAnsi="Arial"/>
                <w:sz w:val="15"/>
                <w:szCs w:val="15"/>
                <w:color w:val="auto"/>
                <w:w w:val="71"/>
              </w:rPr>
              <w:t>2</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900" w:type="dxa"/>
            <w:vAlign w:val="bottom"/>
          </w:tcPr>
          <w:p>
            <w:pPr>
              <w:ind w:left="820"/>
              <w:spacing w:after="0"/>
              <w:rPr>
                <w:sz w:val="20"/>
                <w:szCs w:val="20"/>
                <w:color w:val="auto"/>
              </w:rPr>
            </w:pPr>
            <w:r>
              <w:rPr>
                <w:rFonts w:ascii="Arial" w:cs="Arial" w:eastAsia="Arial" w:hAnsi="Arial"/>
                <w:sz w:val="15"/>
                <w:szCs w:val="15"/>
                <w:color w:val="auto"/>
                <w:w w:val="71"/>
              </w:rPr>
              <w:t>1</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 Steel, Iron and Non-Precious Metals</w:t>
            </w:r>
          </w:p>
        </w:tc>
        <w:tc>
          <w:tcPr>
            <w:tcW w:w="900" w:type="dxa"/>
            <w:vAlign w:val="bottom"/>
            <w:shd w:val="clear" w:color="auto" w:fill="CCEEFF"/>
          </w:tcPr>
          <w:p>
            <w:pPr>
              <w:ind w:left="820"/>
              <w:spacing w:after="0"/>
              <w:rPr>
                <w:sz w:val="20"/>
                <w:szCs w:val="20"/>
                <w:color w:val="auto"/>
              </w:rPr>
            </w:pPr>
            <w:r>
              <w:rPr>
                <w:rFonts w:ascii="Arial" w:cs="Arial" w:eastAsia="Arial" w:hAnsi="Arial"/>
                <w:sz w:val="15"/>
                <w:szCs w:val="15"/>
                <w:color w:val="auto"/>
                <w:w w:val="71"/>
              </w:rPr>
              <w:t>1</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w w:val="71"/>
              </w:rPr>
              <w:t>3</w:t>
            </w:r>
          </w:p>
        </w:tc>
        <w:tc>
          <w:tcPr>
            <w:tcW w:w="4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180" w:right="620" w:hanging="728"/>
        <w:spacing w:after="0" w:line="259" w:lineRule="auto"/>
        <w:tabs>
          <w:tab w:leader="none" w:pos="116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180" w:right="820" w:hanging="728"/>
        <w:spacing w:after="0" w:line="268" w:lineRule="auto"/>
        <w:tabs>
          <w:tab w:leader="none" w:pos="116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firstLine="449"/>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15"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2013 our ability to observe valuation inputs resulted in one reclassification of assets between Level 3 to 2 with no other reclassification between Levels. During the six months ended March 31, 2012 our ability to observe valuation inputs resulted in no reclassification of assets between Levels.</w:t>
      </w:r>
    </w:p>
    <w:p>
      <w:pPr>
        <w:spacing w:after="0" w:line="115"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In addition to using the above inputs in cash equivalents, investments,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In accordance with Accounting Standards Update No. 2011-04 “Fair Value Measurement: Amendment to Achieve Common Fair Value Measurement and Disclosure Requirements in U.S. GAAP and IFRS,”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3" w:lineRule="exact"/>
        <w:rPr>
          <w:sz w:val="20"/>
          <w:szCs w:val="20"/>
          <w:color w:val="auto"/>
        </w:rPr>
      </w:pPr>
    </w:p>
    <w:p>
      <w:pPr>
        <w:ind w:firstLine="449"/>
        <w:spacing w:after="0" w:line="309" w:lineRule="auto"/>
        <w:rPr>
          <w:sz w:val="20"/>
          <w:szCs w:val="20"/>
          <w:color w:val="auto"/>
        </w:rPr>
      </w:pPr>
      <w:r>
        <w:rPr>
          <w:rFonts w:ascii="Arial" w:cs="Arial" w:eastAsia="Arial" w:hAnsi="Arial"/>
          <w:sz w:val="15"/>
          <w:szCs w:val="15"/>
          <w:color w:val="auto"/>
        </w:rPr>
        <w:t>The remainder of our portfolio, including our long-term Credit Facility, is classified as Level 3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3 valuation techniques, unobservable inputs and ranges of inputs were categorized as follows for ASC 820 disclosure: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w w:val="94"/>
              </w:rPr>
              <w:t>Asset Category</w:t>
            </w:r>
          </w:p>
        </w:tc>
        <w:tc>
          <w:tcPr>
            <w:tcW w:w="2180" w:type="dxa"/>
            <w:vAlign w:val="bottom"/>
            <w:vMerge w:val="restart"/>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138"/>
              <w:spacing w:after="0"/>
              <w:rPr>
                <w:sz w:val="20"/>
                <w:szCs w:val="20"/>
                <w:color w:val="auto"/>
              </w:rPr>
            </w:pPr>
            <w:r>
              <w:rPr>
                <w:rFonts w:ascii="Arial" w:cs="Arial" w:eastAsia="Arial" w:hAnsi="Arial"/>
                <w:sz w:val="13"/>
                <w:szCs w:val="13"/>
                <w:b w:val="1"/>
                <w:bCs w:val="1"/>
                <w:color w:val="auto"/>
              </w:rPr>
              <w:t>Fair Value at</w:t>
            </w:r>
          </w:p>
        </w:tc>
        <w:tc>
          <w:tcPr>
            <w:tcW w:w="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4"/>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58"/>
              <w:spacing w:after="0" w:line="148" w:lineRule="exact"/>
              <w:rPr>
                <w:sz w:val="20"/>
                <w:szCs w:val="20"/>
                <w:color w:val="auto"/>
              </w:rPr>
            </w:pPr>
            <w:r>
              <w:rPr>
                <w:rFonts w:ascii="Arial" w:cs="Arial" w:eastAsia="Arial" w:hAnsi="Arial"/>
                <w:sz w:val="13"/>
                <w:szCs w:val="13"/>
                <w:b w:val="1"/>
                <w:bCs w:val="1"/>
                <w:color w:val="auto"/>
                <w:w w:val="97"/>
              </w:rPr>
              <w:t>March 31, 2013</w:t>
            </w:r>
          </w:p>
        </w:tc>
        <w:tc>
          <w:tcPr>
            <w:tcW w:w="320" w:type="dxa"/>
            <w:vAlign w:val="bottom"/>
          </w:tcPr>
          <w:p>
            <w:pPr>
              <w:spacing w:after="0"/>
              <w:rPr>
                <w:sz w:val="14"/>
                <w:szCs w:val="14"/>
                <w:color w:val="auto"/>
              </w:rPr>
            </w:pPr>
          </w:p>
        </w:tc>
        <w:tc>
          <w:tcPr>
            <w:tcW w:w="208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2"/>
              </w:rPr>
              <w:t>Valuation Technique</w:t>
            </w:r>
          </w:p>
        </w:tc>
        <w:tc>
          <w:tcPr>
            <w:tcW w:w="218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5"/>
              </w:rPr>
              <w:t>Unobservable Input</w:t>
            </w:r>
          </w:p>
        </w:tc>
        <w:tc>
          <w:tcPr>
            <w:tcW w:w="17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(Weighted Average)</w:t>
            </w:r>
          </w:p>
        </w:tc>
        <w:tc>
          <w:tcPr>
            <w:tcW w:w="0" w:type="dxa"/>
            <w:vAlign w:val="bottom"/>
          </w:tcPr>
          <w:p>
            <w:pPr>
              <w:spacing w:after="0"/>
              <w:rPr>
                <w:sz w:val="1"/>
                <w:szCs w:val="1"/>
                <w:color w:val="auto"/>
              </w:rPr>
            </w:pPr>
          </w:p>
        </w:tc>
      </w:tr>
      <w:tr>
        <w:trPr>
          <w:trHeight w:val="181"/>
        </w:trPr>
        <w:tc>
          <w:tcPr>
            <w:tcW w:w="31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 subordinated</w:t>
            </w:r>
          </w:p>
        </w:tc>
        <w:tc>
          <w:tcPr>
            <w:tcW w:w="6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312,775,844</w:t>
            </w:r>
          </w:p>
        </w:tc>
        <w:tc>
          <w:tcPr>
            <w:tcW w:w="32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Market Comparable</w:t>
            </w:r>
          </w:p>
        </w:tc>
        <w:tc>
          <w:tcPr>
            <w:tcW w:w="2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Broker/Dealer bid quotes</w:t>
            </w:r>
          </w:p>
        </w:tc>
        <w:tc>
          <w:tcPr>
            <w:tcW w:w="2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4"/>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debt/corporate notes</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00" w:type="dxa"/>
            <w:vAlign w:val="bottom"/>
            <w:gridSpan w:val="2"/>
          </w:tcPr>
          <w:p>
            <w:pPr>
              <w:spacing w:after="0"/>
              <w:rPr>
                <w:sz w:val="20"/>
                <w:szCs w:val="20"/>
                <w:color w:val="auto"/>
              </w:rPr>
            </w:pPr>
            <w:r>
              <w:rPr>
                <w:rFonts w:ascii="Arial" w:cs="Arial" w:eastAsia="Arial" w:hAnsi="Arial"/>
                <w:sz w:val="18"/>
                <w:szCs w:val="18"/>
                <w:color w:val="auto"/>
              </w:rPr>
              <w:t>First lien, second lien, subordinated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608,655,152</w:t>
            </w:r>
          </w:p>
        </w:tc>
        <w:tc>
          <w:tcPr>
            <w:tcW w:w="320" w:type="dxa"/>
            <w:vAlign w:val="bottom"/>
          </w:tcPr>
          <w:p>
            <w:pPr>
              <w:spacing w:after="0"/>
              <w:rPr>
                <w:sz w:val="18"/>
                <w:szCs w:val="18"/>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Market Comparable</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Market Yield</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8.0% – 18.4% (13.5%)</w:t>
            </w: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debt/corporate notes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121,655,918</w:t>
            </w:r>
          </w:p>
        </w:tc>
        <w:tc>
          <w:tcPr>
            <w:tcW w:w="3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Enterprise Market Value</w:t>
            </w:r>
          </w:p>
        </w:tc>
        <w:tc>
          <w:tcPr>
            <w:tcW w:w="2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EBITDA multiple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5.5X – 22.6X (9.0X)</w:t>
            </w:r>
          </w:p>
        </w:tc>
        <w:tc>
          <w:tcPr>
            <w:tcW w:w="0" w:type="dxa"/>
            <w:vAlign w:val="bottom"/>
          </w:tcPr>
          <w:p>
            <w:pPr>
              <w:spacing w:after="0"/>
              <w:rPr>
                <w:sz w:val="1"/>
                <w:szCs w:val="1"/>
                <w:color w:val="auto"/>
              </w:rPr>
            </w:pPr>
          </w:p>
        </w:tc>
      </w:tr>
      <w:tr>
        <w:trPr>
          <w:trHeight w:val="222"/>
        </w:trPr>
        <w:tc>
          <w:tcPr>
            <w:tcW w:w="3100" w:type="dxa"/>
            <w:vAlign w:val="bottom"/>
            <w:gridSpan w:val="2"/>
          </w:tcPr>
          <w:p>
            <w:pPr>
              <w:spacing w:after="0"/>
              <w:rPr>
                <w:sz w:val="20"/>
                <w:szCs w:val="20"/>
                <w:color w:val="auto"/>
              </w:rPr>
            </w:pPr>
            <w:r>
              <w:rPr>
                <w:rFonts w:ascii="Arial" w:cs="Arial" w:eastAsia="Arial" w:hAnsi="Arial"/>
                <w:sz w:val="18"/>
                <w:szCs w:val="18"/>
                <w:color w:val="auto"/>
              </w:rPr>
              <w:t>Total Level 3 investments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1,043,086,914</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168,200,000</w:t>
            </w:r>
          </w:p>
        </w:tc>
        <w:tc>
          <w:tcPr>
            <w:tcW w:w="3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Market Comparable</w:t>
            </w:r>
          </w:p>
        </w:tc>
        <w:tc>
          <w:tcPr>
            <w:tcW w:w="21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Market Yield</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cash equivalents, investments, 2025 Notes and Credit Facility were categorized as follows in the fair value hierarchy for ASC 820 purposes: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ind w:right="175"/>
              <w:spacing w:after="0"/>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80" w:type="dxa"/>
            <w:vAlign w:val="bottom"/>
            <w:gridSpan w:val="7"/>
          </w:tcPr>
          <w:p>
            <w:pPr>
              <w:jc w:val="center"/>
              <w:ind w:right="1000"/>
              <w:spacing w:after="0"/>
              <w:rPr>
                <w:sz w:val="20"/>
                <w:szCs w:val="20"/>
                <w:color w:val="auto"/>
              </w:rPr>
            </w:pPr>
            <w:r>
              <w:rPr>
                <w:rFonts w:ascii="Arial" w:cs="Arial" w:eastAsia="Arial" w:hAnsi="Arial"/>
                <w:sz w:val="13"/>
                <w:szCs w:val="13"/>
                <w:b w:val="1"/>
                <w:bCs w:val="1"/>
                <w:color w:val="auto"/>
                <w:w w:val="96"/>
              </w:rPr>
              <w:t>Fair Value at March 31, 2013</w:t>
            </w:r>
          </w:p>
        </w:tc>
        <w:tc>
          <w:tcPr>
            <w:tcW w:w="0" w:type="dxa"/>
            <w:vAlign w:val="bottom"/>
          </w:tcPr>
          <w:p>
            <w:pPr>
              <w:spacing w:after="0"/>
              <w:rPr>
                <w:sz w:val="1"/>
                <w:szCs w:val="1"/>
                <w:color w:val="auto"/>
              </w:rPr>
            </w:pPr>
          </w:p>
        </w:tc>
      </w:tr>
      <w:tr>
        <w:trPr>
          <w:trHeight w:val="148"/>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3"/>
                <w:szCs w:val="13"/>
                <w:b w:val="1"/>
                <w:bCs w:val="1"/>
                <w:color w:val="auto"/>
              </w:rPr>
              <w:t>Level 1</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3"/>
                <w:szCs w:val="13"/>
                <w:b w:val="1"/>
                <w:bCs w:val="1"/>
                <w:color w:val="auto"/>
              </w:rPr>
              <w:t>Level 2</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75"/>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967,951,516</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46,520,520</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921,430,996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146,925,691</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25,268,864</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121,655,918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1,114,877,207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25,268,864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46,521,429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1,043,086,914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17,333,318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17,333,318</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1,132,210,525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42,602,182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46,521,429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1,043,086,914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20" w:type="dxa"/>
            <w:vAlign w:val="bottom"/>
            <w:gridSpan w:val="2"/>
            <w:vMerge w:val="continue"/>
          </w:tcPr>
          <w:p>
            <w:pPr>
              <w:spacing w:after="0"/>
              <w:rPr>
                <w:sz w:val="18"/>
                <w:szCs w:val="18"/>
                <w:color w:val="auto"/>
              </w:rPr>
            </w:pPr>
          </w:p>
        </w:tc>
        <w:tc>
          <w:tcPr>
            <w:tcW w:w="1040" w:type="dxa"/>
            <w:vAlign w:val="bottom"/>
            <w:gridSpan w:val="2"/>
          </w:tcPr>
          <w:p>
            <w:pPr>
              <w:ind w:left="94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168,200,000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168,200,000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71,677,500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71,677,500</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9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239,877,500</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71,677,500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168,200,000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vMerge w:val="restart"/>
          </w:tcPr>
          <w:p>
            <w:pPr>
              <w:jc w:val="right"/>
              <w:ind w:right="175"/>
              <w:spacing w:after="0"/>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8"/>
          </w:tcPr>
          <w:p>
            <w:pPr>
              <w:jc w:val="center"/>
              <w:ind w:right="200"/>
              <w:spacing w:after="0"/>
              <w:rPr>
                <w:sz w:val="20"/>
                <w:szCs w:val="20"/>
                <w:color w:val="auto"/>
              </w:rPr>
            </w:pPr>
            <w:r>
              <w:rPr>
                <w:rFonts w:ascii="Arial" w:cs="Arial" w:eastAsia="Arial" w:hAnsi="Arial"/>
                <w:sz w:val="13"/>
                <w:szCs w:val="13"/>
                <w:b w:val="1"/>
                <w:bCs w:val="1"/>
                <w:color w:val="auto"/>
                <w:w w:val="94"/>
              </w:rPr>
              <w:t>Fair Value at September 30, 2012</w:t>
            </w:r>
          </w:p>
        </w:tc>
        <w:tc>
          <w:tcPr>
            <w:tcW w:w="0" w:type="dxa"/>
            <w:vAlign w:val="bottom"/>
          </w:tcPr>
          <w:p>
            <w:pPr>
              <w:spacing w:after="0"/>
              <w:rPr>
                <w:sz w:val="1"/>
                <w:szCs w:val="1"/>
                <w:color w:val="auto"/>
              </w:rPr>
            </w:pPr>
          </w:p>
        </w:tc>
      </w:tr>
      <w:tr>
        <w:trPr>
          <w:trHeight w:val="148"/>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3"/>
                <w:szCs w:val="13"/>
                <w:b w:val="1"/>
                <w:bCs w:val="1"/>
                <w:color w:val="auto"/>
              </w:rPr>
              <w:t>Level 1</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3"/>
                <w:szCs w:val="13"/>
                <w:b w:val="1"/>
                <w:bCs w:val="1"/>
                <w:color w:val="auto"/>
              </w:rPr>
              <w:t>Level 2</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75"/>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883,669,431</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35,275,360</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848,424,071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106,780,279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5,425,378</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31,778</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101,323,123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990,449,710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5,425,378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35,307,138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949,747,194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7,559,453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7,559,453</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998,009,163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12,984,831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35,307,138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949,747,194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108,952,500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108,952,500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60" w:type="dxa"/>
            <w:vAlign w:val="bottom"/>
            <w:gridSpan w:val="3"/>
          </w:tcPr>
          <w:p>
            <w:pPr>
              <w:ind w:left="96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40" w:type="dxa"/>
            <w:vAlign w:val="bottom"/>
            <w:gridSpan w:val="10"/>
          </w:tcPr>
          <w:p>
            <w:pPr>
              <w:jc w:val="right"/>
              <w:ind w:right="780"/>
              <w:spacing w:after="0"/>
              <w:rPr>
                <w:sz w:val="20"/>
                <w:szCs w:val="20"/>
                <w:color w:val="auto"/>
              </w:rPr>
            </w:pPr>
            <w:r>
              <w:rPr>
                <w:rFonts w:ascii="Arial" w:cs="Arial" w:eastAsia="Arial" w:hAnsi="Arial"/>
                <w:sz w:val="13"/>
                <w:szCs w:val="13"/>
                <w:b w:val="1"/>
                <w:bCs w:val="1"/>
                <w:color w:val="auto"/>
              </w:rPr>
              <w:t>For the six months ended March 31, 2013</w:t>
            </w:r>
          </w:p>
        </w:tc>
        <w:tc>
          <w:tcPr>
            <w:tcW w:w="0" w:type="dxa"/>
            <w:vAlign w:val="bottom"/>
          </w:tcPr>
          <w:p>
            <w:pPr>
              <w:spacing w:after="0"/>
              <w:rPr>
                <w:sz w:val="1"/>
                <w:szCs w:val="1"/>
                <w:color w:val="auto"/>
              </w:rPr>
            </w:pPr>
          </w:p>
        </w:tc>
      </w:tr>
      <w:tr>
        <w:trPr>
          <w:trHeight w:val="129"/>
        </w:trPr>
        <w:tc>
          <w:tcPr>
            <w:tcW w:w="62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94"/>
              </w:rPr>
              <w:t>Loan and debt</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95"/>
              </w:rPr>
              <w:t>Equity</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89"/>
              </w:rPr>
              <w:t>investments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2"/>
              </w:rPr>
              <w:t>investments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50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848,424,071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101,323,123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949,747,194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2,376,015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(3,335,647)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(959,632)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(depreciation)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40,321,756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(22,179,968)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18,141,788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Purchases, PIK, net discount accretion and non-cash exchanges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243,962,981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46,548,450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290,511,431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and non-cash exchanges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(200,813,827)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(201,513,867)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Transfers in or out of Level 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(12,840,000)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March 31, 2013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921,430,996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121,655,918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1,043,086,914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color w:val="auto"/>
                <w:w w:val="91"/>
              </w:rPr>
              <w:t>Net change in unrealized appreciation (depreciation) reported within the net change in</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28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w w:val="93"/>
              </w:rPr>
              <w:t>unrealized appreciation on investments in our Consolidated Statement of Operations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41,392,812</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(23,529,968)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17,862,844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10"/>
          </w:tcPr>
          <w:p>
            <w:pPr>
              <w:jc w:val="right"/>
              <w:ind w:right="780"/>
              <w:spacing w:after="0"/>
              <w:rPr>
                <w:sz w:val="20"/>
                <w:szCs w:val="20"/>
                <w:color w:val="auto"/>
              </w:rPr>
            </w:pPr>
            <w:r>
              <w:rPr>
                <w:rFonts w:ascii="Arial" w:cs="Arial" w:eastAsia="Arial" w:hAnsi="Arial"/>
                <w:sz w:val="13"/>
                <w:szCs w:val="13"/>
                <w:b w:val="1"/>
                <w:bCs w:val="1"/>
                <w:color w:val="auto"/>
              </w:rPr>
              <w:t>For the six months ended March 31, 2012</w:t>
            </w:r>
          </w:p>
        </w:tc>
        <w:tc>
          <w:tcPr>
            <w:tcW w:w="0" w:type="dxa"/>
            <w:vAlign w:val="bottom"/>
          </w:tcPr>
          <w:p>
            <w:pPr>
              <w:spacing w:after="0"/>
              <w:rPr>
                <w:sz w:val="1"/>
                <w:szCs w:val="1"/>
                <w:color w:val="auto"/>
              </w:rPr>
            </w:pPr>
          </w:p>
        </w:tc>
      </w:tr>
      <w:tr>
        <w:trPr>
          <w:trHeight w:val="129"/>
        </w:trPr>
        <w:tc>
          <w:tcPr>
            <w:tcW w:w="62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94"/>
              </w:rPr>
              <w:t>Loan and debt</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95"/>
              </w:rPr>
              <w:t>Equity</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89"/>
              </w:rPr>
              <w:t>investments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2"/>
              </w:rPr>
              <w:t>investments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50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732,694,451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52,353,328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785,047,779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Realized (losses) gains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(4,447,450)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2,534,403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(1,913,047 )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2,781,866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8,545,282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144,094,844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16,005,789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160,100,633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(111,542,433)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(5,398,142)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(116,940,575)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Exchanges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(1,694,543)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1,694,543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Transfers in or out of Level 3</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gridSpan w:val="3"/>
          </w:tcPr>
          <w:p>
            <w:pPr>
              <w:spacing w:after="0"/>
              <w:rPr>
                <w:sz w:val="20"/>
                <w:szCs w:val="20"/>
                <w:color w:val="auto"/>
              </w:rPr>
            </w:pPr>
            <w:r>
              <w:rPr>
                <w:rFonts w:ascii="Arial" w:cs="Arial" w:eastAsia="Arial" w:hAnsi="Arial"/>
                <w:sz w:val="18"/>
                <w:szCs w:val="18"/>
                <w:color w:val="auto"/>
              </w:rPr>
              <w:t>Ending Balance, March 31, 2012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761,886,735</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75,735,203</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837,621,938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1"/>
              </w:rPr>
              <w:t>Net change in unrealized (depreciation) appreciation reported within the net change in</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unrealized appreciation on investments in our Consolidated Statement of Operations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6,191,605</w:t>
            </w:r>
          </w:p>
        </w:tc>
        <w:tc>
          <w:tcPr>
            <w:tcW w:w="1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10,390,011</w:t>
            </w:r>
          </w:p>
        </w:tc>
        <w:tc>
          <w:tcPr>
            <w:tcW w:w="1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16,581,616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80" w:type="dxa"/>
            <w:vAlign w:val="bottom"/>
            <w:gridSpan w:val="5"/>
          </w:tcPr>
          <w:p>
            <w:pPr>
              <w:jc w:val="right"/>
              <w:ind w:right="780"/>
              <w:spacing w:after="0"/>
              <w:rPr>
                <w:sz w:val="20"/>
                <w:szCs w:val="20"/>
                <w:color w:val="auto"/>
              </w:rPr>
            </w:pPr>
            <w:r>
              <w:rPr>
                <w:rFonts w:ascii="Arial" w:cs="Arial" w:eastAsia="Arial" w:hAnsi="Arial"/>
                <w:sz w:val="13"/>
                <w:szCs w:val="13"/>
                <w:b w:val="1"/>
                <w:bCs w:val="1"/>
                <w:color w:val="auto"/>
              </w:rPr>
              <w:t>Carrying / Fair Value</w:t>
            </w:r>
          </w:p>
        </w:tc>
        <w:tc>
          <w:tcPr>
            <w:tcW w:w="0" w:type="dxa"/>
            <w:vAlign w:val="bottom"/>
          </w:tcPr>
          <w:p>
            <w:pPr>
              <w:spacing w:after="0"/>
              <w:rPr>
                <w:sz w:val="1"/>
                <w:szCs w:val="1"/>
                <w:color w:val="auto"/>
              </w:rPr>
            </w:pPr>
          </w:p>
        </w:tc>
      </w:tr>
      <w:tr>
        <w:trPr>
          <w:trHeight w:val="142"/>
        </w:trPr>
        <w:tc>
          <w:tcPr>
            <w:tcW w:w="4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Credit Facility</w:t>
            </w:r>
          </w:p>
        </w:tc>
        <w:tc>
          <w:tcPr>
            <w:tcW w:w="3100" w:type="dxa"/>
            <w:vAlign w:val="bottom"/>
          </w:tcPr>
          <w:p>
            <w:pPr>
              <w:spacing w:after="0"/>
              <w:rPr>
                <w:sz w:val="12"/>
                <w:szCs w:val="12"/>
                <w:color w:val="auto"/>
              </w:rPr>
            </w:pPr>
          </w:p>
        </w:tc>
        <w:tc>
          <w:tcPr>
            <w:tcW w:w="2580" w:type="dxa"/>
            <w:vAlign w:val="bottom"/>
            <w:tcBorders>
              <w:top w:val="single" w:sz="8" w:color="auto"/>
              <w:bottom w:val="single" w:sz="8" w:color="auto"/>
            </w:tcBorders>
            <w:gridSpan w:val="4"/>
          </w:tcPr>
          <w:p>
            <w:pPr>
              <w:jc w:val="right"/>
              <w:ind w:right="482"/>
              <w:spacing w:after="0" w:line="142" w:lineRule="exact"/>
              <w:rPr>
                <w:sz w:val="20"/>
                <w:szCs w:val="20"/>
                <w:color w:val="auto"/>
              </w:rPr>
            </w:pPr>
            <w:r>
              <w:rPr>
                <w:rFonts w:ascii="Arial" w:cs="Arial" w:eastAsia="Arial" w:hAnsi="Arial"/>
                <w:sz w:val="13"/>
                <w:szCs w:val="13"/>
                <w:b w:val="1"/>
                <w:bCs w:val="1"/>
                <w:color w:val="auto"/>
              </w:rPr>
              <w:t>For the six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gridSpan w:val="2"/>
            <w:vMerge w:val="continue"/>
          </w:tcPr>
          <w:p>
            <w:pPr>
              <w:spacing w:after="0"/>
              <w:rPr>
                <w:sz w:val="12"/>
                <w:szCs w:val="12"/>
                <w:color w:val="auto"/>
              </w:rPr>
            </w:pPr>
          </w:p>
        </w:tc>
        <w:tc>
          <w:tcPr>
            <w:tcW w:w="3100" w:type="dxa"/>
            <w:vAlign w:val="bottom"/>
          </w:tcPr>
          <w:p>
            <w:pPr>
              <w:spacing w:after="0"/>
              <w:rPr>
                <w:sz w:val="12"/>
                <w:szCs w:val="12"/>
                <w:color w:val="auto"/>
              </w:rPr>
            </w:pPr>
          </w:p>
        </w:tc>
        <w:tc>
          <w:tcPr>
            <w:tcW w:w="1320" w:type="dxa"/>
            <w:vAlign w:val="bottom"/>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rPr>
              <w:t>March 31, 2013</w:t>
            </w:r>
          </w:p>
        </w:tc>
        <w:tc>
          <w:tcPr>
            <w:tcW w:w="220" w:type="dxa"/>
            <w:vAlign w:val="bottom"/>
          </w:tcPr>
          <w:p>
            <w:pPr>
              <w:spacing w:after="0"/>
              <w:rPr>
                <w:sz w:val="12"/>
                <w:szCs w:val="12"/>
                <w:color w:val="auto"/>
              </w:rPr>
            </w:pPr>
          </w:p>
        </w:tc>
        <w:tc>
          <w:tcPr>
            <w:tcW w:w="1040" w:type="dxa"/>
            <w:vAlign w:val="bottom"/>
          </w:tcPr>
          <w:p>
            <w:pPr>
              <w:jc w:val="right"/>
              <w:ind w:right="2"/>
              <w:spacing w:after="0" w:line="142" w:lineRule="exact"/>
              <w:rPr>
                <w:sz w:val="20"/>
                <w:szCs w:val="20"/>
                <w:color w:val="auto"/>
              </w:rPr>
            </w:pPr>
            <w:r>
              <w:rPr>
                <w:rFonts w:ascii="Arial" w:cs="Arial" w:eastAsia="Arial" w:hAnsi="Arial"/>
                <w:sz w:val="13"/>
                <w:szCs w:val="13"/>
                <w:b w:val="1"/>
                <w:bCs w:val="1"/>
                <w:color w:val="auto"/>
              </w:rPr>
              <w:t>March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5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Beginning Balance, September 30, 2012</w:t>
            </w:r>
          </w:p>
        </w:tc>
        <w:tc>
          <w:tcPr>
            <w:tcW w:w="3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80" w:type="dxa"/>
            <w:vAlign w:val="bottom"/>
            <w:shd w:val="clear" w:color="auto" w:fill="CCEEFF"/>
          </w:tcPr>
          <w:p>
            <w:pPr>
              <w:spacing w:after="0"/>
              <w:rPr>
                <w:sz w:val="19"/>
                <w:szCs w:val="19"/>
                <w:color w:val="auto"/>
              </w:rPr>
            </w:pP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(Cost – $109,500,000 and $240,900,000, respectively)</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$ 108,952,500</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$ 238,792,125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80" w:type="dxa"/>
            <w:vAlign w:val="bottom"/>
          </w:tcPr>
          <w:p>
            <w:pPr>
              <w:ind w:left="260"/>
              <w:spacing w:after="0"/>
              <w:rPr>
                <w:sz w:val="20"/>
                <w:szCs w:val="20"/>
                <w:color w:val="auto"/>
              </w:rPr>
            </w:pPr>
            <w:r>
              <w:rPr>
                <w:rFonts w:ascii="Arial" w:cs="Arial" w:eastAsia="Arial" w:hAnsi="Arial"/>
                <w:sz w:val="18"/>
                <w:szCs w:val="18"/>
                <w:color w:val="auto"/>
              </w:rPr>
              <w:t>Total unrealized appreciation included in earnings</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547,500</w:t>
            </w:r>
          </w:p>
        </w:tc>
        <w:tc>
          <w:tcPr>
            <w:tcW w:w="2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1,365,375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311,000,000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437,800,000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80" w:type="dxa"/>
            <w:vAlign w:val="bottom"/>
          </w:tcPr>
          <w:p>
            <w:pPr>
              <w:ind w:left="26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4420" w:type="dxa"/>
            <w:vAlign w:val="bottom"/>
            <w:gridSpan w:val="3"/>
          </w:tcPr>
          <w:p>
            <w:pPr>
              <w:jc w:val="right"/>
              <w:ind w:right="220"/>
              <w:spacing w:after="0"/>
              <w:rPr>
                <w:sz w:val="20"/>
                <w:szCs w:val="20"/>
                <w:color w:val="auto"/>
              </w:rPr>
            </w:pPr>
            <w:r>
              <w:rPr>
                <w:rFonts w:ascii="Arial" w:cs="Arial" w:eastAsia="Arial" w:hAnsi="Arial"/>
                <w:sz w:val="18"/>
                <w:szCs w:val="18"/>
                <w:color w:val="auto"/>
              </w:rPr>
              <w:t>(252,300,000)</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(530,200,000)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Transfers in and/or out of Level 3</w:t>
            </w:r>
          </w:p>
        </w:tc>
        <w:tc>
          <w:tcPr>
            <w:tcW w:w="3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560" w:type="dxa"/>
            <w:vAlign w:val="bottom"/>
            <w:gridSpan w:val="2"/>
          </w:tcPr>
          <w:p>
            <w:pPr>
              <w:spacing w:after="0"/>
              <w:rPr>
                <w:sz w:val="20"/>
                <w:szCs w:val="20"/>
                <w:color w:val="auto"/>
              </w:rPr>
            </w:pPr>
            <w:r>
              <w:rPr>
                <w:rFonts w:ascii="Arial" w:cs="Arial" w:eastAsia="Arial" w:hAnsi="Arial"/>
                <w:sz w:val="18"/>
                <w:szCs w:val="18"/>
                <w:color w:val="auto"/>
              </w:rPr>
              <w:t>Ending Balance, March 31, 2013</w:t>
            </w:r>
          </w:p>
        </w:tc>
        <w:tc>
          <w:tcPr>
            <w:tcW w:w="3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380" w:type="dxa"/>
            <w:vAlign w:val="bottom"/>
          </w:tcPr>
          <w:p>
            <w:pPr>
              <w:ind w:left="40"/>
              <w:spacing w:after="0"/>
              <w:rPr>
                <w:sz w:val="20"/>
                <w:szCs w:val="20"/>
                <w:color w:val="auto"/>
              </w:rPr>
            </w:pPr>
            <w:r>
              <w:rPr>
                <w:rFonts w:ascii="Arial" w:cs="Arial" w:eastAsia="Arial" w:hAnsi="Arial"/>
                <w:sz w:val="18"/>
                <w:szCs w:val="18"/>
                <w:color w:val="auto"/>
                <w:w w:val="99"/>
              </w:rPr>
              <w:t>(Cost – $168,200,000 and $148,500,000, respectively)</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$ 168,200,000</w:t>
            </w:r>
          </w:p>
        </w:tc>
        <w:tc>
          <w:tcPr>
            <w:tcW w:w="2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$ 147,757,500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Arial" w:cs="Arial" w:eastAsia="Arial" w:hAnsi="Arial"/>
                <w:sz w:val="11"/>
                <w:szCs w:val="11"/>
                <w:color w:val="auto"/>
              </w:rPr>
              <w:t>(1)</w:t>
            </w:r>
          </w:p>
        </w:tc>
        <w:tc>
          <w:tcPr>
            <w:tcW w:w="4380" w:type="dxa"/>
            <w:vAlign w:val="bottom"/>
            <w:vMerge w:val="restart"/>
          </w:tcPr>
          <w:p>
            <w:pPr>
              <w:ind w:left="280"/>
              <w:spacing w:after="0"/>
              <w:rPr>
                <w:sz w:val="20"/>
                <w:szCs w:val="20"/>
                <w:color w:val="auto"/>
              </w:rPr>
            </w:pPr>
            <w:r>
              <w:rPr>
                <w:rFonts w:ascii="Arial" w:cs="Arial" w:eastAsia="Arial" w:hAnsi="Arial"/>
                <w:sz w:val="18"/>
                <w:szCs w:val="18"/>
                <w:color w:val="auto"/>
              </w:rPr>
              <w:t>Excludes temporary draws.</w:t>
            </w:r>
          </w:p>
        </w:tc>
        <w:tc>
          <w:tcPr>
            <w:tcW w:w="3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80" w:type="dxa"/>
            <w:vAlign w:val="bottom"/>
            <w:vMerge w:val="continue"/>
          </w:tcPr>
          <w:p>
            <w:pPr>
              <w:spacing w:after="0"/>
              <w:rPr>
                <w:sz w:val="24"/>
                <w:szCs w:val="24"/>
                <w:color w:val="auto"/>
              </w:rPr>
            </w:pPr>
          </w:p>
        </w:tc>
        <w:tc>
          <w:tcPr>
            <w:tcW w:w="4380" w:type="dxa"/>
            <w:vAlign w:val="bottom"/>
            <w:vMerge w:val="continue"/>
          </w:tcPr>
          <w:p>
            <w:pPr>
              <w:spacing w:after="0"/>
              <w:rPr>
                <w:sz w:val="24"/>
                <w:szCs w:val="24"/>
                <w:color w:val="auto"/>
              </w:rPr>
            </w:pPr>
          </w:p>
        </w:tc>
        <w:tc>
          <w:tcPr>
            <w:tcW w:w="3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100" w:type="dxa"/>
            <w:vAlign w:val="bottom"/>
          </w:tcPr>
          <w:p>
            <w:pPr>
              <w:jc w:val="right"/>
              <w:ind w:right="2312"/>
              <w:spacing w:after="0"/>
              <w:rPr>
                <w:sz w:val="20"/>
                <w:szCs w:val="20"/>
                <w:color w:val="auto"/>
              </w:rPr>
            </w:pPr>
            <w:r>
              <w:rPr>
                <w:rFonts w:ascii="Arial" w:cs="Arial" w:eastAsia="Arial" w:hAnsi="Arial"/>
                <w:sz w:val="18"/>
                <w:szCs w:val="18"/>
                <w:color w:val="auto"/>
              </w:rPr>
              <w:t>23</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$2.4 million relating to debt issuance costs during the three months ended March 31, 2013 relating to our 2025 Notes.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and 2025 Notes are recorded in the Consolidated Statement of Operations. We elected not to apply ASC 825-10 to any other financial assets or liabilities, including the SBA debentures. For the three and six months ended March 31, 2013, our Credit Facility and 2025 Notes had a combined net change in unrealized appreciation of $0.4 million and $1.0 million, respectively. For the three and six months ended March 31, 2012, our Credit Facility had a net change in unrealized appreciation of $0.2 million and $1.4 million, respectively. As of March 31, 2013 and September 30, 2012, combined net unrealized (appreciation) depreciation on our Credit Facility and 2025 Notes totaled $(0.4) million and $0.5 million, respectively. PennantPark Investment uses a nationally recognized independent valuation service to measure the fair value of its Credit Facility in a manner consistent with the valuation process that the board of directors uses to value investments. Our 2025 Notes trade on the New York Stock Exchange, or the NYSE, and PennantPark Investment uses the closing quote on the exchange to measure their fair value.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An affiliated company is a company in which we have ownership of 5% or more of its voting securities. A controlled affiliate is a company in which we own more than 25% of its voting securities. Transactions related to our investments with both controlled and non-controlled affiliates for the six months ended March 31, 2013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Purchases of /</w:t>
            </w:r>
          </w:p>
        </w:tc>
        <w:tc>
          <w:tcPr>
            <w:tcW w:w="100" w:type="dxa"/>
            <w:vAlign w:val="bottom"/>
          </w:tcPr>
          <w:p>
            <w:pPr>
              <w:spacing w:after="0"/>
              <w:rPr>
                <w:sz w:val="12"/>
                <w:szCs w:val="12"/>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Sale of /</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vMerge w:val="restart"/>
          </w:tcPr>
          <w:p>
            <w:pPr>
              <w:spacing w:after="0"/>
              <w:rPr>
                <w:sz w:val="20"/>
                <w:szCs w:val="20"/>
                <w:color w:val="auto"/>
              </w:rPr>
            </w:pPr>
            <w:r>
              <w:rPr>
                <w:rFonts w:ascii="Arial" w:cs="Arial" w:eastAsia="Arial" w:hAnsi="Arial"/>
                <w:sz w:val="13"/>
                <w:szCs w:val="13"/>
                <w:b w:val="1"/>
                <w:bCs w:val="1"/>
                <w:color w:val="auto"/>
                <w:w w:val="98"/>
              </w:rPr>
              <w:t>Name of Investment</w:t>
            </w:r>
          </w:p>
        </w:tc>
        <w:tc>
          <w:tcPr>
            <w:tcW w:w="29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 at</w:t>
            </w: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Advances to</w:t>
            </w:r>
          </w:p>
        </w:tc>
        <w:tc>
          <w:tcPr>
            <w:tcW w:w="116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w w:val="99"/>
              </w:rPr>
              <w:t>Distributions</w:t>
            </w:r>
          </w:p>
        </w:tc>
        <w:tc>
          <w:tcPr>
            <w:tcW w:w="100" w:type="dxa"/>
            <w:vAlign w:val="bottom"/>
          </w:tcPr>
          <w:p>
            <w:pPr>
              <w:spacing w:after="0"/>
              <w:rPr>
                <w:sz w:val="12"/>
                <w:szCs w:val="12"/>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b w:val="1"/>
                <w:bCs w:val="1"/>
                <w:color w:val="auto"/>
              </w:rPr>
              <w:t>Income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b w:val="1"/>
                <w:bCs w:val="1"/>
                <w:color w:val="auto"/>
                <w:w w:val="98"/>
              </w:rPr>
              <w:t>Fair Value at</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9"/>
              </w:rPr>
              <w:t>Capital Gains /</w:t>
            </w:r>
          </w:p>
        </w:tc>
        <w:tc>
          <w:tcPr>
            <w:tcW w:w="0" w:type="dxa"/>
            <w:vAlign w:val="bottom"/>
          </w:tcPr>
          <w:p>
            <w:pPr>
              <w:spacing w:after="0"/>
              <w:rPr>
                <w:sz w:val="1"/>
                <w:szCs w:val="1"/>
                <w:color w:val="auto"/>
              </w:rPr>
            </w:pPr>
          </w:p>
        </w:tc>
      </w:tr>
      <w:tr>
        <w:trPr>
          <w:trHeight w:val="168"/>
        </w:trPr>
        <w:tc>
          <w:tcPr>
            <w:tcW w:w="124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144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rPr>
              <w:t>September 30, 2012</w:t>
            </w:r>
          </w:p>
        </w:tc>
        <w:tc>
          <w:tcPr>
            <w:tcW w:w="11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4"/>
              </w:rPr>
              <w:t>Affiliates</w:t>
            </w:r>
          </w:p>
        </w:tc>
        <w:tc>
          <w:tcPr>
            <w:tcW w:w="116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rPr>
              <w:t>from Affiliates</w:t>
            </w:r>
          </w:p>
        </w:tc>
        <w:tc>
          <w:tcPr>
            <w:tcW w:w="100" w:type="dxa"/>
            <w:vAlign w:val="bottom"/>
          </w:tcPr>
          <w:p>
            <w:pPr>
              <w:spacing w:after="0"/>
              <w:rPr>
                <w:sz w:val="14"/>
                <w:szCs w:val="14"/>
                <w:color w:val="auto"/>
              </w:rPr>
            </w:pPr>
          </w:p>
        </w:tc>
        <w:tc>
          <w:tcPr>
            <w:tcW w:w="700" w:type="dxa"/>
            <w:vAlign w:val="bottom"/>
          </w:tcPr>
          <w:p>
            <w:pPr>
              <w:jc w:val="right"/>
              <w:ind w:right="56"/>
              <w:spacing w:after="0" w:line="148" w:lineRule="exact"/>
              <w:rPr>
                <w:sz w:val="20"/>
                <w:szCs w:val="20"/>
                <w:color w:val="auto"/>
              </w:rPr>
            </w:pPr>
            <w:r>
              <w:rPr>
                <w:rFonts w:ascii="Arial" w:cs="Arial" w:eastAsia="Arial" w:hAnsi="Arial"/>
                <w:sz w:val="13"/>
                <w:szCs w:val="13"/>
                <w:b w:val="1"/>
                <w:bCs w:val="1"/>
                <w:color w:val="auto"/>
                <w:w w:val="94"/>
              </w:rPr>
              <w:t>Received</w:t>
            </w:r>
          </w:p>
        </w:tc>
        <w:tc>
          <w:tcPr>
            <w:tcW w:w="300" w:type="dxa"/>
            <w:vAlign w:val="bottom"/>
          </w:tcPr>
          <w:p>
            <w:pPr>
              <w:spacing w:after="0"/>
              <w:rPr>
                <w:sz w:val="14"/>
                <w:szCs w:val="14"/>
                <w:color w:val="auto"/>
              </w:rPr>
            </w:pPr>
          </w:p>
        </w:tc>
        <w:tc>
          <w:tcPr>
            <w:tcW w:w="98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w w:val="99"/>
              </w:rPr>
              <w:t>March 31, 2013</w:t>
            </w:r>
          </w:p>
        </w:tc>
        <w:tc>
          <w:tcPr>
            <w:tcW w:w="280" w:type="dxa"/>
            <w:vAlign w:val="bottom"/>
          </w:tcPr>
          <w:p>
            <w:pPr>
              <w:spacing w:after="0"/>
              <w:rPr>
                <w:sz w:val="14"/>
                <w:szCs w:val="14"/>
                <w:color w:val="auto"/>
              </w:rPr>
            </w:pPr>
          </w:p>
        </w:tc>
        <w:tc>
          <w:tcPr>
            <w:tcW w:w="1020" w:type="dxa"/>
            <w:vAlign w:val="bottom"/>
            <w:gridSpan w:val="2"/>
          </w:tcPr>
          <w:p>
            <w:pPr>
              <w:jc w:val="right"/>
              <w:ind w:right="320"/>
              <w:spacing w:after="0" w:line="148" w:lineRule="exact"/>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89"/>
        </w:trPr>
        <w:tc>
          <w:tcPr>
            <w:tcW w:w="4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Controlled Affiliates</w:t>
            </w: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 xml:space="preserve">PAS International Holdings, Inc. </w:t>
            </w: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17,946,928</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1"/>
              </w:rPr>
              <w:t>$ 3,000,000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5,307,142</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 (1,999,960)</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SuttonPark Holdings, Inc.</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13,175,000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2,000,000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(3,000,000)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961,333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14,500,000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UP Support Services, Inc.</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24,456,708</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1,117,359</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1,151,016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23,019,282</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 xml:space="preserve">Direct Buy Holdings, Inc. </w:t>
            </w: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10,880,000</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300,197</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300,197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15,017,966</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(1,350,000)</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Inc.</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18,425,519</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1,736,820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21,136,467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18,028,080</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857,542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18,399,452</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Champ, Inc.</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44,501,658</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743,785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45,704,407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147,413,893</w:t>
            </w:r>
          </w:p>
        </w:tc>
        <w:tc>
          <w:tcPr>
            <w:tcW w:w="3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8,154,376</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(3,700,000)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4,013,873</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143,084,716</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 (3,349,960)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660" w:hanging="7"/>
        <w:spacing w:after="0" w:line="331" w:lineRule="auto"/>
        <w:tabs>
          <w:tab w:leader="none" w:pos="906" w:val="left"/>
        </w:tabs>
        <w:numPr>
          <w:ilvl w:val="0"/>
          <w:numId w:val="7"/>
        </w:numPr>
        <w:rPr>
          <w:rFonts w:ascii="Arial" w:cs="Arial" w:eastAsia="Arial" w:hAnsi="Arial"/>
          <w:sz w:val="16"/>
          <w:szCs w:val="16"/>
          <w:color w:val="auto"/>
        </w:rPr>
      </w:pPr>
      <w:r>
        <w:rPr>
          <w:rFonts w:ascii="Arial" w:cs="Arial" w:eastAsia="Arial" w:hAnsi="Arial"/>
          <w:sz w:val="16"/>
          <w:szCs w:val="16"/>
          <w:color w:val="auto"/>
        </w:rPr>
        <w:t>Became a controlled affiliate during the three months ended March 31, 2013. ** Became a controlled affiliate during the three months ended December 31, 2012.</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RESULTING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ind w:left="100"/>
              <w:spacing w:after="0"/>
              <w:rPr>
                <w:sz w:val="20"/>
                <w:szCs w:val="20"/>
                <w:color w:val="auto"/>
              </w:rPr>
            </w:pPr>
            <w:r>
              <w:rPr>
                <w:rFonts w:ascii="Arial" w:cs="Arial" w:eastAsia="Arial" w:hAnsi="Arial"/>
                <w:sz w:val="13"/>
                <w:szCs w:val="13"/>
                <w:b w:val="1"/>
                <w:bCs w:val="1"/>
                <w:color w:val="auto"/>
              </w:rPr>
              <w:t>Three months ended March 31,</w:t>
            </w:r>
          </w:p>
        </w:tc>
        <w:tc>
          <w:tcPr>
            <w:tcW w:w="100" w:type="dxa"/>
            <w:vAlign w:val="bottom"/>
          </w:tcPr>
          <w:p>
            <w:pPr>
              <w:spacing w:after="0"/>
              <w:rPr>
                <w:sz w:val="14"/>
                <w:szCs w:val="14"/>
                <w:color w:val="auto"/>
              </w:rPr>
            </w:pPr>
          </w:p>
        </w:tc>
        <w:tc>
          <w:tcPr>
            <w:tcW w:w="2200" w:type="dxa"/>
            <w:vAlign w:val="bottom"/>
            <w:gridSpan w:val="6"/>
          </w:tcPr>
          <w:p>
            <w:pPr>
              <w:ind w:left="180"/>
              <w:spacing w:after="0"/>
              <w:rPr>
                <w:sz w:val="20"/>
                <w:szCs w:val="20"/>
                <w:color w:val="auto"/>
              </w:rPr>
            </w:pPr>
            <w:r>
              <w:rPr>
                <w:rFonts w:ascii="Arial" w:cs="Arial" w:eastAsia="Arial" w:hAnsi="Arial"/>
                <w:sz w:val="13"/>
                <w:szCs w:val="13"/>
                <w:b w:val="1"/>
                <w:bCs w:val="1"/>
                <w:color w:val="auto"/>
              </w:rPr>
              <w:t>Six months ended March 31,</w:t>
            </w:r>
          </w:p>
        </w:tc>
      </w:tr>
      <w:tr>
        <w:trPr>
          <w:trHeight w:val="142"/>
        </w:trPr>
        <w:tc>
          <w:tcPr>
            <w:tcW w:w="6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3"/>
                <w:szCs w:val="13"/>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2012</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3"/>
                <w:szCs w:val="13"/>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26,972,329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26,398,109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55,513,515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42,243,633</w:t>
            </w:r>
          </w:p>
        </w:tc>
        <w:tc>
          <w:tcPr>
            <w:tcW w:w="100" w:type="dxa"/>
            <w:vAlign w:val="bottom"/>
            <w:shd w:val="clear" w:color="auto" w:fill="CCEEFF"/>
          </w:tcPr>
          <w:p>
            <w:pPr>
              <w:spacing w:after="0"/>
              <w:rPr>
                <w:sz w:val="18"/>
                <w:szCs w:val="18"/>
                <w:color w:val="auto"/>
              </w:rPr>
            </w:pPr>
          </w:p>
        </w:tc>
      </w:tr>
      <w:tr>
        <w:trPr>
          <w:trHeight w:val="431"/>
        </w:trPr>
        <w:tc>
          <w:tcPr>
            <w:tcW w:w="632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66,400,755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53,053,201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66,286,285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49,351,372</w:t>
            </w:r>
          </w:p>
        </w:tc>
        <w:tc>
          <w:tcPr>
            <w:tcW w:w="100" w:type="dxa"/>
            <w:vAlign w:val="bottom"/>
          </w:tcPr>
          <w:p>
            <w:pPr>
              <w:spacing w:after="0"/>
              <w:rPr>
                <w:sz w:val="24"/>
                <w:szCs w:val="24"/>
                <w:color w:val="auto"/>
              </w:rPr>
            </w:pPr>
          </w:p>
        </w:tc>
      </w:tr>
      <w:tr>
        <w:trPr>
          <w:trHeight w:val="217"/>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w w:val="99"/>
              </w:rPr>
              <w:t>Basic and diluted net increase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140" w:firstLine="449"/>
        <w:spacing w:after="0" w:line="287" w:lineRule="auto"/>
        <w:rPr>
          <w:sz w:val="20"/>
          <w:szCs w:val="20"/>
          <w:color w:val="auto"/>
        </w:rPr>
      </w:pPr>
      <w:r>
        <w:rPr>
          <w:rFonts w:ascii="Arial" w:cs="Arial" w:eastAsia="Arial" w:hAnsi="Arial"/>
          <w:sz w:val="16"/>
          <w:szCs w:val="16"/>
          <w:color w:val="auto"/>
        </w:rPr>
        <w:t>Cash equivalents represent cash in money market funds pending investment in longer-term portfolio holdings. Our portfolio may consist of temporary investments in U.S. Treasury Bills (of varying maturities), repurchase agreements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2013 and September 30, 2012, cash equivalents were invested in money market funds in the amount of $17.3 million and $7.6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5"/>
          </w:tcPr>
          <w:p>
            <w:pPr>
              <w:jc w:val="right"/>
              <w:ind w:right="76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3"/>
                <w:szCs w:val="13"/>
                <w:b w:val="1"/>
                <w:bCs w:val="1"/>
                <w:color w:val="auto"/>
              </w:rPr>
              <w:t>2013</w:t>
            </w:r>
          </w:p>
        </w:tc>
        <w:tc>
          <w:tcPr>
            <w:tcW w:w="8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10.22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1"/>
                <w:szCs w:val="11"/>
                <w:color w:val="auto"/>
              </w:rPr>
              <w:t>(1)</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0.49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xml:space="preserve">Net change in realized and unrealized gain </w:t>
            </w:r>
            <w:r>
              <w:rPr>
                <w:rFonts w:ascii="Arial" w:cs="Arial" w:eastAsia="Arial" w:hAnsi="Arial"/>
                <w:sz w:val="11"/>
                <w:szCs w:val="11"/>
                <w:color w:val="auto"/>
              </w:rPr>
              <w:t>(1)</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0.35</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1"/>
                <w:szCs w:val="11"/>
                <w:color w:val="auto"/>
              </w:rPr>
              <w:t>(1)</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xml:space="preserve">Distributions to stockholders </w:t>
            </w:r>
            <w:r>
              <w:rPr>
                <w:rFonts w:ascii="Arial" w:cs="Arial" w:eastAsia="Arial" w:hAnsi="Arial"/>
                <w:sz w:val="11"/>
                <w:szCs w:val="11"/>
                <w:color w:val="auto"/>
              </w:rPr>
              <w:t>(1) (2)</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Effect of common stock issuance</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Effect of offering costs</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3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20" w:type="dxa"/>
            <w:vAlign w:val="bottom"/>
            <w:gridSpan w:val="2"/>
            <w:vMerge w:val="continue"/>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11.30</w:t>
            </w:r>
          </w:p>
        </w:tc>
        <w:tc>
          <w:tcPr>
            <w:tcW w:w="8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1"/>
                <w:szCs w:val="11"/>
                <w:color w:val="auto"/>
              </w:rPr>
              <w:t>(3)</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11.91%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w w:val="95"/>
              </w:rPr>
              <w:t>66,401,248</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56,206,873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 Supplemental Data:</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xml:space="preserve">Ratio of operating expenses to average net assets </w:t>
            </w:r>
            <w:r>
              <w:rPr>
                <w:rFonts w:ascii="Arial" w:cs="Arial" w:eastAsia="Arial" w:hAnsi="Arial"/>
                <w:sz w:val="11"/>
                <w:szCs w:val="11"/>
                <w:color w:val="auto"/>
              </w:rPr>
              <w:t>(4)</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debt expenses to average net assets </w:t>
            </w:r>
            <w:r>
              <w:rPr>
                <w:rFonts w:ascii="Arial" w:cs="Arial" w:eastAsia="Arial" w:hAnsi="Arial"/>
                <w:sz w:val="11"/>
                <w:szCs w:val="11"/>
                <w:color w:val="auto"/>
              </w:rPr>
              <w:t>(5)</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Ratio of total expenses to average net assets</w:t>
            </w:r>
          </w:p>
        </w:tc>
        <w:tc>
          <w:tcPr>
            <w:tcW w:w="3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20" w:type="dxa"/>
            <w:vAlign w:val="bottom"/>
            <w:gridSpan w:val="2"/>
            <w:vMerge w:val="continue"/>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9.33%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3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697,376,308</w:t>
            </w:r>
          </w:p>
        </w:tc>
        <w:tc>
          <w:tcPr>
            <w:tcW w:w="8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583,307,644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352,917,857</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335,854,645</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1"/>
                <w:szCs w:val="11"/>
                <w:color w:val="auto"/>
              </w:rPr>
              <w:t>(1)</w:t>
            </w:r>
          </w:p>
        </w:tc>
        <w:tc>
          <w:tcPr>
            <w:tcW w:w="3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20" w:type="dxa"/>
            <w:vAlign w:val="bottom"/>
            <w:gridSpan w:val="2"/>
            <w:vMerge w:val="continue"/>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5.32</w:t>
            </w:r>
          </w:p>
        </w:tc>
        <w:tc>
          <w:tcPr>
            <w:tcW w:w="8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28.80%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260" w:type="dxa"/>
            <w:vAlign w:val="bottom"/>
          </w:tcPr>
          <w:p>
            <w:pPr>
              <w:jc w:val="right"/>
              <w:ind w:right="22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12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80" w:lineRule="exact"/>
        <w:rPr>
          <w:sz w:val="20"/>
          <w:szCs w:val="20"/>
          <w:color w:val="auto"/>
        </w:rPr>
      </w:pPr>
    </w:p>
    <w:p>
      <w:pPr>
        <w:ind w:right="7560" w:firstLine="8"/>
        <w:spacing w:after="0" w:line="285" w:lineRule="auto"/>
        <w:tabs>
          <w:tab w:leader="none" w:pos="445"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spacing w:after="0" w:line="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Calculated based on the weighted average shares outstanding for the respective periods.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32"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 and takes into account dividends and distributions, if any, reinvested in accordance with our dividend reinvestment plan.</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expenses exclude debt related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Ratio does not annualize the 2025 Notes offering costs.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120" w:firstLine="449"/>
        <w:spacing w:after="0" w:line="288" w:lineRule="auto"/>
        <w:rPr>
          <w:sz w:val="20"/>
          <w:szCs w:val="20"/>
          <w:color w:val="auto"/>
        </w:rPr>
      </w:pPr>
      <w:r>
        <w:rPr>
          <w:rFonts w:ascii="Arial" w:cs="Arial" w:eastAsia="Arial" w:hAnsi="Arial"/>
          <w:sz w:val="16"/>
          <w:szCs w:val="16"/>
          <w:color w:val="auto"/>
        </w:rPr>
        <w:t>On February 21, 2012, we amended and restated our multi-currency Credit Facility, which received $380 million in commitments, with certain lenders and SunTrust Bank, acting as administrative agent, and JPMorgan Chase Bank, N.A., acting as syndication agent for the lenders. The Credit Facility includes an accordion feature whereby it can be expanded to $600 million if certain conditions are satisfied. As of March 31, 2013 and September 30, 2012, there was $171.7 million (including a temporary draw of $3.5 million) and $145.0 million (including a temporary draw of $35.5 million), respectively, in outstanding borrowings under the Credit Facility, with a weighted average interest rate at the time of 3.04% and 3.49%, respectively, exclusive of the fee on undrawn commitments of 0.50%. The Credit Facility is a four-year revolving facility, with a stated maturity date of February 21, 2016, with a one-year term-out period following its third-year, and pricing is set at 275 basis points over LIBOR. The Credit Facility is secured by substantially all of the assets of the Company excluding assets held by our SBIC Funds.</w:t>
      </w:r>
    </w:p>
    <w:p>
      <w:pPr>
        <w:spacing w:after="0" w:line="124" w:lineRule="exact"/>
        <w:rPr>
          <w:sz w:val="20"/>
          <w:szCs w:val="20"/>
          <w:color w:val="auto"/>
        </w:rPr>
      </w:pPr>
    </w:p>
    <w:p>
      <w:pPr>
        <w:ind w:right="120" w:firstLine="449"/>
        <w:spacing w:after="0" w:line="331" w:lineRule="auto"/>
        <w:rPr>
          <w:sz w:val="20"/>
          <w:szCs w:val="20"/>
          <w:color w:val="auto"/>
        </w:rPr>
      </w:pPr>
      <w:r>
        <w:rPr>
          <w:rFonts w:ascii="Arial" w:cs="Arial" w:eastAsia="Arial" w:hAnsi="Arial"/>
          <w:sz w:val="16"/>
          <w:szCs w:val="16"/>
          <w:color w:val="auto"/>
        </w:rPr>
        <w:t>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SBA Debentures</w:t>
      </w:r>
    </w:p>
    <w:p>
      <w:pPr>
        <w:spacing w:after="0" w:line="9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March 31, 2013. In January, 2013, our wholly-owned subsidiary, SBIC II, received a license from the SBA to operate as an SBIC under the 1958 Act. We have funded SBIC II with $2.5 million of seed capital. Our SBIC Funds are subject to a variety of regulations and oversight by the SBA concerning, among other things, the size and nature of the companies in which it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 and may borrow to a maximum of $225 million as part of a group of SBICs under common control. SBIC LP has accessed the maximum borrowing with its $75.0 million in regulatory capital.</w:t>
      </w:r>
    </w:p>
    <w:p>
      <w:pPr>
        <w:spacing w:after="0" w:line="119" w:lineRule="exact"/>
        <w:rPr>
          <w:sz w:val="20"/>
          <w:szCs w:val="20"/>
          <w:color w:val="auto"/>
        </w:rPr>
      </w:pPr>
    </w:p>
    <w:p>
      <w:pPr>
        <w:jc w:val="both"/>
        <w:ind w:right="140" w:firstLine="449"/>
        <w:spacing w:after="0" w:line="259" w:lineRule="auto"/>
        <w:rPr>
          <w:sz w:val="20"/>
          <w:szCs w:val="20"/>
          <w:color w:val="auto"/>
        </w:rPr>
      </w:pPr>
      <w:r>
        <w:rPr>
          <w:rFonts w:ascii="Arial" w:cs="Arial" w:eastAsia="Arial" w:hAnsi="Arial"/>
          <w:sz w:val="18"/>
          <w:szCs w:val="18"/>
          <w:color w:val="auto"/>
        </w:rPr>
        <w:t>As of March 31, 2013, SBIC LP had fully drawn $150.0 million in debt commitments with a weighted average interest rate of 3.70%, exclusive of the 3.43% of upfront fees, which are amortized over the life of the loan (4.04% after upfront fees). Our fixed-rate SBA debentures as of both March 31, 2013 and September 30, 2012 were as follows:</w:t>
      </w:r>
    </w:p>
    <w:p>
      <w:pPr>
        <w:spacing w:after="0" w:line="161"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Fixed All-in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Principal</w:t>
            </w: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Issuance Dates</w:t>
            </w:r>
          </w:p>
        </w:tc>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ind w:left="400"/>
              <w:spacing w:after="0"/>
              <w:rPr>
                <w:sz w:val="20"/>
                <w:szCs w:val="20"/>
                <w:color w:val="auto"/>
              </w:rPr>
            </w:pPr>
            <w:r>
              <w:rPr>
                <w:rFonts w:ascii="Arial" w:cs="Arial" w:eastAsia="Arial" w:hAnsi="Arial"/>
                <w:sz w:val="13"/>
                <w:szCs w:val="13"/>
                <w:b w:val="1"/>
                <w:bCs w:val="1"/>
                <w:color w:val="auto"/>
              </w:rPr>
              <w:t>Maturity</w:t>
            </w:r>
          </w:p>
        </w:tc>
        <w:tc>
          <w:tcPr>
            <w:tcW w:w="1360" w:type="dxa"/>
            <w:vAlign w:val="bottom"/>
            <w:gridSpan w:val="2"/>
          </w:tcPr>
          <w:p>
            <w:pPr>
              <w:jc w:val="center"/>
              <w:ind w:left="347"/>
              <w:spacing w:after="0" w:line="162" w:lineRule="exact"/>
              <w:rPr>
                <w:sz w:val="20"/>
                <w:szCs w:val="20"/>
                <w:color w:val="auto"/>
              </w:rPr>
            </w:pPr>
            <w:r>
              <w:rPr>
                <w:rFonts w:ascii="Arial" w:cs="Arial" w:eastAsia="Arial" w:hAnsi="Arial"/>
                <w:sz w:val="11"/>
                <w:szCs w:val="11"/>
                <w:b w:val="1"/>
                <w:bCs w:val="1"/>
                <w:color w:val="auto"/>
              </w:rPr>
              <w:t xml:space="preserve">Coupon Rate </w:t>
            </w:r>
            <w:r>
              <w:rPr>
                <w:rFonts w:ascii="Arial" w:cs="Arial" w:eastAsia="Arial" w:hAnsi="Arial"/>
                <w:sz w:val="18"/>
                <w:szCs w:val="18"/>
                <w:b w:val="1"/>
                <w:bCs w:val="1"/>
                <w:color w:val="auto"/>
                <w:vertAlign w:val="superscript"/>
              </w:rPr>
              <w:t>(1)</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Balance</w:t>
            </w:r>
          </w:p>
        </w:tc>
      </w:tr>
      <w:tr>
        <w:trPr>
          <w:trHeight w:val="203"/>
        </w:trPr>
        <w:tc>
          <w:tcPr>
            <w:tcW w:w="2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September 22, 2010</w:t>
            </w:r>
          </w:p>
        </w:tc>
        <w:tc>
          <w:tcPr>
            <w:tcW w:w="7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4"/>
              </w:rPr>
              <w:t>September 1, 2020</w:t>
            </w:r>
          </w:p>
        </w:tc>
        <w:tc>
          <w:tcPr>
            <w:tcW w:w="4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3.50%</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2100" w:type="dxa"/>
            <w:vAlign w:val="bottom"/>
            <w:gridSpan w:val="2"/>
          </w:tcPr>
          <w:p>
            <w:pPr>
              <w:ind w:left="780"/>
              <w:spacing w:after="0"/>
              <w:rPr>
                <w:sz w:val="20"/>
                <w:szCs w:val="20"/>
                <w:color w:val="auto"/>
              </w:rPr>
            </w:pPr>
            <w:r>
              <w:rPr>
                <w:rFonts w:ascii="Arial" w:cs="Arial" w:eastAsia="Arial" w:hAnsi="Arial"/>
                <w:sz w:val="18"/>
                <w:szCs w:val="18"/>
                <w:color w:val="auto"/>
              </w:rPr>
              <w:t>March 1, 2021</w:t>
            </w: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4.46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44,500,000</w:t>
            </w:r>
          </w:p>
        </w:tc>
        <w:tc>
          <w:tcPr>
            <w:tcW w:w="100" w:type="dxa"/>
            <w:vAlign w:val="bottom"/>
          </w:tcPr>
          <w:p>
            <w:pPr>
              <w:spacing w:after="0"/>
              <w:rPr>
                <w:sz w:val="18"/>
                <w:szCs w:val="18"/>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1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4"/>
              </w:rPr>
              <w:t>September 1, 2021</w:t>
            </w:r>
          </w:p>
        </w:tc>
        <w:tc>
          <w:tcPr>
            <w:tcW w:w="4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3.38</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105,000,000</w:t>
            </w:r>
          </w:p>
        </w:tc>
        <w:tc>
          <w:tcPr>
            <w:tcW w:w="100" w:type="dxa"/>
            <w:vAlign w:val="bottom"/>
            <w:shd w:val="clear" w:color="auto" w:fill="CCEEFF"/>
          </w:tcPr>
          <w:p>
            <w:pPr>
              <w:spacing w:after="0"/>
              <w:rPr>
                <w:sz w:val="18"/>
                <w:szCs w:val="18"/>
                <w:color w:val="auto"/>
              </w:rPr>
            </w:pPr>
          </w:p>
        </w:tc>
      </w:tr>
      <w:tr>
        <w:trPr>
          <w:trHeight w:val="222"/>
        </w:trPr>
        <w:tc>
          <w:tcPr>
            <w:tcW w:w="2680" w:type="dxa"/>
            <w:vAlign w:val="bottom"/>
            <w:gridSpan w:val="2"/>
          </w:tcPr>
          <w:p>
            <w:pPr>
              <w:spacing w:after="0"/>
              <w:rPr>
                <w:sz w:val="20"/>
                <w:szCs w:val="20"/>
                <w:color w:val="auto"/>
              </w:rPr>
            </w:pPr>
            <w:r>
              <w:rPr>
                <w:rFonts w:ascii="Arial" w:cs="Arial" w:eastAsia="Arial" w:hAnsi="Arial"/>
                <w:sz w:val="18"/>
                <w:szCs w:val="18"/>
                <w:color w:val="auto"/>
              </w:rPr>
              <w:t>Weighted average rate/total</w:t>
            </w:r>
          </w:p>
        </w:tc>
        <w:tc>
          <w:tcPr>
            <w:tcW w:w="7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3.70%</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150,000,000</w:t>
            </w:r>
          </w:p>
        </w:tc>
        <w:tc>
          <w:tcPr>
            <w:tcW w:w="10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77470</wp:posOffset>
            </wp:positionV>
            <wp:extent cx="7112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51" w:lineRule="exact"/>
        <w:rPr>
          <w:sz w:val="20"/>
          <w:szCs w:val="20"/>
          <w:color w:val="auto"/>
        </w:rPr>
      </w:pPr>
    </w:p>
    <w:p>
      <w:pPr>
        <w:ind w:left="2240" w:hanging="437"/>
        <w:spacing w:after="0"/>
        <w:tabs>
          <w:tab w:leader="none" w:pos="2240" w:val="left"/>
        </w:tabs>
        <w:numPr>
          <w:ilvl w:val="0"/>
          <w:numId w:val="10"/>
        </w:numPr>
        <w:rPr>
          <w:rFonts w:ascii="Arial" w:cs="Arial" w:eastAsia="Arial" w:hAnsi="Arial"/>
          <w:sz w:val="22"/>
          <w:szCs w:val="22"/>
          <w:color w:val="auto"/>
          <w:vertAlign w:val="superscript"/>
        </w:rPr>
      </w:pPr>
      <w:r>
        <w:rPr>
          <w:rFonts w:ascii="Arial" w:cs="Arial" w:eastAsia="Arial" w:hAnsi="Arial"/>
          <w:sz w:val="13"/>
          <w:szCs w:val="13"/>
          <w:color w:val="auto"/>
        </w:rPr>
        <w:t>Excluding 3.43% of upfront fees.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firstLine="449"/>
        <w:spacing w:after="0" w:line="290" w:lineRule="auto"/>
        <w:rPr>
          <w:sz w:val="20"/>
          <w:szCs w:val="20"/>
          <w:color w:val="auto"/>
        </w:rPr>
      </w:pPr>
      <w:r>
        <w:rPr>
          <w:rFonts w:ascii="Arial" w:cs="Arial" w:eastAsia="Arial" w:hAnsi="Arial"/>
          <w:sz w:val="16"/>
          <w:szCs w:val="16"/>
          <w:color w:val="auto"/>
        </w:rPr>
        <w:t>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its financial statements that are prepared on a basis of accounting other than GAAP (for example, fair value, as defined under ASC 820, is not required to be used for assets or liabilities for such compliance reporting). If our SBIC Funds fail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our SBIC Funds are wholly owned by us.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2025 Notes</w:t>
      </w:r>
    </w:p>
    <w:p>
      <w:pPr>
        <w:spacing w:after="0" w:line="90" w:lineRule="exact"/>
        <w:rPr>
          <w:sz w:val="20"/>
          <w:szCs w:val="20"/>
          <w:color w:val="auto"/>
        </w:rPr>
      </w:pPr>
    </w:p>
    <w:p>
      <w:pPr>
        <w:ind w:right="480" w:firstLine="449"/>
        <w:spacing w:after="0" w:line="285" w:lineRule="auto"/>
        <w:rPr>
          <w:sz w:val="20"/>
          <w:szCs w:val="20"/>
          <w:color w:val="auto"/>
        </w:rPr>
      </w:pPr>
      <w:r>
        <w:rPr>
          <w:rFonts w:ascii="Arial" w:cs="Arial" w:eastAsia="Arial" w:hAnsi="Arial"/>
          <w:sz w:val="16"/>
          <w:szCs w:val="16"/>
          <w:color w:val="auto"/>
        </w:rPr>
        <w:t>During the quarter ended March 31, 2013 we issued $71.3 million in aggregate principal amount of 2025 Notes, including the exercise of the over-allotment option, for net proceeds of $68.8 million after underwriting discounts and offering costs. Interest on the 2025 Notes is paid quarterly on</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February 1, May 1, August 1 and November 1, at a rate of 6.25% per year, commencing on May 1, 2013. The 2025 Notes mature on February 1, 2025. We may redeem the 2025 Notes in whole or in part at any time or from time to time on or after February 1, 2016. The 2025 Notes are general, unsecured obligations and will rank equal in right of payment with all of our existing and future senior unsecured indebtedness. The 2025 Notes are structurally subordinate to our SBA debentures and the assets pledged or secured under our Credit Facility. Our 2025 Notes trade on the NYSE under the symbol “PNTA.”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jc w:val="both"/>
        <w:ind w:right="300" w:firstLine="449"/>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right="480" w:firstLine="449"/>
        <w:spacing w:after="0" w:line="268" w:lineRule="auto"/>
        <w:rPr>
          <w:sz w:val="20"/>
          <w:szCs w:val="20"/>
          <w:color w:val="auto"/>
        </w:rPr>
      </w:pPr>
      <w:r>
        <w:rPr>
          <w:rFonts w:ascii="Arial" w:cs="Arial" w:eastAsia="Arial" w:hAnsi="Arial"/>
          <w:sz w:val="18"/>
          <w:szCs w:val="18"/>
          <w:color w:val="auto"/>
        </w:rPr>
        <w:t>On April 29, 2013, we utilized the accordion feature of our Credit Facility and expanded the facility by $50 million, bringing the size of our Credit Facility to $430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right="120" w:firstLine="449"/>
        <w:spacing w:after="0" w:line="298" w:lineRule="auto"/>
        <w:rPr>
          <w:sz w:val="20"/>
          <w:szCs w:val="20"/>
          <w:color w:val="auto"/>
        </w:rPr>
      </w:pPr>
      <w:r>
        <w:rPr>
          <w:rFonts w:ascii="Arial" w:cs="Arial" w:eastAsia="Arial" w:hAnsi="Arial"/>
          <w:sz w:val="16"/>
          <w:szCs w:val="16"/>
          <w:color w:val="auto"/>
        </w:rPr>
        <w:t>We have reviewed the accompanying consolidated statement of assets and liabilities of PennantPark Investment Corporation and Subsidiaries (the “Company”), including the consolidated schedule of investments, as of March 31, 2013, the consolidated statement of operations for the three and six months ended March 31, 2013 and March 31, 2012, and the consolidated statement of changes in net assets and cash flows for the six months ended March 31, 2013 and 2012. These consolidated financial statements are the responsibility of the Company’s management.</w:t>
      </w:r>
    </w:p>
    <w:p>
      <w:pPr>
        <w:spacing w:after="0" w:line="11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conducted our review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7"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380" w:firstLine="449"/>
        <w:spacing w:after="0" w:line="298"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statement of assets and liabilities of PennantPark Investment Corporation and Subsidiaries, including the consolidated schedule of investments, as of September 30, 2012 and the related consolidated statements of operations, changes in net assets, and the cash flows for the year then ended (not presented herein); and in our report dated November 14, 2012,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68580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0" cy="13716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8,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200" w:firstLine="449"/>
        <w:spacing w:after="0" w:line="298" w:lineRule="auto"/>
        <w:rPr>
          <w:sz w:val="20"/>
          <w:szCs w:val="20"/>
          <w:color w:val="auto"/>
        </w:rPr>
      </w:pPr>
      <w:r>
        <w:rPr>
          <w:rFonts w:ascii="Arial" w:cs="Arial" w:eastAsia="Arial" w:hAnsi="Arial"/>
          <w:sz w:val="16"/>
          <w:szCs w:val="16"/>
          <w:color w:val="auto"/>
        </w:rPr>
        <w:t>This Report, including Management’s Discussion and Analysis of Financial Condition and Results of Operations, contains statements that constitute forward-looking statements, which relate to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w:t>
      </w:r>
    </w:p>
    <w:p>
      <w:pPr>
        <w:spacing w:after="0" w:line="14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147"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2"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w:t>
      </w:r>
    </w:p>
    <w:p>
      <w:pPr>
        <w:spacing w:after="0" w:line="140" w:lineRule="exact"/>
        <w:rPr>
          <w:sz w:val="20"/>
          <w:szCs w:val="20"/>
          <w:color w:val="auto"/>
        </w:rPr>
      </w:pPr>
    </w:p>
    <w:p>
      <w:pPr>
        <w:ind w:right="4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thereto contained elsewhere in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80" w:firstLine="449"/>
        <w:spacing w:after="0" w:line="369" w:lineRule="auto"/>
        <w:rPr>
          <w:sz w:val="20"/>
          <w:szCs w:val="20"/>
          <w:color w:val="auto"/>
        </w:rPr>
      </w:pPr>
      <w:r>
        <w:rPr>
          <w:rFonts w:ascii="Arial" w:cs="Arial" w:eastAsia="Arial" w:hAnsi="Arial"/>
          <w:sz w:val="15"/>
          <w:szCs w:val="15"/>
          <w:color w:val="auto"/>
        </w:rPr>
        <w:t>PennantPark Investment Corporation is a BDC whose objectives are to generate both current income and capital appreciation through debt and equity investments primarily in U.S. middle-market companies in the form of senior secured loans, mezzanine debt and, to a lesser extent, equity investments.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20" w:firstLine="449"/>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the SBA debentures, proceeds from the rotation of our portfolio and proceeds from public and private offerings of securities to finance our investment objectives.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Structure of PennantPark Investment Corporation</w:t>
      </w:r>
    </w:p>
    <w:p>
      <w:pPr>
        <w:spacing w:after="0" w:line="9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intend to continue to be treated as a RIC and qualify annually under the Code.</w:t>
      </w:r>
    </w:p>
    <w:p>
      <w:pPr>
        <w:spacing w:after="0" w:line="144"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4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with the Investment Adviser, or the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administrative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and payment-in-kind,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or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20" w:firstLine="449"/>
        <w:spacing w:after="0" w:line="323" w:lineRule="auto"/>
        <w:rPr>
          <w:sz w:val="20"/>
          <w:szCs w:val="20"/>
          <w:color w:val="auto"/>
        </w:rPr>
      </w:pPr>
      <w:r>
        <w:rPr>
          <w:rFonts w:ascii="Arial" w:cs="Arial" w:eastAsia="Arial" w:hAnsi="Arial"/>
          <w:sz w:val="15"/>
          <w:szCs w:val="15"/>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commitments we accrue under our various debt facilities. We bear all other direct or indirect costs and expenses of our operations and transactions, including:</w:t>
      </w:r>
    </w:p>
    <w:p>
      <w:pPr>
        <w:spacing w:after="0" w:line="16" w:lineRule="exact"/>
        <w:rPr>
          <w:sz w:val="20"/>
          <w:szCs w:val="20"/>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460" w:hanging="319"/>
        <w:spacing w:after="0" w:line="268"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right="140" w:hanging="319"/>
        <w:spacing w:after="0" w:line="268"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50" w:lineRule="exact"/>
        <w:rPr>
          <w:rFonts w:ascii="Arial" w:cs="Arial" w:eastAsia="Arial" w:hAnsi="Arial"/>
          <w:sz w:val="18"/>
          <w:szCs w:val="18"/>
          <w:color w:val="auto"/>
        </w:rPr>
      </w:pPr>
    </w:p>
    <w:p>
      <w:pPr>
        <w:ind w:left="880" w:right="100" w:hanging="319"/>
        <w:spacing w:after="0" w:line="298"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As of March 31, 2013, our portfolio totaled $1,114.9 million and consisted of $291.3 million of senior secured loans, $249.1 million of second lien secured debt, $427.6 million of subordinated debt and $146.9 million of preferred and common equity investments. Our debt portfolio consisted of 67% fixed-rate and 33% variable-rate investments (including 30% with a London Interbank Offered Rate, or LIBOR, or prime floor). Our overall portfolio consisted of 58 companies with an average investment size of $19.2 million, had a weighted average yield on debt investments of 13.5%, and was invested 26% in senior secured loans, 22% in second lien secured debt, 39% in subordinated debt and 13% in preferred and common equity investments.</w:t>
      </w:r>
    </w:p>
    <w:p>
      <w:pPr>
        <w:spacing w:after="0" w:line="115"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and fair value basis,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For the three months ended March 31, 2013, we invested $75.4 million in one new portfolio company and seven existing portfolio companies with a weighted average yield on debt investments of 13.5%. Sales and repayments of long-term investments for the three months ended March 31, 2013 totaled $42.5 million. During the three months ended March 31, 2013, we had one investment restructured after going on non-accrual status. For the six months ended March 31, 2013, we invested $243.8 million in six new and 14 existing portfolio companies with a weighted average yield of 12.9% on debt investments. Sales and repayments of long-term investments for the six months ended March 31, 2013 totaled $153.4 million.</w:t>
      </w:r>
    </w:p>
    <w:p>
      <w:pPr>
        <w:spacing w:after="0" w:line="115"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For the three months ended March 31, 2012, we invested $110.9 million in five new and four existing portfolio companies with a weighted average yield on debt investments of 13.2%. Sales and repayments of long-term investments for the three months ended March 31, 2012 totaled $49.3 million. For the six months ended March 31, 2012, we invested approximately $153.9 million in six new and 11 existing portfolio companies with a weighted average yield of 14.2% on debt investments. Sales and repayments of long-term investments for the six months ended March 31, 2012 totaled $118.5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The discussion of our financial condition and results of operations are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 in the absence of any unusual events that may indicate such basis for deriving fair value is no longer valid.</w:t>
      </w:r>
    </w:p>
    <w:p>
      <w:pPr>
        <w:spacing w:after="0" w:line="118"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19"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7"/>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hanging="447"/>
        <w:spacing w:after="0" w:line="33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180" w:hanging="447"/>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12"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180" w:right="660" w:hanging="728"/>
        <w:spacing w:after="0" w:line="259" w:lineRule="auto"/>
        <w:tabs>
          <w:tab w:leader="none" w:pos="116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180" w:right="860" w:hanging="728"/>
        <w:spacing w:after="0" w:line="268" w:lineRule="auto"/>
        <w:tabs>
          <w:tab w:leader="none" w:pos="116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1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right="60" w:firstLine="449"/>
        <w:spacing w:after="0" w:line="285"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$2.4 million relating to debt issuance related costs.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and 2025 Notes are recorded in the Consolidated Statement of Operations. We elected not to apply ASC 825-10 to any other financial assets or liabilities, including the SBA debentures. For the three and six months ended March 31, 2013, our Credit Facility and 2025 Notes had a combined net change in unrealized appreciation of $0.4 million and $1.0 million, respectively. For the three and six months ended March 31, 2012, our Credit Facility had a net change in unrealized appreciation of $0.2 million and $1.4 million, respectively. As of March 31, 2013 and September 30, 2012, combined net unrealized (appreciation) depreciation on our Credit Facility and 2025 Notes totaled $(0.4) million and $0.5 million, respectively. PennantPark Investment uses a nationally recognized independent valuation service to measure the fair value of its Credit Facility in a manner consistent with the valuation process that the board of directors uses to value investments. Our 2025 Notes trade on the New York Stock Exchange, or the NYSE, and PennantPark Investment uses the closing quote on the exchange to measure their fair value.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are capitalized and we then accrete or amortize such amounts using the effective interest method as interest income or interest expense as it relates to our deferred financing costs. We record contractual prepayment premiums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280" w:firstLine="449"/>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jc w:val="both"/>
        <w:ind w:right="400" w:firstLine="449"/>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To maintain RIC tax benefits, we must, among other requirements, meet certain source-of-income and quarterly asset diversification requirements (as described below). We also must annually distribute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2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six months ended March 31, 2013 and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Investment income for the three and six months ended March 31, 2013 was $31.0 million and $64.0 million, respectively, and was attributable to $9.2 million and $18.0 million from senior secured loans, $8.6 million and $15.0 million from second lien secured debt investments, $13.2 million and $29.7 million from subordinated debt investments, and zero and $1.3 million from common equity investments, respectively. This compares to investment income for the three and six months ended March 31, 2012 which was $26.4 million and $53.2 million, respectively, and was attributable to $9.4 million and $20.7 million from senior secured loans, $4.4 million and $8.5 million from second lien secured debt investments, and $12.6 million and $24.0 million from subordinated debt investments, respectively. The increase in investment income compared with the same period in the prior year was due to the growth of our portfolio which was funded through the issuance of shares and 2025 Notes.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Expenses for the three and six months ended March 31, 2013 totaled $17.0 million and $31.8 million, respectively. Base management fees for the same periods totaled $5.3 million and $10.5 million, performance-based incentive fees totaled $3.6 million and $8.1 million, debt related interest and expenses (excluding the $2.4 million debt issuance expenses associated with our 2025 Notes) totaled $4.0 million and $7.1 million, general and administrative expenses and excise tax totaled $1.7 million and $3.7 million, respectively. This compares to expenses for the three and six months ended March 31, 2012, which totaled $16.6 million and $28.4 million, respectively. Base management fee for the same respective periods totaled $4.2 million and $8.2 million, performance-based incentive fees totaled $2.4 million and $6.1 million, Credit Facility and SBA debentures expenses (excluding the $5.4 million upfront fees associated with amending and restating our Credit Facility) totaled $2.7 million and $5.1 million, general and administrative expenses totaled $1.7 million and $3.3 million and excise taxes totaled $0.2 million and $0.3 million, respectively. The increase in expenses was due to the growth of the portfolio as well as the higher cost of debt capital.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80" w:firstLine="449"/>
        <w:spacing w:after="0" w:line="256" w:lineRule="auto"/>
        <w:rPr>
          <w:sz w:val="20"/>
          <w:szCs w:val="20"/>
          <w:color w:val="auto"/>
        </w:rPr>
      </w:pPr>
      <w:r>
        <w:rPr>
          <w:rFonts w:ascii="Arial" w:cs="Arial" w:eastAsia="Arial" w:hAnsi="Arial"/>
          <w:sz w:val="18"/>
          <w:szCs w:val="18"/>
          <w:color w:val="auto"/>
        </w:rPr>
        <w:t>Net investment income totaled $14.1 million and $32.2 million, or $0.21 and $0.49 per share, for the three and six months ended March 31, 2013, respectively. For the same respective periods in the prior year, net investment income totaled $9.8 million and $24.8 million, or $0.18 and $0.50 per share. The increase in net investment income compared to the same period in the prior year was primarily the result of the growth of our portfolio offset by the increased cost of debt capital.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or Losses</w:t>
      </w:r>
    </w:p>
    <w:p>
      <w:pPr>
        <w:spacing w:after="0" w:line="90" w:lineRule="exact"/>
        <w:rPr>
          <w:sz w:val="20"/>
          <w:szCs w:val="20"/>
          <w:color w:val="auto"/>
        </w:rPr>
      </w:pPr>
    </w:p>
    <w:p>
      <w:pPr>
        <w:ind w:right="240" w:firstLine="449"/>
        <w:spacing w:after="0" w:line="298" w:lineRule="auto"/>
        <w:rPr>
          <w:sz w:val="20"/>
          <w:szCs w:val="20"/>
          <w:color w:val="auto"/>
        </w:rPr>
      </w:pPr>
      <w:r>
        <w:rPr>
          <w:rFonts w:ascii="Arial" w:cs="Arial" w:eastAsia="Arial" w:hAnsi="Arial"/>
          <w:sz w:val="16"/>
          <w:szCs w:val="16"/>
          <w:color w:val="auto"/>
        </w:rPr>
        <w:t>Sales and repayments of long-term investments for the three and six months ended March 31, 2013 totaled $42.5 million and $153.4 million, respectively, and realized losses totaled $1.8 million and $1.0 million, respectively, due to sales and refinancing of our investments. Sales and repayments of long-term investments for the three and six months ended March 31, 2012 totaled $49.3 million and $118.5 million, respectively, and realized losses totaled $3.9 million and $12.0 million, respectively, due to sales and refinancing of our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Debt</w:t>
      </w:r>
    </w:p>
    <w:p>
      <w:pPr>
        <w:spacing w:after="0" w:line="90" w:lineRule="exact"/>
        <w:rPr>
          <w:sz w:val="20"/>
          <w:szCs w:val="20"/>
          <w:color w:val="auto"/>
        </w:rPr>
      </w:pPr>
    </w:p>
    <w:p>
      <w:pPr>
        <w:ind w:right="20" w:firstLine="449"/>
        <w:spacing w:after="0" w:line="323" w:lineRule="auto"/>
        <w:rPr>
          <w:sz w:val="20"/>
          <w:szCs w:val="20"/>
          <w:color w:val="auto"/>
        </w:rPr>
      </w:pPr>
      <w:r>
        <w:rPr>
          <w:rFonts w:ascii="Arial" w:cs="Arial" w:eastAsia="Arial" w:hAnsi="Arial"/>
          <w:sz w:val="15"/>
          <w:szCs w:val="15"/>
          <w:color w:val="auto"/>
        </w:rPr>
        <w:t>For the three and six months ended March 31, 2013, we reported unrealized appreciation on investments of $15.2 million and $25.2 million, respectively. For the three and six months ended March 31, 2012, we reported unrealized appreciation on investments of $20.8 million and $30.8 million, respectively. The change in unrealized appreciation for current periods compared to the prior periods is the result of changes in the leveraged credit markets. As of March 31, 2013 and September 30, 2012, our net unrealized appreciation (depreciation) on investments totaled $7.1 million and $(18.1) million, respectively.</w:t>
      </w:r>
    </w:p>
    <w:p>
      <w:pPr>
        <w:spacing w:after="0" w:line="97"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For the three and six months ended March 31, 2013, our Credit Facility and 2025 Notes changed in value due to unrealized appreciation of $0.4 million and $1.0 million, respectively. For the three and six months ended March 31, 2012, our Credit Facility increased in value due to unrealized appreciation of $0.2 million and $1.4 million, respectively. The change in unrealized appreciation for current periods compared to the prior periods is the result of issuing new debt capital and the resetting of our Credit Facility to current market rates. On March 31, 2013 and September 30, 2012, net unrealized depreciation on our Credit Facility totaled $0.4 million and $0.5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ind w:right="180" w:firstLine="449"/>
        <w:spacing w:after="0" w:line="256" w:lineRule="auto"/>
        <w:rPr>
          <w:sz w:val="20"/>
          <w:szCs w:val="20"/>
          <w:color w:val="auto"/>
        </w:rPr>
      </w:pPr>
      <w:r>
        <w:rPr>
          <w:rFonts w:ascii="Arial" w:cs="Arial" w:eastAsia="Arial" w:hAnsi="Arial"/>
          <w:sz w:val="18"/>
          <w:szCs w:val="18"/>
          <w:color w:val="auto"/>
        </w:rPr>
        <w:t>Net increase in net assets resulting from operations totaled $27.0 million and $55.5 million or $0.41 per share and $0.84 per share, for the three and six months ended March 31, 2013, respectively. This compares to a net increase in net assets resulting from operations which totaled $26.4 million and $42.2 million, or $0.50 per share and $0.85 per share, for the three and six months ended March 31, 2012, respectively. The change in net assets from operations is due to both unrealized appreciation on investments and net investment income.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firstLine="449"/>
        <w:spacing w:after="0" w:line="298" w:lineRule="auto"/>
        <w:rPr>
          <w:sz w:val="20"/>
          <w:szCs w:val="20"/>
          <w:color w:val="auto"/>
        </w:rPr>
      </w:pPr>
      <w:r>
        <w:rPr>
          <w:rFonts w:ascii="Arial" w:cs="Arial" w:eastAsia="Arial" w:hAnsi="Arial"/>
          <w:sz w:val="16"/>
          <w:szCs w:val="16"/>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12"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In February 2012, we amended and restated our multi-currency Credit Facility, which increased the size of the Credit Facility to $380 million, with certain lenders and SunTrust Bank, acting as administrative agent and JPMorgan Chase Bank, N.A., as syndication agent for the lenders. The Credit Facility includes an accordion feature whereby it can be expanded to $600 million if certain conditions are satisfied. As of March 31, 2013 and September 30, 2012, we had $171.7 million (including a temporary draw of $3.5 million) and $145.0 million (including a temporary draw of $35.5 million), respectively, in outstanding borrowings under the Credit Facility, with a weighted average interest rate at the time of 3.04% and 3.49%, respectively, exclusive of the fee on undrawn commitments of 0.50%. The Credit Facility is a four-year revolving facility with a stated maturity date of February 2016, and a one-year term-out period following its third year. Borrowings under the Credit Facility bear interest at 275 basis points over LIBOR. As of March 31, 2013 and September 30, 2012, we had $208.3 million and $235.0 million of unused borrowing capacity, respectively, subject to the regulatory restrictions that the 1940 Act imposes on us as a BDC. The Credit Facility is secured by substantially all of our assets excluding assets held by our SBIC Funds.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Credit Facility contains customary affirmative and restrictive covenants, including maintenance of a minimum shareholders’ equity of the sum of</w:t>
      </w:r>
    </w:p>
    <w:p>
      <w:pPr>
        <w:spacing w:after="0" w:line="38" w:lineRule="exact"/>
        <w:rPr>
          <w:sz w:val="20"/>
          <w:szCs w:val="20"/>
          <w:color w:val="auto"/>
        </w:rPr>
      </w:pPr>
    </w:p>
    <w:p>
      <w:pPr>
        <w:ind w:right="80" w:firstLine="8"/>
        <w:spacing w:after="0" w:line="288" w:lineRule="auto"/>
        <w:tabs>
          <w:tab w:leader="none" w:pos="239" w:val="left"/>
        </w:tabs>
        <w:numPr>
          <w:ilvl w:val="0"/>
          <w:numId w:val="15"/>
        </w:numPr>
        <w:rPr>
          <w:rFonts w:ascii="Arial" w:cs="Arial" w:eastAsia="Arial" w:hAnsi="Arial"/>
          <w:sz w:val="16"/>
          <w:szCs w:val="16"/>
          <w:color w:val="auto"/>
        </w:rPr>
      </w:pPr>
      <w:r>
        <w:rPr>
          <w:rFonts w:ascii="Arial" w:cs="Arial" w:eastAsia="Arial" w:hAnsi="Arial"/>
          <w:sz w:val="16"/>
          <w:szCs w:val="16"/>
          <w:color w:val="auto"/>
        </w:rPr>
        <w:t>$220.0 million plus (b) 25% of the net proceeds from the sale of equity interests in us and our subsidiaries after the closing date of the Credit Facility and maintenance of a ratio of total assets (less total liabilities other than indebtedness) to total indebtedness of not less than 2.0:1.0 (before any exemptive relief granted by the SEC with respect to the indebtedness of our SBIC subsidiaries).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March 31, 2013, we were in compliance with the terms of our Credit Facility.</w:t>
      </w:r>
    </w:p>
    <w:p>
      <w:pPr>
        <w:spacing w:after="0" w:line="122" w:lineRule="exact"/>
        <w:rPr>
          <w:sz w:val="20"/>
          <w:szCs w:val="20"/>
          <w:color w:val="auto"/>
        </w:rPr>
      </w:pPr>
    </w:p>
    <w:p>
      <w:pPr>
        <w:ind w:right="420" w:firstLine="449"/>
        <w:spacing w:after="0" w:line="285" w:lineRule="auto"/>
        <w:rPr>
          <w:sz w:val="20"/>
          <w:szCs w:val="20"/>
          <w:color w:val="auto"/>
        </w:rPr>
      </w:pPr>
      <w:r>
        <w:rPr>
          <w:rFonts w:ascii="Arial" w:cs="Arial" w:eastAsia="Arial" w:hAnsi="Arial"/>
          <w:sz w:val="16"/>
          <w:szCs w:val="16"/>
          <w:color w:val="auto"/>
        </w:rPr>
        <w:t>During the quarter ended March 31, 2013 we issued $71.3 million in aggregate principal amount of 2025 Notes, after exercise of the over-allotment option, for net proceeds of $68.8 million after underwriting discounts and offering costs. Interest on the 2025 Notes is paid quarterly on</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February 1, May 1, August 1 and November 1, at a rate of 6.25% per year, commencing on May 1, 2013. The 2025 Notes mature on February 1, 2025. We may redeem the 2025 Notes in whole or in part at any time or from time to time on or after February 1, 2016. The 2025 Notes are general, unsecured obligations and will rank equal in right of payment with all of our existing and future senior unsecured indebtedness. The 2025 Notes are structurally subordinate to our SBA debentures and the assets pledged or secured under our Credit Facility. Our 2025 Notes trade on the NYSE under the symbol “PNTA.”</w:t>
      </w:r>
    </w:p>
    <w:p>
      <w:pPr>
        <w:spacing w:after="0" w:line="115"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Furthermore, our Credit Facility availability depends on various covenants and restrictions. The primary use of existing funds and any funds raised in the future is expected to be for repayment of indebtedness, investments in portfolio companies, cash distributions to our shareholders or for other general corporate or strategic purposes. For the six months ended March 31, 2013 we issued an additional 700,000 shares of common stock, pursuant to the underwriters’ partial exercise of the over-allotment option in connection with an equity offering, at a public offering price of $10.82 per share, generating gross proceeds of $7.6 million and net proceeds of $7.3 million after underwriting discounts payable by us. Any decision to sell shares below the then current net asset value per share of our common stock is subject to shareholder approval and a determination by our board of directors that such issuance and sale is in our and our stockholders’ best interests. Any sale or other issuance of shares of our common stock at a price below net asset value per share results in immediate dilution to our stockholders’ interests in our common stock and a reduction in our net asset value per share.</w:t>
      </w:r>
    </w:p>
    <w:p>
      <w:pPr>
        <w:spacing w:after="0" w:line="126" w:lineRule="exact"/>
        <w:rPr>
          <w:sz w:val="20"/>
          <w:szCs w:val="20"/>
          <w:color w:val="auto"/>
        </w:rPr>
      </w:pPr>
    </w:p>
    <w:p>
      <w:pPr>
        <w:ind w:right="280" w:firstLine="449"/>
        <w:spacing w:after="0" w:line="254"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our asset coverage ratio is met after such borrowing. As of March 31, 2013, we excluded the principal amounts of our SBA debentures from our asset coverage ratio pursuant to SEC exemptive relief. As a result of this exemptive relief, our ratio of total assets on a consolidated basis, including the principal amount of our SBA debentures, to outstanding indebtedness may be less than 200%, which while providing increased investment flexibility, also increases our exposure to risks associated with leverage.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March 31, 2013. Effective January 2013, our wholly-owned subsidiary, SBIC II, received a license from the SBA to operate as an SBIC under the 1958 Act. Our SBIC Funds are subject to a variety of regulations and oversight by the SBA concerning, among other things, the size and nature of the companies in which it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 and may borrow to a maximum of $225 million as part of a group of SBICs under common control. SBIC LP has accessed the maximum borrowing with its $75.0 million in regulatory capital.</w:t>
      </w:r>
    </w:p>
    <w:p>
      <w:pPr>
        <w:spacing w:after="0" w:line="119"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As of March 31, 2013 and September 30, 2012, SBIC LP had fully drawn $150.0 million in debt commitments with a weighted average interest rate of 3.70% exclusive of the 3.43% in upfront fees (4.04% after upfront fees). The SBA debentures upfront fees of 3.43% consist of a commitment fee of 1.00% and an issuance discount of 2.43%. Both fees are being amortized over the lives of the loans. Our fixed rate SBA debentures as of March 31, 2013 and September 30, 2012 were as follows:</w:t>
      </w:r>
    </w:p>
    <w:p>
      <w:pPr>
        <w:spacing w:after="0" w:line="164"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39"/>
              <w:spacing w:after="0"/>
              <w:rPr>
                <w:sz w:val="20"/>
                <w:szCs w:val="20"/>
                <w:color w:val="auto"/>
              </w:rPr>
            </w:pPr>
            <w:r>
              <w:rPr>
                <w:rFonts w:ascii="Arial" w:cs="Arial" w:eastAsia="Arial" w:hAnsi="Arial"/>
                <w:sz w:val="13"/>
                <w:szCs w:val="13"/>
                <w:b w:val="1"/>
                <w:bCs w:val="1"/>
                <w:color w:val="auto"/>
                <w:w w:val="96"/>
              </w:rPr>
              <w:t>Fixed All-in</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0"/>
              </w:rPr>
              <w:t>Issuance Dates</w:t>
            </w: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20" w:type="dxa"/>
            <w:vAlign w:val="bottom"/>
            <w:gridSpan w:val="2"/>
          </w:tcPr>
          <w:p>
            <w:pPr>
              <w:ind w:left="400"/>
              <w:spacing w:after="0"/>
              <w:rPr>
                <w:sz w:val="20"/>
                <w:szCs w:val="20"/>
                <w:color w:val="auto"/>
              </w:rPr>
            </w:pPr>
            <w:r>
              <w:rPr>
                <w:rFonts w:ascii="Arial" w:cs="Arial" w:eastAsia="Arial" w:hAnsi="Arial"/>
                <w:sz w:val="13"/>
                <w:szCs w:val="13"/>
                <w:b w:val="1"/>
                <w:bCs w:val="1"/>
                <w:color w:val="auto"/>
              </w:rPr>
              <w:t>Maturity</w:t>
            </w:r>
          </w:p>
        </w:tc>
        <w:tc>
          <w:tcPr>
            <w:tcW w:w="1000" w:type="dxa"/>
            <w:vAlign w:val="bottom"/>
            <w:gridSpan w:val="2"/>
          </w:tcPr>
          <w:p>
            <w:pPr>
              <w:jc w:val="center"/>
              <w:spacing w:after="0" w:line="162" w:lineRule="exact"/>
              <w:rPr>
                <w:sz w:val="20"/>
                <w:szCs w:val="20"/>
                <w:color w:val="auto"/>
              </w:rPr>
            </w:pPr>
            <w:r>
              <w:rPr>
                <w:rFonts w:ascii="Arial" w:cs="Arial" w:eastAsia="Arial" w:hAnsi="Arial"/>
                <w:sz w:val="11"/>
                <w:szCs w:val="11"/>
                <w:b w:val="1"/>
                <w:bCs w:val="1"/>
                <w:color w:val="auto"/>
              </w:rPr>
              <w:t xml:space="preserve">Coupon Rate </w:t>
            </w:r>
            <w:r>
              <w:rPr>
                <w:rFonts w:ascii="Arial" w:cs="Arial" w:eastAsia="Arial" w:hAnsi="Arial"/>
                <w:sz w:val="18"/>
                <w:szCs w:val="18"/>
                <w:b w:val="1"/>
                <w:bCs w:val="1"/>
                <w:color w:val="auto"/>
                <w:vertAlign w:val="superscript"/>
              </w:rPr>
              <w:t>(1)</w:t>
            </w:r>
          </w:p>
        </w:tc>
        <w:tc>
          <w:tcPr>
            <w:tcW w:w="38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Principal Balance</w:t>
            </w:r>
          </w:p>
        </w:tc>
        <w:tc>
          <w:tcPr>
            <w:tcW w:w="0" w:type="dxa"/>
            <w:vAlign w:val="bottom"/>
          </w:tcPr>
          <w:p>
            <w:pPr>
              <w:spacing w:after="0"/>
              <w:rPr>
                <w:sz w:val="1"/>
                <w:szCs w:val="1"/>
                <w:color w:val="auto"/>
              </w:rPr>
            </w:pPr>
          </w:p>
        </w:tc>
      </w:tr>
      <w:tr>
        <w:trPr>
          <w:trHeight w:val="203"/>
        </w:trPr>
        <w:tc>
          <w:tcPr>
            <w:tcW w:w="27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September 22, 2010</w:t>
            </w:r>
          </w:p>
        </w:tc>
        <w:tc>
          <w:tcPr>
            <w:tcW w:w="6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4"/>
              </w:rPr>
              <w:t>September 1, 2020</w:t>
            </w:r>
          </w:p>
        </w:tc>
        <w:tc>
          <w:tcPr>
            <w:tcW w:w="4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ind w:left="540"/>
              <w:spacing w:after="0" w:line="203" w:lineRule="exact"/>
              <w:rPr>
                <w:sz w:val="20"/>
                <w:szCs w:val="20"/>
                <w:color w:val="auto"/>
              </w:rPr>
            </w:pPr>
            <w:r>
              <w:rPr>
                <w:rFonts w:ascii="Arial" w:cs="Arial" w:eastAsia="Arial" w:hAnsi="Arial"/>
                <w:sz w:val="18"/>
                <w:szCs w:val="18"/>
                <w:color w:val="auto"/>
                <w:w w:val="86"/>
              </w:rPr>
              <w:t>3.50%</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780" w:type="dxa"/>
            <w:vAlign w:val="bottom"/>
            <w:gridSpan w:val="3"/>
          </w:tcPr>
          <w:p>
            <w:pPr>
              <w:spacing w:after="0"/>
              <w:rPr>
                <w:sz w:val="20"/>
                <w:szCs w:val="20"/>
                <w:color w:val="auto"/>
              </w:rPr>
            </w:pPr>
            <w:r>
              <w:rPr>
                <w:rFonts w:ascii="Arial" w:cs="Arial" w:eastAsia="Arial" w:hAnsi="Arial"/>
                <w:sz w:val="18"/>
                <w:szCs w:val="18"/>
                <w:color w:val="auto"/>
              </w:rPr>
              <w:t>March 29, 2011</w:t>
            </w:r>
          </w:p>
        </w:tc>
        <w:tc>
          <w:tcPr>
            <w:tcW w:w="2380" w:type="dxa"/>
            <w:vAlign w:val="bottom"/>
            <w:gridSpan w:val="3"/>
          </w:tcPr>
          <w:p>
            <w:pPr>
              <w:ind w:left="660"/>
              <w:spacing w:after="0"/>
              <w:rPr>
                <w:sz w:val="20"/>
                <w:szCs w:val="20"/>
                <w:color w:val="auto"/>
              </w:rPr>
            </w:pPr>
            <w:r>
              <w:rPr>
                <w:rFonts w:ascii="Arial" w:cs="Arial" w:eastAsia="Arial" w:hAnsi="Arial"/>
                <w:sz w:val="18"/>
                <w:szCs w:val="18"/>
                <w:color w:val="auto"/>
              </w:rPr>
              <w:t>March 1, 2021</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4.46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3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September 1, 2021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3.38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105,000,000</w:t>
            </w:r>
          </w:p>
        </w:tc>
        <w:tc>
          <w:tcPr>
            <w:tcW w:w="0" w:type="dxa"/>
            <w:vAlign w:val="bottom"/>
          </w:tcPr>
          <w:p>
            <w:pPr>
              <w:spacing w:after="0"/>
              <w:rPr>
                <w:sz w:val="1"/>
                <w:szCs w:val="1"/>
                <w:color w:val="auto"/>
              </w:rPr>
            </w:pPr>
          </w:p>
        </w:tc>
      </w:tr>
      <w:tr>
        <w:trPr>
          <w:trHeight w:val="20"/>
        </w:trPr>
        <w:tc>
          <w:tcPr>
            <w:tcW w:w="278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Rate / Total</w:t>
            </w: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gridSpan w:val="2"/>
            <w:vMerge w:val="restart"/>
          </w:tcPr>
          <w:p>
            <w:pPr>
              <w:ind w:left="42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8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ind w:left="460"/>
              <w:spacing w:after="0"/>
              <w:rPr>
                <w:sz w:val="20"/>
                <w:szCs w:val="20"/>
                <w:color w:val="auto"/>
              </w:rPr>
            </w:pPr>
            <w:r>
              <w:rPr>
                <w:rFonts w:ascii="Arial" w:cs="Arial" w:eastAsia="Arial" w:hAnsi="Arial"/>
                <w:sz w:val="18"/>
                <w:szCs w:val="18"/>
                <w:color w:val="auto"/>
                <w:w w:val="86"/>
              </w:rPr>
              <w:t>3.70%</w:t>
            </w:r>
          </w:p>
        </w:tc>
        <w:tc>
          <w:tcPr>
            <w:tcW w:w="500" w:type="dxa"/>
            <w:vAlign w:val="bottom"/>
            <w:gridSpan w:val="2"/>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820"/>
        <w:spacing w:after="0"/>
        <w:rPr>
          <w:sz w:val="20"/>
          <w:szCs w:val="20"/>
          <w:color w:val="auto"/>
        </w:rPr>
      </w:pPr>
      <w:r>
        <w:rPr>
          <w:rFonts w:ascii="Arial" w:cs="Arial" w:eastAsia="Arial" w:hAnsi="Arial"/>
          <w:sz w:val="13"/>
          <w:szCs w:val="13"/>
          <w:color w:val="auto"/>
        </w:rPr>
        <w:t>(1) Excludes 3.43% of upfront fees.</w:t>
      </w:r>
    </w:p>
    <w:p>
      <w:pPr>
        <w:spacing w:after="0" w:line="17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March 31, 2013, our SBIC Funds were in compliance with their regulatory requirements.</w:t>
      </w:r>
    </w:p>
    <w:p>
      <w:pPr>
        <w:spacing w:after="0" w:line="120"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40" w:lineRule="exact"/>
        <w:rPr>
          <w:sz w:val="20"/>
          <w:szCs w:val="20"/>
          <w:color w:val="auto"/>
        </w:rPr>
      </w:pPr>
    </w:p>
    <w:p>
      <w:pPr>
        <w:ind w:right="140" w:firstLine="449"/>
        <w:spacing w:after="0" w:line="331" w:lineRule="auto"/>
        <w:rPr>
          <w:sz w:val="20"/>
          <w:szCs w:val="20"/>
          <w:color w:val="auto"/>
        </w:rPr>
      </w:pPr>
      <w:r>
        <w:rPr>
          <w:rFonts w:ascii="Arial" w:cs="Arial" w:eastAsia="Arial" w:hAnsi="Arial"/>
          <w:sz w:val="16"/>
          <w:szCs w:val="16"/>
          <w:color w:val="auto"/>
        </w:rPr>
        <w:t>Our operating activities used cash of $63.1 million for the six months ended March 31, 2013, primarily for net purchases of investments. Our financing activities provided cash of $72.9 million for the same period, primarily from the proceeds of the issuance of the 2025 Notes.</w:t>
      </w:r>
    </w:p>
    <w:p>
      <w:pPr>
        <w:spacing w:after="0" w:line="87" w:lineRule="exact"/>
        <w:rPr>
          <w:sz w:val="20"/>
          <w:szCs w:val="20"/>
          <w:color w:val="auto"/>
        </w:rPr>
      </w:pPr>
    </w:p>
    <w:p>
      <w:pPr>
        <w:ind w:right="200" w:firstLine="449"/>
        <w:spacing w:after="0" w:line="331" w:lineRule="auto"/>
        <w:rPr>
          <w:sz w:val="20"/>
          <w:szCs w:val="20"/>
          <w:color w:val="auto"/>
        </w:rPr>
      </w:pPr>
      <w:r>
        <w:rPr>
          <w:rFonts w:ascii="Arial" w:cs="Arial" w:eastAsia="Arial" w:hAnsi="Arial"/>
          <w:sz w:val="16"/>
          <w:szCs w:val="16"/>
          <w:color w:val="auto"/>
        </w:rPr>
        <w:t>Our operating activities used cash of $44.0 million for the six months ended March 31, 2012, primarily for net purchase of investments. Our financing activities used cash of $0.6 million for the same period and used proceeds from the equity offering to pay down the Credit Facility.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A summary of our significant contractual payment obligations as of March 31, 2013 including borrowings under our debt facilities and other contractual obligations,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spacing w:after="0"/>
              <w:rPr>
                <w:sz w:val="20"/>
                <w:szCs w:val="20"/>
                <w:color w:val="auto"/>
              </w:rPr>
            </w:pPr>
            <w:r>
              <w:rPr>
                <w:rFonts w:ascii="Arial" w:cs="Arial" w:eastAsia="Arial" w:hAnsi="Arial"/>
                <w:sz w:val="13"/>
                <w:szCs w:val="13"/>
                <w:b w:val="1"/>
                <w:bCs w:val="1"/>
                <w:color w:val="auto"/>
                <w:w w:val="96"/>
              </w:rPr>
              <w:t>Payments due by period (in millions)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5"/>
              </w:rPr>
              <w:t>Less than</w:t>
            </w:r>
          </w:p>
        </w:tc>
        <w:tc>
          <w:tcPr>
            <w:tcW w:w="680" w:type="dxa"/>
            <w:vAlign w:val="bottom"/>
            <w:gridSpan w:val="2"/>
          </w:tcPr>
          <w:p>
            <w:pPr>
              <w:jc w:val="right"/>
              <w:ind w:right="16"/>
              <w:spacing w:after="0" w:line="129" w:lineRule="exact"/>
              <w:rPr>
                <w:sz w:val="20"/>
                <w:szCs w:val="20"/>
                <w:color w:val="auto"/>
              </w:rPr>
            </w:pPr>
            <w:r>
              <w:rPr>
                <w:rFonts w:ascii="Arial" w:cs="Arial" w:eastAsia="Arial" w:hAnsi="Arial"/>
                <w:sz w:val="13"/>
                <w:szCs w:val="13"/>
                <w:b w:val="1"/>
                <w:bCs w:val="1"/>
                <w:color w:val="auto"/>
              </w:rPr>
              <w:t>1-3</w:t>
            </w:r>
          </w:p>
        </w:tc>
        <w:tc>
          <w:tcPr>
            <w:tcW w:w="280" w:type="dxa"/>
            <w:vAlign w:val="bottom"/>
          </w:tcPr>
          <w:p>
            <w:pPr>
              <w:spacing w:after="0"/>
              <w:rPr>
                <w:sz w:val="11"/>
                <w:szCs w:val="11"/>
                <w:color w:val="auto"/>
              </w:rPr>
            </w:pPr>
          </w:p>
        </w:tc>
        <w:tc>
          <w:tcPr>
            <w:tcW w:w="50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rPr>
              <w:t>3-5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93"/>
              </w:rPr>
              <w:t>More than</w:t>
            </w:r>
          </w:p>
        </w:tc>
        <w:tc>
          <w:tcPr>
            <w:tcW w:w="100" w:type="dxa"/>
            <w:vAlign w:val="bottom"/>
          </w:tcPr>
          <w:p>
            <w:pPr>
              <w:spacing w:after="0"/>
              <w:rPr>
                <w:sz w:val="11"/>
                <w:szCs w:val="11"/>
                <w:color w:val="auto"/>
              </w:rPr>
            </w:pPr>
          </w:p>
        </w:tc>
      </w:tr>
      <w:tr>
        <w:trPr>
          <w:trHeight w:val="161"/>
        </w:trPr>
        <w:tc>
          <w:tcPr>
            <w:tcW w:w="1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3"/>
                <w:szCs w:val="13"/>
                <w:b w:val="1"/>
                <w:bCs w:val="1"/>
                <w:color w:val="auto"/>
              </w:rPr>
              <w:t>1 year</w:t>
            </w:r>
          </w:p>
        </w:tc>
        <w:tc>
          <w:tcPr>
            <w:tcW w:w="30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b w:val="1"/>
                <w:bCs w:val="1"/>
                <w:color w:val="auto"/>
              </w:rPr>
              <w:t>years</w:t>
            </w: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years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5 years</w:t>
            </w:r>
          </w:p>
        </w:tc>
      </w:tr>
      <w:tr>
        <w:trPr>
          <w:trHeight w:val="210"/>
        </w:trPr>
        <w:tc>
          <w:tcPr>
            <w:tcW w:w="7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$171.7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2"/>
              </w:rPr>
              <w:t>$—</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$171.7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2025 Notes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71.3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22"/>
        </w:trPr>
        <w:tc>
          <w:tcPr>
            <w:tcW w:w="7420" w:type="dxa"/>
            <w:vAlign w:val="bottom"/>
            <w:gridSpan w:val="2"/>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1"/>
                <w:szCs w:val="11"/>
                <w:color w:val="auto"/>
              </w:rPr>
              <w:t>(1)</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393.0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171.7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r>
      <w:tr>
        <w:trPr>
          <w:trHeight w:val="217"/>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ind w:left="75"/>
              <w:spacing w:after="0"/>
              <w:rPr>
                <w:sz w:val="20"/>
                <w:szCs w:val="20"/>
                <w:color w:val="auto"/>
              </w:rPr>
            </w:pPr>
            <w:r>
              <w:rPr>
                <w:rFonts w:ascii="Arial" w:cs="Arial" w:eastAsia="Arial" w:hAnsi="Arial"/>
                <w:sz w:val="18"/>
                <w:szCs w:val="18"/>
                <w:color w:val="auto"/>
                <w:w w:val="85"/>
              </w:rPr>
              <w:t>17.6</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r>
      <w:tr>
        <w:trPr>
          <w:trHeight w:val="222"/>
        </w:trPr>
        <w:tc>
          <w:tcPr>
            <w:tcW w:w="742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419.8</w:t>
            </w:r>
          </w:p>
        </w:tc>
        <w:tc>
          <w:tcPr>
            <w:tcW w:w="2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60" w:type="dxa"/>
            <w:vAlign w:val="bottom"/>
          </w:tcPr>
          <w:p>
            <w:pPr>
              <w:jc w:val="center"/>
              <w:ind w:left="75"/>
              <w:spacing w:after="0"/>
              <w:rPr>
                <w:sz w:val="20"/>
                <w:szCs w:val="20"/>
                <w:color w:val="auto"/>
              </w:rPr>
            </w:pPr>
            <w:r>
              <w:rPr>
                <w:rFonts w:ascii="Arial" w:cs="Arial" w:eastAsia="Arial" w:hAnsi="Arial"/>
                <w:sz w:val="18"/>
                <w:szCs w:val="18"/>
                <w:color w:val="auto"/>
                <w:w w:val="85"/>
              </w:rPr>
              <w:t>17.6</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$ 8.7</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171.7</w:t>
            </w:r>
          </w:p>
        </w:tc>
        <w:tc>
          <w:tcPr>
            <w:tcW w:w="22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2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30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March 31, 2013 was 3.87% exclusive of the fee on the undrawn commitment of 0.50% on the Credit Facility and 3.43% of upfront fees on SBIC LP’s SBA debentures.</w:t>
      </w: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Unfunded debt investments described in the Consolidated Statement of Assets and Liabilities represent unfunded delayed draws on investments.</w:t>
      </w:r>
    </w:p>
    <w:p>
      <w:pPr>
        <w:spacing w:after="0" w:line="188" w:lineRule="exact"/>
        <w:rPr>
          <w:sz w:val="20"/>
          <w:szCs w:val="20"/>
          <w:color w:val="auto"/>
        </w:rPr>
      </w:pPr>
    </w:p>
    <w:p>
      <w:pPr>
        <w:ind w:right="240" w:firstLine="449"/>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in February 2013,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20"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Under our Administration Agreement, which was most recently reapproved in February 2013,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24" w:lineRule="exact"/>
        <w:rPr>
          <w:sz w:val="20"/>
          <w:szCs w:val="20"/>
          <w:color w:val="auto"/>
        </w:rPr>
      </w:pPr>
    </w:p>
    <w:p>
      <w:pPr>
        <w:ind w:right="80" w:firstLine="449"/>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90"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w:t>
      </w:r>
    </w:p>
    <w:p>
      <w:pPr>
        <w:spacing w:after="0" w:line="2" w:lineRule="exact"/>
        <w:rPr>
          <w:sz w:val="20"/>
          <w:szCs w:val="20"/>
          <w:color w:val="auto"/>
        </w:rPr>
      </w:pPr>
    </w:p>
    <w:p>
      <w:pPr>
        <w:ind w:right="140" w:firstLine="8"/>
        <w:spacing w:after="0" w:line="292"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three and six months ended March 31, 2013 we received an excise tax credit of $(0.2) million and $(0.1) million, respectively. For the three and six months ended March 31, 2012 we elected to retain a portion of our calendar year income and incurred an excise tax of approximately $0.2 million and $0.3 million, respectively.</w:t>
      </w:r>
    </w:p>
    <w:p>
      <w:pPr>
        <w:spacing w:after="0" w:line="11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During the three and six months ended March 31, 2013 we declared dividends of $0.28 and $0.56 per share, respectively, for total dividends of $18.6 million and $37.2 million, respectively. For the same periods in the prior year, we declared dividends of $0.28 and $0.56 per share, respectively, for total dividends of $15.7 million and $28.5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120"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We intend to continue to make quarterly dividends to our stockholders. Our quarterly dividends, if any, are determined by our board of directors. 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3"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right="440" w:firstLine="449"/>
        <w:spacing w:after="0" w:line="268" w:lineRule="auto"/>
        <w:rPr>
          <w:sz w:val="20"/>
          <w:szCs w:val="20"/>
          <w:color w:val="auto"/>
        </w:rPr>
      </w:pPr>
      <w:r>
        <w:rPr>
          <w:rFonts w:ascii="Arial" w:cs="Arial" w:eastAsia="Arial" w:hAnsi="Arial"/>
          <w:sz w:val="18"/>
          <w:szCs w:val="18"/>
          <w:color w:val="auto"/>
        </w:rPr>
        <w:t>On April 29, 2013, we utilized the accordion feature of our Credit Facility and expanded the facility by $50 million, bringing the size of our Credit Facility to $430 million.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45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March 31, 2013, our debt portfolio consisted of 67% fixed-rate investments and 33% variable-rate investments (including 30%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2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the statement above.</w:t>
      </w:r>
    </w:p>
    <w:p>
      <w:pPr>
        <w:spacing w:after="0" w:line="14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40" w:lineRule="exact"/>
        <w:rPr>
          <w:sz w:val="20"/>
          <w:szCs w:val="20"/>
          <w:color w:val="auto"/>
        </w:rPr>
      </w:pPr>
    </w:p>
    <w:p>
      <w:pPr>
        <w:ind w:right="240" w:firstLine="449"/>
        <w:spacing w:after="0" w:line="298" w:lineRule="auto"/>
        <w:rPr>
          <w:sz w:val="20"/>
          <w:szCs w:val="20"/>
          <w:color w:val="auto"/>
        </w:rPr>
      </w:pPr>
      <w:r>
        <w:rPr>
          <w:rFonts w:ascii="Arial" w:cs="Arial" w:eastAsia="Arial" w:hAnsi="Arial"/>
          <w:sz w:val="16"/>
          <w:szCs w:val="16"/>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22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9"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March 31, 2013 that have materially affected, or are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459"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20" w:firstLine="449"/>
        <w:spacing w:after="0" w:line="294" w:lineRule="auto"/>
        <w:rPr>
          <w:sz w:val="20"/>
          <w:szCs w:val="20"/>
          <w:color w:val="auto"/>
        </w:rPr>
      </w:pPr>
      <w:r>
        <w:rPr>
          <w:rFonts w:ascii="Arial" w:cs="Arial" w:eastAsia="Arial" w:hAnsi="Arial"/>
          <w:sz w:val="16"/>
          <w:szCs w:val="16"/>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 and adverse effect on debt and equity capital markets in the United States, which could have a materially negative impact on our business, financial condition and results of operations.</w:t>
      </w:r>
    </w:p>
    <w:p>
      <w:pPr>
        <w:spacing w:after="0" w:line="140"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again or materially worsen in the future, including as a result of the U.S. government spending cuts that took effect March 1, 2013. We may in the future have difficulty accessing debt and equity capital, and a severe disruption and instability in the global financial markets or deterioration in credit and financing conditions could have a material adverse effect on our business, financial condition and results of operations.</w:t>
      </w:r>
    </w:p>
    <w:p>
      <w:pPr>
        <w:spacing w:after="0" w:line="144"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In addition to the risk factor above and other information set forth in this Report, you should consider carefully the factors discussed in Part I “Item 1A. Risk Factors” in our Annual Report on Form 10-K for the fiscal year ended September 30, 2012 and in Part II “Item 1A. Risk Factors” in our Quarterly Report on Form 10-Q for the quarter ended December 31, 2012, which could materially affect our business, financial condition and/or operating results. The risks described above, in our Annual Report on Form 10-K and our prior Quarterly Report on Form 10-Q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25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320" w:top="459" w:right="3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19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3.1</w:t>
            </w:r>
          </w:p>
        </w:tc>
        <w:tc>
          <w:tcPr>
            <w:tcW w:w="8560" w:type="dxa"/>
            <w:vAlign w:val="bottom"/>
          </w:tcPr>
          <w:p>
            <w:pPr>
              <w:ind w:left="280"/>
              <w:spacing w:after="0"/>
              <w:rPr>
                <w:sz w:val="20"/>
                <w:szCs w:val="20"/>
                <w:color w:val="auto"/>
              </w:rPr>
            </w:pPr>
            <w:r>
              <w:rPr>
                <w:rFonts w:ascii="Arial" w:cs="Arial" w:eastAsia="Arial" w:hAnsi="Arial"/>
                <w:sz w:val="18"/>
                <w:szCs w:val="18"/>
                <w:color w:val="auto"/>
                <w:w w:val="96"/>
              </w:rPr>
              <w:t>Articles of Incorporation (Incorporated by reference to the Registrant’s Pre-Effective Amendment No.1 to the</w:t>
            </w:r>
          </w:p>
        </w:tc>
      </w:tr>
      <w:tr>
        <w:trPr>
          <w:trHeight w:val="222"/>
        </w:trPr>
        <w:tc>
          <w:tcPr>
            <w:tcW w:w="500" w:type="dxa"/>
            <w:vAlign w:val="bottom"/>
          </w:tcPr>
          <w:p>
            <w:pPr>
              <w:spacing w:after="0"/>
              <w:rPr>
                <w:sz w:val="19"/>
                <w:szCs w:val="19"/>
                <w:color w:val="auto"/>
              </w:rPr>
            </w:pPr>
          </w:p>
        </w:tc>
        <w:tc>
          <w:tcPr>
            <w:tcW w:w="8560" w:type="dxa"/>
            <w:vAlign w:val="bottom"/>
          </w:tcPr>
          <w:p>
            <w:pPr>
              <w:ind w:left="280"/>
              <w:spacing w:after="0"/>
              <w:rPr>
                <w:sz w:val="20"/>
                <w:szCs w:val="20"/>
                <w:color w:val="auto"/>
              </w:rPr>
            </w:pPr>
            <w:r>
              <w:rPr>
                <w:rFonts w:ascii="Arial" w:cs="Arial" w:eastAsia="Arial" w:hAnsi="Arial"/>
                <w:sz w:val="18"/>
                <w:szCs w:val="18"/>
                <w:color w:val="auto"/>
              </w:rPr>
              <w:t>Registration Statement on Form N-2/A (File No. 333-140092), filed on March 5, 2007).</w:t>
            </w:r>
          </w:p>
        </w:tc>
      </w:tr>
      <w:tr>
        <w:trPr>
          <w:trHeight w:val="331"/>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3.2</w:t>
            </w:r>
          </w:p>
        </w:tc>
        <w:tc>
          <w:tcPr>
            <w:tcW w:w="8560" w:type="dxa"/>
            <w:vAlign w:val="bottom"/>
          </w:tcPr>
          <w:p>
            <w:pPr>
              <w:ind w:left="280"/>
              <w:spacing w:after="0"/>
              <w:rPr>
                <w:sz w:val="20"/>
                <w:szCs w:val="20"/>
                <w:color w:val="auto"/>
              </w:rPr>
            </w:pPr>
            <w:r>
              <w:rPr>
                <w:rFonts w:ascii="Arial" w:cs="Arial" w:eastAsia="Arial" w:hAnsi="Arial"/>
                <w:sz w:val="18"/>
                <w:szCs w:val="18"/>
                <w:color w:val="auto"/>
                <w:w w:val="89"/>
              </w:rPr>
              <w:t>Amended and Restated Bylaws of the Registrant (Incorporated by reference to Exhibit 3.2 to the Registrant’s Annual</w:t>
            </w:r>
          </w:p>
        </w:tc>
      </w:tr>
      <w:tr>
        <w:trPr>
          <w:trHeight w:val="222"/>
        </w:trPr>
        <w:tc>
          <w:tcPr>
            <w:tcW w:w="500" w:type="dxa"/>
            <w:vAlign w:val="bottom"/>
          </w:tcPr>
          <w:p>
            <w:pPr>
              <w:spacing w:after="0"/>
              <w:rPr>
                <w:sz w:val="19"/>
                <w:szCs w:val="19"/>
                <w:color w:val="auto"/>
              </w:rPr>
            </w:pPr>
          </w:p>
        </w:tc>
        <w:tc>
          <w:tcPr>
            <w:tcW w:w="8560" w:type="dxa"/>
            <w:vAlign w:val="bottom"/>
          </w:tcPr>
          <w:p>
            <w:pPr>
              <w:ind w:left="280"/>
              <w:spacing w:after="0"/>
              <w:rPr>
                <w:sz w:val="20"/>
                <w:szCs w:val="20"/>
                <w:color w:val="auto"/>
              </w:rPr>
            </w:pPr>
            <w:r>
              <w:rPr>
                <w:rFonts w:ascii="Arial" w:cs="Arial" w:eastAsia="Arial" w:hAnsi="Arial"/>
                <w:sz w:val="18"/>
                <w:szCs w:val="18"/>
                <w:color w:val="auto"/>
              </w:rPr>
              <w:t>Report on Form 10-K (File No. 814-00736), filed on November 16, 2011).</w:t>
            </w:r>
          </w:p>
        </w:tc>
      </w:tr>
      <w:tr>
        <w:trPr>
          <w:trHeight w:val="331"/>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4.1</w:t>
            </w:r>
          </w:p>
        </w:tc>
        <w:tc>
          <w:tcPr>
            <w:tcW w:w="8560" w:type="dxa"/>
            <w:vAlign w:val="bottom"/>
          </w:tcPr>
          <w:p>
            <w:pPr>
              <w:ind w:left="280"/>
              <w:spacing w:after="0"/>
              <w:rPr>
                <w:sz w:val="20"/>
                <w:szCs w:val="20"/>
                <w:color w:val="auto"/>
              </w:rPr>
            </w:pPr>
            <w:r>
              <w:rPr>
                <w:rFonts w:ascii="Arial" w:cs="Arial" w:eastAsia="Arial" w:hAnsi="Arial"/>
                <w:sz w:val="18"/>
                <w:szCs w:val="18"/>
                <w:color w:val="auto"/>
                <w:w w:val="88"/>
              </w:rPr>
              <w:t>Form of Share Certificate (Incorporated by reference to Exhibit 99(d)(1) to the Registrant’s Registration Statement on</w:t>
            </w:r>
          </w:p>
        </w:tc>
      </w:tr>
      <w:tr>
        <w:trPr>
          <w:trHeight w:val="222"/>
        </w:trPr>
        <w:tc>
          <w:tcPr>
            <w:tcW w:w="500" w:type="dxa"/>
            <w:vAlign w:val="bottom"/>
          </w:tcPr>
          <w:p>
            <w:pPr>
              <w:spacing w:after="0"/>
              <w:rPr>
                <w:sz w:val="19"/>
                <w:szCs w:val="19"/>
                <w:color w:val="auto"/>
              </w:rPr>
            </w:pPr>
          </w:p>
        </w:tc>
        <w:tc>
          <w:tcPr>
            <w:tcW w:w="8560" w:type="dxa"/>
            <w:vAlign w:val="bottom"/>
          </w:tcPr>
          <w:p>
            <w:pPr>
              <w:ind w:left="280"/>
              <w:spacing w:after="0"/>
              <w:rPr>
                <w:sz w:val="20"/>
                <w:szCs w:val="20"/>
                <w:color w:val="auto"/>
              </w:rPr>
            </w:pPr>
            <w:r>
              <w:rPr>
                <w:rFonts w:ascii="Arial" w:cs="Arial" w:eastAsia="Arial" w:hAnsi="Arial"/>
                <w:sz w:val="18"/>
                <w:szCs w:val="18"/>
                <w:color w:val="auto"/>
              </w:rPr>
              <w:t>Form N-2 (File No. 333-150033), filed on April 2, 2008).</w:t>
            </w:r>
          </w:p>
        </w:tc>
      </w:tr>
    </w:tbl>
    <w:p>
      <w:pPr>
        <w:spacing w:after="0" w:line="115" w:lineRule="exact"/>
        <w:rPr>
          <w:sz w:val="20"/>
          <w:szCs w:val="20"/>
          <w:color w:val="auto"/>
        </w:rPr>
      </w:pPr>
    </w:p>
    <w:p>
      <w:pPr>
        <w:ind w:left="880" w:hanging="87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Consolidated Financial Statements contained in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ind w:left="880" w:hanging="876"/>
        <w:spacing w:after="0" w:line="268" w:lineRule="auto"/>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Exhibit 99.1 the Registrant’s Annual Report on Form 10-K (File No. 814-00736), filed on November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320" w:top="459" w:right="5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PENNANTPARK INVESTMENT CORPORATION</w:t>
      </w:r>
    </w:p>
    <w:p>
      <w:pPr>
        <w:spacing w:after="0" w:line="117" w:lineRule="exact"/>
        <w:rPr>
          <w:sz w:val="20"/>
          <w:szCs w:val="20"/>
          <w:color w:val="auto"/>
        </w:rPr>
      </w:pPr>
    </w:p>
    <w:p>
      <w:pPr>
        <w:spacing w:after="0"/>
        <w:tabs>
          <w:tab w:leader="none" w:pos="5440" w:val="left"/>
          <w:tab w:leader="none" w:pos="7700" w:val="left"/>
          <w:tab w:leader="none" w:pos="8040" w:val="left"/>
        </w:tabs>
        <w:rPr>
          <w:sz w:val="20"/>
          <w:szCs w:val="20"/>
          <w:color w:val="auto"/>
        </w:rPr>
      </w:pPr>
      <w:r>
        <w:rPr>
          <w:rFonts w:ascii="Arial" w:cs="Arial" w:eastAsia="Arial" w:hAnsi="Arial"/>
          <w:sz w:val="18"/>
          <w:szCs w:val="18"/>
          <w:color w:val="auto"/>
        </w:rPr>
        <w:t>Date: May 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6"/>
          <w:szCs w:val="16"/>
          <w:b w:val="1"/>
          <w:bCs w:val="1"/>
          <w:color w:val="auto"/>
        </w:rPr>
        <w:t>Chairman of the Board of Directors and Chief Executive Officer</w:t>
      </w:r>
    </w:p>
    <w:p>
      <w:pPr>
        <w:spacing w:after="0" w:line="32"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Executive Officer)</w:t>
      </w:r>
    </w:p>
    <w:p>
      <w:pPr>
        <w:spacing w:after="0" w:line="232" w:lineRule="exact"/>
        <w:rPr>
          <w:sz w:val="20"/>
          <w:szCs w:val="20"/>
          <w:color w:val="auto"/>
        </w:rPr>
      </w:pPr>
    </w:p>
    <w:p>
      <w:pPr>
        <w:spacing w:after="0"/>
        <w:tabs>
          <w:tab w:leader="none" w:pos="5440" w:val="left"/>
          <w:tab w:leader="none" w:pos="7880" w:val="left"/>
          <w:tab w:leader="none" w:pos="8200" w:val="left"/>
        </w:tabs>
        <w:rPr>
          <w:sz w:val="20"/>
          <w:szCs w:val="20"/>
          <w:color w:val="auto"/>
        </w:rPr>
      </w:pPr>
      <w:r>
        <w:rPr>
          <w:rFonts w:ascii="Arial" w:cs="Arial" w:eastAsia="Arial" w:hAnsi="Arial"/>
          <w:sz w:val="18"/>
          <w:szCs w:val="18"/>
          <w:color w:val="auto"/>
        </w:rPr>
        <w:t>Date: May 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Aviv Efrat</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441"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80" w:firstLine="8"/>
        <w:spacing w:after="0" w:line="331" w:lineRule="auto"/>
        <w:tabs>
          <w:tab w:leader="none" w:pos="1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w:t>
      </w:r>
    </w:p>
    <w:p>
      <w:pPr>
        <w:spacing w:after="0" w:line="1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(as defined in Exchange Act Rules 13a-15(e) and 15d-15(e)) and internal control over financial reporting (as defined in Exchange Act Rules 13a-15(f) and 15d-15(f)) for the company and have:</w:t>
      </w:r>
    </w:p>
    <w:p>
      <w:pPr>
        <w:spacing w:after="0" w:line="139" w:lineRule="exact"/>
        <w:rPr>
          <w:sz w:val="20"/>
          <w:szCs w:val="20"/>
          <w:color w:val="auto"/>
        </w:rPr>
      </w:pPr>
    </w:p>
    <w:p>
      <w:pPr>
        <w:jc w:val="both"/>
        <w:ind w:right="240" w:firstLine="8"/>
        <w:spacing w:after="0" w:line="259"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80" w:firstLine="8"/>
        <w:spacing w:after="0" w:line="259" w:lineRule="auto"/>
        <w:tabs>
          <w:tab w:leader="none" w:pos="1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441"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80" w:firstLine="8"/>
        <w:spacing w:after="0" w:line="331" w:lineRule="auto"/>
        <w:tabs>
          <w:tab w:leader="none" w:pos="1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jc w:val="both"/>
        <w:ind w:right="20" w:firstLine="8"/>
        <w:spacing w:after="0" w:line="369" w:lineRule="auto"/>
        <w:tabs>
          <w:tab w:leader="none" w:pos="175"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internal control over financial reporting (as defined in Exchange Act Rules 13a-15(f) and 15d-15(f)) for the company and have:</w:t>
      </w:r>
    </w:p>
    <w:p>
      <w:pPr>
        <w:spacing w:after="0" w:line="64" w:lineRule="exact"/>
        <w:rPr>
          <w:sz w:val="20"/>
          <w:szCs w:val="20"/>
          <w:color w:val="auto"/>
        </w:rPr>
      </w:pPr>
    </w:p>
    <w:p>
      <w:pPr>
        <w:jc w:val="both"/>
        <w:ind w:right="240" w:firstLine="8"/>
        <w:spacing w:after="0" w:line="259"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80" w:firstLine="8"/>
        <w:spacing w:after="0" w:line="259" w:lineRule="auto"/>
        <w:tabs>
          <w:tab w:leader="none" w:pos="1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March 31, 2013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180" w:lineRule="exact"/>
        <w:rPr>
          <w:sz w:val="20"/>
          <w:szCs w:val="20"/>
          <w:color w:val="auto"/>
        </w:rPr>
      </w:pPr>
    </w:p>
    <w:p>
      <w:pPr>
        <w:ind w:left="900" w:hanging="447"/>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8, 2013</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March 31, 2013 (the “Report”) of PennantPark Investment Corporation (the “Registrant”), as filed with the Securities and Exchange Commission on the date hereof, I, Aviv Efrat, Chief Financial Officer of the Registrant, hereby certify, to the best of my knowledge, that:</w:t>
      </w:r>
    </w:p>
    <w:p>
      <w:pPr>
        <w:spacing w:after="0" w:line="180" w:lineRule="exact"/>
        <w:rPr>
          <w:sz w:val="20"/>
          <w:szCs w:val="20"/>
          <w:color w:val="auto"/>
        </w:rPr>
      </w:pPr>
    </w:p>
    <w:p>
      <w:pPr>
        <w:ind w:left="900" w:hanging="447"/>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8, 2013</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lowerLetter"/>
      <w:start w:val="1"/>
    </w:lvl>
    <w:lvl w:ilvl="1">
      <w:lvlJc w:val="left"/>
      <w:lvlText w:val="(%2)"/>
      <w:numFmt w:val="decimal"/>
      <w:start w:val="1"/>
    </w:lvl>
  </w:abstractNum>
  <w:abstractNum w:abstractNumId="5">
    <w:nsid w:val="25E45D32"/>
    <w:multiLevelType w:val="hybridMultilevel"/>
    <w:lvl w:ilvl="0">
      <w:lvlJc w:val="left"/>
      <w:lvlText w:val="(%1)"/>
      <w:numFmt w:val="lowerLetter"/>
      <w:start w:val="2"/>
    </w:lvl>
    <w:lvl w:ilvl="1">
      <w:lvlJc w:val="left"/>
      <w:lvlText w:val="%2"/>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4"/>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3"/>
    </w:lvl>
  </w:abstractNum>
  <w:abstractNum w:abstractNumId="17">
    <w:nsid w:val="2D1D5AE9"/>
    <w:multiLevelType w:val="hybridMultilevel"/>
    <w:lvl w:ilvl="0">
      <w:lvlJc w:val="left"/>
      <w:lvlText w:val="%1"/>
      <w:numFmt w:val="decimal"/>
      <w:start w:val="1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2020-05-05T15:08:01Z</dcterms:created>
  <dcterms:modified xsi:type="dcterms:W3CDTF">2020-05-05T15:08:01Z</dcterms:modified>
</cp:coreProperties>
</file>