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25,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60" w:firstLine="225"/>
        <w:spacing w:after="0" w:line="266" w:lineRule="auto"/>
        <w:rPr>
          <w:sz w:val="20"/>
          <w:szCs w:val="20"/>
          <w:color w:val="auto"/>
        </w:rPr>
      </w:pPr>
      <w:r>
        <w:rPr>
          <w:rFonts w:ascii="Times New Roman" w:cs="Times New Roman" w:eastAsia="Times New Roman" w:hAnsi="Times New Roman"/>
          <w:sz w:val="18"/>
          <w:szCs w:val="18"/>
          <w:color w:val="auto"/>
        </w:rPr>
        <w:t>On November 25, 2024, PennantPark Investment Corporation (the "Company"), issued a press release announcing its financial results for the fourth quarter and fiscal year ended September 30, 2024. A copy of the press release is furnished as Exhibit 99.1 to this report pursuant to Item 2.02 on Form 8-K and Regulation FD.</w:t>
      </w:r>
    </w:p>
    <w:p>
      <w:pPr>
        <w:spacing w:after="0" w:line="149"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jc w:val="both"/>
        <w:ind w:right="120" w:firstLine="225"/>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November 25,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2024</w:t>
            </w:r>
          </w:p>
        </w:tc>
        <w:tc>
          <w:tcPr>
            <w:tcW w:w="47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Fourth Quarter and Fiscal Year Ended September 30, 2024 and Upsize of Joint Venture</w:t>
      </w:r>
    </w:p>
    <w:p>
      <w:pPr>
        <w:spacing w:after="0" w:line="154"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MIAMI, Nov. 25, 2024 (GLOBE NEWSWIRE) -- PennantPark Investment Corporation (NYSE: PNNT) (the "Company") announced today financial results for the fourth quarter and fiscal year ended September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ended September 30, 2024</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5"/>
        </w:trPr>
        <w:tc>
          <w:tcPr>
            <w:tcW w:w="71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1,328.1</w:t>
            </w:r>
          </w:p>
        </w:tc>
        <w:tc>
          <w:tcPr>
            <w:tcW w:w="200" w:type="dxa"/>
            <w:vAlign w:val="bottom"/>
          </w:tcPr>
          <w:p>
            <w:pPr>
              <w:spacing w:after="0"/>
              <w:rPr>
                <w:sz w:val="24"/>
                <w:szCs w:val="24"/>
                <w:color w:val="auto"/>
              </w:rPr>
            </w:pPr>
          </w:p>
        </w:tc>
      </w:tr>
      <w:tr>
        <w:trPr>
          <w:trHeight w:val="279"/>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493.9</w:t>
            </w:r>
          </w:p>
        </w:tc>
        <w:tc>
          <w:tcPr>
            <w:tcW w:w="200" w:type="dxa"/>
            <w:vAlign w:val="bottom"/>
          </w:tcPr>
          <w:p>
            <w:pPr>
              <w:spacing w:after="0"/>
              <w:rPr>
                <w:sz w:val="24"/>
                <w:szCs w:val="24"/>
                <w:color w:val="auto"/>
              </w:rPr>
            </w:pPr>
          </w:p>
        </w:tc>
      </w:tr>
      <w:tr>
        <w:trPr>
          <w:trHeight w:val="324"/>
        </w:trPr>
        <w:tc>
          <w:tcPr>
            <w:tcW w:w="716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0" w:type="dxa"/>
            <w:vAlign w:val="bottom"/>
          </w:tcPr>
          <w:p>
            <w:pPr>
              <w:spacing w:after="0"/>
              <w:rPr>
                <w:sz w:val="24"/>
                <w:szCs w:val="24"/>
                <w:color w:val="auto"/>
              </w:rPr>
            </w:pPr>
          </w:p>
        </w:tc>
      </w:tr>
      <w:tr>
        <w:trPr>
          <w:trHeight w:val="315"/>
        </w:trPr>
        <w:tc>
          <w:tcPr>
            <w:tcW w:w="71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Quarterly increase in adjusted net asset value per share </w:t>
            </w:r>
            <w:r>
              <w:rPr>
                <w:rFonts w:ascii="Times New Roman" w:cs="Times New Roman" w:eastAsia="Times New Roman" w:hAnsi="Times New Roman"/>
                <w:sz w:val="35"/>
                <w:szCs w:val="35"/>
                <w:color w:val="auto"/>
                <w:vertAlign w:val="superscript"/>
              </w:rPr>
              <w:t>(2)</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w:t>
            </w: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0" w:type="dxa"/>
            <w:vAlign w:val="bottom"/>
          </w:tcPr>
          <w:p>
            <w:pPr>
              <w:spacing w:after="0"/>
              <w:rPr>
                <w:sz w:val="23"/>
                <w:szCs w:val="23"/>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increase in GAAP net asset value per share</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w:t>
            </w:r>
          </w:p>
        </w:tc>
      </w:tr>
      <w:tr>
        <w:trPr>
          <w:trHeight w:val="528"/>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Credit Facility</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460.4</w:t>
            </w:r>
          </w:p>
        </w:tc>
        <w:tc>
          <w:tcPr>
            <w:tcW w:w="200" w:type="dxa"/>
            <w:vAlign w:val="bottom"/>
          </w:tcPr>
          <w:p>
            <w:pPr>
              <w:spacing w:after="0"/>
              <w:rPr>
                <w:sz w:val="24"/>
                <w:szCs w:val="24"/>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2026 Notes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148.6</w:t>
            </w:r>
          </w:p>
        </w:tc>
        <w:tc>
          <w:tcPr>
            <w:tcW w:w="20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2026-2 Notes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163.1</w:t>
            </w:r>
          </w:p>
        </w:tc>
        <w:tc>
          <w:tcPr>
            <w:tcW w:w="20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1.58x</w:t>
            </w: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Weighted average yield on debt investments at quarter-end</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528"/>
        </w:trPr>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Quarter Ended</w:t>
            </w:r>
          </w:p>
        </w:tc>
        <w:tc>
          <w:tcPr>
            <w:tcW w:w="260" w:type="dxa"/>
            <w:vAlign w:val="bottom"/>
          </w:tcPr>
          <w:p>
            <w:pPr>
              <w:spacing w:after="0"/>
              <w:rPr>
                <w:sz w:val="24"/>
                <w:szCs w:val="24"/>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22"/>
                <w:szCs w:val="22"/>
                <w:color w:val="auto"/>
              </w:rPr>
              <w:t>Year Ended</w:t>
            </w:r>
          </w:p>
        </w:tc>
      </w:tr>
      <w:tr>
        <w:trPr>
          <w:trHeight w:val="282"/>
        </w:trPr>
        <w:tc>
          <w:tcPr>
            <w:tcW w:w="7160" w:type="dxa"/>
            <w:vAlign w:val="bottom"/>
          </w:tcPr>
          <w:p>
            <w:pPr>
              <w:spacing w:after="0"/>
              <w:rPr>
                <w:sz w:val="24"/>
                <w:szCs w:val="24"/>
                <w:color w:val="auto"/>
              </w:rPr>
            </w:pPr>
          </w:p>
        </w:tc>
        <w:tc>
          <w:tcPr>
            <w:tcW w:w="20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2024</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2024</w:t>
            </w:r>
          </w:p>
        </w:tc>
      </w:tr>
      <w:tr>
        <w:trPr>
          <w:trHeight w:val="251"/>
        </w:trPr>
        <w:tc>
          <w:tcPr>
            <w:tcW w:w="71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Results:</w:t>
            </w: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60.1</w:t>
            </w:r>
          </w:p>
        </w:tc>
        <w:tc>
          <w:tcPr>
            <w:tcW w:w="200" w:type="dxa"/>
            <w:vAlign w:val="bottom"/>
          </w:tcPr>
          <w:p>
            <w:pPr>
              <w:spacing w:after="0"/>
              <w:rPr>
                <w:sz w:val="23"/>
                <w:szCs w:val="23"/>
                <w:color w:val="auto"/>
              </w:rPr>
            </w:pPr>
          </w:p>
        </w:tc>
      </w:tr>
      <w:tr>
        <w:trPr>
          <w:trHeight w:val="279"/>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w:t>
            </w:r>
          </w:p>
        </w:tc>
        <w:tc>
          <w:tcPr>
            <w:tcW w:w="200" w:type="dxa"/>
            <w:vAlign w:val="bottom"/>
          </w:tcPr>
          <w:p>
            <w:pPr>
              <w:spacing w:after="0"/>
              <w:rPr>
                <w:sz w:val="24"/>
                <w:szCs w:val="24"/>
                <w:color w:val="auto"/>
              </w:rPr>
            </w:pPr>
          </w:p>
        </w:tc>
      </w:tr>
      <w:tr>
        <w:trPr>
          <w:trHeight w:val="315"/>
        </w:trPr>
        <w:tc>
          <w:tcPr>
            <w:tcW w:w="716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0.89</w:t>
            </w:r>
          </w:p>
        </w:tc>
        <w:tc>
          <w:tcPr>
            <w:tcW w:w="200" w:type="dxa"/>
            <w:vAlign w:val="bottom"/>
          </w:tcPr>
          <w:p>
            <w:pPr>
              <w:spacing w:after="0"/>
              <w:rPr>
                <w:sz w:val="24"/>
                <w:szCs w:val="24"/>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0.88</w:t>
            </w:r>
          </w:p>
        </w:tc>
        <w:tc>
          <w:tcPr>
            <w:tcW w:w="200" w:type="dxa"/>
            <w:vAlign w:val="bottom"/>
          </w:tcPr>
          <w:p>
            <w:pPr>
              <w:spacing w:after="0"/>
              <w:rPr>
                <w:sz w:val="24"/>
                <w:szCs w:val="24"/>
                <w:color w:val="auto"/>
              </w:rPr>
            </w:pPr>
          </w:p>
        </w:tc>
      </w:tr>
      <w:tr>
        <w:trPr>
          <w:trHeight w:val="798"/>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291.6</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1,043.6</w:t>
            </w:r>
          </w:p>
        </w:tc>
        <w:tc>
          <w:tcPr>
            <w:tcW w:w="200" w:type="dxa"/>
            <w:vAlign w:val="bottom"/>
          </w:tcPr>
          <w:p>
            <w:pPr>
              <w:spacing w:after="0"/>
              <w:rPr>
                <w:sz w:val="23"/>
                <w:szCs w:val="23"/>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235.2</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824.6</w:t>
            </w:r>
          </w:p>
        </w:tc>
        <w:tc>
          <w:tcPr>
            <w:tcW w:w="200" w:type="dxa"/>
            <w:vAlign w:val="bottom"/>
          </w:tcPr>
          <w:p>
            <w:pPr>
              <w:spacing w:after="0"/>
              <w:rPr>
                <w:sz w:val="24"/>
                <w:szCs w:val="24"/>
                <w:color w:val="auto"/>
              </w:rPr>
            </w:pPr>
          </w:p>
        </w:tc>
      </w:tr>
      <w:tr>
        <w:trPr>
          <w:trHeight w:val="528"/>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PSLF Portfolio data:</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1,031.2</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1,031.2</w:t>
            </w:r>
          </w:p>
        </w:tc>
        <w:tc>
          <w:tcPr>
            <w:tcW w:w="20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145.9</w:t>
            </w:r>
          </w:p>
        </w:tc>
        <w:tc>
          <w:tcPr>
            <w:tcW w:w="22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396.1</w:t>
            </w:r>
          </w:p>
        </w:tc>
        <w:tc>
          <w:tcPr>
            <w:tcW w:w="200" w:type="dxa"/>
            <w:vAlign w:val="bottom"/>
          </w:tcPr>
          <w:p>
            <w:pPr>
              <w:spacing w:after="0"/>
              <w:rPr>
                <w:sz w:val="23"/>
                <w:szCs w:val="23"/>
                <w:color w:val="auto"/>
              </w:rPr>
            </w:pPr>
          </w:p>
        </w:tc>
      </w:tr>
      <w:tr>
        <w:trPr>
          <w:trHeight w:val="282"/>
        </w:trPr>
        <w:tc>
          <w:tcPr>
            <w:tcW w:w="7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w:t>
            </w: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172.9</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60" w:lineRule="exact"/>
        <w:rPr>
          <w:sz w:val="20"/>
          <w:szCs w:val="20"/>
          <w:color w:val="auto"/>
        </w:rPr>
      </w:pPr>
    </w:p>
    <w:p>
      <w:pPr>
        <w:ind w:left="540" w:right="20" w:hanging="208"/>
        <w:spacing w:after="0" w:line="241"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Loan Fund, LLC ("PSLF"), an unconsolidated joint venture, totaling $183.8 million, at fair value.</w:t>
      </w:r>
    </w:p>
    <w:p>
      <w:pPr>
        <w:spacing w:after="0" w:line="1" w:lineRule="exact"/>
        <w:rPr>
          <w:rFonts w:ascii="Times New Roman" w:cs="Times New Roman" w:eastAsia="Times New Roman" w:hAnsi="Times New Roman"/>
          <w:sz w:val="22"/>
          <w:szCs w:val="22"/>
          <w:color w:val="auto"/>
        </w:rPr>
      </w:pPr>
    </w:p>
    <w:p>
      <w:pPr>
        <w:jc w:val="both"/>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unrealized gain on our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spacing w:after="0" w:line="2" w:lineRule="exact"/>
        <w:rPr>
          <w:rFonts w:ascii="Times New Roman" w:cs="Times New Roman" w:eastAsia="Times New Roman" w:hAnsi="Times New Roman"/>
          <w:sz w:val="22"/>
          <w:szCs w:val="22"/>
          <w:color w:val="auto"/>
        </w:rPr>
      </w:pPr>
    </w:p>
    <w:p>
      <w:pPr>
        <w:jc w:val="both"/>
        <w:ind w:left="540" w:hanging="208"/>
        <w:spacing w:after="0" w:line="232"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year ended September 30, 2024, Core NII excluded: i) $2.5 million of PSLF special dividend income, and ii) $0.4 million of incentive fee expense offset.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EST ON NOVEMBER 26, 2024</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Corporation (“we,” “our,” “us” or the “Company”) will also host a conference call at 12:00 p.m. (Eastern Time) on Tuesday, November 26,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#3424889 or PennantPark Investment Corporation.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announce another quarter of solid performance from both an NAV and Net Investment Income perspective,” said Arthur Penn, Chairman and CEO. “Our earnings stream continues to be robust due to strong credit performance and the excellent returns generated by our PSLF joint venture."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2024, our portfolio totaled $1,328.1 million and consisted of $667.9 million or 50% of first lien secured debt, $99.6 million or 7%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percent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(excluding U.S. Government Securities), had a weighted average yield on interest bearing debt investments of 13.0%.</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September 30, 2024, we invested $191.9 million in 12 new and 44 existing portfolio companies at a weighted average yield on debt investments of 11.4% (excluding U.S. Government Securities). For the three months ended September 30, 2024, sales and repayments of investments totaled $175.3 million (excluding U.S. Government Securities), including $117.0 million of sales to PSLF. For the year ended September 30, 2024, we invested $774.6 million of investments in 41 new and 81 existing portfolio companies with a weighted average yield on debt investments of 11.7 % (excluding U.S. Government Securities). Sales and repayments of investments for the same period totaled $555.4 million (excluding U.S. Government Securities), including $308.7 million of sales to PSLF.</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September 30, 2023, we invested $61.1 million in two new and 31 existing portfolio companies at a weighted average yield on debt investments of 12.3% (excluding U.S. Government Securities). For the three months ended September 30, 2023, sales and repayments of investments totaled $138.2 million (excluding U.S. Government Securities), including $47.6 million of sales to PSLF. For the year ended September 30, 2023, we invested $275.4 million in 17 new and 69 existing portfolio companies at a weighted average yield on debt investments of 12.0% (excluding U.S. Government Securities). For the year ended September 30, 2023, sales and repayment totaled $418.6 million (excluding U.S. Government Securities), including $127.8 million of sales to PSLF.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PNNT has agreed to invest an additional $52.5 million and its joint venture partner has agreed to invest an additional $75.0 million of capital in PSLF. In addition, PSLF increased its senior secured credit facility provided by BNP Paribas from $325 million to $400 million, thereby allowing the JV to scale its investment portfolio to over $1.5 billion, representing a nearly $500 million increase in the JV’s investment capacity.</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September 30, 2024, PSLF’s portfolio totaled $1,031.2 million, consisted of 102 companies with an average investment size of $10.1 million and had a weighted average yield interest bearing debt investments of 11.3%.</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September 30, 2023, PSLF’s portfolio totaled $804.2 million, consisted of 90 companies with an average investment size of $8.9 million and had a weighted average yield on debt investments of 12.1%.</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September 30, 2024, PSLF invested $145.9 million (including $117.0 million purchased from the Company) in three new and seven existing portfolio companies at a weighted average yield on debt investments of 11.5%. PSLF’s sales and repayments of investments for the same period totaled $39.1 million. For the year ended September 30, 2024, PSLF invested $396.1 million (of which $308.8 million was purchased from the Company) in 20 new and 24 existing portfolio companies with a weighted average yield on debt investments of 11.8%. PSLF's sales and repayments of investments for the same period totaled $172.9 million.</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September 30, 2023, PSLF invested $56.9 million (including $47.6 million purchased from the Company) in five new and 18 existing portfolio companies at a weighted average yield on debt investments of 11.8%. PSLF’s sales and repayments of investments for the same period totaled $52.6 million. For the year ended September 30, 2023, PSLF invested $176.2 million (including $127.8 million purchased from the Company) in 21 new and 23 existing portfolio companies at a weighted average yield on debt investments of 11.8%. PSLF's sales and repayments of investments for the same period totaled $106.6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ended and years ended September 30,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and year ended September 30, 2024, investment income was $36.5 million and $143.8 million, respectively, which was attributable to $27.2 million and $104.8 million from first lien secured debt, $2.2 million and $9.8 million from second lien secured debt, $1.1 million and $3.0 million from subordinated debt and $6.0 million and $26.2 million from other investments, respectively. For the three months and year ended September 30, 2023, investment income was $34.0 million and $145.4 million, respectively, which was attributable to $24.5 million and $97.2 million from first lien secured debt, $2.9 million and $13.8 million from second lien secured debt, $1.3 million and $4.7 million from subordinated debt and $5.4 million and $29.7 million from preferred and common equity, respectively. The decrease in investment income for the year compared to the same period in the prior year was primarily due to a decrease in dividend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months and year ended September 30, 2024, expenses totaled $22.0 million and $83.7 million, respectively, and were comprised of $12.3 million and $45.2 million of debt related interest and expenses, $4.3 million and $16.7 million of base management fees, $3.1 million and $12.7 million of incentive fees, $1.8 million and $6.6 million of general and administrative expenses and $0.7 million and $2.6 million of provision for excise taxes. For the three months and year ended September 30, 2023, expenses totaled $18.4 million and $79.8 million, respectively, and were comprised of $9.0 million and $39.4 million of debt related interest and expenses, $3.9 million and $16.5 million of base management fees, $3.3 million and $13.9 million of incentive fees, $1.6 million and $5.7 million of general and administrative expenses and $0.7 million and $4.3 million of provision for excise taxes. The increase in expenses over the prior year was primarily due to an increase in debt related interest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and year ended September 30, 2024, net investment income totaled $14.4 million and $60.1 million, or $0.22 per share and $0.92 per share, respectively. For the three months and year ended September 30, 2023, net investment income totaled $15.6 million and $65.5 million, or $0.24 per share and $1.00 per share, respectively. The decrease in net investment income per share compared to the prior year was primarily due to an increase in debt-related interest expenses and decrease in dividend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and year ended September 30, 2024, net realized gains (losses) totaled $2.5 million and $(33.6) million, respectively. For the three months and year ended September 30, 2023, net realized gains (losses) totaled $(5.2) million and $(156.8) million, respectively. The change in realized gains/losses was primarily due to changes in market conditions of our investments and the values at which they were realized and the fluctuations in the market and in the economy.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and year ended September 30, 2024, net change in unrealized appreciation (depreciation) on investments was $4.3 million and $26.8 million, respectively. For the three months ended and year ended September 30, 2023, net change in unrealized appreciation (depreciation) on investments was $2.5 million and $61.2 million, respectively. As of September 30, 2024 and September 30, 2023, our net unrealized appreciation (depreciation) on investments totaled $11.2 million and $(16.3) million, respectively. The net change in unrealized appreciation/depreciation on our investments for the year ended September 30, 2024 compared to the prior year was primarily due to changes in the capital market conditions of our investments and the values at which they were realized and the fluctuation in the market and in the economy.</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2024, our Credit Facility had a net change in unrealized appreciation (depreciation) of $(2.8) million and $(4.4) million, respectively. For the three months and year ended September 30, 2023, our Credit Facility had a net change in unrealized appreciation (depreciation) of $(1.3) million and $(3.8) million, respectively. As of September 30, 2024 and September 30, 2023, the net unrealized appreciation (depreciation) on the Credit Facility totaled $1.1 million and $5.5 million, respectively. The net change in unrealized depreciation for the year ended September 30, 2024 compared to the prior year was primarily due to changes in the capital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ectPr>
          <w:pgSz w:w="11900" w:h="16838" w:orient="portrait"/>
          <w:cols w:equalWidth="0" w:num="1">
            <w:col w:w="11240"/>
          </w:cols>
          <w:pgMar w:left="320" w:top="111" w:right="339" w:bottom="252"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2024, net increase (decrease) in net assets resulting from operations totaled $18.4 million and $48.9 million, or $0.28 per share and $0.75 per share, respectively. For the three months and year ended September 30, 2023, net increase (decrease) in net assets resulting from operations totaled $12.3 million and $(33.8) million, or $0.19 per share and $(0.52) per share, respectively. The increase in net assets from operations for the year ended September 30, 2024 compared to the prior year was primarily due to larger depreciation of the portfolio in the prior year primarily driven by changes in market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September 30, 2024 and 2023, we had $461.5 million and $212.4 million, respectively, in outstanding borrowings under the Truist Credit Facility. The Truist Credit Facility had a weighted average interest rate of 7.2% and 7.7%, respectively, exclusive of the fee on undrawn commitments. As of September 30, 2024 and 2023, we had $13.5 million and $262.6 million of unused borrowing capacity under the Truist Credit Facility, respectively, subject to leverage and borrowing base restrictions.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September 30, 2024 and 2023, we had cash and cash equivalents of $49.9 million and $38.8 million, respectively, available for investing and general corporate purposes. We believe our liquidity and capital resources are sufficient to allow us to effectively operate our business.</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2024, our operating activities used cash of $(172.4) million and our financing activities provided cash of $183.4 million for the same period. Our operating activities used cash primarily for our investment activities and our financing activities provided cash primarily from borrowings under our Truist Credit Facility.</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year ended September 30, 2023, our operating activities provided cash of $222.9 million and our financing activities used cash of $239.2 million for the same period. Our operating activities provided cash primarily from our investment activities and our financing activities used cash primarily from the proceeds of our 2026-2 Notes and net repayments under our Truist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and year ended September 30, 2024, we declared distributions of $0.24 and $0.88 per share, for total distributions of $15.7 million and $57.4 million, respectively. During the three months and year ended September 30, 2023, we declared distributions of $0.21 and $0.76 per share, for total distributions of $13.7 million and $49.6 million, respectively. We monitor available net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annual report on Form 10-K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ASSETS AND LIABILITIES </w:t>
      </w:r>
      <w:r>
        <w:rPr>
          <w:rFonts w:ascii="Times New Roman" w:cs="Times New Roman" w:eastAsia="Times New Roman" w:hAnsi="Times New Roman"/>
          <w:sz w:val="22"/>
          <w:szCs w:val="22"/>
          <w:color w:val="auto"/>
        </w:rPr>
        <w:t>(In thousands, except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86"/>
        </w:trPr>
        <w:tc>
          <w:tcPr>
            <w:tcW w:w="730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September 30, 2024</w:t>
            </w:r>
          </w:p>
        </w:tc>
        <w:tc>
          <w:tcPr>
            <w:tcW w:w="180" w:type="dxa"/>
            <w:vAlign w:val="bottom"/>
          </w:tcPr>
          <w:p>
            <w:pPr>
              <w:spacing w:after="0"/>
              <w:rPr>
                <w:sz w:val="24"/>
                <w:szCs w:val="24"/>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71"/>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5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cost—$916,168 and</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$816,754, respectively)</w:t>
            </w:r>
          </w:p>
        </w:tc>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910,323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830,808</w:t>
            </w: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(amortized cost—$56,734 and $55,787,</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33,423</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54,771</w:t>
            </w:r>
          </w:p>
        </w:tc>
        <w:tc>
          <w:tcPr>
            <w:tcW w:w="0" w:type="dxa"/>
            <w:vAlign w:val="bottom"/>
          </w:tcPr>
          <w:p>
            <w:pPr>
              <w:spacing w:after="0"/>
              <w:rPr>
                <w:sz w:val="1"/>
                <w:szCs w:val="1"/>
                <w:color w:val="auto"/>
              </w:rPr>
            </w:pPr>
          </w:p>
        </w:tc>
      </w:tr>
      <w:tr>
        <w:trPr>
          <w:trHeight w:val="243"/>
        </w:trPr>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(amortized cost—$343,970 and $245,386,</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384,304</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216,068</w:t>
            </w:r>
          </w:p>
        </w:tc>
        <w:tc>
          <w:tcPr>
            <w:tcW w:w="0" w:type="dxa"/>
            <w:vAlign w:val="bottom"/>
          </w:tcPr>
          <w:p>
            <w:pPr>
              <w:spacing w:after="0"/>
              <w:rPr>
                <w:sz w:val="1"/>
                <w:szCs w:val="1"/>
                <w:color w:val="auto"/>
              </w:rPr>
            </w:pPr>
          </w:p>
        </w:tc>
      </w:tr>
      <w:tr>
        <w:trPr>
          <w:trHeight w:val="251"/>
        </w:trPr>
        <w:tc>
          <w:tcPr>
            <w:tcW w:w="730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cost—$1,316,872 and $1,117,927, respectively)</w:t>
            </w: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1,328,050</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1,101,647</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(cost—$49,833 and $38,784, respectively)</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49,861</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38,775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5,261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6,820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5,417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5,079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affiliates</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228</w:t>
            </w:r>
          </w:p>
        </w:tc>
        <w:tc>
          <w:tcPr>
            <w:tcW w:w="52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269</w:t>
            </w:r>
          </w:p>
        </w:tc>
        <w:tc>
          <w:tcPr>
            <w:tcW w:w="5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5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1,389,086</w:t>
            </w:r>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1,156,977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5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Truist Credit Facility payable, at fair value (cost—$461,456 and $212,420,</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460,361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206,940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 $150,000)</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148,571</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147,669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2026 Notes-2 payable, net (par— $165,000)</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163,080</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162,226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 purchased</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100,096</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99,949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6,406</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6,231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5,224</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13,697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4,297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3,915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3,057</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3,310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4,053</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6,754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affiliates</w:t>
            </w:r>
          </w:p>
        </w:tc>
        <w:tc>
          <w:tcPr>
            <w:tcW w:w="54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33</w:t>
            </w:r>
          </w:p>
        </w:tc>
        <w:tc>
          <w:tcPr>
            <w:tcW w:w="5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5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895,178</w:t>
            </w:r>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654,790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0"/>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5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65,296,094 and 65,224,500 shares issued and outstanding,</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respectively</w:t>
            </w: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65</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54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743,968</w:t>
            </w:r>
          </w:p>
        </w:tc>
        <w:tc>
          <w:tcPr>
            <w:tcW w:w="52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746,466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5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(250,125)</w:t>
            </w:r>
          </w:p>
        </w:tc>
        <w:tc>
          <w:tcPr>
            <w:tcW w:w="5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(244,344)</w:t>
            </w:r>
          </w:p>
        </w:tc>
        <w:tc>
          <w:tcPr>
            <w:tcW w:w="0" w:type="dxa"/>
            <w:vAlign w:val="bottom"/>
          </w:tcPr>
          <w:p>
            <w:pPr>
              <w:spacing w:after="0"/>
              <w:rPr>
                <w:sz w:val="1"/>
                <w:szCs w:val="1"/>
                <w:color w:val="auto"/>
              </w:rPr>
            </w:pPr>
          </w:p>
        </w:tc>
      </w:tr>
      <w:tr>
        <w:trPr>
          <w:trHeight w:val="265"/>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5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493,908</w:t>
            </w:r>
          </w:p>
        </w:tc>
        <w:tc>
          <w:tcPr>
            <w:tcW w:w="2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502,187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1,389,086</w:t>
            </w:r>
          </w:p>
        </w:tc>
        <w:tc>
          <w:tcPr>
            <w:tcW w:w="200" w:type="dxa"/>
            <w:vAlign w:val="bottom"/>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1,156,977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200" w:type="dxa"/>
            <w:vAlign w:val="bottom"/>
            <w:vMerge w:val="continue"/>
          </w:tcPr>
          <w:p>
            <w:pPr>
              <w:spacing w:after="0"/>
              <w:rPr>
                <w:sz w:val="22"/>
                <w:szCs w:val="22"/>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7.70</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OPERATIONS </w:t>
      </w:r>
      <w:r>
        <w:rPr>
          <w:rFonts w:ascii="Times New Roman" w:cs="Times New Roman" w:eastAsia="Times New Roman" w:hAnsi="Times New Roman"/>
          <w:sz w:val="22"/>
          <w:szCs w:val="22"/>
          <w:color w:val="auto"/>
        </w:rPr>
        <w:t>(In thousands,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60" w:type="dxa"/>
            <w:vAlign w:val="bottom"/>
          </w:tcPr>
          <w:p>
            <w:pPr>
              <w:spacing w:after="0"/>
              <w:rPr>
                <w:sz w:val="24"/>
                <w:szCs w:val="24"/>
                <w:color w:val="auto"/>
              </w:rPr>
            </w:pPr>
          </w:p>
        </w:tc>
        <w:tc>
          <w:tcPr>
            <w:tcW w:w="3160" w:type="dxa"/>
            <w:vAlign w:val="bottom"/>
            <w:gridSpan w:val="6"/>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rPr>
              <w:t>Three Months Ended Sept 30,</w:t>
            </w:r>
          </w:p>
        </w:tc>
        <w:tc>
          <w:tcPr>
            <w:tcW w:w="140" w:type="dxa"/>
            <w:vAlign w:val="bottom"/>
          </w:tcPr>
          <w:p>
            <w:pPr>
              <w:spacing w:after="0"/>
              <w:rPr>
                <w:sz w:val="24"/>
                <w:szCs w:val="24"/>
                <w:color w:val="auto"/>
              </w:rPr>
            </w:pPr>
          </w:p>
        </w:tc>
        <w:tc>
          <w:tcPr>
            <w:tcW w:w="2760" w:type="dxa"/>
            <w:vAlign w:val="bottom"/>
            <w:gridSpan w:val="5"/>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8"/>
              </w:rPr>
              <w:t>Year Ended Ended Sept 30,</w:t>
            </w:r>
          </w:p>
        </w:tc>
        <w:tc>
          <w:tcPr>
            <w:tcW w:w="0" w:type="dxa"/>
            <w:vAlign w:val="bottom"/>
          </w:tcPr>
          <w:p>
            <w:pPr>
              <w:spacing w:after="0"/>
              <w:rPr>
                <w:sz w:val="1"/>
                <w:szCs w:val="1"/>
                <w:color w:val="auto"/>
              </w:rPr>
            </w:pPr>
          </w:p>
        </w:tc>
      </w:tr>
      <w:tr>
        <w:trPr>
          <w:trHeight w:val="264"/>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6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50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19,174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21,240</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80,527</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93,420</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1,221</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1,236</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1,028</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13,945</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888</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2,316</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308</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6,349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4,527</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15,425</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446</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2,596</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4,840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4,386</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15,730</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3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36,500</w:t>
            </w:r>
          </w:p>
        </w:tc>
        <w:tc>
          <w:tcPr>
            <w:tcW w:w="2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34,044</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143,818</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145,366</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3,915</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16,549</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3,310</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13,901</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12,281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8,953</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39,408</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469</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1,843</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1,129</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3,837</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Expenses before provision for taxes</w:t>
            </w:r>
          </w:p>
        </w:tc>
        <w:tc>
          <w:tcPr>
            <w:tcW w:w="3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21,385</w:t>
            </w:r>
          </w:p>
        </w:tc>
        <w:tc>
          <w:tcPr>
            <w:tcW w:w="2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17,776</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75,538</w:t>
            </w:r>
          </w:p>
        </w:tc>
        <w:tc>
          <w:tcPr>
            <w:tcW w:w="0" w:type="dxa"/>
            <w:vAlign w:val="bottom"/>
          </w:tcPr>
          <w:p>
            <w:pPr>
              <w:spacing w:after="0"/>
              <w:rPr>
                <w:sz w:val="1"/>
                <w:szCs w:val="1"/>
                <w:color w:val="auto"/>
              </w:rPr>
            </w:pPr>
          </w:p>
        </w:tc>
      </w:tr>
      <w:tr>
        <w:trPr>
          <w:trHeight w:val="26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663</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4,295</w:t>
            </w:r>
          </w:p>
        </w:tc>
        <w:tc>
          <w:tcPr>
            <w:tcW w:w="0" w:type="dxa"/>
            <w:vAlign w:val="bottom"/>
          </w:tcPr>
          <w:p>
            <w:pPr>
              <w:spacing w:after="0"/>
              <w:rPr>
                <w:sz w:val="1"/>
                <w:szCs w:val="1"/>
                <w:color w:val="auto"/>
              </w:rPr>
            </w:pPr>
          </w:p>
        </w:tc>
      </w:tr>
      <w:tr>
        <w:trPr>
          <w:trHeight w:val="26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22,085</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18,439</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83,748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79,833</w:t>
            </w:r>
          </w:p>
        </w:tc>
        <w:tc>
          <w:tcPr>
            <w:tcW w:w="0" w:type="dxa"/>
            <w:vAlign w:val="bottom"/>
          </w:tcPr>
          <w:p>
            <w:pPr>
              <w:spacing w:after="0"/>
              <w:rPr>
                <w:sz w:val="1"/>
                <w:szCs w:val="1"/>
                <w:color w:val="auto"/>
              </w:rPr>
            </w:pPr>
          </w:p>
        </w:tc>
      </w:tr>
    </w:tbl>
    <w:p>
      <w:pPr>
        <w:sectPr>
          <w:pgSz w:w="11900" w:h="16838" w:orient="portrait"/>
          <w:cols w:equalWidth="0" w:num="1">
            <w:col w:w="11180"/>
          </w:cols>
          <w:pgMar w:left="340" w:top="111" w:right="37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15,605</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60,070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65,533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w:t>
            </w: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debt:</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(442)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(2,676)</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(18,418)</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(35,474)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(34,999)</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(133,098)</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extinguishment</w:t>
            </w:r>
          </w:p>
        </w:tc>
        <w:tc>
          <w:tcPr>
            <w:tcW w:w="4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(289)</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(2,535)</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(4,952)</w:t>
            </w:r>
          </w:p>
        </w:tc>
        <w:tc>
          <w:tcPr>
            <w:tcW w:w="0" w:type="dxa"/>
            <w:vAlign w:val="bottom"/>
          </w:tcPr>
          <w:p>
            <w:pPr>
              <w:spacing w:after="0"/>
              <w:rPr>
                <w:sz w:val="1"/>
                <w:szCs w:val="1"/>
                <w:color w:val="auto"/>
              </w:rPr>
            </w:pPr>
          </w:p>
        </w:tc>
      </w:tr>
      <w:tr>
        <w:trPr>
          <w:trHeight w:val="265"/>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4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(35,553)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(5,211)</w:t>
            </w:r>
          </w:p>
        </w:tc>
        <w:tc>
          <w:tcPr>
            <w:tcW w:w="22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(33,647)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(156,757)</w:t>
            </w:r>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(5,483)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(1,928)</w:t>
            </w:r>
          </w:p>
        </w:tc>
        <w:tc>
          <w:tcPr>
            <w:tcW w:w="4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(20,895)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(35,440)</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9,796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4,400</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48,388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95,034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Provision for taxes on unrealized appreciation</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on investments</w:t>
            </w:r>
          </w:p>
        </w:tc>
        <w:tc>
          <w:tcPr>
            <w:tcW w:w="4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680</w:t>
            </w:r>
          </w:p>
        </w:tc>
        <w:tc>
          <w:tcPr>
            <w:tcW w:w="4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(680)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1,576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4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(2,807)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(1,279)</w:t>
            </w:r>
          </w:p>
        </w:tc>
        <w:tc>
          <w:tcPr>
            <w:tcW w:w="4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(4,385)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(3,753)</w:t>
            </w:r>
          </w:p>
        </w:tc>
        <w:tc>
          <w:tcPr>
            <w:tcW w:w="0" w:type="dxa"/>
            <w:vAlign w:val="bottom"/>
          </w:tcPr>
          <w:p>
            <w:pPr>
              <w:spacing w:after="0"/>
              <w:rPr>
                <w:sz w:val="1"/>
                <w:szCs w:val="1"/>
                <w:color w:val="auto"/>
              </w:rPr>
            </w:pPr>
          </w:p>
        </w:tc>
      </w:tr>
      <w:tr>
        <w:trPr>
          <w:trHeight w:val="207"/>
        </w:trPr>
        <w:tc>
          <w:tcPr>
            <w:tcW w:w="506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w:t>
            </w: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(depreciation) on investments and debt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1,873</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22,428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57,417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gain (loss) from</w:t>
            </w: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4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(34,047)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(3,338)</w:t>
            </w:r>
          </w:p>
        </w:tc>
        <w:tc>
          <w:tcPr>
            <w:tcW w:w="4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(11,219)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(99,340)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26"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2"/>
                <w:szCs w:val="22"/>
                <w:color w:val="auto"/>
              </w:rPr>
              <w:t>(19,632)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12,267</w:t>
            </w:r>
          </w:p>
        </w:tc>
        <w:tc>
          <w:tcPr>
            <w:tcW w:w="4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48,851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rPr>
              <w:t>(33,807)</w:t>
            </w:r>
          </w:p>
        </w:tc>
        <w:tc>
          <w:tcPr>
            <w:tcW w:w="0" w:type="dxa"/>
            <w:vAlign w:val="bottom"/>
          </w:tcPr>
          <w:p>
            <w:pPr>
              <w:spacing w:after="0"/>
              <w:rPr>
                <w:sz w:val="1"/>
                <w:szCs w:val="1"/>
                <w:color w:val="auto"/>
              </w:rPr>
            </w:pPr>
          </w:p>
        </w:tc>
      </w:tr>
      <w:tr>
        <w:trPr>
          <w:trHeight w:val="261"/>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w:t>
            </w:r>
          </w:p>
        </w:tc>
        <w:tc>
          <w:tcPr>
            <w:tcW w:w="40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2"/>
                <w:szCs w:val="22"/>
                <w:color w:val="auto"/>
              </w:rPr>
              <w:t>(0.30)</w:t>
            </w:r>
          </w:p>
        </w:tc>
        <w:tc>
          <w:tcPr>
            <w:tcW w:w="52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0.19</w:t>
            </w: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0.75</w:t>
            </w:r>
          </w:p>
        </w:tc>
        <w:tc>
          <w:tcPr>
            <w:tcW w:w="220" w:type="dxa"/>
            <w:vAlign w:val="bottom"/>
          </w:tcPr>
          <w:p>
            <w:pPr>
              <w:spacing w:after="0"/>
              <w:rPr>
                <w:sz w:val="16"/>
                <w:szCs w:val="16"/>
                <w:color w:val="auto"/>
              </w:rPr>
            </w:pPr>
          </w:p>
        </w:tc>
        <w:tc>
          <w:tcPr>
            <w:tcW w:w="34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rPr>
              <w:t>(0.52)</w:t>
            </w:r>
          </w:p>
        </w:tc>
        <w:tc>
          <w:tcPr>
            <w:tcW w:w="0" w:type="dxa"/>
            <w:vAlign w:val="bottom"/>
          </w:tcPr>
          <w:p>
            <w:pPr>
              <w:spacing w:after="0"/>
              <w:rPr>
                <w:sz w:val="1"/>
                <w:szCs w:val="1"/>
                <w:color w:val="auto"/>
              </w:rPr>
            </w:pPr>
          </w:p>
        </w:tc>
      </w:tr>
      <w:tr>
        <w:trPr>
          <w:trHeight w:val="261"/>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 per common share</w:t>
            </w:r>
          </w:p>
        </w:tc>
        <w:tc>
          <w:tcPr>
            <w:tcW w:w="4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20" w:type="dxa"/>
            <w:vAlign w:val="bottom"/>
            <w:vMerge w:val="continue"/>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0.92</w:t>
            </w:r>
          </w:p>
        </w:tc>
        <w:tc>
          <w:tcPr>
            <w:tcW w:w="220" w:type="dxa"/>
            <w:vAlign w:val="bottom"/>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Richard T. Allorto, Jr.</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(212) 905-1000</w:t>
      </w:r>
    </w:p>
    <w:p>
      <w:pPr>
        <w:sectPr>
          <w:pgSz w:w="11900" w:h="16838" w:orient="portrait"/>
          <w:cols w:equalWidth="0" w:num="1">
            <w:col w:w="11240"/>
          </w:cols>
          <w:pgMar w:left="320" w:top="108" w:right="339" w:bottom="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2024-11-25T15:15:02Z</dcterms:created>
  <dcterms:modified xsi:type="dcterms:W3CDTF">2024-11-25T15:15:02Z</dcterms:modified>
</cp:coreProperties>
</file>