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June 10, 2022</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Registration and Reports</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 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20549-0505</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PENNANTPARK INVESTMENT CORPORATION</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File No. 814-00736</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behalf of PennantPark Investment Corporation (the “Corporation”), enclosed for filing, pursuant to Rule 17g-1 of the Investment Company Act of 1940, as amended (the “1940 Act”), are the following documents:</w:t>
      </w:r>
    </w:p>
    <w:p>
      <w:pPr>
        <w:spacing w:after="0" w:line="67" w:lineRule="exact"/>
        <w:rPr>
          <w:sz w:val="24"/>
          <w:szCs w:val="24"/>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Joint Fidelity Bond and any riders thereto for the Corporation and other joint insureds (attached as Exhibit A);</w:t>
      </w:r>
    </w:p>
    <w:p>
      <w:pPr>
        <w:spacing w:after="0" w:line="130" w:lineRule="exact"/>
        <w:rPr>
          <w:rFonts w:ascii="Times New Roman" w:cs="Times New Roman" w:eastAsia="Times New Roman" w:hAnsi="Times New Roman"/>
          <w:sz w:val="18"/>
          <w:szCs w:val="18"/>
          <w:color w:val="auto"/>
        </w:rPr>
      </w:pPr>
    </w:p>
    <w:p>
      <w:pPr>
        <w:ind w:left="960" w:hanging="532"/>
        <w:spacing w:after="0" w:line="261"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certified copy of the resolutions approved at the May 3, 2022 meeting of the Board of Directors of the Corporation in which a majority of the directors who are not “interested persons” of the Corporation as defined by Section 2(a)(19) of the 1940 Act approved the amount, type, form and coverage of the Joint Fidelity Bond, the portion of the premium paid by the Corporation and the Joint Fidelity Bond Agreement (attached as Exhibit B); and</w:t>
      </w:r>
    </w:p>
    <w:p>
      <w:pPr>
        <w:spacing w:after="0" w:line="85" w:lineRule="exact"/>
        <w:rPr>
          <w:rFonts w:ascii="Times New Roman" w:cs="Times New Roman" w:eastAsia="Times New Roman" w:hAnsi="Times New Roman"/>
          <w:sz w:val="18"/>
          <w:szCs w:val="18"/>
          <w:color w:val="auto"/>
        </w:rPr>
      </w:pPr>
    </w:p>
    <w:p>
      <w:pPr>
        <w:ind w:left="960" w:right="5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Joint Fidelity Bond Agreement, by and among the Corporation and other joint insureds, pursuant to paragraph (f) of Rule 17g-1 (attached as Exhibit C).</w:t>
      </w:r>
    </w:p>
    <w:p>
      <w:pPr>
        <w:spacing w:after="0" w:line="162" w:lineRule="exact"/>
        <w:rPr>
          <w:sz w:val="24"/>
          <w:szCs w:val="24"/>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If the Corporation had not been named as a co-insured under this Joint Fidelity Bond Agreement, the Corporation would have maintained a single-insured fidelity bond in the amount of at least $1,250,000 as required under paragraph (d)(1) of Rule 17g-1. A premium of $1,494 was paid for the period May 31, 2022 through May 31, 2023.</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Please contact me at (212) 905-1000 if you have any questions.</w:t>
      </w:r>
    </w:p>
    <w:p>
      <w:pPr>
        <w:spacing w:after="0" w:line="252"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8"/>
          <w:szCs w:val="18"/>
          <w:color w:val="auto"/>
        </w:rPr>
        <w:t>/s/ Richard Cheung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8"/>
          <w:szCs w:val="18"/>
          <w:color w:val="auto"/>
        </w:rPr>
        <w:t>Richard Cheung</w:t>
      </w:r>
    </w:p>
    <w:p>
      <w:pPr>
        <w:spacing w:after="0" w:line="225"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25"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8"/>
          <w:szCs w:val="18"/>
          <w:color w:val="auto"/>
        </w:rPr>
        <w:t>PennantPark Investment Corporation</w:t>
      </w:r>
    </w:p>
    <w:p>
      <w:pPr>
        <w:sectPr>
          <w:pgSz w:w="11900" w:h="16838" w:orient="portrait"/>
          <w:cols w:equalWidth="0" w:num="1">
            <w:col w:w="10840"/>
          </w:cols>
          <w:pgMar w:left="440" w:top="229" w:right="619" w:bottom="1440" w:gutter="0" w:footer="0" w:header="0"/>
        </w:sectPr>
      </w:pPr>
    </w:p>
    <w:bookmarkStart w:id="1" w:name="page2"/>
    <w:bookmarkEnd w:id="1"/>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 of the Secretary</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undersigned, Thomas J. Friedmann, Secretary of PennantPark Investment Corporation, a Maryland corporation (the “Corporation”), does hereby certify that:</w:t>
      </w:r>
    </w:p>
    <w:p>
      <w:pPr>
        <w:spacing w:after="0" w:line="67" w:lineRule="exact"/>
        <w:rPr>
          <w:sz w:val="20"/>
          <w:szCs w:val="20"/>
          <w:color w:val="auto"/>
        </w:rPr>
      </w:pPr>
    </w:p>
    <w:p>
      <w:pPr>
        <w:ind w:left="960" w:right="60" w:hanging="532"/>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is being delivered to the Securities and Exchange Commission (the “SEC”) in connection with the filing of the Corporation’s joint fidelity bond (the “Bond”) pursuant to Rule 17g-1 of the Investment Company Act of 1940, as amended, and the SEC is entitled to rely on this certificate for purposes of the filing.</w:t>
      </w:r>
    </w:p>
    <w:p>
      <w:pPr>
        <w:spacing w:after="0" w:line="81" w:lineRule="exact"/>
        <w:rPr>
          <w:rFonts w:ascii="Times New Roman" w:cs="Times New Roman" w:eastAsia="Times New Roman" w:hAnsi="Times New Roman"/>
          <w:sz w:val="18"/>
          <w:szCs w:val="18"/>
          <w:color w:val="auto"/>
        </w:rPr>
      </w:pPr>
    </w:p>
    <w:p>
      <w:pPr>
        <w:ind w:left="960" w:right="320" w:hanging="532"/>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the duly elected, qualified and acting Secretary of the Corporation, and has custody of the corporate records of the Corporation and is a proper officer to make this certification.</w:t>
      </w:r>
    </w:p>
    <w:p>
      <w:pPr>
        <w:spacing w:after="0" w:line="67"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hereto as Exhibit B is a certified copy of the resolutions approved by a majority of the directors who are not “interested persons” of the Corporation, approving the amount, type, form and coverage of the Bond.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Premiums have been paid for the period May 31, 2022 through May 31,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certificate to be executed this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of June 2022.</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Thomas J. Friedmann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Secretary</w:t>
      </w:r>
    </w:p>
    <w:p>
      <w:pPr>
        <w:sectPr>
          <w:pgSz w:w="11900" w:h="16838" w:orient="portrait"/>
          <w:cols w:equalWidth="0" w:num="1">
            <w:col w:w="10920"/>
          </w:cols>
          <w:pgMar w:left="440" w:top="266" w:right="5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97155</wp:posOffset>
            </wp:positionV>
            <wp:extent cx="1671320" cy="34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132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 Box 2950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Hartford, CT 06104-2950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INVESTMENT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Important Information about </w:t>
      </w:r>
      <w:r>
        <w:rPr>
          <w:rFonts w:ascii="Times New Roman" w:cs="Times New Roman" w:eastAsia="Times New Roman" w:hAnsi="Times New Roman"/>
          <w:sz w:val="18"/>
          <w:szCs w:val="18"/>
          <w:b w:val="1"/>
          <w:bCs w:val="1"/>
          <w:u w:val="single" w:color="auto"/>
          <w:color w:val="auto"/>
        </w:rPr>
        <w:t>Claims Information Line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PENNANTPARK INVESTMENT CORPORATION</w:t>
      </w:r>
    </w:p>
    <w:p>
      <w:pPr>
        <w:spacing w:after="0" w:line="22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color w:val="auto"/>
        </w:rPr>
        <w:t xml:space="preserve">Travelers Bond &amp; Specialty Insurance is pleased to announce its </w:t>
      </w:r>
      <w:r>
        <w:rPr>
          <w:rFonts w:ascii="Times New Roman" w:cs="Times New Roman" w:eastAsia="Times New Roman" w:hAnsi="Times New Roman"/>
          <w:sz w:val="18"/>
          <w:szCs w:val="18"/>
          <w:b w:val="1"/>
          <w:bCs w:val="1"/>
          <w:color w:val="auto"/>
        </w:rPr>
        <w:t>1-800-842-8496</w:t>
      </w:r>
      <w:r>
        <w:rPr>
          <w:rFonts w:ascii="Times New Roman" w:cs="Times New Roman" w:eastAsia="Times New Roman" w:hAnsi="Times New Roman"/>
          <w:sz w:val="18"/>
          <w:szCs w:val="18"/>
          <w:color w:val="auto"/>
        </w:rPr>
        <w:t xml:space="preserve"> Claims Information Line. This line is designed to provide insureds with an additional resource on how to report claims or those circumstances or events which may become claims.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Policyholders will be able to obtain assistance on the following topics from the Claims Information Line:</w:t>
      </w:r>
    </w:p>
    <w:p>
      <w:pPr>
        <w:spacing w:after="0" w:line="131"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that needs to be included with the claim notice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electronic mail address and/or facsimile number to which the policyholder can send claims related information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 questions on the claim process answered</w:t>
      </w:r>
    </w:p>
    <w:p>
      <w:pPr>
        <w:spacing w:after="0" w:line="22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Declarations Page of your policy sets forth where you should report claims and claims related information. You should also review the policy’s reporting requirements to be aware of how much time you have to report a claim to Travelers. The sooner Travelers is notified, the sooner we can become involved in the process and offer assistance to our policyholder. A delay in reporting may result in all or part of a matter to fall outside of the coverage provided.</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Claims Information Line should streamline the claim reporting process and allow policyholders to ask questions on what information is needed as well as other questions which will assist them in working with Travelers. While the Claims Information Line provides policyholders a valuable resource by answering questions and providing information, the line does not replace the reporting requirements contained in the Policy.</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hope this improvement to customer service is something our policyholders will find helps them understand the claim process and provides them a resource for reporting.</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LTR-4035 Ed. 06-09</w:t>
            </w:r>
          </w:p>
        </w:tc>
        <w:tc>
          <w:tcPr>
            <w:tcW w:w="3640" w:type="dxa"/>
            <w:vAlign w:val="bottom"/>
            <w:tcBorders>
              <w:top w:val="single" w:sz="8" w:color="auto"/>
            </w:tcBorders>
          </w:tcPr>
          <w:p>
            <w:pPr>
              <w:ind w:left="2820"/>
              <w:spacing w:after="0"/>
              <w:rPr>
                <w:sz w:val="20"/>
                <w:szCs w:val="20"/>
                <w:color w:val="auto"/>
              </w:rPr>
            </w:pPr>
            <w:r>
              <w:rPr>
                <w:rFonts w:ascii="Times New Roman" w:cs="Times New Roman" w:eastAsia="Times New Roman" w:hAnsi="Times New Roman"/>
                <w:sz w:val="18"/>
                <w:szCs w:val="18"/>
                <w:color w:val="auto"/>
                <w:w w:val="98"/>
              </w:rPr>
              <w:t>Page 1 of 1</w:t>
            </w: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 2009 The Travelers Indemnity Company. All rights reserved.</w:t>
            </w:r>
          </w:p>
        </w:tc>
        <w:tc>
          <w:tcPr>
            <w:tcW w:w="3640" w:type="dxa"/>
            <w:vAlign w:val="bottom"/>
          </w:tcPr>
          <w:p>
            <w:pPr>
              <w:spacing w:after="0"/>
              <w:rPr>
                <w:sz w:val="20"/>
                <w:szCs w:val="20"/>
                <w:color w:val="auto"/>
              </w:rPr>
            </w:pPr>
          </w:p>
        </w:tc>
      </w:tr>
    </w:tbl>
    <w:p>
      <w:pPr>
        <w:sectPr>
          <w:pgSz w:w="11900" w:h="16838" w:orient="portrait"/>
          <w:cols w:equalWidth="0" w:num="1">
            <w:col w:w="11020"/>
          </w:cols>
          <w:pgMar w:left="440" w:top="266" w:right="43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414655</wp:posOffset>
            </wp:positionV>
            <wp:extent cx="1294130" cy="265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294130" cy="265430"/>
                    </a:xfrm>
                    <a:prstGeom prst="rect">
                      <a:avLst/>
                    </a:prstGeom>
                    <a:noFill/>
                  </pic:spPr>
                </pic:pic>
              </a:graphicData>
            </a:graphic>
          </wp:anchor>
        </w:drawing>
        <w:t>P.O. Box 2950</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Hartford, CT 06104-2950</w:t>
      </w:r>
    </w:p>
    <w:p>
      <w:pPr>
        <w:spacing w:after="0" w:line="1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05/17/2022</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PENNANTPARK INVESTMENT CORPORATION</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590 MADISON AVENUE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15th Floor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RE: Risk Management PLUS+ Online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8"/>
          <w:szCs w:val="18"/>
          <w:b w:val="1"/>
          <w:bCs w:val="1"/>
          <w:color w:val="auto"/>
        </w:rPr>
        <w:t xml:space="preserve"> from Travelers Bond &amp; Specialty Insurance </w:t>
      </w:r>
      <w:r>
        <w:rPr>
          <w:rFonts w:ascii="Times New Roman" w:cs="Times New Roman" w:eastAsia="Times New Roman" w:hAnsi="Times New Roman"/>
          <w:sz w:val="18"/>
          <w:szCs w:val="18"/>
          <w:color w:val="auto"/>
        </w:rPr>
        <w:t>(www.rmplusonline.com)</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a Travelers Bond &amp; Specialty Insured you receive risk management services, at no cost, to help protect you and your business.</w:t>
      </w:r>
    </w:p>
    <w:p>
      <w:pPr>
        <w:spacing w:after="0" w:line="225" w:lineRule="exact"/>
        <w:rPr>
          <w:sz w:val="20"/>
          <w:szCs w:val="20"/>
          <w:color w:val="auto"/>
        </w:rPr>
      </w:pPr>
    </w:p>
    <w:p>
      <w:pPr>
        <w:ind w:left="4" w:right="420"/>
        <w:spacing w:after="0" w:line="282" w:lineRule="auto"/>
        <w:rPr>
          <w:sz w:val="20"/>
          <w:szCs w:val="20"/>
          <w:color w:val="auto"/>
        </w:rPr>
      </w:pPr>
      <w:r>
        <w:rPr>
          <w:rFonts w:ascii="Times New Roman" w:cs="Times New Roman" w:eastAsia="Times New Roman" w:hAnsi="Times New Roman"/>
          <w:sz w:val="18"/>
          <w:szCs w:val="18"/>
          <w:color w:val="auto"/>
        </w:rPr>
        <w:t>Risk Management PLUS+ Online, is a robust website to assist you in the mitigation of risk relative to employment practices, directors and officers, fiduciary liability, cyber, crime, kidnap &amp; ransom, and identity fraud exposures.</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Highlights of Risk Management PLUS+ Online include:</w:t>
      </w:r>
    </w:p>
    <w:p>
      <w:pPr>
        <w:spacing w:after="0" w:line="131" w:lineRule="exact"/>
        <w:rPr>
          <w:sz w:val="20"/>
          <w:szCs w:val="20"/>
          <w:color w:val="auto"/>
        </w:rPr>
      </w:pPr>
    </w:p>
    <w:p>
      <w:pPr>
        <w:ind w:left="964" w:hanging="424"/>
        <w:spacing w:after="0"/>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Thousands of articles on a variety of risk management topics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Topical webinars and podcasts on current issues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Checklists to assist in managing risk</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 based training</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Model Employee Handbook, including policies and forms for downloading or printing that reduce risks in the workplace.</w:t>
      </w:r>
    </w:p>
    <w:p>
      <w:pPr>
        <w:spacing w:after="0" w:line="225" w:lineRule="exact"/>
        <w:rPr>
          <w:sz w:val="20"/>
          <w:szCs w:val="20"/>
          <w:color w:val="auto"/>
        </w:rPr>
      </w:pPr>
    </w:p>
    <w:p>
      <w:pPr>
        <w:ind w:left="4" w:right="280"/>
        <w:spacing w:after="0" w:line="282" w:lineRule="auto"/>
        <w:rPr>
          <w:sz w:val="20"/>
          <w:szCs w:val="20"/>
          <w:color w:val="auto"/>
        </w:rPr>
      </w:pPr>
      <w:r>
        <w:rPr>
          <w:rFonts w:ascii="Times New Roman" w:cs="Times New Roman" w:eastAsia="Times New Roman" w:hAnsi="Times New Roman"/>
          <w:sz w:val="18"/>
          <w:szCs w:val="18"/>
          <w:color w:val="auto"/>
        </w:rPr>
        <w:t>The following Risk Management PLUS+ Online Registration Instructions contain easy, step-by-step instructions to register for this valuable tool. For more information, call 1-888-712-7667 and ask for your Risk Management PLUS+ Online representative. It’s that simple.</w:t>
      </w:r>
    </w:p>
    <w:p>
      <w:pPr>
        <w:spacing w:after="0" w:line="162"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Thank you for choosing Travelers Bond &amp; Specialty Insurance for your insurance needs. Travelers is a market leader in providing management liability and crime coverages that are specifically customized for your organization.</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Instructions for Registration &amp; Orientation to Risk Management PLUS+ Online</w:t>
      </w:r>
      <w:r>
        <w:rPr>
          <w:rFonts w:ascii="Times New Roman" w:cs="Times New Roman" w:eastAsia="Times New Roman" w:hAnsi="Times New Roman"/>
          <w:sz w:val="15"/>
          <w:szCs w:val="15"/>
          <w:u w:val="single" w:color="auto"/>
          <w:color w:val="auto"/>
        </w:rPr>
        <w:t>®</w:t>
      </w:r>
    </w:p>
    <w:p>
      <w:pPr>
        <w:spacing w:after="0" w:line="22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Registration for Site Administrators:</w:t>
      </w:r>
    </w:p>
    <w:p>
      <w:pPr>
        <w:spacing w:after="0" w:line="119" w:lineRule="exact"/>
        <w:rPr>
          <w:sz w:val="20"/>
          <w:szCs w:val="20"/>
          <w:color w:val="auto"/>
        </w:rPr>
      </w:pPr>
    </w:p>
    <w:p>
      <w:pPr>
        <w:ind w:left="4" w:right="80"/>
        <w:spacing w:after="0" w:line="266" w:lineRule="auto"/>
        <w:rPr>
          <w:sz w:val="20"/>
          <w:szCs w:val="20"/>
          <w:color w:val="auto"/>
        </w:rPr>
      </w:pPr>
      <w:r>
        <w:rPr>
          <w:rFonts w:ascii="Times New Roman" w:cs="Times New Roman" w:eastAsia="Times New Roman" w:hAnsi="Times New Roman"/>
          <w:sz w:val="18"/>
          <w:szCs w:val="18"/>
          <w:color w:val="auto"/>
        </w:rPr>
        <w:t>The Site Administrator is the person in your organization who will oversee Risk Management PLUS+ Online for the organization. The Site Administrator is typically a person who leads human resources and/or financial functions or is responsible for legal matters pertaining to personnel. The Site Administrator may add other Site Administrators later to assist with their responsibilities. To register:</w:t>
      </w:r>
    </w:p>
    <w:p>
      <w:pPr>
        <w:spacing w:after="0" w:line="176" w:lineRule="exact"/>
        <w:rPr>
          <w:sz w:val="20"/>
          <w:szCs w:val="20"/>
          <w:color w:val="auto"/>
        </w:rPr>
      </w:pPr>
    </w:p>
    <w:p>
      <w:pPr>
        <w:ind w:left="184" w:hanging="184"/>
        <w:spacing w:after="0"/>
        <w:tabs>
          <w:tab w:leader="none" w:pos="18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 to www.rmplusonline.com.</w:t>
      </w:r>
    </w:p>
    <w:p>
      <w:pPr>
        <w:spacing w:after="0" w:line="113"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Sign-In box, click </w:t>
      </w:r>
      <w:r>
        <w:rPr>
          <w:rFonts w:ascii="Times New Roman" w:cs="Times New Roman" w:eastAsia="Times New Roman" w:hAnsi="Times New Roman"/>
          <w:sz w:val="18"/>
          <w:szCs w:val="18"/>
          <w:b w:val="1"/>
          <w:bCs w:val="1"/>
          <w:color w:val="auto"/>
        </w:rPr>
        <w:t>Register.</w:t>
      </w:r>
    </w:p>
    <w:p>
      <w:pPr>
        <w:spacing w:after="0" w:line="121" w:lineRule="exact"/>
        <w:rPr>
          <w:sz w:val="20"/>
          <w:szCs w:val="20"/>
          <w:color w:val="auto"/>
        </w:rPr>
      </w:pPr>
    </w:p>
    <w:p>
      <w:pPr>
        <w:ind w:left="4" w:right="560"/>
        <w:spacing w:after="0" w:line="282" w:lineRule="auto"/>
        <w:rPr>
          <w:sz w:val="20"/>
          <w:szCs w:val="20"/>
          <w:color w:val="auto"/>
        </w:rPr>
      </w:pPr>
      <w:r>
        <w:rPr>
          <w:rFonts w:ascii="Times New Roman" w:cs="Times New Roman" w:eastAsia="Times New Roman" w:hAnsi="Times New Roman"/>
          <w:sz w:val="18"/>
          <w:szCs w:val="18"/>
          <w:color w:val="auto"/>
        </w:rPr>
        <w:t>3. Enter the password/passcode: &lt;TRVP300100 for Insurance Companies&gt; &lt;TRVP300400 for Banks and Diversified&gt; &lt;TRVP300300 for Asset Management&gt;</w:t>
      </w:r>
    </w:p>
    <w:p>
      <w:pPr>
        <w:spacing w:after="0" w:line="50" w:lineRule="exact"/>
        <w:rPr>
          <w:sz w:val="20"/>
          <w:szCs w:val="20"/>
          <w:color w:val="auto"/>
        </w:rPr>
      </w:pPr>
    </w:p>
    <w:p>
      <w:pPr>
        <w:ind w:left="184" w:hanging="184"/>
        <w:spacing w:after="0"/>
        <w:tabs>
          <w:tab w:leader="none" w:pos="18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Fill in the Registration Information and click </w:t>
      </w:r>
      <w:r>
        <w:rPr>
          <w:rFonts w:ascii="Times New Roman" w:cs="Times New Roman" w:eastAsia="Times New Roman" w:hAnsi="Times New Roman"/>
          <w:sz w:val="18"/>
          <w:szCs w:val="18"/>
          <w:b w:val="1"/>
          <w:bCs w:val="1"/>
          <w:color w:val="auto"/>
        </w:rPr>
        <w:t>Submit.</w:t>
      </w:r>
    </w:p>
    <w:p>
      <w:pPr>
        <w:spacing w:after="0" w:line="121"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organization is registered, and you are registered as Site Administrator.</w:t>
      </w:r>
    </w:p>
    <w:p>
      <w:pPr>
        <w:spacing w:after="0" w:line="22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Learning to Navigate the Site:</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1.Go to www.rmplusonline.com. On each page, you will see a box outlined in blue that contains the instructions for use of that page.</w:t>
      </w:r>
    </w:p>
    <w:p>
      <w:pPr>
        <w:spacing w:after="0" w:line="113" w:lineRule="exact"/>
        <w:rPr>
          <w:sz w:val="20"/>
          <w:szCs w:val="20"/>
          <w:color w:val="auto"/>
        </w:rPr>
      </w:pPr>
    </w:p>
    <w:p>
      <w:pPr>
        <w:ind w:left="4" w:right="40"/>
        <w:spacing w:after="0" w:line="286" w:lineRule="auto"/>
        <w:rPr>
          <w:sz w:val="20"/>
          <w:szCs w:val="20"/>
          <w:color w:val="auto"/>
        </w:rPr>
      </w:pPr>
      <w:r>
        <w:rPr>
          <w:rFonts w:ascii="Times New Roman" w:cs="Times New Roman" w:eastAsia="Times New Roman" w:hAnsi="Times New Roman"/>
          <w:sz w:val="18"/>
          <w:szCs w:val="18"/>
          <w:color w:val="auto"/>
        </w:rPr>
        <w:t xml:space="preserve">2.If you have any questions, just click on </w:t>
      </w:r>
      <w:r>
        <w:rPr>
          <w:rFonts w:ascii="Times New Roman" w:cs="Times New Roman" w:eastAsia="Times New Roman" w:hAnsi="Times New Roman"/>
          <w:sz w:val="18"/>
          <w:szCs w:val="18"/>
          <w:b w:val="1"/>
          <w:bCs w:val="1"/>
          <w:color w:val="auto"/>
        </w:rPr>
        <w:t>Contact Us</w:t>
      </w:r>
      <w:r>
        <w:rPr>
          <w:rFonts w:ascii="Times New Roman" w:cs="Times New Roman" w:eastAsia="Times New Roman" w:hAnsi="Times New Roman"/>
          <w:sz w:val="18"/>
          <w:szCs w:val="18"/>
          <w:color w:val="auto"/>
        </w:rPr>
        <w:t xml:space="preserve"> on the front page. Enter your question in the form provided, and the System Administrator will get back to you quickly with the answer.</w:t>
      </w:r>
    </w:p>
    <w:p>
      <w:pPr>
        <w:spacing w:after="0" w:line="5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3. You can also schedule a live walk-through of the site by sending a request for a walk-through via the contact link on the front page.</w:t>
      </w:r>
    </w:p>
    <w:p>
      <w:pPr>
        <w:spacing w:after="0" w:line="399" w:lineRule="exact"/>
        <w:rPr>
          <w:sz w:val="20"/>
          <w:szCs w:val="20"/>
          <w:color w:val="auto"/>
        </w:rPr>
      </w:pPr>
    </w:p>
    <w:tbl>
      <w:tblPr>
        <w:tblLayout w:type="fixed"/>
        <w:tblInd w:w="4" w:type="dxa"/>
        <w:tblCellMar>
          <w:top w:w="0" w:type="dxa"/>
          <w:left w:w="0" w:type="dxa"/>
          <w:bottom w:w="0" w:type="dxa"/>
          <w:right w:w="0" w:type="dxa"/>
        </w:tblCellMar>
      </w:tblPr>
      <w:tr>
        <w:trPr>
          <w:trHeight w:val="225"/>
        </w:trPr>
        <w:tc>
          <w:tcPr>
            <w:tcW w:w="7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LTR-4107 Rev. 06-18</w:t>
            </w:r>
          </w:p>
        </w:tc>
        <w:tc>
          <w:tcPr>
            <w:tcW w:w="3640" w:type="dxa"/>
            <w:vAlign w:val="bottom"/>
            <w:tcBorders>
              <w:top w:val="single" w:sz="8" w:color="auto"/>
            </w:tcBorders>
          </w:tcPr>
          <w:p>
            <w:pPr>
              <w:ind w:left="2820"/>
              <w:spacing w:after="0"/>
              <w:rPr>
                <w:sz w:val="20"/>
                <w:szCs w:val="20"/>
                <w:color w:val="auto"/>
              </w:rPr>
            </w:pPr>
            <w:r>
              <w:rPr>
                <w:rFonts w:ascii="Times New Roman" w:cs="Times New Roman" w:eastAsia="Times New Roman" w:hAnsi="Times New Roman"/>
                <w:sz w:val="18"/>
                <w:szCs w:val="18"/>
                <w:color w:val="auto"/>
                <w:w w:val="98"/>
              </w:rPr>
              <w:t>Page 1 of 1</w:t>
            </w: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 2018 The Travelers Indemnity Company. All rights reserved.</w:t>
            </w:r>
          </w:p>
        </w:tc>
        <w:tc>
          <w:tcPr>
            <w:tcW w:w="3640" w:type="dxa"/>
            <w:vAlign w:val="bottom"/>
          </w:tcPr>
          <w:p>
            <w:pPr>
              <w:spacing w:after="0"/>
              <w:rPr>
                <w:sz w:val="20"/>
                <w:szCs w:val="20"/>
                <w:color w:val="auto"/>
              </w:rPr>
            </w:pPr>
          </w:p>
        </w:tc>
      </w:tr>
    </w:tbl>
    <w:p>
      <w:pPr>
        <w:sectPr>
          <w:pgSz w:w="11900" w:h="16838" w:orient="portrait"/>
          <w:cols w:equalWidth="0" w:num="1">
            <w:col w:w="11024"/>
          </w:cols>
          <w:pgMar w:left="436" w:top="1157" w:right="439" w:bottom="1440" w:gutter="0" w:footer="0" w:header="0"/>
        </w:sectPr>
      </w:pPr>
    </w:p>
    <w:bookmarkStart w:id="4" w:name="page5"/>
    <w:bookmarkEnd w:id="4"/>
    <w:p>
      <w:pPr>
        <w:ind w:right="26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notice provides no coverage, nor does it change any policy terms. To determine the scope of coverage and the insured’s rights and duties under the policy, read the entire policy carefully. For more information about the content of this notice, the insured should contact their agent or broker. If there is any conflict between the policy and this notice, the terms of the policy prevail.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293370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Independent Agent And Broker</w:t>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Compensation Notice</w:t>
      </w:r>
    </w:p>
    <w:p>
      <w:pPr>
        <w:spacing w:after="0" w:line="200" w:lineRule="exact"/>
        <w:rPr>
          <w:sz w:val="20"/>
          <w:szCs w:val="20"/>
          <w:color w:val="auto"/>
        </w:rPr>
      </w:pPr>
    </w:p>
    <w:p>
      <w:pPr>
        <w:sectPr>
          <w:pgSz w:w="11900" w:h="16838" w:orient="portrait"/>
          <w:cols w:equalWidth="0" w:num="2">
            <w:col w:w="7860" w:space="720"/>
            <w:col w:w="2440"/>
          </w:cols>
          <w:pgMar w:left="440" w:top="324" w:right="4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on how Travelers compensates independent agents, brokers, or other insurance producers, please visit this website: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www.travelers.com/w3c/legal/Producer_Compensation_Disclosure.html.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write or call:</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Travelers, Agency Compensation</w:t>
      </w:r>
    </w:p>
    <w:p>
      <w:pPr>
        <w:spacing w:after="0" w:line="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P.O. Box 2950</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Hartford, Connecticut 06104-2950</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(866) 904.8348</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NTC-19036 Rev. 01-19</w:t>
            </w:r>
          </w:p>
        </w:tc>
        <w:tc>
          <w:tcPr>
            <w:tcW w:w="3640" w:type="dxa"/>
            <w:vAlign w:val="bottom"/>
            <w:tcBorders>
              <w:top w:val="single" w:sz="8" w:color="auto"/>
            </w:tcBorders>
          </w:tcPr>
          <w:p>
            <w:pPr>
              <w:ind w:left="2820"/>
              <w:spacing w:after="0"/>
              <w:rPr>
                <w:sz w:val="20"/>
                <w:szCs w:val="20"/>
                <w:color w:val="auto"/>
              </w:rPr>
            </w:pPr>
            <w:r>
              <w:rPr>
                <w:rFonts w:ascii="Times New Roman" w:cs="Times New Roman" w:eastAsia="Times New Roman" w:hAnsi="Times New Roman"/>
                <w:sz w:val="18"/>
                <w:szCs w:val="18"/>
                <w:color w:val="auto"/>
                <w:w w:val="98"/>
              </w:rPr>
              <w:t>Page 1 of 1</w:t>
            </w: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 2019 The Travelers Indemnity Company. All rights reserved.</w:t>
            </w:r>
          </w:p>
        </w:tc>
        <w:tc>
          <w:tcPr>
            <w:tcW w:w="3640" w:type="dxa"/>
            <w:vAlign w:val="bottom"/>
          </w:tcPr>
          <w:p>
            <w:pPr>
              <w:spacing w:after="0"/>
              <w:rPr>
                <w:sz w:val="20"/>
                <w:szCs w:val="20"/>
                <w:color w:val="auto"/>
              </w:rPr>
            </w:pPr>
          </w:p>
        </w:tc>
      </w:tr>
    </w:tbl>
    <w:p>
      <w:pPr>
        <w:sectPr>
          <w:pgSz w:w="11900" w:h="16838" w:orient="portrait"/>
          <w:cols w:equalWidth="0" w:num="1">
            <w:col w:w="11020"/>
          </w:cols>
          <w:pgMar w:left="440" w:top="324" w:right="439" w:bottom="1440"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94130" cy="265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294130" cy="265430"/>
                    </a:xfrm>
                    <a:prstGeom prst="rect">
                      <a:avLst/>
                    </a:prstGeom>
                    <a:noFill/>
                  </pic:spPr>
                </pic:pic>
              </a:graphicData>
            </a:graphic>
          </wp:anchor>
        </w:drawing>
        <w:drawing>
          <wp:anchor simplePos="0" relativeHeight="251657728" behindDoc="1" locked="0" layoutInCell="0" allowOverlap="1">
            <wp:simplePos x="0" y="0"/>
            <wp:positionH relativeFrom="page">
              <wp:posOffset>6200140</wp:posOffset>
            </wp:positionH>
            <wp:positionV relativeFrom="page">
              <wp:posOffset>182880</wp:posOffset>
            </wp:positionV>
            <wp:extent cx="1071880"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071880" cy="162560"/>
                    </a:xfrm>
                    <a:prstGeom prst="rect">
                      <a:avLst/>
                    </a:prstGeom>
                    <a:noFill/>
                  </pic:spPr>
                </pic:pic>
              </a:graphicData>
            </a:graphic>
          </wp:anchor>
        </w:drawing>
        <w:t>Investment Company Bond</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Declarations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40005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88"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8"/>
          <w:szCs w:val="18"/>
          <w:b w:val="1"/>
          <w:bCs w:val="1"/>
          <w:color w:val="auto"/>
        </w:rPr>
        <w:t xml:space="preserve">BOND NO. </w:t>
      </w:r>
      <w:r>
        <w:rPr>
          <w:rFonts w:ascii="Times New Roman" w:cs="Times New Roman" w:eastAsia="Times New Roman" w:hAnsi="Times New Roman"/>
          <w:sz w:val="18"/>
          <w:szCs w:val="18"/>
          <w:color w:val="auto"/>
        </w:rPr>
        <w:t>106736322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Travelers Casualty and Surety Company of America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Hartford, Connecticut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 Stock Insurance Company, herein called the Company)</w:t>
      </w:r>
    </w:p>
    <w:p>
      <w:pPr>
        <w:spacing w:after="0" w:line="243"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INSURED: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PENNANTPARK INVESTMENT CORPORATION</w:t>
      </w:r>
    </w:p>
    <w:p>
      <w:pPr>
        <w:spacing w:after="0" w:line="10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Principal Address:</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590 MADISON AVENUE</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15th Floor</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(hereinafter, “Insured”)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378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POLICY PERIOD:</w:t>
            </w:r>
          </w:p>
        </w:tc>
        <w:tc>
          <w:tcPr>
            <w:tcW w:w="6160" w:type="dxa"/>
            <w:vAlign w:val="bottom"/>
            <w:tcBorders>
              <w:top w:val="single" w:sz="8" w:color="auto"/>
            </w:tcBorders>
          </w:tcPr>
          <w:p>
            <w:pPr>
              <w:spacing w:after="0"/>
              <w:rPr>
                <w:sz w:val="20"/>
                <w:szCs w:val="20"/>
                <w:color w:val="auto"/>
              </w:rPr>
            </w:pPr>
          </w:p>
        </w:tc>
      </w:tr>
      <w:tr>
        <w:trPr>
          <w:trHeight w:val="304"/>
        </w:trPr>
        <w:tc>
          <w:tcPr>
            <w:tcW w:w="1080" w:type="dxa"/>
            <w:vAlign w:val="bottom"/>
          </w:tcPr>
          <w:p>
            <w:pPr>
              <w:spacing w:after="0"/>
              <w:rPr>
                <w:sz w:val="24"/>
                <w:szCs w:val="24"/>
                <w:color w:val="auto"/>
              </w:rPr>
            </w:pPr>
          </w:p>
        </w:tc>
        <w:tc>
          <w:tcPr>
            <w:tcW w:w="3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Inception Date: May 31, 2022</w:t>
            </w:r>
          </w:p>
        </w:tc>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Expiration Date: May 31, 2023</w:t>
            </w:r>
          </w:p>
        </w:tc>
      </w:tr>
      <w:tr>
        <w:trPr>
          <w:trHeight w:val="234"/>
        </w:trPr>
        <w:tc>
          <w:tcPr>
            <w:tcW w:w="1080" w:type="dxa"/>
            <w:vAlign w:val="bottom"/>
            <w:tcBorders>
              <w:bottom w:val="single" w:sz="8" w:color="auto"/>
            </w:tcBorders>
          </w:tcPr>
          <w:p>
            <w:pPr>
              <w:spacing w:after="0"/>
              <w:rPr>
                <w:sz w:val="20"/>
                <w:szCs w:val="20"/>
                <w:color w:val="auto"/>
              </w:rPr>
            </w:pPr>
          </w:p>
        </w:tc>
        <w:tc>
          <w:tcPr>
            <w:tcW w:w="994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color w:val="auto"/>
              </w:rPr>
              <w:t>12:01 A.M. local time as to both dates at the Principal Address stated in ITEM 1.</w:t>
            </w:r>
          </w:p>
        </w:tc>
      </w:tr>
      <w:tr>
        <w:trPr>
          <w:trHeight w:val="187"/>
        </w:trPr>
        <w:tc>
          <w:tcPr>
            <w:tcW w:w="108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ITEM 3</w:t>
            </w:r>
          </w:p>
        </w:tc>
        <w:tc>
          <w:tcPr>
            <w:tcW w:w="9940" w:type="dxa"/>
            <w:vAlign w:val="bottom"/>
            <w:gridSpan w:val="2"/>
          </w:tcPr>
          <w:p>
            <w:pPr>
              <w:ind w:left="460"/>
              <w:spacing w:after="0" w:line="188" w:lineRule="exact"/>
              <w:rPr>
                <w:sz w:val="20"/>
                <w:szCs w:val="20"/>
                <w:color w:val="auto"/>
              </w:rPr>
            </w:pPr>
            <w:r>
              <w:rPr>
                <w:rFonts w:ascii="Times New Roman" w:cs="Times New Roman" w:eastAsia="Times New Roman" w:hAnsi="Times New Roman"/>
                <w:sz w:val="18"/>
                <w:szCs w:val="18"/>
                <w:b w:val="1"/>
                <w:bCs w:val="1"/>
                <w:color w:val="auto"/>
              </w:rPr>
              <w:t>ALL NOTICES OF CLAIM OR LOSS MUST BE SENT TO THE COMPANY BY EMAIL, FACSIMILE, OR MAIL AS</w:t>
            </w:r>
          </w:p>
        </w:tc>
      </w:tr>
      <w:tr>
        <w:trPr>
          <w:trHeight w:val="238"/>
        </w:trPr>
        <w:tc>
          <w:tcPr>
            <w:tcW w:w="1080" w:type="dxa"/>
            <w:vAlign w:val="bottom"/>
          </w:tcPr>
          <w:p>
            <w:pPr>
              <w:spacing w:after="0"/>
              <w:rPr>
                <w:sz w:val="20"/>
                <w:szCs w:val="20"/>
                <w:color w:val="auto"/>
              </w:rPr>
            </w:pPr>
          </w:p>
        </w:tc>
        <w:tc>
          <w:tcPr>
            <w:tcW w:w="37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SET FORTH BELOW:</w:t>
            </w:r>
          </w:p>
        </w:tc>
        <w:tc>
          <w:tcPr>
            <w:tcW w:w="6160" w:type="dxa"/>
            <w:vAlign w:val="bottom"/>
          </w:tcPr>
          <w:p>
            <w:pPr>
              <w:spacing w:after="0"/>
              <w:rPr>
                <w:sz w:val="20"/>
                <w:szCs w:val="20"/>
                <w:color w:val="auto"/>
              </w:rPr>
            </w:pPr>
          </w:p>
        </w:tc>
      </w:tr>
      <w:tr>
        <w:trPr>
          <w:trHeight w:val="306"/>
        </w:trPr>
        <w:tc>
          <w:tcPr>
            <w:tcW w:w="1080" w:type="dxa"/>
            <w:vAlign w:val="bottom"/>
          </w:tcPr>
          <w:p>
            <w:pPr>
              <w:spacing w:after="0"/>
              <w:rPr>
                <w:sz w:val="24"/>
                <w:szCs w:val="24"/>
                <w:color w:val="auto"/>
              </w:rPr>
            </w:pPr>
          </w:p>
        </w:tc>
        <w:tc>
          <w:tcPr>
            <w:tcW w:w="3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Email: BSIclaims@travelers.com</w:t>
            </w:r>
          </w:p>
        </w:tc>
        <w:tc>
          <w:tcPr>
            <w:tcW w:w="6160" w:type="dxa"/>
            <w:vAlign w:val="bottom"/>
          </w:tcPr>
          <w:p>
            <w:pPr>
              <w:spacing w:after="0"/>
              <w:rPr>
                <w:sz w:val="24"/>
                <w:szCs w:val="24"/>
                <w:color w:val="auto"/>
              </w:rPr>
            </w:pPr>
          </w:p>
        </w:tc>
      </w:tr>
      <w:tr>
        <w:trPr>
          <w:trHeight w:val="234"/>
        </w:trPr>
        <w:tc>
          <w:tcPr>
            <w:tcW w:w="1080" w:type="dxa"/>
            <w:vAlign w:val="bottom"/>
          </w:tcPr>
          <w:p>
            <w:pPr>
              <w:spacing w:after="0"/>
              <w:rPr>
                <w:sz w:val="20"/>
                <w:szCs w:val="20"/>
                <w:color w:val="auto"/>
              </w:rPr>
            </w:pPr>
          </w:p>
        </w:tc>
        <w:tc>
          <w:tcPr>
            <w:tcW w:w="3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Fax: 1-888-460-6622</w:t>
            </w:r>
          </w:p>
        </w:tc>
        <w:tc>
          <w:tcPr>
            <w:tcW w:w="6160" w:type="dxa"/>
            <w:vAlign w:val="bottom"/>
          </w:tcPr>
          <w:p>
            <w:pPr>
              <w:spacing w:after="0"/>
              <w:rPr>
                <w:sz w:val="20"/>
                <w:szCs w:val="20"/>
                <w:color w:val="auto"/>
              </w:rPr>
            </w:pPr>
          </w:p>
        </w:tc>
      </w:tr>
      <w:tr>
        <w:trPr>
          <w:trHeight w:val="306"/>
        </w:trPr>
        <w:tc>
          <w:tcPr>
            <w:tcW w:w="1080" w:type="dxa"/>
            <w:vAlign w:val="bottom"/>
          </w:tcPr>
          <w:p>
            <w:pPr>
              <w:spacing w:after="0"/>
              <w:rPr>
                <w:sz w:val="24"/>
                <w:szCs w:val="24"/>
                <w:color w:val="auto"/>
              </w:rPr>
            </w:pPr>
          </w:p>
        </w:tc>
        <w:tc>
          <w:tcPr>
            <w:tcW w:w="99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Mail: Travelers Bond &amp; Specialty Insurance Claim</w:t>
            </w:r>
          </w:p>
        </w:tc>
      </w:tr>
      <w:tr>
        <w:trPr>
          <w:trHeight w:val="216"/>
        </w:trPr>
        <w:tc>
          <w:tcPr>
            <w:tcW w:w="1080" w:type="dxa"/>
            <w:vAlign w:val="bottom"/>
          </w:tcPr>
          <w:p>
            <w:pPr>
              <w:spacing w:after="0"/>
              <w:rPr>
                <w:sz w:val="18"/>
                <w:szCs w:val="18"/>
                <w:color w:val="auto"/>
              </w:rPr>
            </w:pPr>
          </w:p>
        </w:tc>
        <w:tc>
          <w:tcPr>
            <w:tcW w:w="37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P.O. Box 2989</w:t>
            </w:r>
          </w:p>
        </w:tc>
        <w:tc>
          <w:tcPr>
            <w:tcW w:w="616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37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Hartford, CT 06104-2989</w:t>
            </w:r>
          </w:p>
        </w:tc>
        <w:tc>
          <w:tcPr>
            <w:tcW w:w="6160" w:type="dxa"/>
            <w:vAlign w:val="bottom"/>
          </w:tcPr>
          <w:p>
            <w:pPr>
              <w:spacing w:after="0"/>
              <w:rPr>
                <w:sz w:val="20"/>
                <w:szCs w:val="20"/>
                <w:color w:val="auto"/>
              </w:rPr>
            </w:pPr>
          </w:p>
        </w:tc>
      </w:tr>
      <w:tr>
        <w:trPr>
          <w:trHeight w:val="454"/>
        </w:trPr>
        <w:tc>
          <w:tcPr>
            <w:tcW w:w="1080" w:type="dxa"/>
            <w:vAlign w:val="bottom"/>
          </w:tcPr>
          <w:p>
            <w:pPr>
              <w:spacing w:after="0"/>
              <w:rPr>
                <w:sz w:val="24"/>
                <w:szCs w:val="24"/>
                <w:color w:val="auto"/>
              </w:rPr>
            </w:pPr>
          </w:p>
        </w:tc>
        <w:tc>
          <w:tcPr>
            <w:tcW w:w="99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Overnight Mail: Travelers Bond &amp; Specialty Insurance Claim</w:t>
            </w:r>
          </w:p>
        </w:tc>
      </w:tr>
      <w:tr>
        <w:trPr>
          <w:trHeight w:val="216"/>
        </w:trPr>
        <w:tc>
          <w:tcPr>
            <w:tcW w:w="1080" w:type="dxa"/>
            <w:vAlign w:val="bottom"/>
          </w:tcPr>
          <w:p>
            <w:pPr>
              <w:spacing w:after="0"/>
              <w:rPr>
                <w:sz w:val="18"/>
                <w:szCs w:val="18"/>
                <w:color w:val="auto"/>
              </w:rPr>
            </w:pPr>
          </w:p>
        </w:tc>
        <w:tc>
          <w:tcPr>
            <w:tcW w:w="37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One Tower Square, S202A</w:t>
            </w:r>
          </w:p>
        </w:tc>
        <w:tc>
          <w:tcPr>
            <w:tcW w:w="616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37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Hartford, CT 06183</w:t>
            </w:r>
          </w:p>
        </w:tc>
        <w:tc>
          <w:tcPr>
            <w:tcW w:w="6160" w:type="dxa"/>
            <w:vAlign w:val="bottom"/>
          </w:tcPr>
          <w:p>
            <w:pPr>
              <w:spacing w:after="0"/>
              <w:rPr>
                <w:sz w:val="20"/>
                <w:szCs w:val="20"/>
                <w:color w:val="auto"/>
              </w:rPr>
            </w:pPr>
          </w:p>
        </w:tc>
      </w:tr>
      <w:tr>
        <w:trPr>
          <w:trHeight w:val="337"/>
        </w:trPr>
        <w:tc>
          <w:tcPr>
            <w:tcW w:w="1080" w:type="dxa"/>
            <w:vAlign w:val="bottom"/>
            <w:tcBorders>
              <w:bottom w:val="single" w:sz="8" w:color="auto"/>
            </w:tcBorders>
          </w:tcPr>
          <w:p>
            <w:pPr>
              <w:spacing w:after="0"/>
              <w:rPr>
                <w:sz w:val="24"/>
                <w:szCs w:val="24"/>
                <w:color w:val="auto"/>
              </w:rPr>
            </w:pPr>
          </w:p>
        </w:tc>
        <w:tc>
          <w:tcPr>
            <w:tcW w:w="994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color w:val="auto"/>
              </w:rPr>
              <w:t>For questions related to claim reporting or handling, please call 1-800-842-8496.</w:t>
            </w:r>
          </w:p>
        </w:tc>
      </w:tr>
      <w:tr>
        <w:trPr>
          <w:trHeight w:val="191"/>
        </w:trPr>
        <w:tc>
          <w:tcPr>
            <w:tcW w:w="10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ITEM 4</w:t>
            </w:r>
          </w:p>
        </w:tc>
        <w:tc>
          <w:tcPr>
            <w:tcW w:w="9940" w:type="dxa"/>
            <w:vAlign w:val="bottom"/>
            <w:gridSpan w:val="2"/>
          </w:tcPr>
          <w:p>
            <w:pPr>
              <w:ind w:left="460"/>
              <w:spacing w:after="0" w:line="191" w:lineRule="exact"/>
              <w:rPr>
                <w:sz w:val="20"/>
                <w:szCs w:val="20"/>
                <w:color w:val="auto"/>
              </w:rPr>
            </w:pPr>
            <w:r>
              <w:rPr>
                <w:rFonts w:ascii="Times New Roman" w:cs="Times New Roman" w:eastAsia="Times New Roman" w:hAnsi="Times New Roman"/>
                <w:sz w:val="18"/>
                <w:szCs w:val="18"/>
                <w:color w:val="auto"/>
                <w:w w:val="99"/>
              </w:rPr>
              <w:t>If “</w:t>
            </w:r>
            <w:r>
              <w:rPr>
                <w:rFonts w:ascii="Times New Roman" w:cs="Times New Roman" w:eastAsia="Times New Roman" w:hAnsi="Times New Roman"/>
                <w:sz w:val="18"/>
                <w:szCs w:val="18"/>
                <w:i w:val="1"/>
                <w:iCs w:val="1"/>
                <w:color w:val="auto"/>
                <w:w w:val="99"/>
              </w:rPr>
              <w:t>Not Covered</w:t>
            </w:r>
            <w:r>
              <w:rPr>
                <w:rFonts w:ascii="Times New Roman" w:cs="Times New Roman" w:eastAsia="Times New Roman" w:hAnsi="Times New Roman"/>
                <w:sz w:val="18"/>
                <w:szCs w:val="18"/>
                <w:color w:val="auto"/>
                <w:w w:val="99"/>
              </w:rPr>
              <w:t>” is inserted opposite any specified Insuring Agreement below, or if no amount is included in the Single Loss Limit</w:t>
            </w:r>
          </w:p>
        </w:tc>
      </w:tr>
      <w:tr>
        <w:trPr>
          <w:trHeight w:val="234"/>
        </w:trPr>
        <w:tc>
          <w:tcPr>
            <w:tcW w:w="1080" w:type="dxa"/>
            <w:vAlign w:val="bottom"/>
          </w:tcPr>
          <w:p>
            <w:pPr>
              <w:spacing w:after="0"/>
              <w:rPr>
                <w:sz w:val="20"/>
                <w:szCs w:val="20"/>
                <w:color w:val="auto"/>
              </w:rPr>
            </w:pPr>
          </w:p>
        </w:tc>
        <w:tc>
          <w:tcPr>
            <w:tcW w:w="99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of Insurance, such Insuring Agreement and any other reference thereto is deemed to be deleted from this bond.</w:t>
            </w: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SINGLE LOSS</w:t>
            </w:r>
          </w:p>
        </w:tc>
        <w:tc>
          <w:tcPr>
            <w:tcW w:w="29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SINGLE LOSS</w:t>
            </w:r>
          </w:p>
        </w:tc>
      </w:tr>
      <w:tr>
        <w:trPr>
          <w:trHeight w:val="216"/>
        </w:trPr>
        <w:tc>
          <w:tcPr>
            <w:tcW w:w="8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LIMIT OF</w:t>
            </w:r>
          </w:p>
        </w:tc>
        <w:tc>
          <w:tcPr>
            <w:tcW w:w="29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DEDUCTIBLE</w:t>
            </w:r>
          </w:p>
        </w:tc>
      </w:tr>
      <w:tr>
        <w:trPr>
          <w:trHeight w:val="252"/>
        </w:trPr>
        <w:tc>
          <w:tcPr>
            <w:tcW w:w="880" w:type="dxa"/>
            <w:vAlign w:val="bottom"/>
          </w:tcPr>
          <w:p>
            <w:pPr>
              <w:spacing w:after="0"/>
              <w:rPr>
                <w:sz w:val="21"/>
                <w:szCs w:val="21"/>
                <w:color w:val="auto"/>
              </w:rPr>
            </w:pPr>
          </w:p>
        </w:tc>
        <w:tc>
          <w:tcPr>
            <w:tcW w:w="442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INSURING AGREEMENT</w:t>
            </w:r>
          </w:p>
        </w:tc>
        <w:tc>
          <w:tcPr>
            <w:tcW w:w="28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INSURANCE</w:t>
            </w:r>
          </w:p>
        </w:tc>
        <w:tc>
          <w:tcPr>
            <w:tcW w:w="29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w:t>
            </w:r>
          </w:p>
        </w:tc>
      </w:tr>
      <w:tr>
        <w:trPr>
          <w:trHeight w:val="191"/>
        </w:trPr>
        <w:tc>
          <w:tcPr>
            <w:tcW w:w="880" w:type="dxa"/>
            <w:vAlign w:val="bottom"/>
          </w:tcPr>
          <w:p>
            <w:pPr>
              <w:spacing w:after="0"/>
              <w:rPr>
                <w:sz w:val="16"/>
                <w:szCs w:val="16"/>
                <w:color w:val="auto"/>
              </w:rPr>
            </w:pPr>
          </w:p>
        </w:tc>
        <w:tc>
          <w:tcPr>
            <w:tcW w:w="1700" w:type="dxa"/>
            <w:vAlign w:val="bottom"/>
            <w:tcBorders>
              <w:top w:val="single" w:sz="8" w:color="auto"/>
            </w:tcBorders>
          </w:tcPr>
          <w:p>
            <w:pPr>
              <w:ind w:left="280"/>
              <w:spacing w:after="0" w:line="191" w:lineRule="exact"/>
              <w:rPr>
                <w:sz w:val="20"/>
                <w:szCs w:val="20"/>
                <w:color w:val="auto"/>
              </w:rPr>
            </w:pPr>
            <w:r>
              <w:rPr>
                <w:rFonts w:ascii="Times New Roman" w:cs="Times New Roman" w:eastAsia="Times New Roman" w:hAnsi="Times New Roman"/>
                <w:sz w:val="18"/>
                <w:szCs w:val="18"/>
                <w:b w:val="1"/>
                <w:bCs w:val="1"/>
                <w:color w:val="auto"/>
              </w:rPr>
              <w:t>A. FIDELITY</w:t>
            </w:r>
          </w:p>
        </w:tc>
        <w:tc>
          <w:tcPr>
            <w:tcW w:w="2720" w:type="dxa"/>
            <w:vAlign w:val="bottom"/>
            <w:tcBorders>
              <w:top w:val="single" w:sz="8" w:color="auto"/>
            </w:tcBorders>
          </w:tcPr>
          <w:p>
            <w:pPr>
              <w:spacing w:after="0"/>
              <w:rPr>
                <w:sz w:val="16"/>
                <w:szCs w:val="16"/>
                <w:color w:val="auto"/>
              </w:rPr>
            </w:pPr>
          </w:p>
        </w:tc>
        <w:tc>
          <w:tcPr>
            <w:tcW w:w="280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880" w:type="dxa"/>
            <w:vAlign w:val="bottom"/>
          </w:tcPr>
          <w:p>
            <w:pPr>
              <w:spacing w:after="0"/>
              <w:rPr>
                <w:sz w:val="18"/>
                <w:szCs w:val="18"/>
                <w:color w:val="auto"/>
              </w:rPr>
            </w:pPr>
          </w:p>
        </w:tc>
        <w:tc>
          <w:tcPr>
            <w:tcW w:w="1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Coverage A.1.</w:t>
            </w:r>
          </w:p>
        </w:tc>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Larceny or Embezzlement</w:t>
            </w:r>
          </w:p>
        </w:tc>
        <w:tc>
          <w:tcPr>
            <w:tcW w:w="28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$5,000,000</w:t>
            </w:r>
          </w:p>
        </w:tc>
        <w:tc>
          <w:tcPr>
            <w:tcW w:w="292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r>
      <w:tr>
        <w:trPr>
          <w:trHeight w:val="234"/>
        </w:trPr>
        <w:tc>
          <w:tcPr>
            <w:tcW w:w="880" w:type="dxa"/>
            <w:vAlign w:val="bottom"/>
          </w:tcPr>
          <w:p>
            <w:pPr>
              <w:spacing w:after="0"/>
              <w:rPr>
                <w:sz w:val="20"/>
                <w:szCs w:val="20"/>
                <w:color w:val="auto"/>
              </w:rPr>
            </w:pPr>
          </w:p>
        </w:tc>
        <w:tc>
          <w:tcPr>
            <w:tcW w:w="1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Coverage A.2.</w:t>
            </w:r>
          </w:p>
        </w:tc>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Restoration Expenses</w:t>
            </w:r>
          </w:p>
        </w:tc>
        <w:tc>
          <w:tcPr>
            <w:tcW w:w="28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$5,000,000</w:t>
            </w:r>
          </w:p>
        </w:tc>
        <w:tc>
          <w:tcPr>
            <w:tcW w:w="292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$25,000</w:t>
            </w:r>
          </w:p>
        </w:tc>
        <w:tc>
          <w:tcPr>
            <w:tcW w:w="20" w:type="dxa"/>
            <w:vAlign w:val="bottom"/>
          </w:tcPr>
          <w:p>
            <w:pPr>
              <w:spacing w:after="0"/>
              <w:rPr>
                <w:sz w:val="20"/>
                <w:szCs w:val="20"/>
                <w:color w:val="auto"/>
              </w:rPr>
            </w:pPr>
          </w:p>
        </w:tc>
      </w:tr>
      <w:tr>
        <w:trPr>
          <w:trHeight w:val="155"/>
        </w:trPr>
        <w:tc>
          <w:tcPr>
            <w:tcW w:w="2580" w:type="dxa"/>
            <w:vAlign w:val="bottom"/>
            <w:gridSpan w:val="2"/>
          </w:tcPr>
          <w:p>
            <w:pPr>
              <w:spacing w:after="0"/>
              <w:rPr>
                <w:sz w:val="13"/>
                <w:szCs w:val="13"/>
                <w:color w:val="auto"/>
              </w:rPr>
            </w:pPr>
          </w:p>
        </w:tc>
        <w:tc>
          <w:tcPr>
            <w:tcW w:w="27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940" w:type="dxa"/>
            <w:vAlign w:val="bottom"/>
            <w:gridSpan w:val="2"/>
          </w:tcPr>
          <w:p>
            <w:pPr>
              <w:spacing w:after="0"/>
              <w:rPr>
                <w:sz w:val="13"/>
                <w:szCs w:val="13"/>
                <w:color w:val="auto"/>
              </w:rPr>
            </w:pPr>
          </w:p>
        </w:tc>
      </w:tr>
      <w:tr>
        <w:trPr>
          <w:trHeight w:val="218"/>
        </w:trPr>
        <w:tc>
          <w:tcPr>
            <w:tcW w:w="25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IVBB-15001 Ed. 01-16</w:t>
            </w:r>
          </w:p>
        </w:tc>
        <w:tc>
          <w:tcPr>
            <w:tcW w:w="272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tcPr>
          <w:p>
            <w:pPr>
              <w:spacing w:after="0"/>
              <w:rPr>
                <w:sz w:val="18"/>
                <w:szCs w:val="18"/>
                <w:color w:val="auto"/>
              </w:rPr>
            </w:pPr>
          </w:p>
        </w:tc>
        <w:tc>
          <w:tcPr>
            <w:tcW w:w="2920" w:type="dxa"/>
            <w:vAlign w:val="bottom"/>
            <w:tcBorders>
              <w:top w:val="single" w:sz="8" w:color="auto"/>
            </w:tcBorders>
          </w:tcPr>
          <w:p>
            <w:pPr>
              <w:ind w:left="2100"/>
              <w:spacing w:after="0"/>
              <w:rPr>
                <w:sz w:val="20"/>
                <w:szCs w:val="20"/>
                <w:color w:val="auto"/>
              </w:rPr>
            </w:pPr>
            <w:r>
              <w:rPr>
                <w:rFonts w:ascii="Times New Roman" w:cs="Times New Roman" w:eastAsia="Times New Roman" w:hAnsi="Times New Roman"/>
                <w:sz w:val="18"/>
                <w:szCs w:val="18"/>
                <w:color w:val="auto"/>
                <w:w w:val="98"/>
              </w:rPr>
              <w:t>Page 1 of 3</w:t>
            </w:r>
          </w:p>
        </w:tc>
        <w:tc>
          <w:tcPr>
            <w:tcW w:w="20" w:type="dxa"/>
            <w:vAlign w:val="bottom"/>
          </w:tcPr>
          <w:p>
            <w:pPr>
              <w:spacing w:after="0"/>
              <w:rPr>
                <w:sz w:val="18"/>
                <w:szCs w:val="18"/>
                <w:color w:val="auto"/>
              </w:rPr>
            </w:pPr>
          </w:p>
        </w:tc>
      </w:tr>
    </w:tbl>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p>
      <w:pPr>
        <w:sectPr>
          <w:pgSz w:w="11900" w:h="16838" w:orient="portrait"/>
          <w:cols w:equalWidth="0" w:num="1">
            <w:col w:w="11020"/>
          </w:cols>
          <w:pgMar w:left="440" w:top="522"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44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B. ON PREMISES</w:t>
            </w:r>
          </w:p>
        </w:tc>
        <w:tc>
          <w:tcPr>
            <w:tcW w:w="262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8"/>
              </w:rPr>
              <w:t>$5,000,000</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$25,000</w:t>
            </w:r>
          </w:p>
        </w:tc>
      </w:tr>
      <w:tr>
        <w:trPr>
          <w:trHeight w:val="324"/>
        </w:trPr>
        <w:tc>
          <w:tcPr>
            <w:tcW w:w="880" w:type="dxa"/>
            <w:vAlign w:val="bottom"/>
          </w:tcPr>
          <w:p>
            <w:pPr>
              <w:spacing w:after="0"/>
              <w:rPr>
                <w:sz w:val="24"/>
                <w:szCs w:val="24"/>
                <w:color w:val="auto"/>
              </w:rPr>
            </w:pPr>
          </w:p>
        </w:tc>
        <w:tc>
          <w:tcPr>
            <w:tcW w:w="17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 IN TRANSIT</w:t>
            </w:r>
          </w:p>
        </w:tc>
        <w:tc>
          <w:tcPr>
            <w:tcW w:w="2740" w:type="dxa"/>
            <w:vAlign w:val="bottom"/>
          </w:tcPr>
          <w:p>
            <w:pPr>
              <w:spacing w:after="0"/>
              <w:rPr>
                <w:sz w:val="24"/>
                <w:szCs w:val="24"/>
                <w:color w:val="auto"/>
              </w:rPr>
            </w:pPr>
          </w:p>
        </w:tc>
        <w:tc>
          <w:tcPr>
            <w:tcW w:w="262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8"/>
              </w:rPr>
              <w:t>$5,000,000</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$25,000</w:t>
            </w:r>
          </w:p>
        </w:tc>
      </w:tr>
      <w:tr>
        <w:trPr>
          <w:trHeight w:val="324"/>
        </w:trPr>
        <w:tc>
          <w:tcPr>
            <w:tcW w:w="880" w:type="dxa"/>
            <w:vAlign w:val="bottom"/>
          </w:tcPr>
          <w:p>
            <w:pPr>
              <w:spacing w:after="0"/>
              <w:rPr>
                <w:sz w:val="24"/>
                <w:szCs w:val="24"/>
                <w:color w:val="auto"/>
              </w:rPr>
            </w:pPr>
          </w:p>
        </w:tc>
        <w:tc>
          <w:tcPr>
            <w:tcW w:w="44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D. FORGERY OR ALTERATION</w:t>
            </w:r>
          </w:p>
        </w:tc>
        <w:tc>
          <w:tcPr>
            <w:tcW w:w="262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8"/>
              </w:rPr>
              <w:t>$5,000,000</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$25,000</w:t>
            </w:r>
          </w:p>
        </w:tc>
      </w:tr>
      <w:tr>
        <w:trPr>
          <w:trHeight w:val="324"/>
        </w:trPr>
        <w:tc>
          <w:tcPr>
            <w:tcW w:w="880" w:type="dxa"/>
            <w:vAlign w:val="bottom"/>
          </w:tcPr>
          <w:p>
            <w:pPr>
              <w:spacing w:after="0"/>
              <w:rPr>
                <w:sz w:val="24"/>
                <w:szCs w:val="24"/>
                <w:color w:val="auto"/>
              </w:rPr>
            </w:pPr>
          </w:p>
        </w:tc>
        <w:tc>
          <w:tcPr>
            <w:tcW w:w="17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 SECURITIES</w:t>
            </w:r>
          </w:p>
        </w:tc>
        <w:tc>
          <w:tcPr>
            <w:tcW w:w="2740" w:type="dxa"/>
            <w:vAlign w:val="bottom"/>
          </w:tcPr>
          <w:p>
            <w:pPr>
              <w:spacing w:after="0"/>
              <w:rPr>
                <w:sz w:val="24"/>
                <w:szCs w:val="24"/>
                <w:color w:val="auto"/>
              </w:rPr>
            </w:pPr>
          </w:p>
        </w:tc>
        <w:tc>
          <w:tcPr>
            <w:tcW w:w="262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8"/>
              </w:rPr>
              <w:t>$5,000,000</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$25,000</w:t>
            </w:r>
          </w:p>
        </w:tc>
      </w:tr>
      <w:tr>
        <w:trPr>
          <w:trHeight w:val="302"/>
        </w:trPr>
        <w:tc>
          <w:tcPr>
            <w:tcW w:w="880" w:type="dxa"/>
            <w:vAlign w:val="bottom"/>
          </w:tcPr>
          <w:p>
            <w:pPr>
              <w:spacing w:after="0"/>
              <w:rPr>
                <w:sz w:val="24"/>
                <w:szCs w:val="24"/>
                <w:color w:val="auto"/>
              </w:rPr>
            </w:pPr>
          </w:p>
        </w:tc>
        <w:tc>
          <w:tcPr>
            <w:tcW w:w="44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F. COUNTERFEIT MONEY</w:t>
            </w:r>
          </w:p>
        </w:tc>
        <w:tc>
          <w:tcPr>
            <w:tcW w:w="262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52"/>
        </w:trPr>
        <w:tc>
          <w:tcPr>
            <w:tcW w:w="880" w:type="dxa"/>
            <w:vAlign w:val="bottom"/>
          </w:tcPr>
          <w:p>
            <w:pPr>
              <w:spacing w:after="0"/>
              <w:rPr>
                <w:sz w:val="21"/>
                <w:szCs w:val="21"/>
                <w:color w:val="auto"/>
              </w:rPr>
            </w:pPr>
          </w:p>
        </w:tc>
        <w:tc>
          <w:tcPr>
            <w:tcW w:w="446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AND COUNTERFEIT MONEY ORDERS</w:t>
            </w:r>
          </w:p>
        </w:tc>
        <w:tc>
          <w:tcPr>
            <w:tcW w:w="262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8"/>
              </w:rPr>
              <w:t>$5,000,000</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$25,000</w:t>
            </w:r>
          </w:p>
        </w:tc>
      </w:tr>
      <w:tr>
        <w:trPr>
          <w:trHeight w:val="324"/>
        </w:trPr>
        <w:tc>
          <w:tcPr>
            <w:tcW w:w="880" w:type="dxa"/>
            <w:vAlign w:val="bottom"/>
          </w:tcPr>
          <w:p>
            <w:pPr>
              <w:spacing w:after="0"/>
              <w:rPr>
                <w:sz w:val="24"/>
                <w:szCs w:val="24"/>
                <w:color w:val="auto"/>
              </w:rPr>
            </w:pPr>
          </w:p>
        </w:tc>
        <w:tc>
          <w:tcPr>
            <w:tcW w:w="44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G. CLAIM EXPENSE</w:t>
            </w:r>
          </w:p>
        </w:tc>
        <w:tc>
          <w:tcPr>
            <w:tcW w:w="262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rPr>
              <w:t>$50,000</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w:t>
            </w:r>
          </w:p>
        </w:tc>
      </w:tr>
      <w:tr>
        <w:trPr>
          <w:trHeight w:val="302"/>
        </w:trPr>
        <w:tc>
          <w:tcPr>
            <w:tcW w:w="880" w:type="dxa"/>
            <w:vAlign w:val="bottom"/>
          </w:tcPr>
          <w:p>
            <w:pPr>
              <w:spacing w:after="0"/>
              <w:rPr>
                <w:sz w:val="24"/>
                <w:szCs w:val="24"/>
                <w:color w:val="auto"/>
              </w:rPr>
            </w:pPr>
          </w:p>
        </w:tc>
        <w:tc>
          <w:tcPr>
            <w:tcW w:w="44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H. STOP PAYMENT ORDERS OR</w:t>
            </w:r>
          </w:p>
        </w:tc>
        <w:tc>
          <w:tcPr>
            <w:tcW w:w="262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38"/>
        </w:trPr>
        <w:tc>
          <w:tcPr>
            <w:tcW w:w="880" w:type="dxa"/>
            <w:vAlign w:val="bottom"/>
          </w:tcPr>
          <w:p>
            <w:pPr>
              <w:spacing w:after="0"/>
              <w:rPr>
                <w:sz w:val="20"/>
                <w:szCs w:val="20"/>
                <w:color w:val="auto"/>
              </w:rPr>
            </w:pPr>
          </w:p>
        </w:tc>
        <w:tc>
          <w:tcPr>
            <w:tcW w:w="446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WRONGFUL DISHONOR OF CHECKS</w:t>
            </w:r>
          </w:p>
        </w:tc>
        <w:tc>
          <w:tcPr>
            <w:tcW w:w="262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rPr>
              <w:t>$50,000</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w:t>
            </w:r>
          </w:p>
        </w:tc>
      </w:tr>
      <w:tr>
        <w:trPr>
          <w:trHeight w:val="306"/>
        </w:trPr>
        <w:tc>
          <w:tcPr>
            <w:tcW w:w="880" w:type="dxa"/>
            <w:vAlign w:val="bottom"/>
          </w:tcPr>
          <w:p>
            <w:pPr>
              <w:spacing w:after="0"/>
              <w:rPr>
                <w:sz w:val="24"/>
                <w:szCs w:val="24"/>
                <w:color w:val="auto"/>
              </w:rPr>
            </w:pPr>
          </w:p>
        </w:tc>
        <w:tc>
          <w:tcPr>
            <w:tcW w:w="44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I. COMPUTER SYSTEMS</w:t>
            </w:r>
          </w:p>
        </w:tc>
        <w:tc>
          <w:tcPr>
            <w:tcW w:w="262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1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Coverage I.1.</w:t>
            </w:r>
          </w:p>
        </w:tc>
        <w:tc>
          <w:tcPr>
            <w:tcW w:w="2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Computer Fraud</w:t>
            </w:r>
          </w:p>
        </w:tc>
        <w:tc>
          <w:tcPr>
            <w:tcW w:w="262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8"/>
              </w:rPr>
              <w:t>$5,000,000</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$25,000</w:t>
            </w:r>
          </w:p>
        </w:tc>
      </w:tr>
      <w:tr>
        <w:trPr>
          <w:trHeight w:val="216"/>
        </w:trPr>
        <w:tc>
          <w:tcPr>
            <w:tcW w:w="880" w:type="dxa"/>
            <w:vAlign w:val="bottom"/>
          </w:tcPr>
          <w:p>
            <w:pPr>
              <w:spacing w:after="0"/>
              <w:rPr>
                <w:sz w:val="18"/>
                <w:szCs w:val="18"/>
                <w:color w:val="auto"/>
              </w:rPr>
            </w:pPr>
          </w:p>
        </w:tc>
        <w:tc>
          <w:tcPr>
            <w:tcW w:w="1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Coverage I.2.</w:t>
            </w:r>
          </w:p>
        </w:tc>
        <w:tc>
          <w:tcPr>
            <w:tcW w:w="2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Fraudulent Instructions</w:t>
            </w:r>
          </w:p>
        </w:tc>
        <w:tc>
          <w:tcPr>
            <w:tcW w:w="262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8"/>
              </w:rPr>
              <w:t>$5,000,000</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$25,000</w:t>
            </w:r>
          </w:p>
        </w:tc>
      </w:tr>
      <w:tr>
        <w:trPr>
          <w:trHeight w:val="234"/>
        </w:trPr>
        <w:tc>
          <w:tcPr>
            <w:tcW w:w="880" w:type="dxa"/>
            <w:vAlign w:val="bottom"/>
          </w:tcPr>
          <w:p>
            <w:pPr>
              <w:spacing w:after="0"/>
              <w:rPr>
                <w:sz w:val="20"/>
                <w:szCs w:val="20"/>
                <w:color w:val="auto"/>
              </w:rPr>
            </w:pPr>
          </w:p>
        </w:tc>
        <w:tc>
          <w:tcPr>
            <w:tcW w:w="1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Coverage I.3.</w:t>
            </w:r>
          </w:p>
        </w:tc>
        <w:tc>
          <w:tcPr>
            <w:tcW w:w="2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Restoration Expense</w:t>
            </w:r>
          </w:p>
        </w:tc>
        <w:tc>
          <w:tcPr>
            <w:tcW w:w="262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8"/>
              </w:rPr>
              <w:t>$5,000,000</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$25,000</w:t>
            </w:r>
          </w:p>
        </w:tc>
      </w:tr>
      <w:tr>
        <w:trPr>
          <w:trHeight w:val="302"/>
        </w:trPr>
        <w:tc>
          <w:tcPr>
            <w:tcW w:w="880" w:type="dxa"/>
            <w:vAlign w:val="bottom"/>
          </w:tcPr>
          <w:p>
            <w:pPr>
              <w:spacing w:after="0"/>
              <w:rPr>
                <w:sz w:val="24"/>
                <w:szCs w:val="24"/>
                <w:color w:val="auto"/>
              </w:rPr>
            </w:pPr>
          </w:p>
        </w:tc>
        <w:tc>
          <w:tcPr>
            <w:tcW w:w="44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J. UNCOLLECTIBLE ITEMS OF</w:t>
            </w:r>
          </w:p>
        </w:tc>
        <w:tc>
          <w:tcPr>
            <w:tcW w:w="262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38"/>
        </w:trPr>
        <w:tc>
          <w:tcPr>
            <w:tcW w:w="8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DEPOSIT</w:t>
            </w:r>
          </w:p>
        </w:tc>
        <w:tc>
          <w:tcPr>
            <w:tcW w:w="27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color w:val="auto"/>
              </w:rPr>
              <w:t>$50,000</w:t>
            </w:r>
          </w:p>
        </w:tc>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w:t>
            </w:r>
          </w:p>
        </w:tc>
      </w:tr>
      <w:tr>
        <w:trPr>
          <w:trHeight w:val="232"/>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44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PREVIOUS BONDS OR POLICIES:</w:t>
            </w:r>
          </w:p>
        </w:tc>
        <w:tc>
          <w:tcPr>
            <w:tcW w:w="2620" w:type="dxa"/>
            <w:vAlign w:val="bottom"/>
          </w:tcPr>
          <w:p>
            <w:pPr>
              <w:spacing w:after="0"/>
              <w:rPr>
                <w:sz w:val="20"/>
                <w:szCs w:val="20"/>
                <w:color w:val="auto"/>
              </w:rPr>
            </w:pPr>
          </w:p>
        </w:tc>
        <w:tc>
          <w:tcPr>
            <w:tcW w:w="3060" w:type="dxa"/>
            <w:vAlign w:val="bottom"/>
          </w:tcPr>
          <w:p>
            <w:pPr>
              <w:spacing w:after="0"/>
              <w:rPr>
                <w:sz w:val="20"/>
                <w:szCs w:val="20"/>
                <w:color w:val="auto"/>
              </w:rPr>
            </w:pP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The Insured, by acceptance of this bond, gives notice to the Company canceling or terminating prior bond or policy numbers: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such cancellation or termination to be effective as of the time this bond becomes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DISCOVERY PERIOD:</w:t>
      </w:r>
    </w:p>
    <w:p>
      <w:pPr>
        <w:spacing w:after="0" w:line="220" w:lineRule="exact"/>
        <w:rPr>
          <w:sz w:val="20"/>
          <w:szCs w:val="20"/>
          <w:color w:val="auto"/>
        </w:rPr>
      </w:pPr>
    </w:p>
    <w:p>
      <w:pPr>
        <w:ind w:left="1260"/>
        <w:spacing w:after="0"/>
        <w:tabs>
          <w:tab w:leader="none" w:pos="3820" w:val="left"/>
        </w:tabs>
        <w:rPr>
          <w:sz w:val="20"/>
          <w:szCs w:val="20"/>
          <w:color w:val="auto"/>
        </w:rPr>
      </w:pPr>
      <w:r>
        <w:rPr>
          <w:rFonts w:ascii="Times New Roman" w:cs="Times New Roman" w:eastAsia="Times New Roman" w:hAnsi="Times New Roman"/>
          <w:sz w:val="18"/>
          <w:szCs w:val="18"/>
          <w:color w:val="auto"/>
        </w:rPr>
        <w:t>Additional Premium Percentage:</w:t>
      </w:r>
      <w:r>
        <w:rPr>
          <w:sz w:val="20"/>
          <w:szCs w:val="20"/>
          <w:color w:val="auto"/>
        </w:rPr>
        <w:tab/>
      </w:r>
      <w:r>
        <w:rPr>
          <w:rFonts w:ascii="Times New Roman" w:cs="Times New Roman" w:eastAsia="Times New Roman" w:hAnsi="Times New Roman"/>
          <w:sz w:val="17"/>
          <w:szCs w:val="17"/>
          <w:color w:val="auto"/>
        </w:rPr>
        <w:t>100% of the annualized premium</w:t>
      </w:r>
    </w:p>
    <w:p>
      <w:pPr>
        <w:spacing w:after="0" w:line="225" w:lineRule="exact"/>
        <w:rPr>
          <w:sz w:val="20"/>
          <w:szCs w:val="20"/>
          <w:color w:val="auto"/>
        </w:rPr>
      </w:pPr>
    </w:p>
    <w:p>
      <w:pPr>
        <w:ind w:left="1260"/>
        <w:spacing w:after="0"/>
        <w:tabs>
          <w:tab w:leader="none" w:pos="3820" w:val="left"/>
        </w:tabs>
        <w:rPr>
          <w:sz w:val="20"/>
          <w:szCs w:val="20"/>
          <w:color w:val="auto"/>
        </w:rPr>
      </w:pPr>
      <w:r>
        <w:rPr>
          <w:rFonts w:ascii="Times New Roman" w:cs="Times New Roman" w:eastAsia="Times New Roman" w:hAnsi="Times New Roman"/>
          <w:sz w:val="18"/>
          <w:szCs w:val="18"/>
          <w:color w:val="auto"/>
        </w:rPr>
        <w:t>Additional Months:</w:t>
      </w:r>
      <w:r>
        <w:rPr>
          <w:sz w:val="20"/>
          <w:szCs w:val="20"/>
          <w:color w:val="auto"/>
        </w:rPr>
        <w:tab/>
      </w:r>
      <w:r>
        <w:rPr>
          <w:rFonts w:ascii="Times New Roman" w:cs="Times New Roman" w:eastAsia="Times New Roman" w:hAnsi="Times New Roman"/>
          <w:sz w:val="17"/>
          <w:szCs w:val="17"/>
          <w:color w:val="auto"/>
        </w:rPr>
        <w:t>12 months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(If exercised in accordance with section VI. CONDITIONS, S. DISCOVERY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6995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FORMS AND ENDORSEMENTS ATTACHED AT ISSUANCE:</w:t>
      </w:r>
    </w:p>
    <w:p>
      <w:pPr>
        <w:spacing w:after="0" w:line="220" w:lineRule="exact"/>
        <w:rPr>
          <w:sz w:val="20"/>
          <w:szCs w:val="20"/>
          <w:color w:val="auto"/>
        </w:rPr>
      </w:pPr>
    </w:p>
    <w:p>
      <w:pPr>
        <w:ind w:left="1260" w:right="2560"/>
        <w:spacing w:after="0" w:line="282" w:lineRule="auto"/>
        <w:rPr>
          <w:sz w:val="20"/>
          <w:szCs w:val="20"/>
          <w:color w:val="auto"/>
        </w:rPr>
      </w:pPr>
      <w:r>
        <w:rPr>
          <w:rFonts w:ascii="Times New Roman" w:cs="Times New Roman" w:eastAsia="Times New Roman" w:hAnsi="Times New Roman"/>
          <w:sz w:val="18"/>
          <w:szCs w:val="18"/>
          <w:color w:val="auto"/>
        </w:rPr>
        <w:t>IVBB-16001-0116; IVBB-19004-0116; IVBB-19010-0116; IVBB-19044-0518; IVBB-19045-0319; IVBB-18023-1217; IVBB-17022-1019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69951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PRODUCER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WTW NORTHEAST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LIBERTY 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IVBB-15001 Ed. 01-16</w:t>
            </w:r>
          </w:p>
        </w:tc>
        <w:tc>
          <w:tcPr>
            <w:tcW w:w="3640" w:type="dxa"/>
            <w:vAlign w:val="bottom"/>
            <w:tcBorders>
              <w:top w:val="single" w:sz="8" w:color="auto"/>
            </w:tcBorders>
          </w:tcPr>
          <w:p>
            <w:pPr>
              <w:ind w:left="2820"/>
              <w:spacing w:after="0"/>
              <w:rPr>
                <w:sz w:val="20"/>
                <w:szCs w:val="20"/>
                <w:color w:val="auto"/>
              </w:rPr>
            </w:pPr>
            <w:r>
              <w:rPr>
                <w:rFonts w:ascii="Times New Roman" w:cs="Times New Roman" w:eastAsia="Times New Roman" w:hAnsi="Times New Roman"/>
                <w:sz w:val="18"/>
                <w:szCs w:val="18"/>
                <w:color w:val="auto"/>
                <w:w w:val="98"/>
              </w:rPr>
              <w:t>Page 2 of 3</w:t>
            </w: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640" w:type="dxa"/>
            <w:vAlign w:val="bottom"/>
          </w:tcPr>
          <w:p>
            <w:pPr>
              <w:spacing w:after="0"/>
              <w:rPr>
                <w:sz w:val="20"/>
                <w:szCs w:val="20"/>
                <w:color w:val="auto"/>
              </w:rPr>
            </w:pPr>
          </w:p>
        </w:tc>
      </w:tr>
    </w:tbl>
    <w:p>
      <w:pPr>
        <w:sectPr>
          <w:pgSz w:w="11900" w:h="16838" w:orient="portrait"/>
          <w:cols w:equalWidth="0" w:num="1">
            <w:col w:w="11020"/>
          </w:cols>
          <w:pgMar w:left="440" w:top="266"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277495</wp:posOffset>
            </wp:positionV>
            <wp:extent cx="22371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37105" cy="8255"/>
                    </a:xfrm>
                    <a:prstGeom prst="rect">
                      <a:avLst/>
                    </a:prstGeom>
                    <a:noFill/>
                  </pic:spPr>
                </pic:pic>
              </a:graphicData>
            </a:graphic>
          </wp:anchor>
        </w:drawing>
        <w:t>Countersigned 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Company has caused this bond to be signed by its authorized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394335</wp:posOffset>
            </wp:positionV>
            <wp:extent cx="1191260" cy="3683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91260" cy="368300"/>
                    </a:xfrm>
                    <a:prstGeom prst="rect">
                      <a:avLst/>
                    </a:prstGeom>
                    <a:noFill/>
                  </pic:spPr>
                </pic:pic>
              </a:graphicData>
            </a:graphic>
          </wp:anchor>
        </w:drawing>
        <w:drawing>
          <wp:anchor simplePos="0" relativeHeight="251657728" behindDoc="1" locked="0" layoutInCell="0" allowOverlap="1">
            <wp:simplePos x="0" y="0"/>
            <wp:positionH relativeFrom="column">
              <wp:posOffset>4318000</wp:posOffset>
            </wp:positionH>
            <wp:positionV relativeFrom="paragraph">
              <wp:posOffset>171450</wp:posOffset>
            </wp:positionV>
            <wp:extent cx="2417445" cy="5911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17445"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President</w:t>
            </w:r>
          </w:p>
        </w:tc>
        <w:tc>
          <w:tcPr>
            <w:tcW w:w="476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Corporate Secretary</w:t>
            </w:r>
          </w:p>
        </w:tc>
        <w:tc>
          <w:tcPr>
            <w:tcW w:w="0" w:type="dxa"/>
            <w:vAlign w:val="bottom"/>
          </w:tcPr>
          <w:p>
            <w:pPr>
              <w:spacing w:after="0"/>
              <w:rPr>
                <w:sz w:val="1"/>
                <w:szCs w:val="1"/>
                <w:color w:val="auto"/>
              </w:rPr>
            </w:pPr>
          </w:p>
        </w:tc>
      </w:tr>
      <w:tr>
        <w:trPr>
          <w:trHeight w:val="148"/>
        </w:trPr>
        <w:tc>
          <w:tcPr>
            <w:tcW w:w="6280" w:type="dxa"/>
            <w:vAlign w:val="bottom"/>
            <w:tcBorders>
              <w:bottom w:val="single" w:sz="8" w:color="auto"/>
            </w:tcBorders>
          </w:tcPr>
          <w:p>
            <w:pPr>
              <w:spacing w:after="0"/>
              <w:rPr>
                <w:sz w:val="12"/>
                <w:szCs w:val="12"/>
                <w:color w:val="auto"/>
              </w:rPr>
            </w:pPr>
          </w:p>
        </w:tc>
        <w:tc>
          <w:tcPr>
            <w:tcW w:w="4740" w:type="dxa"/>
            <w:vAlign w:val="bottom"/>
            <w:tcBorders>
              <w:bottom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6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IVBB-15001 Ed. 01-16</w:t>
            </w:r>
          </w:p>
        </w:tc>
        <w:tc>
          <w:tcPr>
            <w:tcW w:w="4740" w:type="dxa"/>
            <w:vAlign w:val="bottom"/>
          </w:tcPr>
          <w:p>
            <w:pPr>
              <w:ind w:left="3920"/>
              <w:spacing w:after="0" w:line="191" w:lineRule="exact"/>
              <w:rPr>
                <w:sz w:val="20"/>
                <w:szCs w:val="20"/>
                <w:color w:val="auto"/>
              </w:rPr>
            </w:pPr>
            <w:r>
              <w:rPr>
                <w:rFonts w:ascii="Times New Roman" w:cs="Times New Roman" w:eastAsia="Times New Roman" w:hAnsi="Times New Roman"/>
                <w:sz w:val="18"/>
                <w:szCs w:val="18"/>
                <w:color w:val="auto"/>
                <w:w w:val="98"/>
              </w:rPr>
              <w:t>Page 3 of 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4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459" w:right="4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94130" cy="265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294130" cy="2654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i w:val="1"/>
                <w:iCs w:val="1"/>
                <w:color w:val="auto"/>
              </w:rPr>
              <w:t>Investment Company Bond</w:t>
            </w:r>
          </w:p>
        </w:tc>
      </w:tr>
      <w:tr>
        <w:trPr>
          <w:trHeight w:val="245"/>
        </w:trPr>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60" w:type="dxa"/>
            <w:vAlign w:val="bottom"/>
          </w:tcPr>
          <w:p>
            <w:pPr>
              <w:spacing w:after="0"/>
              <w:rPr>
                <w:sz w:val="21"/>
                <w:szCs w:val="21"/>
                <w:color w:val="auto"/>
              </w:rPr>
            </w:pPr>
          </w:p>
        </w:tc>
        <w:tc>
          <w:tcPr>
            <w:tcW w:w="2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i w:val="1"/>
                <w:iCs w:val="1"/>
                <w:color w:val="auto"/>
              </w:rPr>
              <w:t>Table of Contents</w:t>
            </w:r>
          </w:p>
        </w:tc>
      </w:tr>
      <w:tr>
        <w:trPr>
          <w:trHeight w:val="459"/>
        </w:trPr>
        <w:tc>
          <w:tcPr>
            <w:tcW w:w="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w:t>
            </w:r>
          </w:p>
        </w:tc>
        <w:tc>
          <w:tcPr>
            <w:tcW w:w="85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CONSIDERATION CLAUSE</w:t>
            </w:r>
          </w:p>
        </w:tc>
        <w:tc>
          <w:tcPr>
            <w:tcW w:w="2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Pr>
          <w:p>
            <w:pPr>
              <w:spacing w:after="0"/>
              <w:rPr>
                <w:sz w:val="24"/>
                <w:szCs w:val="24"/>
                <w:color w:val="auto"/>
              </w:rPr>
            </w:pPr>
          </w:p>
        </w:tc>
      </w:tr>
      <w:tr>
        <w:trPr>
          <w:trHeight w:val="302"/>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II.</w:t>
            </w:r>
          </w:p>
        </w:tc>
        <w:tc>
          <w:tcPr>
            <w:tcW w:w="85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INSURING AGREEMENTS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w:t>
            </w: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FIDELITY</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Coverage A.1. Larceny or Embezzlement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Coverage A.2. Restoration Expenses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w:t>
            </w: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ON PREMISES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w:t>
            </w: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 TRANSIT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w:t>
            </w: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FORGERY OR ALTERATION</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w:t>
            </w: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w:t>
            </w: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COUNTERFEIT MONEY AND COUNTERFEIT MONEY ORDERS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G.</w:t>
            </w: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CLAIM EXPENSE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H.</w:t>
            </w: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STOP PAYMENT ORDERS OR WRONGFUL DISHONOR OF CHECKS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w:t>
            </w: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COMPUTER SYSTEMS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Coverage I.1. Computer Fraud</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Coverage I.2. Fraudulent Instructions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Coverage I.3. Restoration Expenses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18"/>
                <w:szCs w:val="18"/>
                <w:color w:val="auto"/>
              </w:rPr>
            </w:pPr>
          </w:p>
        </w:tc>
      </w:tr>
      <w:tr>
        <w:trPr>
          <w:trHeight w:val="238"/>
        </w:trPr>
        <w:tc>
          <w:tcPr>
            <w:tcW w:w="320" w:type="dxa"/>
            <w:vAlign w:val="bottom"/>
          </w:tcPr>
          <w:p>
            <w:pPr>
              <w:spacing w:after="0"/>
              <w:rPr>
                <w:sz w:val="20"/>
                <w:szCs w:val="20"/>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J.</w:t>
            </w: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UNCOLLECTIBLE ITEMS OF DEPOSIT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20"/>
                <w:szCs w:val="20"/>
                <w:color w:val="auto"/>
              </w:rPr>
            </w:pPr>
          </w:p>
        </w:tc>
      </w:tr>
      <w:tr>
        <w:trPr>
          <w:trHeight w:val="302"/>
        </w:trPr>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III.  GENERAL AGREEMENTS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w:t>
            </w: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ORGANIC GROWTH</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w:t>
            </w: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CONSOLIDATION - MERGER - PURCHASE OR ACQUISITION OF ASSETS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w:t>
            </w: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REPRESENTATION OF INSURED</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w:t>
            </w: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JOINT INSURED</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tcPr>
          <w:p>
            <w:pPr>
              <w:spacing w:after="0"/>
              <w:rPr>
                <w:sz w:val="18"/>
                <w:szCs w:val="18"/>
                <w:color w:val="auto"/>
              </w:rPr>
            </w:pPr>
          </w:p>
        </w:tc>
      </w:tr>
      <w:tr>
        <w:trPr>
          <w:trHeight w:val="238"/>
        </w:trPr>
        <w:tc>
          <w:tcPr>
            <w:tcW w:w="320" w:type="dxa"/>
            <w:vAlign w:val="bottom"/>
          </w:tcPr>
          <w:p>
            <w:pPr>
              <w:spacing w:after="0"/>
              <w:rPr>
                <w:sz w:val="20"/>
                <w:szCs w:val="20"/>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w:t>
            </w: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COURT COSTS AND ATTORNEY’S FEES - LEGAL PROCEEDINGS - ELECTION TO DEFEND</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Pr>
          <w:p>
            <w:pPr>
              <w:spacing w:after="0"/>
              <w:rPr>
                <w:sz w:val="20"/>
                <w:szCs w:val="20"/>
                <w:color w:val="auto"/>
              </w:rPr>
            </w:pPr>
          </w:p>
        </w:tc>
      </w:tr>
      <w:tr>
        <w:trPr>
          <w:trHeight w:val="324"/>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IV.</w:t>
            </w:r>
          </w:p>
        </w:tc>
        <w:tc>
          <w:tcPr>
            <w:tcW w:w="85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DEFINITIONS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Pr>
          <w:p>
            <w:pPr>
              <w:spacing w:after="0"/>
              <w:rPr>
                <w:sz w:val="24"/>
                <w:szCs w:val="24"/>
                <w:color w:val="auto"/>
              </w:rPr>
            </w:pPr>
          </w:p>
        </w:tc>
      </w:tr>
      <w:tr>
        <w:trPr>
          <w:trHeight w:val="324"/>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V.</w:t>
            </w:r>
          </w:p>
        </w:tc>
        <w:tc>
          <w:tcPr>
            <w:tcW w:w="85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EXCLUSIONS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20" w:type="dxa"/>
            <w:vAlign w:val="bottom"/>
          </w:tcPr>
          <w:p>
            <w:pPr>
              <w:spacing w:after="0"/>
              <w:rPr>
                <w:sz w:val="24"/>
                <w:szCs w:val="24"/>
                <w:color w:val="auto"/>
              </w:rPr>
            </w:pPr>
          </w:p>
        </w:tc>
      </w:tr>
      <w:tr>
        <w:trPr>
          <w:trHeight w:val="302"/>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VI.</w:t>
            </w:r>
          </w:p>
        </w:tc>
        <w:tc>
          <w:tcPr>
            <w:tcW w:w="85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CONDITIONS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w:t>
            </w: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ADDITIONAL COMPANIES INCLUDED AS INSURED</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w:t>
            </w: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DISCOVERY</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w:t>
            </w: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BOND PERIOD</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w:t>
            </w: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SINGLE LOSS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w:t>
            </w: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SINGLE LOSS LIMIT OF INSURANCE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w:t>
            </w: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DEDUCTIBLE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G.</w:t>
            </w: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NON-ACCUMULATION OF LIMITS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 w:type="dxa"/>
            <w:vAlign w:val="bottom"/>
          </w:tcPr>
          <w:p>
            <w:pPr>
              <w:spacing w:after="0"/>
              <w:rPr>
                <w:sz w:val="18"/>
                <w:szCs w:val="18"/>
                <w:color w:val="auto"/>
              </w:rPr>
            </w:pPr>
          </w:p>
        </w:tc>
      </w:tr>
      <w:tr>
        <w:trPr>
          <w:trHeight w:val="238"/>
        </w:trPr>
        <w:tc>
          <w:tcPr>
            <w:tcW w:w="320" w:type="dxa"/>
            <w:vAlign w:val="bottom"/>
          </w:tcPr>
          <w:p>
            <w:pPr>
              <w:spacing w:after="0"/>
              <w:rPr>
                <w:sz w:val="20"/>
                <w:szCs w:val="20"/>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H.</w:t>
            </w:r>
          </w:p>
        </w:tc>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NOTICE - PROOF OF LOSS - LEGAL PROCEEDINGS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 w:type="dxa"/>
            <w:vAlign w:val="bottom"/>
          </w:tcPr>
          <w:p>
            <w:pPr>
              <w:spacing w:after="0"/>
              <w:rPr>
                <w:sz w:val="20"/>
                <w:szCs w:val="20"/>
                <w:color w:val="auto"/>
              </w:rPr>
            </w:pPr>
          </w:p>
        </w:tc>
      </w:tr>
      <w:tr>
        <w:trPr>
          <w:trHeight w:val="155"/>
        </w:trPr>
        <w:tc>
          <w:tcPr>
            <w:tcW w:w="8840" w:type="dxa"/>
            <w:vAlign w:val="bottom"/>
            <w:gridSpan w:val="3"/>
          </w:tcPr>
          <w:p>
            <w:pPr>
              <w:spacing w:after="0"/>
              <w:rPr>
                <w:sz w:val="13"/>
                <w:szCs w:val="13"/>
                <w:color w:val="auto"/>
              </w:rPr>
            </w:pPr>
          </w:p>
        </w:tc>
        <w:tc>
          <w:tcPr>
            <w:tcW w:w="2200" w:type="dxa"/>
            <w:vAlign w:val="bottom"/>
            <w:gridSpan w:val="2"/>
          </w:tcPr>
          <w:p>
            <w:pPr>
              <w:spacing w:after="0"/>
              <w:rPr>
                <w:sz w:val="13"/>
                <w:szCs w:val="13"/>
                <w:color w:val="auto"/>
              </w:rPr>
            </w:pPr>
          </w:p>
        </w:tc>
      </w:tr>
      <w:tr>
        <w:trPr>
          <w:trHeight w:val="198"/>
        </w:trPr>
        <w:tc>
          <w:tcPr>
            <w:tcW w:w="8840" w:type="dxa"/>
            <w:vAlign w:val="bottom"/>
            <w:tcBorders>
              <w:top w:val="single" w:sz="8" w:color="auto"/>
            </w:tcBorders>
            <w:gridSpan w:val="3"/>
          </w:tcPr>
          <w:p>
            <w:pPr>
              <w:spacing w:after="0" w:line="198" w:lineRule="exact"/>
              <w:rPr>
                <w:sz w:val="20"/>
                <w:szCs w:val="20"/>
                <w:color w:val="auto"/>
              </w:rPr>
            </w:pPr>
            <w:r>
              <w:rPr>
                <w:rFonts w:ascii="Times New Roman" w:cs="Times New Roman" w:eastAsia="Times New Roman" w:hAnsi="Times New Roman"/>
                <w:sz w:val="18"/>
                <w:szCs w:val="18"/>
                <w:color w:val="auto"/>
              </w:rPr>
              <w:t>IVBB-16001 Ed. 01-16</w:t>
            </w:r>
          </w:p>
        </w:tc>
        <w:tc>
          <w:tcPr>
            <w:tcW w:w="21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Page 1 of 25</w:t>
            </w:r>
          </w:p>
        </w:tc>
        <w:tc>
          <w:tcPr>
            <w:tcW w:w="20" w:type="dxa"/>
            <w:vAlign w:val="bottom"/>
          </w:tcPr>
          <w:p>
            <w:pPr>
              <w:spacing w:after="0"/>
              <w:rPr>
                <w:sz w:val="17"/>
                <w:szCs w:val="17"/>
                <w:color w:val="auto"/>
              </w:rPr>
            </w:pPr>
          </w:p>
        </w:tc>
      </w:tr>
      <w:tr>
        <w:trPr>
          <w:trHeight w:val="234"/>
        </w:trPr>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ectPr>
          <w:pgSz w:w="11900" w:h="16838" w:orient="portrait"/>
          <w:cols w:equalWidth="0" w:num="1">
            <w:col w:w="11020"/>
          </w:cols>
          <w:pgMar w:left="440" w:top="468" w:right="43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I.</w:t>
            </w:r>
          </w:p>
        </w:tc>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VALUATION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0" w:type="dxa"/>
            <w:vAlign w:val="bottom"/>
          </w:tcPr>
          <w:p>
            <w:pPr>
              <w:spacing w:after="0"/>
              <w:rPr>
                <w:sz w:val="18"/>
                <w:szCs w:val="18"/>
                <w:color w:val="auto"/>
              </w:rPr>
            </w:pPr>
          </w:p>
        </w:tc>
      </w:tr>
      <w:tr>
        <w:trPr>
          <w:trHeight w:val="216"/>
        </w:trPr>
        <w:tc>
          <w:tcPr>
            <w:tcW w:w="8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J.</w:t>
            </w:r>
          </w:p>
        </w:tc>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ASSIGNMENT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0" w:type="dxa"/>
            <w:vAlign w:val="bottom"/>
          </w:tcPr>
          <w:p>
            <w:pPr>
              <w:spacing w:after="0"/>
              <w:rPr>
                <w:sz w:val="18"/>
                <w:szCs w:val="18"/>
                <w:color w:val="auto"/>
              </w:rPr>
            </w:pPr>
          </w:p>
        </w:tc>
      </w:tr>
      <w:tr>
        <w:trPr>
          <w:trHeight w:val="216"/>
        </w:trPr>
        <w:tc>
          <w:tcPr>
            <w:tcW w:w="8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K.</w:t>
            </w:r>
          </w:p>
        </w:tc>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SUBROGATION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0" w:type="dxa"/>
            <w:vAlign w:val="bottom"/>
          </w:tcPr>
          <w:p>
            <w:pPr>
              <w:spacing w:after="0"/>
              <w:rPr>
                <w:sz w:val="18"/>
                <w:szCs w:val="18"/>
                <w:color w:val="auto"/>
              </w:rPr>
            </w:pPr>
          </w:p>
        </w:tc>
      </w:tr>
      <w:tr>
        <w:trPr>
          <w:trHeight w:val="216"/>
        </w:trPr>
        <w:tc>
          <w:tcPr>
            <w:tcW w:w="8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L.</w:t>
            </w:r>
          </w:p>
        </w:tc>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0" w:type="dxa"/>
            <w:vAlign w:val="bottom"/>
          </w:tcPr>
          <w:p>
            <w:pPr>
              <w:spacing w:after="0"/>
              <w:rPr>
                <w:sz w:val="18"/>
                <w:szCs w:val="18"/>
                <w:color w:val="auto"/>
              </w:rPr>
            </w:pPr>
          </w:p>
        </w:tc>
      </w:tr>
      <w:tr>
        <w:trPr>
          <w:trHeight w:val="216"/>
        </w:trPr>
        <w:tc>
          <w:tcPr>
            <w:tcW w:w="8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M.</w:t>
            </w:r>
          </w:p>
        </w:tc>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COOPERATION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0" w:type="dxa"/>
            <w:vAlign w:val="bottom"/>
          </w:tcPr>
          <w:p>
            <w:pPr>
              <w:spacing w:after="0"/>
              <w:rPr>
                <w:sz w:val="18"/>
                <w:szCs w:val="18"/>
                <w:color w:val="auto"/>
              </w:rPr>
            </w:pPr>
          </w:p>
        </w:tc>
      </w:tr>
      <w:tr>
        <w:trPr>
          <w:trHeight w:val="216"/>
        </w:trPr>
        <w:tc>
          <w:tcPr>
            <w:tcW w:w="8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N.</w:t>
            </w:r>
          </w:p>
        </w:tc>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ANTI-BUNDLING</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0" w:type="dxa"/>
            <w:vAlign w:val="bottom"/>
          </w:tcPr>
          <w:p>
            <w:pPr>
              <w:spacing w:after="0"/>
              <w:rPr>
                <w:sz w:val="18"/>
                <w:szCs w:val="18"/>
                <w:color w:val="auto"/>
              </w:rPr>
            </w:pPr>
          </w:p>
        </w:tc>
      </w:tr>
      <w:tr>
        <w:trPr>
          <w:trHeight w:val="216"/>
        </w:trPr>
        <w:tc>
          <w:tcPr>
            <w:tcW w:w="8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O.</w:t>
            </w:r>
          </w:p>
        </w:tc>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LIMIT OF INSURANCE UNDER THIS BOND AND PRIOR INSURANCE</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0" w:type="dxa"/>
            <w:vAlign w:val="bottom"/>
          </w:tcPr>
          <w:p>
            <w:pPr>
              <w:spacing w:after="0"/>
              <w:rPr>
                <w:sz w:val="18"/>
                <w:szCs w:val="18"/>
                <w:color w:val="auto"/>
              </w:rPr>
            </w:pPr>
          </w:p>
        </w:tc>
      </w:tr>
      <w:tr>
        <w:trPr>
          <w:trHeight w:val="216"/>
        </w:trPr>
        <w:tc>
          <w:tcPr>
            <w:tcW w:w="8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P.</w:t>
            </w:r>
          </w:p>
        </w:tc>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OTHER INSURANCE OR INDEMNITY</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0" w:type="dxa"/>
            <w:vAlign w:val="bottom"/>
          </w:tcPr>
          <w:p>
            <w:pPr>
              <w:spacing w:after="0"/>
              <w:rPr>
                <w:sz w:val="18"/>
                <w:szCs w:val="18"/>
                <w:color w:val="auto"/>
              </w:rPr>
            </w:pPr>
          </w:p>
        </w:tc>
      </w:tr>
      <w:tr>
        <w:trPr>
          <w:trHeight w:val="216"/>
        </w:trPr>
        <w:tc>
          <w:tcPr>
            <w:tcW w:w="8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Q.</w:t>
            </w:r>
          </w:p>
        </w:tc>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COVERED PROPERTY</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0" w:type="dxa"/>
            <w:vAlign w:val="bottom"/>
          </w:tcPr>
          <w:p>
            <w:pPr>
              <w:spacing w:after="0"/>
              <w:rPr>
                <w:sz w:val="18"/>
                <w:szCs w:val="18"/>
                <w:color w:val="auto"/>
              </w:rPr>
            </w:pPr>
          </w:p>
        </w:tc>
      </w:tr>
      <w:tr>
        <w:trPr>
          <w:trHeight w:val="216"/>
        </w:trPr>
        <w:tc>
          <w:tcPr>
            <w:tcW w:w="8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R.</w:t>
            </w:r>
          </w:p>
        </w:tc>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CANCELATION, TERMINATION, CHANGE OR MODIFICATION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0" w:type="dxa"/>
            <w:vAlign w:val="bottom"/>
          </w:tcPr>
          <w:p>
            <w:pPr>
              <w:spacing w:after="0"/>
              <w:rPr>
                <w:sz w:val="18"/>
                <w:szCs w:val="18"/>
                <w:color w:val="auto"/>
              </w:rPr>
            </w:pPr>
          </w:p>
        </w:tc>
      </w:tr>
      <w:tr>
        <w:trPr>
          <w:trHeight w:val="216"/>
        </w:trPr>
        <w:tc>
          <w:tcPr>
            <w:tcW w:w="8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S.</w:t>
            </w:r>
          </w:p>
        </w:tc>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DISCOVERY PERIOD</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0" w:type="dxa"/>
            <w:vAlign w:val="bottom"/>
          </w:tcPr>
          <w:p>
            <w:pPr>
              <w:spacing w:after="0"/>
              <w:rPr>
                <w:sz w:val="18"/>
                <w:szCs w:val="18"/>
                <w:color w:val="auto"/>
              </w:rPr>
            </w:pPr>
          </w:p>
        </w:tc>
      </w:tr>
      <w:tr>
        <w:trPr>
          <w:trHeight w:val="238"/>
        </w:trPr>
        <w:tc>
          <w:tcPr>
            <w:tcW w:w="8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T.</w:t>
            </w:r>
          </w:p>
        </w:tc>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HEADINGS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0" w:type="dxa"/>
            <w:vAlign w:val="bottom"/>
          </w:tcPr>
          <w:p>
            <w:pPr>
              <w:spacing w:after="0"/>
              <w:rPr>
                <w:sz w:val="20"/>
                <w:szCs w:val="20"/>
                <w:color w:val="auto"/>
              </w:rPr>
            </w:pPr>
          </w:p>
        </w:tc>
      </w:tr>
      <w:tr>
        <w:trPr>
          <w:trHeight w:val="156"/>
        </w:trPr>
        <w:tc>
          <w:tcPr>
            <w:tcW w:w="8520" w:type="dxa"/>
            <w:vAlign w:val="bottom"/>
            <w:gridSpan w:val="2"/>
          </w:tcPr>
          <w:p>
            <w:pPr>
              <w:spacing w:after="0"/>
              <w:rPr>
                <w:sz w:val="13"/>
                <w:szCs w:val="13"/>
                <w:color w:val="auto"/>
              </w:rPr>
            </w:pPr>
          </w:p>
        </w:tc>
        <w:tc>
          <w:tcPr>
            <w:tcW w:w="2520" w:type="dxa"/>
            <w:vAlign w:val="bottom"/>
            <w:gridSpan w:val="2"/>
          </w:tcPr>
          <w:p>
            <w:pPr>
              <w:spacing w:after="0"/>
              <w:rPr>
                <w:sz w:val="13"/>
                <w:szCs w:val="13"/>
                <w:color w:val="auto"/>
              </w:rPr>
            </w:pPr>
          </w:p>
        </w:tc>
      </w:tr>
      <w:tr>
        <w:trPr>
          <w:trHeight w:val="198"/>
        </w:trPr>
        <w:tc>
          <w:tcPr>
            <w:tcW w:w="8520" w:type="dxa"/>
            <w:vAlign w:val="bottom"/>
            <w:tcBorders>
              <w:top w:val="single" w:sz="8" w:color="auto"/>
            </w:tcBorders>
            <w:gridSpan w:val="2"/>
          </w:tcPr>
          <w:p>
            <w:pPr>
              <w:spacing w:after="0" w:line="198" w:lineRule="exact"/>
              <w:rPr>
                <w:sz w:val="20"/>
                <w:szCs w:val="20"/>
                <w:color w:val="auto"/>
              </w:rPr>
            </w:pPr>
            <w:r>
              <w:rPr>
                <w:rFonts w:ascii="Times New Roman" w:cs="Times New Roman" w:eastAsia="Times New Roman" w:hAnsi="Times New Roman"/>
                <w:sz w:val="18"/>
                <w:szCs w:val="18"/>
                <w:color w:val="auto"/>
              </w:rPr>
              <w:t>IVBB-16001 Ed. 01-16</w:t>
            </w:r>
          </w:p>
        </w:tc>
        <w:tc>
          <w:tcPr>
            <w:tcW w:w="25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Page 2 of 25</w:t>
            </w:r>
          </w:p>
        </w:tc>
        <w:tc>
          <w:tcPr>
            <w:tcW w:w="20" w:type="dxa"/>
            <w:vAlign w:val="bottom"/>
          </w:tcPr>
          <w:p>
            <w:pPr>
              <w:spacing w:after="0"/>
              <w:rPr>
                <w:sz w:val="17"/>
                <w:szCs w:val="17"/>
                <w:color w:val="auto"/>
              </w:rPr>
            </w:pPr>
          </w:p>
        </w:tc>
      </w:tr>
      <w:tr>
        <w:trPr>
          <w:trHeight w:val="234"/>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ectPr>
          <w:pgSz w:w="11900" w:h="16838" w:orient="portrait"/>
          <w:cols w:equalWidth="0" w:num="1">
            <w:col w:w="11020"/>
          </w:cols>
          <w:pgMar w:left="440" w:top="266" w:right="4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94130" cy="2660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294130" cy="266065"/>
                    </a:xfrm>
                    <a:prstGeom prst="rect">
                      <a:avLst/>
                    </a:prstGeom>
                    <a:noFill/>
                  </pic:spPr>
                </pic:pic>
              </a:graphicData>
            </a:graphic>
          </wp:anchor>
        </w:drawing>
        <w:t>Investment Company Bond</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with Extended Coverages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58" w:lineRule="exact"/>
        <w:rPr>
          <w:sz w:val="20"/>
          <w:szCs w:val="20"/>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CONSIDERATION CLAUSE</w:t>
      </w:r>
    </w:p>
    <w:p>
      <w:pPr>
        <w:spacing w:after="0" w:line="184" w:lineRule="exact"/>
        <w:rPr>
          <w:rFonts w:ascii="Times New Roman" w:cs="Times New Roman" w:eastAsia="Times New Roman" w:hAnsi="Times New Roman"/>
          <w:sz w:val="18"/>
          <w:szCs w:val="18"/>
          <w:b w:val="1"/>
          <w:bCs w:val="1"/>
          <w:i w:val="1"/>
          <w:iCs w:val="1"/>
          <w:color w:val="auto"/>
        </w:rPr>
      </w:pPr>
    </w:p>
    <w:p>
      <w:pPr>
        <w:ind w:left="444" w:right="20"/>
        <w:spacing w:after="0" w:line="317"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7"/>
          <w:szCs w:val="17"/>
          <w:b w:val="1"/>
          <w:bCs w:val="1"/>
          <w:color w:val="auto"/>
        </w:rPr>
        <w:t xml:space="preserve">IN CONSIDERATION </w:t>
      </w:r>
      <w:r>
        <w:rPr>
          <w:rFonts w:ascii="Times New Roman" w:cs="Times New Roman" w:eastAsia="Times New Roman" w:hAnsi="Times New Roman"/>
          <w:sz w:val="17"/>
          <w:szCs w:val="17"/>
          <w:color w:val="auto"/>
        </w:rPr>
        <w:t>of the payment of an agreed premium and subject to the Declarations and pursuant to all the terms, conditions, exclusions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limitations of this bond, the Company agrees to indemnify the Insured as set forth in ITEM 1 of the Declarations (herein called Insured)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-390525</wp:posOffset>
            </wp:positionV>
            <wp:extent cx="6995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0" w:lineRule="exact"/>
        <w:rPr>
          <w:sz w:val="20"/>
          <w:szCs w:val="20"/>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INSURING AGREEMENTS</w:t>
      </w:r>
    </w:p>
    <w:p>
      <w:pPr>
        <w:spacing w:after="0" w:line="238" w:lineRule="exact"/>
        <w:rPr>
          <w:rFonts w:ascii="Times New Roman" w:cs="Times New Roman" w:eastAsia="Times New Roman" w:hAnsi="Times New Roman"/>
          <w:sz w:val="18"/>
          <w:szCs w:val="18"/>
          <w:b w:val="1"/>
          <w:bCs w:val="1"/>
          <w:i w:val="1"/>
          <w:iCs w:val="1"/>
          <w:color w:val="auto"/>
        </w:rPr>
      </w:pPr>
    </w:p>
    <w:p>
      <w:pPr>
        <w:ind w:left="964" w:hanging="532"/>
        <w:spacing w:after="0"/>
        <w:tabs>
          <w:tab w:leader="none" w:pos="964"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FIDELITY</w:t>
      </w:r>
    </w:p>
    <w:p>
      <w:pPr>
        <w:spacing w:after="0" w:line="121" w:lineRule="exact"/>
        <w:rPr>
          <w:rFonts w:ascii="Times New Roman" w:cs="Times New Roman" w:eastAsia="Times New Roman" w:hAnsi="Times New Roman"/>
          <w:sz w:val="18"/>
          <w:szCs w:val="18"/>
          <w:b w:val="1"/>
          <w:bCs w:val="1"/>
          <w:color w:val="auto"/>
        </w:rPr>
      </w:pPr>
    </w:p>
    <w:p>
      <w:pPr>
        <w:ind w:left="98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Coverage A.1. Larceny or Embezzlement</w:t>
      </w:r>
    </w:p>
    <w:p>
      <w:pPr>
        <w:spacing w:after="0" w:line="113" w:lineRule="exact"/>
        <w:rPr>
          <w:rFonts w:ascii="Times New Roman" w:cs="Times New Roman" w:eastAsia="Times New Roman" w:hAnsi="Times New Roman"/>
          <w:sz w:val="18"/>
          <w:szCs w:val="18"/>
          <w:b w:val="1"/>
          <w:bCs w:val="1"/>
          <w:color w:val="auto"/>
        </w:rPr>
      </w:pPr>
    </w:p>
    <w:p>
      <w:pPr>
        <w:ind w:left="984" w:right="560" w:firstLine="441"/>
        <w:spacing w:after="0" w:line="3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Loss resulting directly from </w:t>
      </w:r>
      <w:r>
        <w:rPr>
          <w:rFonts w:ascii="Times New Roman" w:cs="Times New Roman" w:eastAsia="Times New Roman" w:hAnsi="Times New Roman"/>
          <w:sz w:val="18"/>
          <w:szCs w:val="18"/>
          <w:b w:val="1"/>
          <w:bCs w:val="1"/>
          <w:color w:val="auto"/>
        </w:rPr>
        <w:t>Larceny or Embezzlement</w:t>
      </w:r>
      <w:r>
        <w:rPr>
          <w:rFonts w:ascii="Times New Roman" w:cs="Times New Roman" w:eastAsia="Times New Roman" w:hAnsi="Times New Roman"/>
          <w:sz w:val="18"/>
          <w:szCs w:val="18"/>
          <w:color w:val="auto"/>
        </w:rPr>
        <w:t xml:space="preserve"> committed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acting alone or in collusion with others. Coverage A.2. Restoration Expenses</w:t>
      </w:r>
    </w:p>
    <w:p>
      <w:pPr>
        <w:spacing w:after="0" w:line="1" w:lineRule="exact"/>
        <w:rPr>
          <w:rFonts w:ascii="Times New Roman" w:cs="Times New Roman" w:eastAsia="Times New Roman" w:hAnsi="Times New Roman"/>
          <w:sz w:val="18"/>
          <w:szCs w:val="18"/>
          <w:b w:val="1"/>
          <w:bCs w:val="1"/>
          <w:color w:val="auto"/>
        </w:rPr>
      </w:pPr>
    </w:p>
    <w:p>
      <w:pPr>
        <w:ind w:left="142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Restoration Expenses </w:t>
      </w:r>
      <w:r>
        <w:rPr>
          <w:rFonts w:ascii="Times New Roman" w:cs="Times New Roman" w:eastAsia="Times New Roman" w:hAnsi="Times New Roman"/>
          <w:sz w:val="18"/>
          <w:szCs w:val="18"/>
          <w:color w:val="auto"/>
        </w:rPr>
        <w:t>incurred by the Insured and resulting directly from a</w:t>
      </w:r>
      <w:r>
        <w:rPr>
          <w:rFonts w:ascii="Times New Roman" w:cs="Times New Roman" w:eastAsia="Times New Roman" w:hAnsi="Times New Roman"/>
          <w:sz w:val="18"/>
          <w:szCs w:val="18"/>
          <w:b w:val="1"/>
          <w:bCs w:val="1"/>
          <w:color w:val="auto"/>
        </w:rPr>
        <w:t xml:space="preserve"> Computer Violation </w:t>
      </w:r>
      <w:r>
        <w:rPr>
          <w:rFonts w:ascii="Times New Roman" w:cs="Times New Roman" w:eastAsia="Times New Roman" w:hAnsi="Times New Roman"/>
          <w:sz w:val="18"/>
          <w:szCs w:val="18"/>
          <w:color w:val="auto"/>
        </w:rPr>
        <w:t>by an</w:t>
      </w:r>
      <w:r>
        <w:rPr>
          <w:rFonts w:ascii="Times New Roman" w:cs="Times New Roman" w:eastAsia="Times New Roman" w:hAnsi="Times New Roman"/>
          <w:sz w:val="18"/>
          <w:szCs w:val="18"/>
          <w:b w:val="1"/>
          <w:bCs w:val="1"/>
          <w:color w:val="auto"/>
        </w:rPr>
        <w:t xml:space="preserve"> Employee</w:t>
      </w:r>
      <w:r>
        <w:rPr>
          <w:rFonts w:ascii="Times New Roman" w:cs="Times New Roman" w:eastAsia="Times New Roman" w:hAnsi="Times New Roman"/>
          <w:sz w:val="18"/>
          <w:szCs w:val="18"/>
          <w:color w:val="auto"/>
        </w:rPr>
        <w:t>.</w:t>
      </w:r>
    </w:p>
    <w:p>
      <w:pPr>
        <w:spacing w:after="0" w:line="373"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ON PREMISES</w:t>
      </w:r>
    </w:p>
    <w:p>
      <w:pPr>
        <w:spacing w:after="0" w:line="130" w:lineRule="exact"/>
        <w:rPr>
          <w:rFonts w:ascii="Times New Roman" w:cs="Times New Roman" w:eastAsia="Times New Roman" w:hAnsi="Times New Roman"/>
          <w:sz w:val="18"/>
          <w:szCs w:val="18"/>
          <w:b w:val="1"/>
          <w:bCs w:val="1"/>
          <w:color w:val="auto"/>
        </w:rPr>
      </w:pPr>
    </w:p>
    <w:p>
      <w:pPr>
        <w:ind w:left="1424" w:hanging="439"/>
        <w:spacing w:after="0"/>
        <w:tabs>
          <w:tab w:leader="none" w:pos="142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resulting directly from:</w:t>
      </w:r>
    </w:p>
    <w:p>
      <w:pPr>
        <w:spacing w:after="0" w:line="134" w:lineRule="exact"/>
        <w:rPr>
          <w:rFonts w:ascii="Times New Roman" w:cs="Times New Roman" w:eastAsia="Times New Roman" w:hAnsi="Times New Roman"/>
          <w:sz w:val="18"/>
          <w:szCs w:val="18"/>
          <w:color w:val="auto"/>
        </w:rPr>
      </w:pPr>
    </w:p>
    <w:p>
      <w:pPr>
        <w:ind w:left="1964" w:hanging="533"/>
        <w:spacing w:after="0"/>
        <w:tabs>
          <w:tab w:leader="none" w:pos="1964" w:val="left"/>
        </w:tabs>
        <w:numPr>
          <w:ilvl w:val="3"/>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robbery, burglary, mysterious unexplainable disappearance or misplacement and damage or destruction; or</w:t>
      </w:r>
    </w:p>
    <w:p>
      <w:pPr>
        <w:spacing w:after="0" w:line="130" w:lineRule="exact"/>
        <w:rPr>
          <w:rFonts w:ascii="Times New Roman" w:cs="Times New Roman" w:eastAsia="Times New Roman" w:hAnsi="Times New Roman"/>
          <w:sz w:val="18"/>
          <w:szCs w:val="18"/>
          <w:color w:val="auto"/>
        </w:rPr>
      </w:pPr>
    </w:p>
    <w:p>
      <w:pPr>
        <w:ind w:left="1964" w:right="60" w:hanging="533"/>
        <w:spacing w:after="0" w:line="282" w:lineRule="auto"/>
        <w:tabs>
          <w:tab w:leader="none" w:pos="1964" w:val="left"/>
        </w:tabs>
        <w:numPr>
          <w:ilvl w:val="3"/>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theft, false pretenses, or common law or statutory larceny, committed by a person physically present in an office of, or on the premises of, the Insured at the time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was surrendered,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-2233930</wp:posOffset>
            </wp:positionV>
            <wp:extent cx="69951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0" w:lineRule="exact"/>
        <w:rPr>
          <w:sz w:val="20"/>
          <w:szCs w:val="20"/>
          <w:color w:val="auto"/>
        </w:rPr>
      </w:pPr>
    </w:p>
    <w:p>
      <w:pPr>
        <w:ind w:left="1424" w:right="40"/>
        <w:spacing w:after="0" w:line="256" w:lineRule="auto"/>
        <w:rPr>
          <w:sz w:val="20"/>
          <w:szCs w:val="20"/>
          <w:color w:val="auto"/>
        </w:rPr>
      </w:pPr>
      <w:r>
        <w:rPr>
          <w:rFonts w:ascii="Times New Roman" w:cs="Times New Roman" w:eastAsia="Times New Roman" w:hAnsi="Times New Roman"/>
          <w:sz w:val="18"/>
          <w:szCs w:val="18"/>
          <w:color w:val="auto"/>
        </w:rPr>
        <w:t xml:space="preserve">while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is lodged or deposited within offices or premises located anywhere. The premises of a </w:t>
      </w:r>
      <w:r>
        <w:rPr>
          <w:rFonts w:ascii="Times New Roman" w:cs="Times New Roman" w:eastAsia="Times New Roman" w:hAnsi="Times New Roman"/>
          <w:sz w:val="18"/>
          <w:szCs w:val="18"/>
          <w:b w:val="1"/>
          <w:bCs w:val="1"/>
          <w:color w:val="auto"/>
        </w:rPr>
        <w:t>Depository</w:t>
      </w:r>
      <w:r>
        <w:rPr>
          <w:rFonts w:ascii="Times New Roman" w:cs="Times New Roman" w:eastAsia="Times New Roman" w:hAnsi="Times New Roman"/>
          <w:sz w:val="18"/>
          <w:szCs w:val="18"/>
          <w:color w:val="auto"/>
        </w:rPr>
        <w:t xml:space="preserve"> will be deemed premises of the Insured, but solely as respects loss of </w:t>
      </w:r>
      <w:r>
        <w:rPr>
          <w:rFonts w:ascii="Times New Roman" w:cs="Times New Roman" w:eastAsia="Times New Roman" w:hAnsi="Times New Roman"/>
          <w:sz w:val="18"/>
          <w:szCs w:val="18"/>
          <w:b w:val="1"/>
          <w:bCs w:val="1"/>
          <w:color w:val="auto"/>
        </w:rPr>
        <w:t>Certificated Securities</w:t>
      </w:r>
      <w:r>
        <w:rPr>
          <w:rFonts w:ascii="Times New Roman" w:cs="Times New Roman" w:eastAsia="Times New Roman" w:hAnsi="Times New Roman"/>
          <w:sz w:val="18"/>
          <w:szCs w:val="18"/>
          <w:color w:val="auto"/>
        </w:rPr>
        <w:t xml:space="preserve">. Coverage for </w:t>
      </w:r>
      <w:r>
        <w:rPr>
          <w:rFonts w:ascii="Times New Roman" w:cs="Times New Roman" w:eastAsia="Times New Roman" w:hAnsi="Times New Roman"/>
          <w:sz w:val="18"/>
          <w:szCs w:val="18"/>
          <w:b w:val="1"/>
          <w:bCs w:val="1"/>
          <w:color w:val="auto"/>
        </w:rPr>
        <w:t>Certificated Securities</w:t>
      </w:r>
      <w:r>
        <w:rPr>
          <w:rFonts w:ascii="Times New Roman" w:cs="Times New Roman" w:eastAsia="Times New Roman" w:hAnsi="Times New Roman"/>
          <w:sz w:val="18"/>
          <w:szCs w:val="18"/>
          <w:color w:val="auto"/>
        </w:rPr>
        <w:t xml:space="preserve"> held by such </w:t>
      </w:r>
      <w:r>
        <w:rPr>
          <w:rFonts w:ascii="Times New Roman" w:cs="Times New Roman" w:eastAsia="Times New Roman" w:hAnsi="Times New Roman"/>
          <w:sz w:val="18"/>
          <w:szCs w:val="18"/>
          <w:b w:val="1"/>
          <w:bCs w:val="1"/>
          <w:color w:val="auto"/>
        </w:rPr>
        <w:t>Depository</w:t>
      </w:r>
      <w:r>
        <w:rPr>
          <w:rFonts w:ascii="Times New Roman" w:cs="Times New Roman" w:eastAsia="Times New Roman" w:hAnsi="Times New Roman"/>
          <w:sz w:val="18"/>
          <w:szCs w:val="18"/>
          <w:color w:val="auto"/>
        </w:rPr>
        <w:t xml:space="preserve"> is limited to the extent of the Insured’s interest therein as effected by the making of appropriate entries on the books and records of such </w:t>
      </w:r>
      <w:r>
        <w:rPr>
          <w:rFonts w:ascii="Times New Roman" w:cs="Times New Roman" w:eastAsia="Times New Roman" w:hAnsi="Times New Roman"/>
          <w:sz w:val="18"/>
          <w:szCs w:val="18"/>
          <w:b w:val="1"/>
          <w:bCs w:val="1"/>
          <w:color w:val="auto"/>
        </w:rPr>
        <w:t>Depository</w:t>
      </w:r>
      <w:r>
        <w:rPr>
          <w:rFonts w:ascii="Times New Roman" w:cs="Times New Roman" w:eastAsia="Times New Roman" w:hAnsi="Times New Roman"/>
          <w:sz w:val="18"/>
          <w:szCs w:val="18"/>
          <w:color w:val="auto"/>
        </w:rPr>
        <w:t xml:space="preserve">. The Company will not be liable under Insuring Agreement B for loss in connection with the central handling of securities within the systems established and maintained by any </w:t>
      </w:r>
      <w:r>
        <w:rPr>
          <w:rFonts w:ascii="Times New Roman" w:cs="Times New Roman" w:eastAsia="Times New Roman" w:hAnsi="Times New Roman"/>
          <w:sz w:val="18"/>
          <w:szCs w:val="18"/>
          <w:b w:val="1"/>
          <w:bCs w:val="1"/>
          <w:color w:val="auto"/>
        </w:rPr>
        <w:t>Depository</w:t>
      </w:r>
      <w:r>
        <w:rPr>
          <w:rFonts w:ascii="Times New Roman" w:cs="Times New Roman" w:eastAsia="Times New Roman" w:hAnsi="Times New Roman"/>
          <w:sz w:val="18"/>
          <w:szCs w:val="18"/>
          <w:color w:val="auto"/>
        </w:rPr>
        <w:t xml:space="preserve"> unless the amount of such loss exceeds the amount recoverable or recovered under any bond or policy or participants’ fund insuring the </w:t>
      </w:r>
      <w:r>
        <w:rPr>
          <w:rFonts w:ascii="Times New Roman" w:cs="Times New Roman" w:eastAsia="Times New Roman" w:hAnsi="Times New Roman"/>
          <w:sz w:val="18"/>
          <w:szCs w:val="18"/>
          <w:b w:val="1"/>
          <w:bCs w:val="1"/>
          <w:color w:val="auto"/>
        </w:rPr>
        <w:t>Depository</w:t>
      </w:r>
      <w:r>
        <w:rPr>
          <w:rFonts w:ascii="Times New Roman" w:cs="Times New Roman" w:eastAsia="Times New Roman" w:hAnsi="Times New Roman"/>
          <w:sz w:val="18"/>
          <w:szCs w:val="18"/>
          <w:color w:val="auto"/>
        </w:rPr>
        <w:t xml:space="preserve"> against such loss.</w:t>
      </w:r>
    </w:p>
    <w:p>
      <w:pPr>
        <w:spacing w:after="0" w:line="75" w:lineRule="exact"/>
        <w:rPr>
          <w:sz w:val="20"/>
          <w:szCs w:val="20"/>
          <w:color w:val="auto"/>
        </w:rPr>
      </w:pPr>
    </w:p>
    <w:p>
      <w:pPr>
        <w:ind w:left="1424" w:right="320"/>
        <w:spacing w:after="0" w:line="286" w:lineRule="auto"/>
        <w:rPr>
          <w:sz w:val="20"/>
          <w:szCs w:val="20"/>
          <w:color w:val="auto"/>
        </w:rPr>
      </w:pPr>
      <w:r>
        <w:rPr>
          <w:rFonts w:ascii="Times New Roman" w:cs="Times New Roman" w:eastAsia="Times New Roman" w:hAnsi="Times New Roman"/>
          <w:sz w:val="18"/>
          <w:szCs w:val="18"/>
          <w:color w:val="auto"/>
        </w:rPr>
        <w:t xml:space="preserve">This bond does not afford any coverage in favor of any </w:t>
      </w:r>
      <w:r>
        <w:rPr>
          <w:rFonts w:ascii="Times New Roman" w:cs="Times New Roman" w:eastAsia="Times New Roman" w:hAnsi="Times New Roman"/>
          <w:sz w:val="18"/>
          <w:szCs w:val="18"/>
          <w:b w:val="1"/>
          <w:bCs w:val="1"/>
          <w:color w:val="auto"/>
        </w:rPr>
        <w:t>Depository</w:t>
      </w:r>
      <w:r>
        <w:rPr>
          <w:rFonts w:ascii="Times New Roman" w:cs="Times New Roman" w:eastAsia="Times New Roman" w:hAnsi="Times New Roman"/>
          <w:sz w:val="18"/>
          <w:szCs w:val="18"/>
          <w:color w:val="auto"/>
        </w:rPr>
        <w:t xml:space="preserve"> or exchange or any nominee in whose name is registered any security included within the </w:t>
      </w:r>
      <w:r>
        <w:rPr>
          <w:rFonts w:ascii="Times New Roman" w:cs="Times New Roman" w:eastAsia="Times New Roman" w:hAnsi="Times New Roman"/>
          <w:sz w:val="18"/>
          <w:szCs w:val="18"/>
          <w:b w:val="1"/>
          <w:bCs w:val="1"/>
          <w:color w:val="auto"/>
        </w:rPr>
        <w:t>Depository’s</w:t>
      </w:r>
      <w:r>
        <w:rPr>
          <w:rFonts w:ascii="Times New Roman" w:cs="Times New Roman" w:eastAsia="Times New Roman" w:hAnsi="Times New Roman"/>
          <w:sz w:val="18"/>
          <w:szCs w:val="18"/>
          <w:color w:val="auto"/>
        </w:rPr>
        <w:t xml:space="preserve"> systems.</w:t>
      </w:r>
    </w:p>
    <w:p>
      <w:pPr>
        <w:spacing w:after="0" w:line="60" w:lineRule="exact"/>
        <w:rPr>
          <w:sz w:val="20"/>
          <w:szCs w:val="20"/>
          <w:color w:val="auto"/>
        </w:rPr>
      </w:pPr>
    </w:p>
    <w:p>
      <w:pPr>
        <w:ind w:left="1424" w:right="240" w:hanging="439"/>
        <w:spacing w:after="0" w:line="259" w:lineRule="auto"/>
        <w:tabs>
          <w:tab w:leader="none" w:pos="1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Direct loss, through any hazard specified in Insuring Agreement B.1. of any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while such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is within any of the Insured’s or an </w:t>
      </w:r>
      <w:r>
        <w:rPr>
          <w:rFonts w:ascii="Times New Roman" w:cs="Times New Roman" w:eastAsia="Times New Roman" w:hAnsi="Times New Roman"/>
          <w:sz w:val="18"/>
          <w:szCs w:val="18"/>
          <w:b w:val="1"/>
          <w:bCs w:val="1"/>
          <w:color w:val="auto"/>
        </w:rPr>
        <w:t>Investment Adviser’s</w:t>
      </w:r>
      <w:r>
        <w:rPr>
          <w:rFonts w:ascii="Times New Roman" w:cs="Times New Roman" w:eastAsia="Times New Roman" w:hAnsi="Times New Roman"/>
          <w:sz w:val="18"/>
          <w:szCs w:val="18"/>
          <w:color w:val="auto"/>
        </w:rPr>
        <w:t xml:space="preserve"> offices and in the possession of any customer of the Insured, any representative of such customer or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whether or not the Insured is liable for the loss thereof, and provided such loss, at the option of the Insured, is included in the Insured’s proof of loss, but excluding, in any event, loss caused by such customer, any representative of such customer, or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114" w:lineRule="exact"/>
        <w:rPr>
          <w:sz w:val="20"/>
          <w:szCs w:val="20"/>
          <w:color w:val="auto"/>
        </w:rPr>
      </w:pPr>
    </w:p>
    <w:tbl>
      <w:tblPr>
        <w:tblLayout w:type="fixed"/>
        <w:tblInd w:w="4" w:type="dxa"/>
        <w:tblCellMar>
          <w:top w:w="0" w:type="dxa"/>
          <w:left w:w="0" w:type="dxa"/>
          <w:bottom w:w="0" w:type="dxa"/>
          <w:right w:w="0" w:type="dxa"/>
        </w:tblCellMar>
      </w:tblPr>
      <w:tr>
        <w:trPr>
          <w:trHeight w:val="225"/>
        </w:trPr>
        <w:tc>
          <w:tcPr>
            <w:tcW w:w="7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680" w:type="dxa"/>
            <w:vAlign w:val="bottom"/>
            <w:tcBorders>
              <w:top w:val="single" w:sz="8" w:color="auto"/>
            </w:tcBorders>
          </w:tcPr>
          <w:p>
            <w:pPr>
              <w:ind w:left="2760"/>
              <w:spacing w:after="0"/>
              <w:rPr>
                <w:sz w:val="20"/>
                <w:szCs w:val="20"/>
                <w:color w:val="auto"/>
              </w:rPr>
            </w:pPr>
            <w:r>
              <w:rPr>
                <w:rFonts w:ascii="Times New Roman" w:cs="Times New Roman" w:eastAsia="Times New Roman" w:hAnsi="Times New Roman"/>
                <w:sz w:val="18"/>
                <w:szCs w:val="18"/>
                <w:color w:val="auto"/>
                <w:w w:val="99"/>
              </w:rPr>
              <w:t>Page 3 of 25</w:t>
            </w: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680" w:type="dxa"/>
            <w:vAlign w:val="bottom"/>
          </w:tcPr>
          <w:p>
            <w:pPr>
              <w:spacing w:after="0"/>
              <w:rPr>
                <w:sz w:val="20"/>
                <w:szCs w:val="20"/>
                <w:color w:val="auto"/>
              </w:rPr>
            </w:pPr>
          </w:p>
        </w:tc>
      </w:tr>
    </w:tbl>
    <w:p>
      <w:pPr>
        <w:sectPr>
          <w:pgSz w:w="11900" w:h="16838" w:orient="portrait"/>
          <w:cols w:equalWidth="0" w:num="1">
            <w:col w:w="11024"/>
          </w:cols>
          <w:pgMar w:left="436" w:top="468" w:right="439" w:bottom="1440" w:gutter="0" w:footer="0" w:header="0"/>
        </w:sectPr>
      </w:pPr>
    </w:p>
    <w:bookmarkStart w:id="11" w:name="page12"/>
    <w:bookmarkEnd w:id="11"/>
    <w:p>
      <w:pPr>
        <w:ind w:left="960" w:hanging="532"/>
        <w:spacing w:after="0"/>
        <w:tabs>
          <w:tab w:leader="none" w:pos="9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TRANSIT</w:t>
      </w:r>
    </w:p>
    <w:p>
      <w:pPr>
        <w:spacing w:after="0" w:line="117" w:lineRule="exact"/>
        <w:rPr>
          <w:rFonts w:ascii="Times New Roman" w:cs="Times New Roman" w:eastAsia="Times New Roman" w:hAnsi="Times New Roman"/>
          <w:sz w:val="18"/>
          <w:szCs w:val="18"/>
          <w:b w:val="1"/>
          <w:bCs w:val="1"/>
          <w:color w:val="auto"/>
        </w:rPr>
      </w:pPr>
    </w:p>
    <w:p>
      <w:pPr>
        <w:ind w:left="980" w:right="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(occurring with or without negligence or violence) resulting directly from robbery, larceny, theft, holdup, mysterious unexplainable disappearance, misplacement, being lost or otherwise made away with, damage thereto or destruction thereof, and loss of subscription, conversion, redemption or deposit privileges through the misplacement or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while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is in transit anywhere in the custody of any person or persons acting as </w:t>
      </w:r>
      <w:r>
        <w:rPr>
          <w:rFonts w:ascii="Times New Roman" w:cs="Times New Roman" w:eastAsia="Times New Roman" w:hAnsi="Times New Roman"/>
          <w:sz w:val="18"/>
          <w:szCs w:val="18"/>
          <w:b w:val="1"/>
          <w:bCs w:val="1"/>
          <w:color w:val="auto"/>
        </w:rPr>
        <w:t>Messenger,</w:t>
      </w:r>
      <w:r>
        <w:rPr>
          <w:rFonts w:ascii="Times New Roman" w:cs="Times New Roman" w:eastAsia="Times New Roman" w:hAnsi="Times New Roman"/>
          <w:sz w:val="18"/>
          <w:szCs w:val="18"/>
          <w:color w:val="auto"/>
        </w:rPr>
        <w:t xml:space="preserve"> except while in the mail or with a carrier for hire other than an armored motor vehicle company, for the purpose of transportation, such transit to begin immediately upon receipt of such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by the transporting person or persons, and to end immediately upon delivery thereof at destination, but only while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is being conveyed.</w:t>
      </w:r>
    </w:p>
    <w:p>
      <w:pPr>
        <w:spacing w:after="0" w:line="331"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FORGERY OR ALTERATION</w:t>
      </w:r>
    </w:p>
    <w:p>
      <w:pPr>
        <w:spacing w:after="0" w:line="117"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Loss resulting directly from the Insured having, in good faith, paid or transferred any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in reliance on any </w:t>
      </w:r>
      <w:r>
        <w:rPr>
          <w:rFonts w:ascii="Times New Roman" w:cs="Times New Roman" w:eastAsia="Times New Roman" w:hAnsi="Times New Roman"/>
          <w:sz w:val="18"/>
          <w:szCs w:val="18"/>
          <w:b w:val="1"/>
          <w:bCs w:val="1"/>
          <w:color w:val="auto"/>
        </w:rPr>
        <w:t>Written, Original:</w:t>
      </w:r>
    </w:p>
    <w:p>
      <w:pPr>
        <w:spacing w:after="0" w:line="130"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Negotiable Instrument </w:t>
      </w:r>
      <w:r>
        <w:rPr>
          <w:rFonts w:ascii="Times New Roman" w:cs="Times New Roman" w:eastAsia="Times New Roman" w:hAnsi="Times New Roman"/>
          <w:sz w:val="18"/>
          <w:szCs w:val="18"/>
          <w:color w:val="auto"/>
        </w:rPr>
        <w:t>(except an</w:t>
      </w:r>
      <w:r>
        <w:rPr>
          <w:rFonts w:ascii="Times New Roman" w:cs="Times New Roman" w:eastAsia="Times New Roman" w:hAnsi="Times New Roman"/>
          <w:sz w:val="18"/>
          <w:szCs w:val="18"/>
          <w:b w:val="1"/>
          <w:bCs w:val="1"/>
          <w:color w:val="auto"/>
        </w:rPr>
        <w:t xml:space="preserve"> Evidence of Debt);</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 of Deposit;</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Letter of Credit;</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Withdrawal Order;</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Acceptance;</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receipt for the withdrawal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or</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instruction or advice directed to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and purportedly signed by 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of the Insured or by a</w:t>
      </w:r>
    </w:p>
    <w:p>
      <w:pPr>
        <w:spacing w:after="0" w:line="31"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Institution,</w:t>
      </w:r>
    </w:p>
    <w:p>
      <w:pPr>
        <w:spacing w:after="0" w:line="95" w:lineRule="exact"/>
        <w:rPr>
          <w:sz w:val="20"/>
          <w:szCs w:val="20"/>
          <w:color w:val="auto"/>
        </w:rPr>
      </w:pPr>
    </w:p>
    <w:p>
      <w:pPr>
        <w:ind w:left="980" w:right="300"/>
        <w:spacing w:after="0" w:line="286" w:lineRule="auto"/>
        <w:rPr>
          <w:sz w:val="20"/>
          <w:szCs w:val="20"/>
          <w:color w:val="auto"/>
        </w:rPr>
      </w:pPr>
      <w:r>
        <w:rPr>
          <w:rFonts w:ascii="Times New Roman" w:cs="Times New Roman" w:eastAsia="Times New Roman" w:hAnsi="Times New Roman"/>
          <w:sz w:val="18"/>
          <w:szCs w:val="18"/>
          <w:color w:val="auto"/>
        </w:rPr>
        <w:t xml:space="preserve">which (a) bears a handwritten signature which is a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xml:space="preserve"> or (b) is altered, but only to the extent the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xml:space="preserve"> or alteration causes the loss.</w:t>
      </w:r>
    </w:p>
    <w:p>
      <w:pPr>
        <w:spacing w:after="0" w:line="51" w:lineRule="exact"/>
        <w:rPr>
          <w:sz w:val="20"/>
          <w:szCs w:val="20"/>
          <w:color w:val="auto"/>
        </w:rPr>
      </w:pPr>
    </w:p>
    <w:p>
      <w:pPr>
        <w:ind w:left="980" w:right="160"/>
        <w:spacing w:after="0" w:line="282" w:lineRule="auto"/>
        <w:rPr>
          <w:sz w:val="20"/>
          <w:szCs w:val="20"/>
          <w:color w:val="auto"/>
        </w:rPr>
      </w:pPr>
      <w:r>
        <w:rPr>
          <w:rFonts w:ascii="Times New Roman" w:cs="Times New Roman" w:eastAsia="Times New Roman" w:hAnsi="Times New Roman"/>
          <w:sz w:val="18"/>
          <w:szCs w:val="18"/>
          <w:color w:val="auto"/>
        </w:rPr>
        <w:t>Actual physical possession of the items listed in 1. through 7. above by the Insured is a condition precedent to the Insured’s having relied on the items.</w:t>
      </w:r>
    </w:p>
    <w:p>
      <w:pPr>
        <w:spacing w:after="0" w:line="306" w:lineRule="exact"/>
        <w:rPr>
          <w:sz w:val="20"/>
          <w:szCs w:val="20"/>
          <w:color w:val="auto"/>
        </w:rPr>
      </w:pPr>
    </w:p>
    <w:p>
      <w:pPr>
        <w:ind w:left="960" w:hanging="532"/>
        <w:spacing w:after="0"/>
        <w:tabs>
          <w:tab w:leader="none" w:pos="9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SECURITIES</w:t>
      </w:r>
    </w:p>
    <w:p>
      <w:pPr>
        <w:spacing w:after="0" w:line="121"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Loss resulting directly from the Insured having, in good faith, for its own account or for the account of others:</w:t>
      </w:r>
    </w:p>
    <w:p>
      <w:pPr>
        <w:spacing w:after="0" w:line="126" w:lineRule="exact"/>
        <w:rPr>
          <w:rFonts w:ascii="Times New Roman" w:cs="Times New Roman" w:eastAsia="Times New Roman" w:hAnsi="Times New Roman"/>
          <w:sz w:val="18"/>
          <w:szCs w:val="18"/>
          <w:b w:val="1"/>
          <w:bCs w:val="1"/>
          <w:color w:val="auto"/>
        </w:rPr>
      </w:pPr>
    </w:p>
    <w:p>
      <w:pPr>
        <w:ind w:left="1420" w:right="80" w:hanging="439"/>
        <w:spacing w:after="0" w:line="286" w:lineRule="auto"/>
        <w:tabs>
          <w:tab w:leader="none" w:pos="14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acquired, sold, delivered, or given value, extended credit or assumed liability, on the faith of any </w:t>
      </w:r>
      <w:r>
        <w:rPr>
          <w:rFonts w:ascii="Times New Roman" w:cs="Times New Roman" w:eastAsia="Times New Roman" w:hAnsi="Times New Roman"/>
          <w:sz w:val="18"/>
          <w:szCs w:val="18"/>
          <w:b w:val="1"/>
          <w:bCs w:val="1"/>
          <w:color w:val="auto"/>
        </w:rPr>
        <w:t>Original Written</w:t>
      </w:r>
      <w:r>
        <w:rPr>
          <w:rFonts w:ascii="Times New Roman" w:cs="Times New Roman" w:eastAsia="Times New Roman" w:hAnsi="Times New Roman"/>
          <w:sz w:val="18"/>
          <w:szCs w:val="18"/>
          <w:color w:val="auto"/>
        </w:rPr>
        <w:t xml:space="preserve"> document that is a (an):</w:t>
      </w:r>
    </w:p>
    <w:p>
      <w:pPr>
        <w:spacing w:after="0" w:line="6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Certificated Security;</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Document of Title;</w:t>
      </w:r>
    </w:p>
    <w:p>
      <w:pPr>
        <w:spacing w:after="0" w:line="134"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deed, mortgage, or other instrument conveying title to, or creating or discharging a lien on, real property;</w:t>
      </w:r>
    </w:p>
    <w:p>
      <w:pPr>
        <w:spacing w:after="0" w:line="126"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 of Origin or Title;</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 of Deposit;</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Evidence of Debt;</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corporate, partnership, or personal </w:t>
      </w:r>
      <w:r>
        <w:rPr>
          <w:rFonts w:ascii="Times New Roman" w:cs="Times New Roman" w:eastAsia="Times New Roman" w:hAnsi="Times New Roman"/>
          <w:sz w:val="18"/>
          <w:szCs w:val="18"/>
          <w:b w:val="1"/>
          <w:bCs w:val="1"/>
          <w:color w:val="auto"/>
        </w:rPr>
        <w:t>Guarantee;</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 Agreement;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680" w:type="dxa"/>
            <w:vAlign w:val="bottom"/>
            <w:tcBorders>
              <w:top w:val="single" w:sz="8" w:color="auto"/>
            </w:tcBorders>
          </w:tcPr>
          <w:p>
            <w:pPr>
              <w:ind w:left="2760"/>
              <w:spacing w:after="0"/>
              <w:rPr>
                <w:sz w:val="20"/>
                <w:szCs w:val="20"/>
                <w:color w:val="auto"/>
              </w:rPr>
            </w:pPr>
            <w:r>
              <w:rPr>
                <w:rFonts w:ascii="Times New Roman" w:cs="Times New Roman" w:eastAsia="Times New Roman" w:hAnsi="Times New Roman"/>
                <w:sz w:val="18"/>
                <w:szCs w:val="18"/>
                <w:color w:val="auto"/>
                <w:w w:val="99"/>
              </w:rPr>
              <w:t>Page 4 of 25</w:t>
            </w: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680" w:type="dxa"/>
            <w:vAlign w:val="bottom"/>
          </w:tcPr>
          <w:p>
            <w:pPr>
              <w:spacing w:after="0"/>
              <w:rPr>
                <w:sz w:val="20"/>
                <w:szCs w:val="20"/>
                <w:color w:val="auto"/>
              </w:rPr>
            </w:pPr>
          </w:p>
        </w:tc>
      </w:tr>
    </w:tbl>
    <w:p>
      <w:pPr>
        <w:sectPr>
          <w:pgSz w:w="11900" w:h="16838" w:orient="portrait"/>
          <w:cols w:equalWidth="0" w:num="1">
            <w:col w:w="11020"/>
          </w:cols>
          <w:pgMar w:left="440" w:top="266" w:right="439" w:bottom="1440" w:gutter="0" w:footer="0" w:header="0"/>
        </w:sectPr>
      </w:pPr>
    </w:p>
    <w:bookmarkStart w:id="12" w:name="page13"/>
    <w:bookmarkEnd w:id="12"/>
    <w:p>
      <w:pPr>
        <w:ind w:left="1960" w:hanging="533"/>
        <w:spacing w:after="0"/>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Instruction;</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Statement of Uncertificated Security,</w:t>
      </w:r>
    </w:p>
    <w:p>
      <w:pPr>
        <w:spacing w:after="0" w:line="1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that</w:t>
      </w:r>
    </w:p>
    <w:p>
      <w:pPr>
        <w:spacing w:after="0" w:line="127" w:lineRule="exact"/>
        <w:rPr>
          <w:sz w:val="20"/>
          <w:szCs w:val="20"/>
          <w:color w:val="auto"/>
        </w:rPr>
      </w:pPr>
    </w:p>
    <w:p>
      <w:pPr>
        <w:ind w:left="2400" w:right="420" w:hanging="649"/>
        <w:spacing w:after="0" w:line="286" w:lineRule="auto"/>
        <w:tabs>
          <w:tab w:leader="none" w:pos="24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bears a handwritten signature material to the validity or enforceability of the </w:t>
      </w:r>
      <w:r>
        <w:rPr>
          <w:rFonts w:ascii="Times New Roman" w:cs="Times New Roman" w:eastAsia="Times New Roman" w:hAnsi="Times New Roman"/>
          <w:sz w:val="18"/>
          <w:szCs w:val="18"/>
          <w:b w:val="1"/>
          <w:bCs w:val="1"/>
          <w:color w:val="auto"/>
        </w:rPr>
        <w:t>Original Written</w:t>
      </w:r>
      <w:r>
        <w:rPr>
          <w:rFonts w:ascii="Times New Roman" w:cs="Times New Roman" w:eastAsia="Times New Roman" w:hAnsi="Times New Roman"/>
          <w:sz w:val="18"/>
          <w:szCs w:val="18"/>
          <w:color w:val="auto"/>
        </w:rPr>
        <w:t xml:space="preserve"> document that is a </w:t>
      </w:r>
      <w:r>
        <w:rPr>
          <w:rFonts w:ascii="Times New Roman" w:cs="Times New Roman" w:eastAsia="Times New Roman" w:hAnsi="Times New Roman"/>
          <w:sz w:val="18"/>
          <w:szCs w:val="18"/>
          <w:b w:val="1"/>
          <w:bCs w:val="1"/>
          <w:color w:val="auto"/>
        </w:rPr>
        <w:t xml:space="preserve">Forgery, </w:t>
      </w:r>
      <w:r>
        <w:rPr>
          <w:rFonts w:ascii="Times New Roman" w:cs="Times New Roman" w:eastAsia="Times New Roman" w:hAnsi="Times New Roman"/>
          <w:sz w:val="18"/>
          <w:szCs w:val="18"/>
          <w:color w:val="auto"/>
        </w:rPr>
        <w:t>but only to the extent the</w:t>
      </w:r>
      <w:r>
        <w:rPr>
          <w:rFonts w:ascii="Times New Roman" w:cs="Times New Roman" w:eastAsia="Times New Roman" w:hAnsi="Times New Roman"/>
          <w:sz w:val="18"/>
          <w:szCs w:val="18"/>
          <w:b w:val="1"/>
          <w:bCs w:val="1"/>
          <w:color w:val="auto"/>
        </w:rPr>
        <w:t xml:space="preserve"> Forgery </w:t>
      </w:r>
      <w:r>
        <w:rPr>
          <w:rFonts w:ascii="Times New Roman" w:cs="Times New Roman" w:eastAsia="Times New Roman" w:hAnsi="Times New Roman"/>
          <w:sz w:val="18"/>
          <w:szCs w:val="18"/>
          <w:color w:val="auto"/>
        </w:rPr>
        <w:t>causes the loss;</w:t>
      </w:r>
    </w:p>
    <w:p>
      <w:pPr>
        <w:spacing w:after="0" w:line="64" w:lineRule="exact"/>
        <w:rPr>
          <w:rFonts w:ascii="Times New Roman" w:cs="Times New Roman" w:eastAsia="Times New Roman" w:hAnsi="Times New Roman"/>
          <w:sz w:val="18"/>
          <w:szCs w:val="18"/>
          <w:color w:val="auto"/>
        </w:rPr>
      </w:pPr>
    </w:p>
    <w:p>
      <w:pPr>
        <w:ind w:left="2400" w:hanging="649"/>
        <w:spacing w:after="0"/>
        <w:tabs>
          <w:tab w:leader="none" w:pos="24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altered, but only to the extent the alteration causes the loss; or</w:t>
      </w:r>
    </w:p>
    <w:p>
      <w:pPr>
        <w:spacing w:after="0" w:line="130" w:lineRule="exact"/>
        <w:rPr>
          <w:rFonts w:ascii="Times New Roman" w:cs="Times New Roman" w:eastAsia="Times New Roman" w:hAnsi="Times New Roman"/>
          <w:sz w:val="18"/>
          <w:szCs w:val="18"/>
          <w:color w:val="auto"/>
        </w:rPr>
      </w:pPr>
    </w:p>
    <w:p>
      <w:pPr>
        <w:ind w:left="2400" w:hanging="649"/>
        <w:spacing w:after="0"/>
        <w:tabs>
          <w:tab w:leader="none" w:pos="24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lost or stolen;</w:t>
      </w:r>
    </w:p>
    <w:p>
      <w:pPr>
        <w:spacing w:after="0" w:line="130" w:lineRule="exact"/>
        <w:rPr>
          <w:rFonts w:ascii="Times New Roman" w:cs="Times New Roman" w:eastAsia="Times New Roman" w:hAnsi="Times New Roman"/>
          <w:sz w:val="18"/>
          <w:szCs w:val="18"/>
          <w:color w:val="auto"/>
        </w:rPr>
      </w:pPr>
    </w:p>
    <w:p>
      <w:pPr>
        <w:ind w:left="1420" w:right="760" w:hanging="439"/>
        <w:spacing w:after="0" w:line="282" w:lineRule="auto"/>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guaranteed in writing or witnessed any handwritten signature upon any transfer, assignment, bill of sale, power of attorney, </w:t>
      </w:r>
      <w:r>
        <w:rPr>
          <w:rFonts w:ascii="Times New Roman" w:cs="Times New Roman" w:eastAsia="Times New Roman" w:hAnsi="Times New Roman"/>
          <w:sz w:val="18"/>
          <w:szCs w:val="18"/>
          <w:b w:val="1"/>
          <w:bCs w:val="1"/>
          <w:color w:val="auto"/>
        </w:rPr>
        <w:t xml:space="preserve">Guarantee, </w:t>
      </w:r>
      <w:r>
        <w:rPr>
          <w:rFonts w:ascii="Times New Roman" w:cs="Times New Roman" w:eastAsia="Times New Roman" w:hAnsi="Times New Roman"/>
          <w:sz w:val="18"/>
          <w:szCs w:val="18"/>
          <w:color w:val="auto"/>
        </w:rPr>
        <w:t>endorsement, or any items listed in items 1.a. through 1.i. above; or</w:t>
      </w:r>
    </w:p>
    <w:p>
      <w:pPr>
        <w:spacing w:after="0" w:line="67" w:lineRule="exact"/>
        <w:rPr>
          <w:rFonts w:ascii="Times New Roman" w:cs="Times New Roman" w:eastAsia="Times New Roman" w:hAnsi="Times New Roman"/>
          <w:sz w:val="18"/>
          <w:szCs w:val="18"/>
          <w:color w:val="auto"/>
        </w:rPr>
      </w:pPr>
    </w:p>
    <w:p>
      <w:pPr>
        <w:ind w:left="1420" w:right="500" w:hanging="439"/>
        <w:spacing w:after="0" w:line="282" w:lineRule="auto"/>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acquired, sold or delivered, given value, extended credit or assumed liability, on the faith of any item listed in 1.a. through 1.d. above, that is a </w:t>
      </w:r>
      <w:r>
        <w:rPr>
          <w:rFonts w:ascii="Times New Roman" w:cs="Times New Roman" w:eastAsia="Times New Roman" w:hAnsi="Times New Roman"/>
          <w:sz w:val="18"/>
          <w:szCs w:val="18"/>
          <w:b w:val="1"/>
          <w:bCs w:val="1"/>
          <w:color w:val="auto"/>
        </w:rPr>
        <w:t>Counterfeit,</w:t>
      </w:r>
      <w:r>
        <w:rPr>
          <w:rFonts w:ascii="Times New Roman" w:cs="Times New Roman" w:eastAsia="Times New Roman" w:hAnsi="Times New Roman"/>
          <w:sz w:val="18"/>
          <w:szCs w:val="18"/>
          <w:color w:val="auto"/>
        </w:rPr>
        <w:t xml:space="preserve"> but only to the extent the </w:t>
      </w:r>
      <w:r>
        <w:rPr>
          <w:rFonts w:ascii="Times New Roman" w:cs="Times New Roman" w:eastAsia="Times New Roman" w:hAnsi="Times New Roman"/>
          <w:sz w:val="18"/>
          <w:szCs w:val="18"/>
          <w:b w:val="1"/>
          <w:bCs w:val="1"/>
          <w:color w:val="auto"/>
        </w:rPr>
        <w:t>Counterfeit</w:t>
      </w:r>
      <w:r>
        <w:rPr>
          <w:rFonts w:ascii="Times New Roman" w:cs="Times New Roman" w:eastAsia="Times New Roman" w:hAnsi="Times New Roman"/>
          <w:sz w:val="18"/>
          <w:szCs w:val="18"/>
          <w:color w:val="auto"/>
        </w:rPr>
        <w:t xml:space="preserve"> causes the loss.</w:t>
      </w:r>
    </w:p>
    <w:p>
      <w:pPr>
        <w:spacing w:after="0" w:line="54" w:lineRule="exact"/>
        <w:rPr>
          <w:sz w:val="20"/>
          <w:szCs w:val="20"/>
          <w:color w:val="auto"/>
        </w:rPr>
      </w:pPr>
    </w:p>
    <w:p>
      <w:pPr>
        <w:jc w:val="both"/>
        <w:ind w:left="980" w:right="20"/>
        <w:spacing w:after="0" w:line="261" w:lineRule="auto"/>
        <w:rPr>
          <w:sz w:val="20"/>
          <w:szCs w:val="20"/>
          <w:color w:val="auto"/>
        </w:rPr>
      </w:pPr>
      <w:r>
        <w:rPr>
          <w:rFonts w:ascii="Times New Roman" w:cs="Times New Roman" w:eastAsia="Times New Roman" w:hAnsi="Times New Roman"/>
          <w:sz w:val="18"/>
          <w:szCs w:val="18"/>
          <w:color w:val="auto"/>
        </w:rPr>
        <w:t xml:space="preserve">Actual physical possession, and continued actual physical possession if taken as collateral, of the items listed in 1.a. through 1.j. above by the Insured,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xml:space="preserve"> or a Federal or State chartered deposit institution of the Insured is a condition precedent to the Insured’s having relied on the faith of such items. Release or return of such collateral is an acknowledgment by the Insured that it no longer relies on such collateral.</w:t>
      </w:r>
    </w:p>
    <w:p>
      <w:pPr>
        <w:spacing w:after="0" w:line="324" w:lineRule="exact"/>
        <w:rPr>
          <w:sz w:val="20"/>
          <w:szCs w:val="20"/>
          <w:color w:val="auto"/>
        </w:rPr>
      </w:pPr>
    </w:p>
    <w:p>
      <w:pPr>
        <w:ind w:left="960" w:hanging="532"/>
        <w:spacing w:after="0"/>
        <w:tabs>
          <w:tab w:leader="none" w:pos="9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COUNTERFEIT MONEY AND COUNTERFEIT MONEY ORDERS</w:t>
      </w:r>
    </w:p>
    <w:p>
      <w:pPr>
        <w:spacing w:after="0" w:line="117" w:lineRule="exact"/>
        <w:rPr>
          <w:rFonts w:ascii="Times New Roman" w:cs="Times New Roman" w:eastAsia="Times New Roman" w:hAnsi="Times New Roman"/>
          <w:sz w:val="18"/>
          <w:szCs w:val="18"/>
          <w:b w:val="1"/>
          <w:bCs w:val="1"/>
          <w:color w:val="auto"/>
        </w:rPr>
      </w:pPr>
    </w:p>
    <w:p>
      <w:pPr>
        <w:ind w:left="980" w:right="24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Loss resulting directly from the receipt by the Insured, in good faith, of any </w:t>
      </w:r>
      <w:r>
        <w:rPr>
          <w:rFonts w:ascii="Times New Roman" w:cs="Times New Roman" w:eastAsia="Times New Roman" w:hAnsi="Times New Roman"/>
          <w:sz w:val="18"/>
          <w:szCs w:val="18"/>
          <w:b w:val="1"/>
          <w:bCs w:val="1"/>
          <w:color w:val="auto"/>
        </w:rPr>
        <w:t>Counterfeit Money</w:t>
      </w:r>
      <w:r>
        <w:rPr>
          <w:rFonts w:ascii="Times New Roman" w:cs="Times New Roman" w:eastAsia="Times New Roman" w:hAnsi="Times New Roman"/>
          <w:sz w:val="18"/>
          <w:szCs w:val="18"/>
          <w:color w:val="auto"/>
        </w:rPr>
        <w:t xml:space="preserve"> of the United States of America and its territories and possessions, Canada or any other country, or of </w:t>
      </w:r>
      <w:r>
        <w:rPr>
          <w:rFonts w:ascii="Times New Roman" w:cs="Times New Roman" w:eastAsia="Times New Roman" w:hAnsi="Times New Roman"/>
          <w:sz w:val="18"/>
          <w:szCs w:val="18"/>
          <w:b w:val="1"/>
          <w:bCs w:val="1"/>
          <w:color w:val="auto"/>
        </w:rPr>
        <w:t>Counterfeit</w:t>
      </w:r>
      <w:r>
        <w:rPr>
          <w:rFonts w:ascii="Times New Roman" w:cs="Times New Roman" w:eastAsia="Times New Roman" w:hAnsi="Times New Roman"/>
          <w:sz w:val="18"/>
          <w:szCs w:val="18"/>
          <w:color w:val="auto"/>
        </w:rPr>
        <w:t xml:space="preserve"> money orders denominated in United States or Canadian currency.</w:t>
      </w:r>
    </w:p>
    <w:p>
      <w:pPr>
        <w:spacing w:after="0" w:line="319"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CLAIM EXPENSE</w:t>
      </w:r>
    </w:p>
    <w:p>
      <w:pPr>
        <w:spacing w:after="0" w:line="121" w:lineRule="exact"/>
        <w:rPr>
          <w:rFonts w:ascii="Times New Roman" w:cs="Times New Roman" w:eastAsia="Times New Roman" w:hAnsi="Times New Roman"/>
          <w:sz w:val="18"/>
          <w:szCs w:val="18"/>
          <w:b w:val="1"/>
          <w:bCs w:val="1"/>
          <w:color w:val="auto"/>
        </w:rPr>
      </w:pPr>
    </w:p>
    <w:p>
      <w:pPr>
        <w:ind w:left="980" w:right="1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Reasonable expenses necessarily incurred and paid by the Insured in preparing any covered claim for loss under any Insuring Agreement covered under this bond, which loss exceeds the Single Loss Deductible Amount applicable to such Insuring Agreement. Such expenses include costs incurred (including necessary wages of </w:t>
      </w:r>
      <w:r>
        <w:rPr>
          <w:rFonts w:ascii="Times New Roman" w:cs="Times New Roman" w:eastAsia="Times New Roman" w:hAnsi="Times New Roman"/>
          <w:sz w:val="18"/>
          <w:szCs w:val="18"/>
          <w:b w:val="1"/>
          <w:bCs w:val="1"/>
          <w:color w:val="auto"/>
        </w:rPr>
        <w:t>Employees)</w:t>
      </w:r>
      <w:r>
        <w:rPr>
          <w:rFonts w:ascii="Times New Roman" w:cs="Times New Roman" w:eastAsia="Times New Roman" w:hAnsi="Times New Roman"/>
          <w:sz w:val="18"/>
          <w:szCs w:val="18"/>
          <w:color w:val="auto"/>
        </w:rPr>
        <w:t xml:space="preserve"> for that part of audits or examinations performed, whether or not required by State or Federal supervisory authorities and conducted either by such authorities or by independent accountants, by reason of the discovery of loss sustained by the Insured.</w:t>
      </w:r>
    </w:p>
    <w:p>
      <w:pPr>
        <w:spacing w:after="0" w:line="327"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STOP PAYMENT ORDERS OR WRONGFUL DISHONOR OF CHECKS</w:t>
      </w:r>
    </w:p>
    <w:p>
      <w:pPr>
        <w:spacing w:after="0" w:line="117"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Damages that the Insured becomes legally liable to pay its customers resulting directly from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having:</w:t>
      </w:r>
    </w:p>
    <w:p>
      <w:pPr>
        <w:spacing w:after="0" w:line="134" w:lineRule="exact"/>
        <w:rPr>
          <w:rFonts w:ascii="Times New Roman" w:cs="Times New Roman" w:eastAsia="Times New Roman" w:hAnsi="Times New Roman"/>
          <w:sz w:val="18"/>
          <w:szCs w:val="18"/>
          <w:b w:val="1"/>
          <w:bCs w:val="1"/>
          <w:color w:val="auto"/>
        </w:rPr>
      </w:pPr>
    </w:p>
    <w:p>
      <w:pPr>
        <w:ind w:left="1420" w:right="200" w:hanging="439"/>
        <w:spacing w:after="0" w:line="282" w:lineRule="auto"/>
        <w:tabs>
          <w:tab w:leader="none" w:pos="14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failed to comply with any notice of any customer of the Insured or any authorized representative of such customer to stop payment on any check or draft made or drawn by such customer; or</w:t>
      </w:r>
    </w:p>
    <w:p>
      <w:pPr>
        <w:spacing w:after="0" w:line="67" w:lineRule="exact"/>
        <w:rPr>
          <w:rFonts w:ascii="Times New Roman" w:cs="Times New Roman" w:eastAsia="Times New Roman" w:hAnsi="Times New Roman"/>
          <w:sz w:val="18"/>
          <w:szCs w:val="18"/>
          <w:color w:val="auto"/>
        </w:rPr>
      </w:pPr>
    </w:p>
    <w:p>
      <w:pPr>
        <w:ind w:left="1420" w:right="560" w:hanging="439"/>
        <w:spacing w:after="0" w:line="282" w:lineRule="auto"/>
        <w:tabs>
          <w:tab w:leader="none" w:pos="14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wrongfully dishonored or wrongfully failed to certify any check or draft made or drawn by the customer of the Insured or any authorized representative of such customer.</w:t>
      </w:r>
    </w:p>
    <w:p>
      <w:pPr>
        <w:spacing w:after="0" w:line="54" w:lineRule="exact"/>
        <w:rPr>
          <w:sz w:val="20"/>
          <w:szCs w:val="20"/>
          <w:color w:val="auto"/>
        </w:rPr>
      </w:pPr>
    </w:p>
    <w:p>
      <w:pPr>
        <w:ind w:left="980" w:right="240"/>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of this bond, damages under paragraph 2. above do not include the amount of any check or draft in question, or any amounts paid to the payee, endorser, or accommodation party of such check or draft.</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680" w:type="dxa"/>
            <w:vAlign w:val="bottom"/>
            <w:tcBorders>
              <w:top w:val="single" w:sz="8" w:color="auto"/>
            </w:tcBorders>
          </w:tcPr>
          <w:p>
            <w:pPr>
              <w:ind w:left="2760"/>
              <w:spacing w:after="0"/>
              <w:rPr>
                <w:sz w:val="20"/>
                <w:szCs w:val="20"/>
                <w:color w:val="auto"/>
              </w:rPr>
            </w:pPr>
            <w:r>
              <w:rPr>
                <w:rFonts w:ascii="Times New Roman" w:cs="Times New Roman" w:eastAsia="Times New Roman" w:hAnsi="Times New Roman"/>
                <w:sz w:val="18"/>
                <w:szCs w:val="18"/>
                <w:color w:val="auto"/>
                <w:w w:val="99"/>
              </w:rPr>
              <w:t>Page 5 of 25</w:t>
            </w: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680" w:type="dxa"/>
            <w:vAlign w:val="bottom"/>
          </w:tcPr>
          <w:p>
            <w:pPr>
              <w:spacing w:after="0"/>
              <w:rPr>
                <w:sz w:val="20"/>
                <w:szCs w:val="20"/>
                <w:color w:val="auto"/>
              </w:rPr>
            </w:pPr>
          </w:p>
        </w:tc>
      </w:tr>
    </w:tbl>
    <w:p>
      <w:pPr>
        <w:sectPr>
          <w:pgSz w:w="11900" w:h="16838" w:orient="portrait"/>
          <w:cols w:equalWidth="0" w:num="1">
            <w:col w:w="11020"/>
          </w:cols>
          <w:pgMar w:left="440" w:top="266" w:right="439" w:bottom="1440" w:gutter="0" w:footer="0" w:header="0"/>
        </w:sectPr>
      </w:pPr>
    </w:p>
    <w:bookmarkStart w:id="13" w:name="page14"/>
    <w:bookmarkEnd w:id="13"/>
    <w:p>
      <w:pPr>
        <w:ind w:left="984" w:right="7700" w:hanging="552"/>
        <w:spacing w:after="0" w:line="375" w:lineRule="auto"/>
        <w:tabs>
          <w:tab w:leader="none" w:pos="96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COMPUTER SYSTEMS </w:t>
      </w:r>
      <w:r>
        <w:rPr>
          <w:rFonts w:ascii="Times New Roman" w:cs="Times New Roman" w:eastAsia="Times New Roman" w:hAnsi="Times New Roman"/>
          <w:sz w:val="18"/>
          <w:szCs w:val="18"/>
          <w:color w:val="auto"/>
        </w:rPr>
        <w:t>Coverage I.1. Computer Fraud</w:t>
      </w:r>
    </w:p>
    <w:p>
      <w:pPr>
        <w:spacing w:after="0" w:line="1"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 xml:space="preserve">Loss resulting directly from </w:t>
      </w:r>
      <w:r>
        <w:rPr>
          <w:rFonts w:ascii="Times New Roman" w:cs="Times New Roman" w:eastAsia="Times New Roman" w:hAnsi="Times New Roman"/>
          <w:sz w:val="18"/>
          <w:szCs w:val="18"/>
          <w:b w:val="1"/>
          <w:bCs w:val="1"/>
          <w:color w:val="auto"/>
        </w:rPr>
        <w:t>Computer Fraud.</w:t>
      </w:r>
    </w:p>
    <w:p>
      <w:pPr>
        <w:spacing w:after="0" w:line="121" w:lineRule="exact"/>
        <w:rPr>
          <w:sz w:val="20"/>
          <w:szCs w:val="20"/>
          <w:color w:val="auto"/>
        </w:rPr>
      </w:pPr>
    </w:p>
    <w:p>
      <w:pPr>
        <w:ind w:left="984"/>
        <w:spacing w:after="0"/>
        <w:tabs>
          <w:tab w:leader="none" w:pos="2124" w:val="left"/>
        </w:tabs>
        <w:rPr>
          <w:sz w:val="20"/>
          <w:szCs w:val="20"/>
          <w:color w:val="auto"/>
        </w:rPr>
      </w:pPr>
      <w:r>
        <w:rPr>
          <w:rFonts w:ascii="Times New Roman" w:cs="Times New Roman" w:eastAsia="Times New Roman" w:hAnsi="Times New Roman"/>
          <w:sz w:val="18"/>
          <w:szCs w:val="18"/>
          <w:color w:val="auto"/>
        </w:rPr>
        <w:t>Coverage I.2.</w:t>
        <w:tab/>
        <w:t>Fraudulent Instructions</w:t>
      </w:r>
    </w:p>
    <w:p>
      <w:pPr>
        <w:spacing w:after="0" w:line="113" w:lineRule="exact"/>
        <w:rPr>
          <w:sz w:val="20"/>
          <w:szCs w:val="20"/>
          <w:color w:val="auto"/>
        </w:rPr>
      </w:pPr>
    </w:p>
    <w:p>
      <w:pPr>
        <w:jc w:val="both"/>
        <w:ind w:left="1424" w:right="120"/>
        <w:spacing w:after="0" w:line="262" w:lineRule="auto"/>
        <w:rPr>
          <w:sz w:val="20"/>
          <w:szCs w:val="20"/>
          <w:color w:val="auto"/>
        </w:rPr>
      </w:pPr>
      <w:r>
        <w:rPr>
          <w:rFonts w:ascii="Times New Roman" w:cs="Times New Roman" w:eastAsia="Times New Roman" w:hAnsi="Times New Roman"/>
          <w:sz w:val="18"/>
          <w:szCs w:val="18"/>
          <w:color w:val="auto"/>
        </w:rPr>
        <w:t xml:space="preserve">Loss resulting directly from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having, in good faith, caused a transfer of funds as a result of a </w:t>
      </w:r>
      <w:r>
        <w:rPr>
          <w:rFonts w:ascii="Times New Roman" w:cs="Times New Roman" w:eastAsia="Times New Roman" w:hAnsi="Times New Roman"/>
          <w:sz w:val="18"/>
          <w:szCs w:val="18"/>
          <w:b w:val="1"/>
          <w:bCs w:val="1"/>
          <w:color w:val="auto"/>
        </w:rPr>
        <w:t xml:space="preserve">Fraudulent Instruction </w:t>
      </w:r>
      <w:r>
        <w:rPr>
          <w:rFonts w:ascii="Times New Roman" w:cs="Times New Roman" w:eastAsia="Times New Roman" w:hAnsi="Times New Roman"/>
          <w:sz w:val="18"/>
          <w:szCs w:val="18"/>
          <w:color w:val="auto"/>
        </w:rPr>
        <w:t>when the Insured or an</w:t>
      </w:r>
      <w:r>
        <w:rPr>
          <w:rFonts w:ascii="Times New Roman" w:cs="Times New Roman" w:eastAsia="Times New Roman" w:hAnsi="Times New Roman"/>
          <w:sz w:val="18"/>
          <w:szCs w:val="18"/>
          <w:b w:val="1"/>
          <w:bCs w:val="1"/>
          <w:color w:val="auto"/>
        </w:rPr>
        <w:t xml:space="preserve"> Investment Adviser, </w:t>
      </w:r>
      <w:r>
        <w:rPr>
          <w:rFonts w:ascii="Times New Roman" w:cs="Times New Roman" w:eastAsia="Times New Roman" w:hAnsi="Times New Roman"/>
          <w:sz w:val="18"/>
          <w:szCs w:val="18"/>
          <w:color w:val="auto"/>
        </w:rPr>
        <w:t>prior to causing the transfer of the funds, used its best efforts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verify the identity of the person transmitting the instruction; provided that if the instruction is purported to be from 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the Insured, or an </w:t>
      </w:r>
      <w:r>
        <w:rPr>
          <w:rFonts w:ascii="Times New Roman" w:cs="Times New Roman" w:eastAsia="Times New Roman" w:hAnsi="Times New Roman"/>
          <w:sz w:val="18"/>
          <w:szCs w:val="18"/>
          <w:b w:val="1"/>
          <w:bCs w:val="1"/>
          <w:color w:val="auto"/>
        </w:rPr>
        <w:t>Investment Adviser:</w:t>
      </w:r>
    </w:p>
    <w:p>
      <w:pPr>
        <w:spacing w:after="0" w:line="82" w:lineRule="exact"/>
        <w:rPr>
          <w:sz w:val="20"/>
          <w:szCs w:val="20"/>
          <w:color w:val="auto"/>
        </w:rPr>
      </w:pPr>
    </w:p>
    <w:p>
      <w:pPr>
        <w:ind w:left="2404" w:hanging="649"/>
        <w:spacing w:after="0"/>
        <w:tabs>
          <w:tab w:leader="none" w:pos="240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performed a </w:t>
      </w:r>
      <w:r>
        <w:rPr>
          <w:rFonts w:ascii="Times New Roman" w:cs="Times New Roman" w:eastAsia="Times New Roman" w:hAnsi="Times New Roman"/>
          <w:sz w:val="18"/>
          <w:szCs w:val="18"/>
          <w:b w:val="1"/>
          <w:bCs w:val="1"/>
          <w:color w:val="auto"/>
        </w:rPr>
        <w:t>Callback Verification</w:t>
      </w:r>
      <w:r>
        <w:rPr>
          <w:rFonts w:ascii="Times New Roman" w:cs="Times New Roman" w:eastAsia="Times New Roman" w:hAnsi="Times New Roman"/>
          <w:sz w:val="18"/>
          <w:szCs w:val="18"/>
          <w:color w:val="auto"/>
        </w:rPr>
        <w:t xml:space="preserve"> with respect to such instruction; or</w:t>
      </w:r>
    </w:p>
    <w:p>
      <w:pPr>
        <w:spacing w:after="0" w:line="130" w:lineRule="exact"/>
        <w:rPr>
          <w:rFonts w:ascii="Times New Roman" w:cs="Times New Roman" w:eastAsia="Times New Roman" w:hAnsi="Times New Roman"/>
          <w:sz w:val="18"/>
          <w:szCs w:val="18"/>
          <w:color w:val="auto"/>
        </w:rPr>
      </w:pPr>
    </w:p>
    <w:p>
      <w:pPr>
        <w:ind w:left="2404" w:hanging="649"/>
        <w:spacing w:after="0"/>
        <w:tabs>
          <w:tab w:leader="none" w:pos="240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followed commercially reasonable </w:t>
      </w:r>
      <w:r>
        <w:rPr>
          <w:rFonts w:ascii="Times New Roman" w:cs="Times New Roman" w:eastAsia="Times New Roman" w:hAnsi="Times New Roman"/>
          <w:sz w:val="18"/>
          <w:szCs w:val="18"/>
          <w:b w:val="1"/>
          <w:bCs w:val="1"/>
          <w:color w:val="auto"/>
        </w:rPr>
        <w:t>Security Procedures</w:t>
      </w:r>
      <w:r>
        <w:rPr>
          <w:rFonts w:ascii="Times New Roman" w:cs="Times New Roman" w:eastAsia="Times New Roman" w:hAnsi="Times New Roman"/>
          <w:sz w:val="18"/>
          <w:szCs w:val="18"/>
          <w:color w:val="auto"/>
        </w:rPr>
        <w:t xml:space="preserve"> applicable to the transaction and instruction.</w:t>
      </w:r>
    </w:p>
    <w:p>
      <w:pPr>
        <w:spacing w:after="0" w:line="117" w:lineRule="exact"/>
        <w:rPr>
          <w:sz w:val="20"/>
          <w:szCs w:val="20"/>
          <w:color w:val="auto"/>
        </w:rPr>
      </w:pPr>
    </w:p>
    <w:p>
      <w:pPr>
        <w:ind w:left="1424" w:right="340"/>
        <w:spacing w:after="0" w:line="286" w:lineRule="auto"/>
        <w:rPr>
          <w:sz w:val="20"/>
          <w:szCs w:val="20"/>
          <w:color w:val="auto"/>
        </w:rPr>
      </w:pPr>
      <w:r>
        <w:rPr>
          <w:rFonts w:ascii="Times New Roman" w:cs="Times New Roman" w:eastAsia="Times New Roman" w:hAnsi="Times New Roman"/>
          <w:sz w:val="18"/>
          <w:szCs w:val="18"/>
          <w:color w:val="auto"/>
        </w:rPr>
        <w:t xml:space="preserve">Such </w:t>
      </w:r>
      <w:r>
        <w:rPr>
          <w:rFonts w:ascii="Times New Roman" w:cs="Times New Roman" w:eastAsia="Times New Roman" w:hAnsi="Times New Roman"/>
          <w:sz w:val="18"/>
          <w:szCs w:val="18"/>
          <w:b w:val="1"/>
          <w:bCs w:val="1"/>
          <w:color w:val="auto"/>
        </w:rPr>
        <w:t>Fraudulent Instruction</w:t>
      </w:r>
      <w:r>
        <w:rPr>
          <w:rFonts w:ascii="Times New Roman" w:cs="Times New Roman" w:eastAsia="Times New Roman" w:hAnsi="Times New Roman"/>
          <w:sz w:val="18"/>
          <w:szCs w:val="18"/>
          <w:color w:val="auto"/>
        </w:rPr>
        <w:t xml:space="preserve"> received and, if applicable, </w:t>
      </w:r>
      <w:r>
        <w:rPr>
          <w:rFonts w:ascii="Times New Roman" w:cs="Times New Roman" w:eastAsia="Times New Roman" w:hAnsi="Times New Roman"/>
          <w:sz w:val="18"/>
          <w:szCs w:val="18"/>
          <w:b w:val="1"/>
          <w:bCs w:val="1"/>
          <w:color w:val="auto"/>
        </w:rPr>
        <w:t>Callback Verification</w:t>
      </w:r>
      <w:r>
        <w:rPr>
          <w:rFonts w:ascii="Times New Roman" w:cs="Times New Roman" w:eastAsia="Times New Roman" w:hAnsi="Times New Roman"/>
          <w:sz w:val="18"/>
          <w:szCs w:val="18"/>
          <w:color w:val="auto"/>
        </w:rPr>
        <w:t xml:space="preserve"> performed, must be either recorded, logged, or documented by the Insured or an </w:t>
      </w:r>
      <w:r>
        <w:rPr>
          <w:rFonts w:ascii="Times New Roman" w:cs="Times New Roman" w:eastAsia="Times New Roman" w:hAnsi="Times New Roman"/>
          <w:sz w:val="18"/>
          <w:szCs w:val="18"/>
          <w:b w:val="1"/>
          <w:bCs w:val="1"/>
          <w:color w:val="auto"/>
        </w:rPr>
        <w:t>Investment Adviser.</w:t>
      </w:r>
    </w:p>
    <w:p>
      <w:pPr>
        <w:spacing w:after="0" w:line="51" w:lineRule="exact"/>
        <w:rPr>
          <w:sz w:val="20"/>
          <w:szCs w:val="20"/>
          <w:color w:val="auto"/>
        </w:rPr>
      </w:pPr>
    </w:p>
    <w:p>
      <w:pPr>
        <w:ind w:left="984"/>
        <w:spacing w:after="0"/>
        <w:tabs>
          <w:tab w:leader="none" w:pos="2124" w:val="left"/>
        </w:tabs>
        <w:rPr>
          <w:sz w:val="20"/>
          <w:szCs w:val="20"/>
          <w:color w:val="auto"/>
        </w:rPr>
      </w:pPr>
      <w:r>
        <w:rPr>
          <w:rFonts w:ascii="Times New Roman" w:cs="Times New Roman" w:eastAsia="Times New Roman" w:hAnsi="Times New Roman"/>
          <w:sz w:val="18"/>
          <w:szCs w:val="18"/>
          <w:color w:val="auto"/>
        </w:rPr>
        <w:t>Coverage I.3.</w:t>
        <w:tab/>
        <w:t>Restoration Expenses</w:t>
      </w:r>
    </w:p>
    <w:p>
      <w:pPr>
        <w:spacing w:after="0" w:line="113" w:lineRule="exact"/>
        <w:rPr>
          <w:sz w:val="20"/>
          <w:szCs w:val="20"/>
          <w:color w:val="auto"/>
        </w:rPr>
      </w:pPr>
    </w:p>
    <w:p>
      <w:pPr>
        <w:ind w:left="1424" w:right="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Restoration Expenses </w:t>
      </w:r>
      <w:r>
        <w:rPr>
          <w:rFonts w:ascii="Times New Roman" w:cs="Times New Roman" w:eastAsia="Times New Roman" w:hAnsi="Times New Roman"/>
          <w:sz w:val="18"/>
          <w:szCs w:val="18"/>
          <w:color w:val="auto"/>
        </w:rPr>
        <w:t>incurred by the Insured or an</w:t>
      </w:r>
      <w:r>
        <w:rPr>
          <w:rFonts w:ascii="Times New Roman" w:cs="Times New Roman" w:eastAsia="Times New Roman" w:hAnsi="Times New Roman"/>
          <w:sz w:val="18"/>
          <w:szCs w:val="18"/>
          <w:b w:val="1"/>
          <w:bCs w:val="1"/>
          <w:color w:val="auto"/>
        </w:rPr>
        <w:t xml:space="preserve"> Investment Adviser </w:t>
      </w:r>
      <w:r>
        <w:rPr>
          <w:rFonts w:ascii="Times New Roman" w:cs="Times New Roman" w:eastAsia="Times New Roman" w:hAnsi="Times New Roman"/>
          <w:sz w:val="18"/>
          <w:szCs w:val="18"/>
          <w:color w:val="auto"/>
        </w:rPr>
        <w:t>and resulting from a</w:t>
      </w:r>
      <w:r>
        <w:rPr>
          <w:rFonts w:ascii="Times New Roman" w:cs="Times New Roman" w:eastAsia="Times New Roman" w:hAnsi="Times New Roman"/>
          <w:sz w:val="18"/>
          <w:szCs w:val="18"/>
          <w:b w:val="1"/>
          <w:bCs w:val="1"/>
          <w:color w:val="auto"/>
        </w:rPr>
        <w:t xml:space="preserve"> Computer Violation </w:t>
      </w:r>
      <w:r>
        <w:rPr>
          <w:rFonts w:ascii="Times New Roman" w:cs="Times New Roman" w:eastAsia="Times New Roman" w:hAnsi="Times New Roman"/>
          <w:sz w:val="18"/>
          <w:szCs w:val="18"/>
          <w:color w:val="auto"/>
        </w:rPr>
        <w:t>by someone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than an </w:t>
      </w:r>
      <w:r>
        <w:rPr>
          <w:rFonts w:ascii="Times New Roman" w:cs="Times New Roman" w:eastAsia="Times New Roman" w:hAnsi="Times New Roman"/>
          <w:sz w:val="18"/>
          <w:szCs w:val="18"/>
          <w:b w:val="1"/>
          <w:bCs w:val="1"/>
          <w:color w:val="auto"/>
        </w:rPr>
        <w:t>Employee.</w:t>
      </w:r>
    </w:p>
    <w:p>
      <w:pPr>
        <w:spacing w:after="0" w:line="303" w:lineRule="exact"/>
        <w:rPr>
          <w:sz w:val="20"/>
          <w:szCs w:val="20"/>
          <w:color w:val="auto"/>
        </w:rPr>
      </w:pPr>
    </w:p>
    <w:p>
      <w:pPr>
        <w:ind w:left="964" w:hanging="532"/>
        <w:spacing w:after="0"/>
        <w:tabs>
          <w:tab w:leader="none" w:pos="964"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UNCOLLECTIBLE ITEMS OF DEPOSIT</w:t>
      </w:r>
    </w:p>
    <w:p>
      <w:pPr>
        <w:spacing w:after="0" w:line="117" w:lineRule="exact"/>
        <w:rPr>
          <w:rFonts w:ascii="Times New Roman" w:cs="Times New Roman" w:eastAsia="Times New Roman" w:hAnsi="Times New Roman"/>
          <w:sz w:val="18"/>
          <w:szCs w:val="18"/>
          <w:b w:val="1"/>
          <w:bCs w:val="1"/>
          <w:color w:val="auto"/>
        </w:rPr>
      </w:pPr>
    </w:p>
    <w:p>
      <w:pPr>
        <w:jc w:val="both"/>
        <w:ind w:left="984" w:right="10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Loss, including dividends and interest accrued not to exceed 15% of the value of each </w:t>
      </w:r>
      <w:r>
        <w:rPr>
          <w:rFonts w:ascii="Times New Roman" w:cs="Times New Roman" w:eastAsia="Times New Roman" w:hAnsi="Times New Roman"/>
          <w:sz w:val="18"/>
          <w:szCs w:val="18"/>
          <w:b w:val="1"/>
          <w:bCs w:val="1"/>
          <w:color w:val="auto"/>
        </w:rPr>
        <w:t>Item of Deposit</w:t>
      </w:r>
      <w:r>
        <w:rPr>
          <w:rFonts w:ascii="Times New Roman" w:cs="Times New Roman" w:eastAsia="Times New Roman" w:hAnsi="Times New Roman"/>
          <w:sz w:val="18"/>
          <w:szCs w:val="18"/>
          <w:color w:val="auto"/>
        </w:rPr>
        <w:t xml:space="preserve"> that is deposited, resulting directly from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having credited an account of a customer, shareholder or subscriber on the faith of any </w:t>
      </w:r>
      <w:r>
        <w:rPr>
          <w:rFonts w:ascii="Times New Roman" w:cs="Times New Roman" w:eastAsia="Times New Roman" w:hAnsi="Times New Roman"/>
          <w:sz w:val="18"/>
          <w:szCs w:val="18"/>
          <w:b w:val="1"/>
          <w:bCs w:val="1"/>
          <w:color w:val="auto"/>
        </w:rPr>
        <w:t>Items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Deposit </w:t>
      </w:r>
      <w:r>
        <w:rPr>
          <w:rFonts w:ascii="Times New Roman" w:cs="Times New Roman" w:eastAsia="Times New Roman" w:hAnsi="Times New Roman"/>
          <w:sz w:val="18"/>
          <w:szCs w:val="18"/>
          <w:color w:val="auto"/>
        </w:rPr>
        <w:t>that prove to be uncollectible, provided that the crediting of such account causes:</w:t>
      </w:r>
    </w:p>
    <w:p>
      <w:pPr>
        <w:spacing w:after="0" w:line="66" w:lineRule="exact"/>
        <w:rPr>
          <w:rFonts w:ascii="Times New Roman" w:cs="Times New Roman" w:eastAsia="Times New Roman" w:hAnsi="Times New Roman"/>
          <w:sz w:val="18"/>
          <w:szCs w:val="18"/>
          <w:b w:val="1"/>
          <w:bCs w:val="1"/>
          <w:color w:val="auto"/>
        </w:rPr>
      </w:pPr>
    </w:p>
    <w:p>
      <w:pPr>
        <w:ind w:left="1784" w:hanging="352"/>
        <w:spacing w:after="0"/>
        <w:tabs>
          <w:tab w:leader="none" w:pos="178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redemptions or withdrawals to be permitted;</w:t>
      </w:r>
    </w:p>
    <w:p>
      <w:pPr>
        <w:spacing w:after="0" w:line="117" w:lineRule="exact"/>
        <w:rPr>
          <w:rFonts w:ascii="Times New Roman" w:cs="Times New Roman" w:eastAsia="Times New Roman" w:hAnsi="Times New Roman"/>
          <w:sz w:val="18"/>
          <w:szCs w:val="18"/>
          <w:color w:val="auto"/>
        </w:rPr>
      </w:pPr>
    </w:p>
    <w:p>
      <w:pPr>
        <w:ind w:left="1784" w:hanging="352"/>
        <w:spacing w:after="0"/>
        <w:tabs>
          <w:tab w:leader="none" w:pos="178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to be issued; or</w:t>
      </w:r>
    </w:p>
    <w:p>
      <w:pPr>
        <w:spacing w:after="0" w:line="117" w:lineRule="exact"/>
        <w:rPr>
          <w:rFonts w:ascii="Times New Roman" w:cs="Times New Roman" w:eastAsia="Times New Roman" w:hAnsi="Times New Roman"/>
          <w:sz w:val="18"/>
          <w:szCs w:val="18"/>
          <w:color w:val="auto"/>
        </w:rPr>
      </w:pPr>
    </w:p>
    <w:p>
      <w:pPr>
        <w:ind w:left="1784" w:hanging="352"/>
        <w:spacing w:after="0"/>
        <w:tabs>
          <w:tab w:leader="none" w:pos="178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to be paid.</w:t>
      </w:r>
    </w:p>
    <w:p>
      <w:pPr>
        <w:spacing w:after="0" w:line="113" w:lineRule="exact"/>
        <w:rPr>
          <w:sz w:val="20"/>
          <w:szCs w:val="20"/>
          <w:color w:val="auto"/>
        </w:rPr>
      </w:pPr>
    </w:p>
    <w:p>
      <w:pPr>
        <w:ind w:left="984" w:right="100"/>
        <w:spacing w:after="0" w:line="268" w:lineRule="auto"/>
        <w:rPr>
          <w:sz w:val="20"/>
          <w:szCs w:val="20"/>
          <w:color w:val="auto"/>
        </w:rPr>
      </w:pPr>
      <w:r>
        <w:rPr>
          <w:rFonts w:ascii="Times New Roman" w:cs="Times New Roman" w:eastAsia="Times New Roman" w:hAnsi="Times New Roman"/>
          <w:sz w:val="18"/>
          <w:szCs w:val="18"/>
          <w:color w:val="auto"/>
        </w:rPr>
        <w:t xml:space="preserve">It is a condition precedent to coverage under this Insuring Agreement that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hold funds represented in </w:t>
      </w:r>
      <w:r>
        <w:rPr>
          <w:rFonts w:ascii="Times New Roman" w:cs="Times New Roman" w:eastAsia="Times New Roman" w:hAnsi="Times New Roman"/>
          <w:sz w:val="18"/>
          <w:szCs w:val="18"/>
          <w:b w:val="1"/>
          <w:bCs w:val="1"/>
          <w:color w:val="auto"/>
        </w:rPr>
        <w:t xml:space="preserve">Items of Deposit </w:t>
      </w:r>
      <w:r>
        <w:rPr>
          <w:rFonts w:ascii="Times New Roman" w:cs="Times New Roman" w:eastAsia="Times New Roman" w:hAnsi="Times New Roman"/>
          <w:sz w:val="18"/>
          <w:szCs w:val="18"/>
          <w:color w:val="auto"/>
        </w:rPr>
        <w:t>for the maximum number of days allowable under Regulation CC before permitting any redemptions or withdrawals,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issuing any shares or paying any dividends with respect to such </w:t>
      </w:r>
      <w:r>
        <w:rPr>
          <w:rFonts w:ascii="Times New Roman" w:cs="Times New Roman" w:eastAsia="Times New Roman" w:hAnsi="Times New Roman"/>
          <w:sz w:val="18"/>
          <w:szCs w:val="18"/>
          <w:b w:val="1"/>
          <w:bCs w:val="1"/>
          <w:color w:val="auto"/>
        </w:rPr>
        <w:t>Items of Deposit.</w:t>
      </w:r>
    </w:p>
    <w:p>
      <w:pPr>
        <w:spacing w:after="0" w:line="63" w:lineRule="exact"/>
        <w:rPr>
          <w:sz w:val="20"/>
          <w:szCs w:val="20"/>
          <w:color w:val="auto"/>
        </w:rPr>
      </w:pPr>
    </w:p>
    <w:p>
      <w:pPr>
        <w:ind w:left="984"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Items of Deposit </w:t>
      </w:r>
      <w:r>
        <w:rPr>
          <w:rFonts w:ascii="Times New Roman" w:cs="Times New Roman" w:eastAsia="Times New Roman" w:hAnsi="Times New Roman"/>
          <w:sz w:val="18"/>
          <w:szCs w:val="18"/>
          <w:color w:val="auto"/>
        </w:rPr>
        <w:t>will not be deemed to be uncollectible until the Insured’s or</w:t>
      </w:r>
      <w:r>
        <w:rPr>
          <w:rFonts w:ascii="Times New Roman" w:cs="Times New Roman" w:eastAsia="Times New Roman" w:hAnsi="Times New Roman"/>
          <w:sz w:val="18"/>
          <w:szCs w:val="18"/>
          <w:b w:val="1"/>
          <w:bCs w:val="1"/>
          <w:color w:val="auto"/>
        </w:rPr>
        <w:t xml:space="preserve"> Investment Adviser’s </w:t>
      </w:r>
      <w:r>
        <w:rPr>
          <w:rFonts w:ascii="Times New Roman" w:cs="Times New Roman" w:eastAsia="Times New Roman" w:hAnsi="Times New Roman"/>
          <w:sz w:val="18"/>
          <w:szCs w:val="18"/>
          <w:color w:val="auto"/>
        </w:rPr>
        <w:t>standard collection procedures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failed.</w:t>
      </w:r>
    </w:p>
    <w:p>
      <w:pPr>
        <w:spacing w:after="0" w:line="51" w:lineRule="exact"/>
        <w:rPr>
          <w:sz w:val="20"/>
          <w:szCs w:val="20"/>
          <w:color w:val="auto"/>
        </w:rPr>
      </w:pPr>
    </w:p>
    <w:p>
      <w:pPr>
        <w:ind w:left="984" w:right="260"/>
        <w:spacing w:after="0" w:line="266" w:lineRule="auto"/>
        <w:rPr>
          <w:sz w:val="20"/>
          <w:szCs w:val="20"/>
          <w:color w:val="auto"/>
        </w:rPr>
      </w:pPr>
      <w:r>
        <w:rPr>
          <w:rFonts w:ascii="Times New Roman" w:cs="Times New Roman" w:eastAsia="Times New Roman" w:hAnsi="Times New Roman"/>
          <w:sz w:val="18"/>
          <w:szCs w:val="18"/>
          <w:color w:val="auto"/>
        </w:rPr>
        <w:t xml:space="preserve">This Insuring Agreement applies to Insureds with exchange privileges if all funds in the exchange program are insured by the Company for </w:t>
      </w:r>
      <w:r>
        <w:rPr>
          <w:rFonts w:ascii="Times New Roman" w:cs="Times New Roman" w:eastAsia="Times New Roman" w:hAnsi="Times New Roman"/>
          <w:sz w:val="18"/>
          <w:szCs w:val="18"/>
          <w:b w:val="1"/>
          <w:bCs w:val="1"/>
          <w:color w:val="auto"/>
        </w:rPr>
        <w:t>Uncollectible Items of Deposit.</w:t>
      </w:r>
      <w:r>
        <w:rPr>
          <w:rFonts w:ascii="Times New Roman" w:cs="Times New Roman" w:eastAsia="Times New Roman" w:hAnsi="Times New Roman"/>
          <w:sz w:val="18"/>
          <w:szCs w:val="18"/>
          <w:color w:val="auto"/>
        </w:rPr>
        <w:t xml:space="preserve"> Regardless of the number of transactions between funds, the maximum number of days allowable under Regulation CC begins from the date a deposit was first credited to any fund in the exchange program.</w:t>
      </w:r>
    </w:p>
    <w:p>
      <w:pPr>
        <w:spacing w:after="0" w:line="320" w:lineRule="exact"/>
        <w:rPr>
          <w:sz w:val="20"/>
          <w:szCs w:val="20"/>
          <w:color w:val="auto"/>
        </w:rPr>
      </w:pPr>
    </w:p>
    <w:p>
      <w:pPr>
        <w:ind w:left="424" w:hanging="424"/>
        <w:spacing w:after="0"/>
        <w:tabs>
          <w:tab w:leader="none" w:pos="424"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GENERAL AGREEMENTS</w:t>
      </w:r>
    </w:p>
    <w:p>
      <w:pPr>
        <w:spacing w:after="0" w:line="238" w:lineRule="exact"/>
        <w:rPr>
          <w:rFonts w:ascii="Times New Roman" w:cs="Times New Roman" w:eastAsia="Times New Roman" w:hAnsi="Times New Roman"/>
          <w:sz w:val="18"/>
          <w:szCs w:val="18"/>
          <w:b w:val="1"/>
          <w:bCs w:val="1"/>
          <w:i w:val="1"/>
          <w:iCs w:val="1"/>
          <w:color w:val="auto"/>
        </w:rPr>
      </w:pPr>
    </w:p>
    <w:p>
      <w:pPr>
        <w:ind w:left="424"/>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A.ORGANIC GROWTH</w:t>
      </w:r>
    </w:p>
    <w:p>
      <w:pPr>
        <w:spacing w:after="0" w:line="117" w:lineRule="exact"/>
        <w:rPr>
          <w:rFonts w:ascii="Times New Roman" w:cs="Times New Roman" w:eastAsia="Times New Roman" w:hAnsi="Times New Roman"/>
          <w:sz w:val="18"/>
          <w:szCs w:val="18"/>
          <w:b w:val="1"/>
          <w:bCs w:val="1"/>
          <w:i w:val="1"/>
          <w:iCs w:val="1"/>
          <w:color w:val="auto"/>
        </w:rPr>
      </w:pPr>
    </w:p>
    <w:p>
      <w:pPr>
        <w:ind w:left="984" w:right="200"/>
        <w:spacing w:after="0" w:line="28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 xml:space="preserve">If an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while this bond is in force, adds additional </w:t>
      </w:r>
      <w:r>
        <w:rPr>
          <w:rFonts w:ascii="Times New Roman" w:cs="Times New Roman" w:eastAsia="Times New Roman" w:hAnsi="Times New Roman"/>
          <w:sz w:val="18"/>
          <w:szCs w:val="18"/>
          <w:b w:val="1"/>
          <w:bCs w:val="1"/>
          <w:color w:val="auto"/>
        </w:rPr>
        <w:t>Employees</w:t>
      </w:r>
      <w:r>
        <w:rPr>
          <w:rFonts w:ascii="Times New Roman" w:cs="Times New Roman" w:eastAsia="Times New Roman" w:hAnsi="Times New Roman"/>
          <w:sz w:val="18"/>
          <w:szCs w:val="18"/>
          <w:color w:val="auto"/>
        </w:rPr>
        <w:t xml:space="preserve"> other than by consolidation or merger with, or purchase or acquisition of the assets, assets under management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-615315</wp:posOffset>
            </wp:positionV>
            <wp:extent cx="69951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70" w:lineRule="exact"/>
        <w:rPr>
          <w:sz w:val="20"/>
          <w:szCs w:val="20"/>
          <w:color w:val="auto"/>
        </w:rPr>
      </w:pPr>
    </w:p>
    <w:tbl>
      <w:tblPr>
        <w:tblLayout w:type="fixed"/>
        <w:tblInd w:w="4" w:type="dxa"/>
        <w:tblCellMar>
          <w:top w:w="0" w:type="dxa"/>
          <w:left w:w="0" w:type="dxa"/>
          <w:bottom w:w="0" w:type="dxa"/>
          <w:right w:w="0" w:type="dxa"/>
        </w:tblCellMar>
      </w:tblPr>
      <w:tr>
        <w:trPr>
          <w:trHeight w:val="225"/>
        </w:trPr>
        <w:tc>
          <w:tcPr>
            <w:tcW w:w="7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680" w:type="dxa"/>
            <w:vAlign w:val="bottom"/>
            <w:tcBorders>
              <w:top w:val="single" w:sz="8" w:color="auto"/>
            </w:tcBorders>
          </w:tcPr>
          <w:p>
            <w:pPr>
              <w:ind w:left="2760"/>
              <w:spacing w:after="0"/>
              <w:rPr>
                <w:sz w:val="20"/>
                <w:szCs w:val="20"/>
                <w:color w:val="auto"/>
              </w:rPr>
            </w:pPr>
            <w:r>
              <w:rPr>
                <w:rFonts w:ascii="Times New Roman" w:cs="Times New Roman" w:eastAsia="Times New Roman" w:hAnsi="Times New Roman"/>
                <w:sz w:val="18"/>
                <w:szCs w:val="18"/>
                <w:color w:val="auto"/>
                <w:w w:val="99"/>
              </w:rPr>
              <w:t>Page 6 of 25</w:t>
            </w: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680" w:type="dxa"/>
            <w:vAlign w:val="bottom"/>
          </w:tcPr>
          <w:p>
            <w:pPr>
              <w:spacing w:after="0"/>
              <w:rPr>
                <w:sz w:val="20"/>
                <w:szCs w:val="20"/>
                <w:color w:val="auto"/>
              </w:rPr>
            </w:pPr>
          </w:p>
        </w:tc>
      </w:tr>
    </w:tbl>
    <w:p>
      <w:pPr>
        <w:sectPr>
          <w:pgSz w:w="11900" w:h="16838" w:orient="portrait"/>
          <w:cols w:equalWidth="0" w:num="1">
            <w:col w:w="11024"/>
          </w:cols>
          <w:pgMar w:left="436" w:top="266" w:right="439" w:bottom="1440" w:gutter="0" w:footer="0" w:header="0"/>
        </w:sectPr>
      </w:pPr>
    </w:p>
    <w:bookmarkStart w:id="14" w:name="page15"/>
    <w:bookmarkEnd w:id="14"/>
    <w:p>
      <w:pPr>
        <w:ind w:left="980" w:right="10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liabilities of, another institution, such </w:t>
      </w:r>
      <w:r>
        <w:rPr>
          <w:rFonts w:ascii="Times New Roman" w:cs="Times New Roman" w:eastAsia="Times New Roman" w:hAnsi="Times New Roman"/>
          <w:sz w:val="18"/>
          <w:szCs w:val="18"/>
          <w:b w:val="1"/>
          <w:bCs w:val="1"/>
          <w:color w:val="auto"/>
        </w:rPr>
        <w:t>Employees</w:t>
      </w:r>
      <w:r>
        <w:rPr>
          <w:rFonts w:ascii="Times New Roman" w:cs="Times New Roman" w:eastAsia="Times New Roman" w:hAnsi="Times New Roman"/>
          <w:sz w:val="18"/>
          <w:szCs w:val="18"/>
          <w:color w:val="auto"/>
        </w:rPr>
        <w:t xml:space="preserve"> will automatically be covered hereunder from the date of such addition without the requirement of notice to the Company or the payment of additional premium for the remainder of the Policy Period as set forth in ITEM 2 of the Declarations.</w:t>
      </w:r>
    </w:p>
    <w:p>
      <w:pPr>
        <w:spacing w:after="0" w:line="319" w:lineRule="exact"/>
        <w:rPr>
          <w:sz w:val="20"/>
          <w:szCs w:val="20"/>
          <w:color w:val="auto"/>
        </w:rPr>
      </w:pPr>
    </w:p>
    <w:p>
      <w:pPr>
        <w:ind w:left="960" w:hanging="532"/>
        <w:spacing w:after="0"/>
        <w:tabs>
          <w:tab w:leader="none" w:pos="9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CONSOLIDATION - MERGER - PURCHASE OR ACQUISITION OF ASSETS</w:t>
      </w:r>
    </w:p>
    <w:p>
      <w:pPr>
        <w:spacing w:after="0" w:line="117" w:lineRule="exact"/>
        <w:rPr>
          <w:rFonts w:ascii="Times New Roman" w:cs="Times New Roman" w:eastAsia="Times New Roman" w:hAnsi="Times New Roman"/>
          <w:sz w:val="18"/>
          <w:szCs w:val="18"/>
          <w:b w:val="1"/>
          <w:bCs w:val="1"/>
          <w:color w:val="auto"/>
        </w:rPr>
      </w:pPr>
    </w:p>
    <w:p>
      <w:pPr>
        <w:ind w:left="980" w:right="24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while this bond is in force, consolidates or merges with, or purchases or acquires assets, assets under management or liabilities of, or purchases or acquires more than 50% voting stock ownership of another institution (hereinafter referred to as a “Transaction”), coverage under this bond for loss which:</w:t>
      </w:r>
    </w:p>
    <w:p>
      <w:pPr>
        <w:spacing w:after="0" w:line="80"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occurred or will occur in the offices or premises of such institution;</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caused or will be caused by any employee or employees of such institution; or</w:t>
      </w:r>
    </w:p>
    <w:p>
      <w:pPr>
        <w:spacing w:after="0" w:line="130" w:lineRule="exact"/>
        <w:rPr>
          <w:rFonts w:ascii="Times New Roman" w:cs="Times New Roman" w:eastAsia="Times New Roman" w:hAnsi="Times New Roman"/>
          <w:sz w:val="18"/>
          <w:szCs w:val="18"/>
          <w:color w:val="auto"/>
        </w:rPr>
      </w:pPr>
    </w:p>
    <w:p>
      <w:pPr>
        <w:ind w:left="1420" w:right="880" w:hanging="439"/>
        <w:spacing w:after="0" w:line="282" w:lineRule="auto"/>
        <w:tabs>
          <w:tab w:leader="none" w:pos="14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arisen or will arise out of the assets, assets under management or liabilities acquired by the Insured as a result of such Transaction,</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is provided as follows:</w:t>
      </w:r>
    </w:p>
    <w:p>
      <w:pPr>
        <w:spacing w:after="0" w:line="131" w:lineRule="exact"/>
        <w:rPr>
          <w:sz w:val="20"/>
          <w:szCs w:val="20"/>
          <w:color w:val="auto"/>
        </w:rPr>
      </w:pPr>
    </w:p>
    <w:p>
      <w:pPr>
        <w:ind w:left="1960" w:hanging="533"/>
        <w:spacing w:after="0"/>
        <w:tabs>
          <w:tab w:leader="none" w:pos="19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 Loss Sustained Coverage</w:t>
      </w:r>
    </w:p>
    <w:p>
      <w:pPr>
        <w:spacing w:after="0" w:line="117" w:lineRule="exact"/>
        <w:rPr>
          <w:rFonts w:ascii="Times New Roman" w:cs="Times New Roman" w:eastAsia="Times New Roman" w:hAnsi="Times New Roman"/>
          <w:sz w:val="18"/>
          <w:szCs w:val="18"/>
          <w:color w:val="auto"/>
        </w:rPr>
      </w:pPr>
    </w:p>
    <w:p>
      <w:pPr>
        <w:ind w:left="1980"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Transaction involves assets, assets under management and liabilities in an amount that is more than 25% of the consolidated assets of all Insureds as of the most recent calendar year-end preceding the date of the Transaction, then coverage of this bond as respects the Transaction will be afforded for a Single Loss that is both discovered and for which the acts giving rise to the loss occur in their entirety on or after the effective date of the Transaction. This coverage terminates 60 days after the Transaction date, or the termination date of the bond, whichever comes earlier, unless the Insured provides notice to the Company and obtains the written consent of the Company to extend such coverage beyond said date and, upon obtaining such consent, pays to the Company an additional premium, if required.</w:t>
      </w:r>
    </w:p>
    <w:p>
      <w:pPr>
        <w:spacing w:after="0" w:line="94"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 Discovery Coverage</w:t>
      </w:r>
    </w:p>
    <w:p>
      <w:pPr>
        <w:spacing w:after="0" w:line="117" w:lineRule="exact"/>
        <w:rPr>
          <w:rFonts w:ascii="Times New Roman" w:cs="Times New Roman" w:eastAsia="Times New Roman" w:hAnsi="Times New Roman"/>
          <w:sz w:val="18"/>
          <w:szCs w:val="18"/>
          <w:color w:val="auto"/>
        </w:rPr>
      </w:pPr>
    </w:p>
    <w:p>
      <w:pPr>
        <w:ind w:left="1980" w:right="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Transaction involves assets, assets under management and liabilities in an amount that is 25% or less of the consolidated assets of all Insureds as of the most recent calendar year-end preceding the date of the Transaction, then coverage of this bond as respects the Transaction will be afforded for a Single Loss that is discovered on or after the effective date of the Transaction, for the remainder of the Policy Period as set forth in ITEM 2 of the Declarations, without additional premium being charged and without notice to the Company of the Transaction.</w:t>
      </w:r>
    </w:p>
    <w:p>
      <w:pPr>
        <w:spacing w:after="0" w:line="32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 OF INSURED</w:t>
      </w:r>
    </w:p>
    <w:p>
      <w:pPr>
        <w:spacing w:after="0" w:line="121" w:lineRule="exact"/>
        <w:rPr>
          <w:rFonts w:ascii="Times New Roman" w:cs="Times New Roman" w:eastAsia="Times New Roman" w:hAnsi="Times New Roman"/>
          <w:sz w:val="18"/>
          <w:szCs w:val="18"/>
          <w:b w:val="1"/>
          <w:bCs w:val="1"/>
          <w:color w:val="auto"/>
        </w:rPr>
      </w:pPr>
    </w:p>
    <w:p>
      <w:pPr>
        <w:ind w:left="980" w:right="6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statement made by or on behalf of the Insured, whether contained in the application or otherwise, is deemed to be a warranty of anything except that it is true to the best of the knowledge and belief of the person making the statement.</w:t>
      </w:r>
    </w:p>
    <w:p>
      <w:pPr>
        <w:spacing w:after="0" w:line="306"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JOINT INSURED</w:t>
      </w:r>
    </w:p>
    <w:p>
      <w:pPr>
        <w:spacing w:after="0" w:line="117" w:lineRule="exact"/>
        <w:rPr>
          <w:rFonts w:ascii="Times New Roman" w:cs="Times New Roman" w:eastAsia="Times New Roman" w:hAnsi="Times New Roman"/>
          <w:sz w:val="18"/>
          <w:szCs w:val="18"/>
          <w:b w:val="1"/>
          <w:bCs w:val="1"/>
          <w:color w:val="auto"/>
        </w:rPr>
      </w:pPr>
    </w:p>
    <w:p>
      <w:pPr>
        <w:ind w:left="980" w:right="6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indemnify or hold harmless any Insured for loss sustained by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or by a proprietorship, partnership or corporation that is owned, controlled or operated by such Insured, and not named as an Insured hereunder, except as may be provided on a limited basis within General Agreement B., but this paragraph does not apply to loss sustained by a nominee organized by an Insured hereunder other than a holding company.</w:t>
      </w:r>
    </w:p>
    <w:p>
      <w:pPr>
        <w:spacing w:after="0" w:line="72" w:lineRule="exact"/>
        <w:rPr>
          <w:rFonts w:ascii="Times New Roman" w:cs="Times New Roman" w:eastAsia="Times New Roman" w:hAnsi="Times New Roman"/>
          <w:sz w:val="18"/>
          <w:szCs w:val="18"/>
          <w:b w:val="1"/>
          <w:bCs w:val="1"/>
          <w:color w:val="auto"/>
        </w:rPr>
      </w:pPr>
    </w:p>
    <w:p>
      <w:pPr>
        <w:jc w:val="both"/>
        <w:ind w:left="980"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two or more Insureds are covered under this bond, the first named Insured will act for all Insureds. Payment by the Company to the first named Insured of loss sustained by any Insured fully releases the Company on account of such loss. If the first named Insured ceases to be covered under this bond, the Insured next named will thereafter be considered the first named Insured. In the absence of an Insured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680" w:type="dxa"/>
            <w:vAlign w:val="bottom"/>
            <w:tcBorders>
              <w:top w:val="single" w:sz="8" w:color="auto"/>
            </w:tcBorders>
          </w:tcPr>
          <w:p>
            <w:pPr>
              <w:ind w:left="2760"/>
              <w:spacing w:after="0"/>
              <w:rPr>
                <w:sz w:val="20"/>
                <w:szCs w:val="20"/>
                <w:color w:val="auto"/>
              </w:rPr>
            </w:pPr>
            <w:r>
              <w:rPr>
                <w:rFonts w:ascii="Times New Roman" w:cs="Times New Roman" w:eastAsia="Times New Roman" w:hAnsi="Times New Roman"/>
                <w:sz w:val="18"/>
                <w:szCs w:val="18"/>
                <w:color w:val="auto"/>
                <w:w w:val="99"/>
              </w:rPr>
              <w:t>Page 7 of 25</w:t>
            </w: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680" w:type="dxa"/>
            <w:vAlign w:val="bottom"/>
          </w:tcPr>
          <w:p>
            <w:pPr>
              <w:spacing w:after="0"/>
              <w:rPr>
                <w:sz w:val="20"/>
                <w:szCs w:val="20"/>
                <w:color w:val="auto"/>
              </w:rPr>
            </w:pPr>
          </w:p>
        </w:tc>
      </w:tr>
    </w:tbl>
    <w:p>
      <w:pPr>
        <w:sectPr>
          <w:pgSz w:w="11900" w:h="16838" w:orient="portrait"/>
          <w:cols w:equalWidth="0" w:num="1">
            <w:col w:w="11020"/>
          </w:cols>
          <w:pgMar w:left="440" w:top="266" w:right="439" w:bottom="1440" w:gutter="0" w:footer="0" w:header="0"/>
        </w:sectPr>
      </w:pPr>
    </w:p>
    <w:bookmarkStart w:id="15" w:name="page16"/>
    <w:bookmarkEnd w:id="15"/>
    <w:p>
      <w:pPr>
        <w:ind w:left="980"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being specifically next named, the Insured entity having the greatest consolidated assets of all remaining Insureds then becomes the first named Insured. Knowledge possessed or discovery made by any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constitutes knowledge or discovery by all Insureds for all purposes of this bond. The liability of the Company for loss or losses sustained by all Insureds will not exceed the amount for which the Company would have been liable had all such loss or losses been sustained by one Insured.</w:t>
      </w:r>
    </w:p>
    <w:p>
      <w:pPr>
        <w:spacing w:after="0" w:line="324" w:lineRule="exact"/>
        <w:rPr>
          <w:sz w:val="20"/>
          <w:szCs w:val="20"/>
          <w:color w:val="auto"/>
        </w:rPr>
      </w:pPr>
    </w:p>
    <w:p>
      <w:pPr>
        <w:ind w:left="960" w:hanging="532"/>
        <w:spacing w:after="0"/>
        <w:tabs>
          <w:tab w:leader="none" w:pos="9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COURT COSTS AND ATTORNEY’S FEES - LEGAL PROCEEDINGS - ELECTION TO DEFEND</w:t>
      </w:r>
    </w:p>
    <w:p>
      <w:pPr>
        <w:spacing w:after="0" w:line="121" w:lineRule="exact"/>
        <w:rPr>
          <w:rFonts w:ascii="Times New Roman" w:cs="Times New Roman" w:eastAsia="Times New Roman" w:hAnsi="Times New Roman"/>
          <w:sz w:val="18"/>
          <w:szCs w:val="18"/>
          <w:b w:val="1"/>
          <w:bCs w:val="1"/>
          <w:color w:val="auto"/>
        </w:rPr>
      </w:pPr>
    </w:p>
    <w:p>
      <w:pPr>
        <w:ind w:left="980" w:right="1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will indemnify the Insured against court costs and reasonable attorney’s fees incurred and paid by the Insured in defending any suit or legal proceeding brought against the Insured to enforce the Insured’s liability, or alleged liability, on account of any loss, claim or damage that, if established against the Insured, would constitute a collectible loss under this bond in excess of any Single Loss Deductible Amount, provided, however, that with respect to Insuring Agreement A this indemnity will apply only in the event that:</w:t>
      </w:r>
    </w:p>
    <w:p>
      <w:pPr>
        <w:spacing w:after="0" w:line="81" w:lineRule="exact"/>
        <w:rPr>
          <w:rFonts w:ascii="Times New Roman" w:cs="Times New Roman" w:eastAsia="Times New Roman" w:hAnsi="Times New Roman"/>
          <w:sz w:val="18"/>
          <w:szCs w:val="18"/>
          <w:b w:val="1"/>
          <w:bCs w:val="1"/>
          <w:color w:val="auto"/>
        </w:rPr>
      </w:pPr>
    </w:p>
    <w:p>
      <w:pPr>
        <w:ind w:left="1960" w:hanging="533"/>
        <w:spacing w:after="0"/>
        <w:tabs>
          <w:tab w:leader="none" w:pos="19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admits to being guilty of </w:t>
      </w:r>
      <w:r>
        <w:rPr>
          <w:rFonts w:ascii="Times New Roman" w:cs="Times New Roman" w:eastAsia="Times New Roman" w:hAnsi="Times New Roman"/>
          <w:sz w:val="18"/>
          <w:szCs w:val="18"/>
          <w:b w:val="1"/>
          <w:bCs w:val="1"/>
          <w:color w:val="auto"/>
        </w:rPr>
        <w:t>Larceny or Embezzlement;</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is adjudicated to be guilty of </w:t>
      </w:r>
      <w:r>
        <w:rPr>
          <w:rFonts w:ascii="Times New Roman" w:cs="Times New Roman" w:eastAsia="Times New Roman" w:hAnsi="Times New Roman"/>
          <w:sz w:val="18"/>
          <w:szCs w:val="18"/>
          <w:b w:val="1"/>
          <w:bCs w:val="1"/>
          <w:color w:val="auto"/>
        </w:rPr>
        <w:t>Larceny or Embezzlement;</w:t>
      </w:r>
      <w:r>
        <w:rPr>
          <w:rFonts w:ascii="Times New Roman" w:cs="Times New Roman" w:eastAsia="Times New Roman" w:hAnsi="Times New Roman"/>
          <w:sz w:val="18"/>
          <w:szCs w:val="18"/>
          <w:color w:val="auto"/>
        </w:rPr>
        <w:t xml:space="preserve"> or</w:t>
      </w:r>
    </w:p>
    <w:p>
      <w:pPr>
        <w:spacing w:after="0" w:line="130" w:lineRule="exact"/>
        <w:rPr>
          <w:rFonts w:ascii="Times New Roman" w:cs="Times New Roman" w:eastAsia="Times New Roman" w:hAnsi="Times New Roman"/>
          <w:sz w:val="18"/>
          <w:szCs w:val="18"/>
          <w:color w:val="auto"/>
        </w:rPr>
      </w:pPr>
    </w:p>
    <w:p>
      <w:pPr>
        <w:ind w:left="1960" w:right="120" w:hanging="533"/>
        <w:spacing w:after="0" w:line="286" w:lineRule="auto"/>
        <w:tabs>
          <w:tab w:leader="none" w:pos="19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absence of 1. or 2. above, an arbitration panel agrees, after a review of an agreed statement of facts, that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would be found guilty of </w:t>
      </w:r>
      <w:r>
        <w:rPr>
          <w:rFonts w:ascii="Times New Roman" w:cs="Times New Roman" w:eastAsia="Times New Roman" w:hAnsi="Times New Roman"/>
          <w:sz w:val="18"/>
          <w:szCs w:val="18"/>
          <w:b w:val="1"/>
          <w:bCs w:val="1"/>
          <w:color w:val="auto"/>
        </w:rPr>
        <w:t>Larceny or Embezzlement</w:t>
      </w:r>
      <w:r>
        <w:rPr>
          <w:rFonts w:ascii="Times New Roman" w:cs="Times New Roman" w:eastAsia="Times New Roman" w:hAnsi="Times New Roman"/>
          <w:sz w:val="18"/>
          <w:szCs w:val="18"/>
          <w:color w:val="auto"/>
        </w:rPr>
        <w:t xml:space="preserve"> if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were prosecuted.</w:t>
      </w:r>
    </w:p>
    <w:p>
      <w:pPr>
        <w:spacing w:after="0" w:line="5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Such indemnity is in addition to the Single Loss Limit of Insurance for the applicable Insuring Agreement or Coverage.</w:t>
      </w:r>
    </w:p>
    <w:p>
      <w:pPr>
        <w:spacing w:after="0" w:line="113" w:lineRule="exact"/>
        <w:rPr>
          <w:sz w:val="20"/>
          <w:szCs w:val="20"/>
          <w:color w:val="auto"/>
        </w:rPr>
      </w:pPr>
    </w:p>
    <w:p>
      <w:pPr>
        <w:ind w:left="980" w:right="20"/>
        <w:spacing w:after="0" w:line="259" w:lineRule="auto"/>
        <w:rPr>
          <w:sz w:val="20"/>
          <w:szCs w:val="20"/>
          <w:color w:val="auto"/>
        </w:rPr>
      </w:pPr>
      <w:r>
        <w:rPr>
          <w:rFonts w:ascii="Times New Roman" w:cs="Times New Roman" w:eastAsia="Times New Roman" w:hAnsi="Times New Roman"/>
          <w:sz w:val="18"/>
          <w:szCs w:val="18"/>
          <w:color w:val="auto"/>
        </w:rPr>
        <w:t xml:space="preserve">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must notify the Company promptly after notice thereof, of any such suit or legal proceeding and at the request of the Company will furnish it with copies of all pleadings and other papers therein. At the Company’s election the Insured will permit the Company to conduct the defense of such suit or legal proceeding, in the Insured’s name, through attorneys of the Company’s selection. In such event, the Insured and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will give all reasonable information and assistance, other than pecuniary, that the Company deems necessary to the defense of such suit or legal proceeding.</w:t>
      </w:r>
    </w:p>
    <w:p>
      <w:pPr>
        <w:spacing w:after="0" w:line="75" w:lineRule="exact"/>
        <w:rPr>
          <w:sz w:val="20"/>
          <w:szCs w:val="20"/>
          <w:color w:val="auto"/>
        </w:rPr>
      </w:pPr>
    </w:p>
    <w:p>
      <w:pPr>
        <w:ind w:left="980" w:right="40"/>
        <w:spacing w:after="0" w:line="256" w:lineRule="auto"/>
        <w:rPr>
          <w:sz w:val="20"/>
          <w:szCs w:val="20"/>
          <w:color w:val="auto"/>
        </w:rPr>
      </w:pPr>
      <w:r>
        <w:rPr>
          <w:rFonts w:ascii="Times New Roman" w:cs="Times New Roman" w:eastAsia="Times New Roman" w:hAnsi="Times New Roman"/>
          <w:sz w:val="18"/>
          <w:szCs w:val="18"/>
          <w:color w:val="auto"/>
        </w:rPr>
        <w:t>If the amount of the Insured’s liability or alleged liability is greater than the amount recoverable under this bond, or if a Single Loss Deductible Amount is applicable, or both, then the liability of the Company under this General Agreement E. is limited to the proportion of court costs and attorney’s fees incurred and paid by the Insured or by the Company that the amount recoverable under this bond bears to the total amount of the Insured’s liability or alleged liability. Any amount not recoverable by reason of the Insured’s liability or alleged liability being greater than the amount recoverable under any insuring agreement of this bond, does not serve to reduce the Single Loss Deductible Amount applicable to such Insuring Agreement or Coverage.</w:t>
      </w:r>
    </w:p>
    <w:p>
      <w:pPr>
        <w:spacing w:after="0" w:line="79" w:lineRule="exact"/>
        <w:rPr>
          <w:sz w:val="20"/>
          <w:szCs w:val="20"/>
          <w:color w:val="auto"/>
        </w:rPr>
      </w:pPr>
    </w:p>
    <w:p>
      <w:pPr>
        <w:ind w:left="980" w:right="220"/>
        <w:spacing w:after="0" w:line="282" w:lineRule="auto"/>
        <w:rPr>
          <w:sz w:val="20"/>
          <w:szCs w:val="20"/>
          <w:color w:val="auto"/>
        </w:rPr>
      </w:pPr>
      <w:r>
        <w:rPr>
          <w:rFonts w:ascii="Times New Roman" w:cs="Times New Roman" w:eastAsia="Times New Roman" w:hAnsi="Times New Roman"/>
          <w:sz w:val="18"/>
          <w:szCs w:val="18"/>
          <w:color w:val="auto"/>
        </w:rPr>
        <w:t>If the Company pays court costs and attorney’s fees in excess of its proportionate share of such costs and fees, the Insured will promptly reimburse the Company for such excess.</w:t>
      </w:r>
    </w:p>
    <w:p>
      <w:pPr>
        <w:spacing w:after="0" w:line="30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IV.</w:t>
        <w:tab/>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53975</wp:posOffset>
            </wp:positionV>
            <wp:extent cx="69951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in this bond:</w:t>
      </w:r>
    </w:p>
    <w:p>
      <w:pPr>
        <w:spacing w:after="0" w:line="127" w:lineRule="exact"/>
        <w:rPr>
          <w:sz w:val="20"/>
          <w:szCs w:val="20"/>
          <w:color w:val="auto"/>
        </w:rPr>
      </w:pPr>
    </w:p>
    <w:p>
      <w:pPr>
        <w:ind w:left="960" w:hanging="532"/>
        <w:spacing w:after="0"/>
        <w:tabs>
          <w:tab w:leader="none" w:pos="9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Acceptance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draft that the drawee has, by signature thereon, engaged to honor as presented.</w:t>
      </w:r>
    </w:p>
    <w:p>
      <w:pPr>
        <w:spacing w:after="0" w:line="130"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Bond Period </w:t>
      </w:r>
      <w:r>
        <w:rPr>
          <w:rFonts w:ascii="Times New Roman" w:cs="Times New Roman" w:eastAsia="Times New Roman" w:hAnsi="Times New Roman"/>
          <w:sz w:val="18"/>
          <w:szCs w:val="18"/>
          <w:color w:val="auto"/>
        </w:rPr>
        <w:t>has the meaning set forth in section VI. CONDITIONS, C. BOND PERIOD.</w:t>
      </w:r>
    </w:p>
    <w:p>
      <w:pPr>
        <w:spacing w:after="0" w:line="130" w:lineRule="exact"/>
        <w:rPr>
          <w:rFonts w:ascii="Times New Roman" w:cs="Times New Roman" w:eastAsia="Times New Roman" w:hAnsi="Times New Roman"/>
          <w:sz w:val="18"/>
          <w:szCs w:val="18"/>
          <w:b w:val="1"/>
          <w:bCs w:val="1"/>
          <w:color w:val="auto"/>
        </w:rPr>
      </w:pPr>
    </w:p>
    <w:p>
      <w:pPr>
        <w:ind w:left="960" w:right="100" w:hanging="532"/>
        <w:spacing w:after="0" w:line="286" w:lineRule="auto"/>
        <w:tabs>
          <w:tab w:leader="none" w:pos="9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Callback Verification </w:t>
      </w:r>
      <w:r>
        <w:rPr>
          <w:rFonts w:ascii="Times New Roman" w:cs="Times New Roman" w:eastAsia="Times New Roman" w:hAnsi="Times New Roman"/>
          <w:sz w:val="18"/>
          <w:szCs w:val="18"/>
          <w:color w:val="auto"/>
        </w:rPr>
        <w:t>means a verbal conversation with the purported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using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Pre- Determined Telephone Number,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verify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identity of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and the authenticity of a funds transfer request.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680" w:type="dxa"/>
            <w:vAlign w:val="bottom"/>
            <w:tcBorders>
              <w:top w:val="single" w:sz="8" w:color="auto"/>
            </w:tcBorders>
          </w:tcPr>
          <w:p>
            <w:pPr>
              <w:ind w:left="2760"/>
              <w:spacing w:after="0"/>
              <w:rPr>
                <w:sz w:val="20"/>
                <w:szCs w:val="20"/>
                <w:color w:val="auto"/>
              </w:rPr>
            </w:pPr>
            <w:r>
              <w:rPr>
                <w:rFonts w:ascii="Times New Roman" w:cs="Times New Roman" w:eastAsia="Times New Roman" w:hAnsi="Times New Roman"/>
                <w:sz w:val="18"/>
                <w:szCs w:val="18"/>
                <w:color w:val="auto"/>
                <w:w w:val="99"/>
              </w:rPr>
              <w:t>Page 8 of 25</w:t>
            </w: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680" w:type="dxa"/>
            <w:vAlign w:val="bottom"/>
          </w:tcPr>
          <w:p>
            <w:pPr>
              <w:spacing w:after="0"/>
              <w:rPr>
                <w:sz w:val="20"/>
                <w:szCs w:val="20"/>
                <w:color w:val="auto"/>
              </w:rPr>
            </w:pPr>
          </w:p>
        </w:tc>
      </w:tr>
    </w:tbl>
    <w:p>
      <w:pPr>
        <w:sectPr>
          <w:pgSz w:w="11900" w:h="16838" w:orient="portrait"/>
          <w:cols w:equalWidth="0" w:num="1">
            <w:col w:w="11020"/>
          </w:cols>
          <w:pgMar w:left="440" w:top="270" w:right="439" w:bottom="1440" w:gutter="0" w:footer="0" w:header="0"/>
        </w:sectPr>
      </w:pPr>
    </w:p>
    <w:bookmarkStart w:id="16" w:name="page17"/>
    <w:bookmarkEnd w:id="16"/>
    <w:p>
      <w:pPr>
        <w:ind w:left="960" w:right="880" w:hanging="532"/>
        <w:spacing w:after="0" w:line="286" w:lineRule="auto"/>
        <w:tabs>
          <w:tab w:leader="none" w:pos="9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Certificate of Deposit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acknowledgment by an Insured or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Financial Institution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receipt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engagement to repay it.</w:t>
      </w:r>
    </w:p>
    <w:p>
      <w:pPr>
        <w:spacing w:after="0" w:line="60" w:lineRule="exact"/>
        <w:rPr>
          <w:rFonts w:ascii="Times New Roman" w:cs="Times New Roman" w:eastAsia="Times New Roman" w:hAnsi="Times New Roman"/>
          <w:sz w:val="18"/>
          <w:szCs w:val="18"/>
          <w:b w:val="1"/>
          <w:bCs w:val="1"/>
          <w:color w:val="auto"/>
        </w:rPr>
      </w:pPr>
    </w:p>
    <w:p>
      <w:pPr>
        <w:ind w:left="960" w:right="660" w:hanging="532"/>
        <w:spacing w:after="0" w:line="286" w:lineRule="auto"/>
        <w:tabs>
          <w:tab w:leader="none" w:pos="9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Certificate of Origin or Title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document issued by a manufacturer of personal property or a governmental agency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evidencing the ownership of the personal property and by which ownership is transferred.</w:t>
      </w:r>
    </w:p>
    <w:p>
      <w:pPr>
        <w:spacing w:after="0" w:line="60" w:lineRule="exact"/>
        <w:rPr>
          <w:rFonts w:ascii="Times New Roman" w:cs="Times New Roman" w:eastAsia="Times New Roman" w:hAnsi="Times New Roman"/>
          <w:sz w:val="18"/>
          <w:szCs w:val="18"/>
          <w:b w:val="1"/>
          <w:bCs w:val="1"/>
          <w:color w:val="auto"/>
        </w:rPr>
      </w:pPr>
    </w:p>
    <w:p>
      <w:pPr>
        <w:ind w:left="960" w:right="440" w:hanging="532"/>
        <w:spacing w:after="0" w:line="286" w:lineRule="auto"/>
        <w:tabs>
          <w:tab w:leader="none" w:pos="9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Certificated Security </w:t>
      </w:r>
      <w:r>
        <w:rPr>
          <w:rFonts w:ascii="Times New Roman" w:cs="Times New Roman" w:eastAsia="Times New Roman" w:hAnsi="Times New Roman"/>
          <w:sz w:val="18"/>
          <w:szCs w:val="18"/>
          <w:color w:val="auto"/>
        </w:rPr>
        <w:t>means a share, participation or other interest in property of, or an enterprise of, the issuer or an obligation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issuer, that is:</w:t>
      </w:r>
    </w:p>
    <w:p>
      <w:pPr>
        <w:spacing w:after="0" w:line="60"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represented by a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instrument issued in bearer or registered form;</w:t>
      </w:r>
    </w:p>
    <w:p>
      <w:pPr>
        <w:spacing w:after="0" w:line="134" w:lineRule="exact"/>
        <w:rPr>
          <w:rFonts w:ascii="Times New Roman" w:cs="Times New Roman" w:eastAsia="Times New Roman" w:hAnsi="Times New Roman"/>
          <w:sz w:val="18"/>
          <w:szCs w:val="18"/>
          <w:color w:val="auto"/>
        </w:rPr>
      </w:pPr>
    </w:p>
    <w:p>
      <w:pPr>
        <w:ind w:left="1420" w:right="100" w:hanging="439"/>
        <w:spacing w:after="0" w:line="282" w:lineRule="auto"/>
        <w:tabs>
          <w:tab w:leader="none" w:pos="14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type commonly dealt in on securities exchanges or markets or commonly recognized in any area in which it is issued or dealt in as a medium for investment; and</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one of a class or series or by its terms divisible into a class or series of shares, participations, interests or obligations.</w:t>
      </w:r>
    </w:p>
    <w:p>
      <w:pPr>
        <w:spacing w:after="0" w:line="126" w:lineRule="exact"/>
        <w:rPr>
          <w:rFonts w:ascii="Times New Roman" w:cs="Times New Roman" w:eastAsia="Times New Roman" w:hAnsi="Times New Roman"/>
          <w:sz w:val="18"/>
          <w:szCs w:val="18"/>
          <w:color w:val="auto"/>
        </w:rPr>
      </w:pPr>
    </w:p>
    <w:p>
      <w:pPr>
        <w:ind w:left="960" w:right="80" w:hanging="532"/>
        <w:spacing w:after="0" w:line="268" w:lineRule="auto"/>
        <w:tabs>
          <w:tab w:leader="none" w:pos="9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Computer Fraud </w:t>
      </w:r>
      <w:r>
        <w:rPr>
          <w:rFonts w:ascii="Times New Roman" w:cs="Times New Roman" w:eastAsia="Times New Roman" w:hAnsi="Times New Roman"/>
          <w:sz w:val="18"/>
          <w:szCs w:val="18"/>
          <w:color w:val="auto"/>
        </w:rPr>
        <w:t>means an intentional, unauthorized, and fraudulent entry of data or computer instructions directly into, or change of data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or computer instructions within,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xml:space="preserve"> by a natural person or entity other than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including any such entry or change made via the internet or a </w:t>
      </w:r>
      <w:r>
        <w:rPr>
          <w:rFonts w:ascii="Times New Roman" w:cs="Times New Roman" w:eastAsia="Times New Roman" w:hAnsi="Times New Roman"/>
          <w:sz w:val="18"/>
          <w:szCs w:val="18"/>
          <w:b w:val="1"/>
          <w:bCs w:val="1"/>
          <w:color w:val="auto"/>
        </w:rPr>
        <w:t>Network,</w:t>
      </w:r>
      <w:r>
        <w:rPr>
          <w:rFonts w:ascii="Times New Roman" w:cs="Times New Roman" w:eastAsia="Times New Roman" w:hAnsi="Times New Roman"/>
          <w:sz w:val="18"/>
          <w:szCs w:val="18"/>
          <w:color w:val="auto"/>
        </w:rPr>
        <w:t xml:space="preserve"> provided that such entry or change causes:</w:t>
      </w:r>
    </w:p>
    <w:p>
      <w:pPr>
        <w:spacing w:after="0" w:line="76"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Property </w:t>
      </w:r>
      <w:r>
        <w:rPr>
          <w:rFonts w:ascii="Times New Roman" w:cs="Times New Roman" w:eastAsia="Times New Roman" w:hAnsi="Times New Roman"/>
          <w:sz w:val="18"/>
          <w:szCs w:val="18"/>
          <w:color w:val="auto"/>
        </w:rPr>
        <w:t>to be transferred, paid, or delivered;</w:t>
      </w:r>
    </w:p>
    <w:p>
      <w:pPr>
        <w:spacing w:after="0" w:line="134"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 of the Insured, or of its customer, to be added, deleted, debited or credited; or</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unauthorized or fictitious account to be debited or credited.</w:t>
      </w:r>
    </w:p>
    <w:p>
      <w:pPr>
        <w:spacing w:after="0" w:line="126"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Computer System </w:t>
      </w:r>
      <w:r>
        <w:rPr>
          <w:rFonts w:ascii="Times New Roman" w:cs="Times New Roman" w:eastAsia="Times New Roman" w:hAnsi="Times New Roman"/>
          <w:sz w:val="18"/>
          <w:szCs w:val="18"/>
          <w:color w:val="auto"/>
        </w:rPr>
        <w:t>means:</w:t>
      </w:r>
    </w:p>
    <w:p>
      <w:pPr>
        <w:spacing w:after="0" w:line="134"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computer; and</w:t>
      </w:r>
    </w:p>
    <w:p>
      <w:pPr>
        <w:spacing w:after="0" w:line="130" w:lineRule="exact"/>
        <w:rPr>
          <w:rFonts w:ascii="Times New Roman" w:cs="Times New Roman" w:eastAsia="Times New Roman" w:hAnsi="Times New Roman"/>
          <w:sz w:val="18"/>
          <w:szCs w:val="18"/>
          <w:color w:val="auto"/>
        </w:rPr>
      </w:pPr>
    </w:p>
    <w:p>
      <w:pPr>
        <w:ind w:left="1420" w:right="260" w:hanging="439"/>
        <w:spacing w:after="0" w:line="282" w:lineRule="auto"/>
        <w:tabs>
          <w:tab w:leader="none" w:pos="14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input, output, processing, storage or communication device, or any related network, operating system or application software, that is connected to, or used in connection with, such computer,</w:t>
      </w:r>
    </w:p>
    <w:p>
      <w:pPr>
        <w:spacing w:after="0" w:line="5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that is rented by, owned by, leased by, licensed to, or under the direct operational control of, the Insured or an </w:t>
      </w:r>
      <w:r>
        <w:rPr>
          <w:rFonts w:ascii="Times New Roman" w:cs="Times New Roman" w:eastAsia="Times New Roman" w:hAnsi="Times New Roman"/>
          <w:sz w:val="18"/>
          <w:szCs w:val="18"/>
          <w:b w:val="1"/>
          <w:bCs w:val="1"/>
          <w:color w:val="auto"/>
        </w:rPr>
        <w:t>Investment Adviser.</w:t>
      </w:r>
    </w:p>
    <w:p>
      <w:pPr>
        <w:spacing w:after="0" w:line="131" w:lineRule="exact"/>
        <w:rPr>
          <w:sz w:val="20"/>
          <w:szCs w:val="20"/>
          <w:color w:val="auto"/>
        </w:rPr>
      </w:pPr>
    </w:p>
    <w:p>
      <w:pPr>
        <w:ind w:left="960" w:hanging="532"/>
        <w:spacing w:after="0"/>
        <w:tabs>
          <w:tab w:leader="none" w:pos="9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Computer Violation </w:t>
      </w:r>
      <w:r>
        <w:rPr>
          <w:rFonts w:ascii="Times New Roman" w:cs="Times New Roman" w:eastAsia="Times New Roman" w:hAnsi="Times New Roman"/>
          <w:sz w:val="18"/>
          <w:szCs w:val="18"/>
          <w:color w:val="auto"/>
        </w:rPr>
        <w:t>means:</w:t>
      </w:r>
    </w:p>
    <w:p>
      <w:pPr>
        <w:spacing w:after="0" w:line="130"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introduction of a </w:t>
      </w:r>
      <w:r>
        <w:rPr>
          <w:rFonts w:ascii="Times New Roman" w:cs="Times New Roman" w:eastAsia="Times New Roman" w:hAnsi="Times New Roman"/>
          <w:sz w:val="18"/>
          <w:szCs w:val="18"/>
          <w:b w:val="1"/>
          <w:bCs w:val="1"/>
          <w:color w:val="auto"/>
        </w:rPr>
        <w:t>Computer Virus</w:t>
      </w:r>
      <w:r>
        <w:rPr>
          <w:rFonts w:ascii="Times New Roman" w:cs="Times New Roman" w:eastAsia="Times New Roman" w:hAnsi="Times New Roman"/>
          <w:sz w:val="18"/>
          <w:szCs w:val="18"/>
          <w:color w:val="auto"/>
        </w:rPr>
        <w:t xml:space="preserve"> into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xml:space="preserve"> or</w:t>
      </w:r>
    </w:p>
    <w:p>
      <w:pPr>
        <w:spacing w:after="0" w:line="130" w:lineRule="exact"/>
        <w:rPr>
          <w:rFonts w:ascii="Times New Roman" w:cs="Times New Roman" w:eastAsia="Times New Roman" w:hAnsi="Times New Roman"/>
          <w:sz w:val="18"/>
          <w:szCs w:val="18"/>
          <w:color w:val="auto"/>
        </w:rPr>
      </w:pPr>
    </w:p>
    <w:p>
      <w:pPr>
        <w:ind w:left="1420" w:right="240" w:hanging="439"/>
        <w:spacing w:after="0" w:line="286" w:lineRule="auto"/>
        <w:tabs>
          <w:tab w:leader="none" w:pos="14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damage to, or destruction of, computer programs, software or other electronic data stored within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xml:space="preserve"> by a natural person, who has:</w:t>
      </w:r>
    </w:p>
    <w:p>
      <w:pPr>
        <w:spacing w:after="0" w:line="6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gained unauthorized access to such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xml:space="preserve"> or</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authorized access to such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xml:space="preserve"> but uses such access to cause such damage or destruction.</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Computer Virus </w:t>
      </w:r>
      <w:r>
        <w:rPr>
          <w:rFonts w:ascii="Times New Roman" w:cs="Times New Roman" w:eastAsia="Times New Roman" w:hAnsi="Times New Roman"/>
          <w:sz w:val="18"/>
          <w:szCs w:val="18"/>
          <w:color w:val="auto"/>
        </w:rPr>
        <w:t>means any malicious code that could destroy, alter, contaminate, or degrade the integrity, quality, or performance of:</w:t>
      </w:r>
    </w:p>
    <w:p>
      <w:pPr>
        <w:spacing w:after="0" w:line="130"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electronic data used, or stored, in any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xml:space="preserve"> or network; or</w:t>
      </w:r>
    </w:p>
    <w:p>
      <w:pPr>
        <w:spacing w:after="0" w:line="134"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computer network, any computer application software, or a computer operating system or related network.</w:t>
      </w:r>
    </w:p>
    <w:p>
      <w:pPr>
        <w:spacing w:after="0" w:line="126" w:lineRule="exact"/>
        <w:rPr>
          <w:rFonts w:ascii="Times New Roman" w:cs="Times New Roman" w:eastAsia="Times New Roman" w:hAnsi="Times New Roman"/>
          <w:sz w:val="18"/>
          <w:szCs w:val="18"/>
          <w:color w:val="auto"/>
        </w:rPr>
      </w:pPr>
    </w:p>
    <w:p>
      <w:pPr>
        <w:ind w:left="960" w:right="700" w:hanging="532"/>
        <w:spacing w:after="0" w:line="286" w:lineRule="auto"/>
        <w:tabs>
          <w:tab w:leader="none" w:pos="9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Counterfeit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imitation of an actual, valid, or verifiable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Original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is intended to deceive and to be taken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Original</w:t>
      </w:r>
      <w:r>
        <w:rPr>
          <w:rFonts w:ascii="Times New Roman" w:cs="Times New Roman" w:eastAsia="Times New Roman" w:hAnsi="Times New Roman"/>
          <w:sz w:val="18"/>
          <w:szCs w:val="18"/>
          <w:color w:val="auto"/>
        </w:rPr>
        <w: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680" w:type="dxa"/>
            <w:vAlign w:val="bottom"/>
            <w:tcBorders>
              <w:top w:val="single" w:sz="8" w:color="auto"/>
            </w:tcBorders>
          </w:tcPr>
          <w:p>
            <w:pPr>
              <w:ind w:left="2760"/>
              <w:spacing w:after="0"/>
              <w:rPr>
                <w:sz w:val="20"/>
                <w:szCs w:val="20"/>
                <w:color w:val="auto"/>
              </w:rPr>
            </w:pPr>
            <w:r>
              <w:rPr>
                <w:rFonts w:ascii="Times New Roman" w:cs="Times New Roman" w:eastAsia="Times New Roman" w:hAnsi="Times New Roman"/>
                <w:sz w:val="18"/>
                <w:szCs w:val="18"/>
                <w:color w:val="auto"/>
                <w:w w:val="99"/>
              </w:rPr>
              <w:t>Page 9 of 25</w:t>
            </w: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680" w:type="dxa"/>
            <w:vAlign w:val="bottom"/>
          </w:tcPr>
          <w:p>
            <w:pPr>
              <w:spacing w:after="0"/>
              <w:rPr>
                <w:sz w:val="20"/>
                <w:szCs w:val="20"/>
                <w:color w:val="auto"/>
              </w:rPr>
            </w:pPr>
          </w:p>
        </w:tc>
      </w:tr>
    </w:tbl>
    <w:p>
      <w:pPr>
        <w:sectPr>
          <w:pgSz w:w="11900" w:h="16838" w:orient="portrait"/>
          <w:cols w:equalWidth="0" w:num="1">
            <w:col w:w="11020"/>
          </w:cols>
          <w:pgMar w:left="440" w:top="266" w:right="439" w:bottom="1440" w:gutter="0" w:footer="0" w:header="0"/>
        </w:sectPr>
      </w:pPr>
    </w:p>
    <w:bookmarkStart w:id="17" w:name="page18"/>
    <w:bookmarkEnd w:id="17"/>
    <w:p>
      <w:pPr>
        <w:ind w:left="960" w:right="300" w:hanging="532"/>
        <w:spacing w:after="0" w:line="286" w:lineRule="auto"/>
        <w:tabs>
          <w:tab w:leader="none" w:pos="9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Custodian </w:t>
      </w:r>
      <w:r>
        <w:rPr>
          <w:rFonts w:ascii="Times New Roman" w:cs="Times New Roman" w:eastAsia="Times New Roman" w:hAnsi="Times New Roman"/>
          <w:sz w:val="18"/>
          <w:szCs w:val="18"/>
          <w:color w:val="auto"/>
        </w:rPr>
        <w:t>means an institution designated by an Insured or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maintain possession and control of the Insured’s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w:t>
      </w:r>
    </w:p>
    <w:p>
      <w:pPr>
        <w:spacing w:after="0" w:line="60" w:lineRule="exact"/>
        <w:rPr>
          <w:rFonts w:ascii="Times New Roman" w:cs="Times New Roman" w:eastAsia="Times New Roman" w:hAnsi="Times New Roman"/>
          <w:sz w:val="18"/>
          <w:szCs w:val="18"/>
          <w:b w:val="1"/>
          <w:bCs w:val="1"/>
          <w:color w:val="auto"/>
        </w:rPr>
      </w:pPr>
    </w:p>
    <w:p>
      <w:pPr>
        <w:ind w:left="960" w:right="80" w:hanging="532"/>
        <w:spacing w:after="0" w:line="286" w:lineRule="auto"/>
        <w:tabs>
          <w:tab w:leader="none" w:pos="9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Customer </w:t>
      </w:r>
      <w:r>
        <w:rPr>
          <w:rFonts w:ascii="Times New Roman" w:cs="Times New Roman" w:eastAsia="Times New Roman" w:hAnsi="Times New Roman"/>
          <w:sz w:val="18"/>
          <w:szCs w:val="18"/>
          <w:color w:val="auto"/>
        </w:rPr>
        <w:t>means, only with respect to Insuring Agreement I.2., an entity or natural person that has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Funds Transfer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Insured or with an </w:t>
      </w:r>
      <w:r>
        <w:rPr>
          <w:rFonts w:ascii="Times New Roman" w:cs="Times New Roman" w:eastAsia="Times New Roman" w:hAnsi="Times New Roman"/>
          <w:sz w:val="18"/>
          <w:szCs w:val="18"/>
          <w:b w:val="1"/>
          <w:bCs w:val="1"/>
          <w:color w:val="auto"/>
        </w:rPr>
        <w:t>Investment Adviser.</w:t>
      </w:r>
    </w:p>
    <w:p>
      <w:pPr>
        <w:spacing w:after="0" w:line="60"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Depository </w:t>
      </w:r>
      <w:r>
        <w:rPr>
          <w:rFonts w:ascii="Times New Roman" w:cs="Times New Roman" w:eastAsia="Times New Roman" w:hAnsi="Times New Roman"/>
          <w:sz w:val="18"/>
          <w:szCs w:val="18"/>
          <w:color w:val="auto"/>
        </w:rPr>
        <w:t>means a clearing corporation that is:</w:t>
      </w:r>
    </w:p>
    <w:p>
      <w:pPr>
        <w:spacing w:after="0" w:line="134" w:lineRule="exact"/>
        <w:rPr>
          <w:rFonts w:ascii="Times New Roman" w:cs="Times New Roman" w:eastAsia="Times New Roman" w:hAnsi="Times New Roman"/>
          <w:sz w:val="18"/>
          <w:szCs w:val="18"/>
          <w:b w:val="1"/>
          <w:bCs w:val="1"/>
          <w:color w:val="auto"/>
        </w:rPr>
      </w:pPr>
    </w:p>
    <w:p>
      <w:pPr>
        <w:ind w:left="1420" w:right="60" w:hanging="439"/>
        <w:spacing w:after="0" w:line="282" w:lineRule="auto"/>
        <w:tabs>
          <w:tab w:leader="none" w:pos="14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with the Securities Exchange Commission as a clearing agency under section 17A of the Securities Exchange Act of 1934 (15 U.S.C. 78q-1); or</w:t>
      </w:r>
    </w:p>
    <w:p>
      <w:pPr>
        <w:spacing w:after="0" w:line="67" w:lineRule="exact"/>
        <w:rPr>
          <w:rFonts w:ascii="Times New Roman" w:cs="Times New Roman" w:eastAsia="Times New Roman" w:hAnsi="Times New Roman"/>
          <w:sz w:val="18"/>
          <w:szCs w:val="18"/>
          <w:color w:val="auto"/>
        </w:rPr>
      </w:pPr>
    </w:p>
    <w:p>
      <w:pPr>
        <w:jc w:val="both"/>
        <w:ind w:left="1420" w:right="140" w:hanging="439"/>
        <w:spacing w:after="0" w:line="266" w:lineRule="auto"/>
        <w:tabs>
          <w:tab w:leader="none" w:pos="14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Federal Reserve Bank or other person or entity authorized to operate the federal book entry system described in the regulations of the Department of Treasury codified at 31 CFR 357, Subpart B, or book-entry systems operated pursuant to comparable regulations of other federal agencies.</w:t>
      </w:r>
    </w:p>
    <w:p>
      <w:pPr>
        <w:spacing w:after="0" w:line="77" w:lineRule="exact"/>
        <w:rPr>
          <w:rFonts w:ascii="Times New Roman" w:cs="Times New Roman" w:eastAsia="Times New Roman" w:hAnsi="Times New Roman"/>
          <w:sz w:val="18"/>
          <w:szCs w:val="18"/>
          <w:color w:val="auto"/>
        </w:rPr>
      </w:pPr>
    </w:p>
    <w:p>
      <w:pPr>
        <w:ind w:left="960" w:right="400" w:hanging="532"/>
        <w:spacing w:after="0" w:line="259" w:lineRule="auto"/>
        <w:tabs>
          <w:tab w:leader="none" w:pos="9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Document of Title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document that is a bill of lading, dock warrant, dock receipt, warehouse receipt or order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delivery of goods, and also any other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document that in the regular course of business or financing is treated as adequately evidencing that the person in possession of it is entitled to receive, hold and dispose of the document and the goods it covers and must purport to be issued by or addressed to a bailee and purport to cover goods in the bailee’s possession that are either identified or are fungible portions of an identified mass.</w:t>
      </w:r>
    </w:p>
    <w:p>
      <w:pPr>
        <w:spacing w:after="0" w:line="84" w:lineRule="exact"/>
        <w:rPr>
          <w:rFonts w:ascii="Times New Roman" w:cs="Times New Roman" w:eastAsia="Times New Roman" w:hAnsi="Times New Roman"/>
          <w:sz w:val="18"/>
          <w:szCs w:val="18"/>
          <w:b w:val="1"/>
          <w:bCs w:val="1"/>
          <w:color w:val="auto"/>
        </w:rPr>
      </w:pPr>
    </w:p>
    <w:p>
      <w:pPr>
        <w:ind w:left="960" w:right="180" w:hanging="532"/>
        <w:spacing w:after="0" w:line="262" w:lineRule="auto"/>
        <w:tabs>
          <w:tab w:leader="none" w:pos="9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Electronic Data Processor </w:t>
      </w:r>
      <w:r>
        <w:rPr>
          <w:rFonts w:ascii="Times New Roman" w:cs="Times New Roman" w:eastAsia="Times New Roman" w:hAnsi="Times New Roman"/>
          <w:sz w:val="18"/>
          <w:szCs w:val="18"/>
          <w:color w:val="auto"/>
        </w:rPr>
        <w:t>means a natural person, partnership or corporation authorized in writing by the Insured or an I</w:t>
      </w:r>
      <w:r>
        <w:rPr>
          <w:rFonts w:ascii="Times New Roman" w:cs="Times New Roman" w:eastAsia="Times New Roman" w:hAnsi="Times New Roman"/>
          <w:sz w:val="18"/>
          <w:szCs w:val="18"/>
          <w:b w:val="1"/>
          <w:bCs w:val="1"/>
          <w:color w:val="auto"/>
        </w:rPr>
        <w:t>nvestment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 xml:space="preserve">Adviser </w:t>
      </w:r>
      <w:r>
        <w:rPr>
          <w:rFonts w:ascii="Times New Roman" w:cs="Times New Roman" w:eastAsia="Times New Roman" w:hAnsi="Times New Roman"/>
          <w:sz w:val="18"/>
          <w:szCs w:val="18"/>
          <w:color w:val="auto"/>
        </w:rPr>
        <w:t>to perform services as a data processor of checks presented to the Insured by a customer or</w:t>
      </w:r>
      <w:r>
        <w:rPr>
          <w:rFonts w:ascii="Times New Roman" w:cs="Times New Roman" w:eastAsia="Times New Roman" w:hAnsi="Times New Roman"/>
          <w:sz w:val="18"/>
          <w:szCs w:val="18"/>
          <w:b w:val="1"/>
          <w:bCs w:val="1"/>
          <w:color w:val="auto"/>
        </w:rPr>
        <w:t xml:space="preserve"> Financial Institution</w:t>
      </w:r>
      <w:r>
        <w:rPr>
          <w:rFonts w:ascii="Times New Roman" w:cs="Times New Roman" w:eastAsia="Times New Roman" w:hAnsi="Times New Roman"/>
          <w:sz w:val="18"/>
          <w:szCs w:val="18"/>
          <w:color w:val="auto"/>
        </w:rPr>
        <w:t>, but excluding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such processor who acts as a transfer agent or in any other agency capacity in issuing checks, drafts or securities for the Insured, A Federal Reserve Bank or clearinghouse will not be construed to be an </w:t>
      </w:r>
      <w:r>
        <w:rPr>
          <w:rFonts w:ascii="Times New Roman" w:cs="Times New Roman" w:eastAsia="Times New Roman" w:hAnsi="Times New Roman"/>
          <w:sz w:val="18"/>
          <w:szCs w:val="18"/>
          <w:b w:val="1"/>
          <w:bCs w:val="1"/>
          <w:color w:val="auto"/>
        </w:rPr>
        <w:t>Electronic Data Processor</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b w:val="1"/>
          <w:bCs w:val="1"/>
          <w:color w:val="auto"/>
        </w:rPr>
      </w:pPr>
    </w:p>
    <w:p>
      <w:pPr>
        <w:ind w:left="960" w:right="520" w:hanging="532"/>
        <w:spacing w:after="0" w:line="286" w:lineRule="auto"/>
        <w:tabs>
          <w:tab w:leader="none" w:pos="9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Electronic Record </w:t>
      </w:r>
      <w:r>
        <w:rPr>
          <w:rFonts w:ascii="Times New Roman" w:cs="Times New Roman" w:eastAsia="Times New Roman" w:hAnsi="Times New Roman"/>
          <w:sz w:val="18"/>
          <w:szCs w:val="18"/>
          <w:color w:val="auto"/>
        </w:rPr>
        <w:t>means information that is created, generated, sent, communicated, received, or stored by electronic means, and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retrievable in perceivable form.</w:t>
      </w:r>
    </w:p>
    <w:p>
      <w:pPr>
        <w:spacing w:after="0" w:line="60"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Employee </w:t>
      </w:r>
      <w:r>
        <w:rPr>
          <w:rFonts w:ascii="Times New Roman" w:cs="Times New Roman" w:eastAsia="Times New Roman" w:hAnsi="Times New Roman"/>
          <w:sz w:val="18"/>
          <w:szCs w:val="18"/>
          <w:color w:val="auto"/>
        </w:rPr>
        <w:t>means:</w:t>
      </w:r>
    </w:p>
    <w:p>
      <w:pPr>
        <w:spacing w:after="0" w:line="134" w:lineRule="exact"/>
        <w:rPr>
          <w:rFonts w:ascii="Times New Roman" w:cs="Times New Roman" w:eastAsia="Times New Roman" w:hAnsi="Times New Roman"/>
          <w:sz w:val="18"/>
          <w:szCs w:val="18"/>
          <w:b w:val="1"/>
          <w:bCs w:val="1"/>
          <w:color w:val="auto"/>
        </w:rPr>
      </w:pPr>
    </w:p>
    <w:p>
      <w:pPr>
        <w:ind w:left="1420" w:right="160" w:hanging="439"/>
        <w:spacing w:after="0" w:line="266" w:lineRule="auto"/>
        <w:tabs>
          <w:tab w:leader="none" w:pos="14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 partner or other employee of the Insured, while such person is employed by and performing services for the Insured, and whom the Insured directly compensates by wages, salaries or commissions; or for 60 days after such individual’s termination of service, provided such termination is not due to employee fraud or dishonesty;</w:t>
      </w:r>
    </w:p>
    <w:p>
      <w:pPr>
        <w:spacing w:after="0" w:line="77" w:lineRule="exact"/>
        <w:rPr>
          <w:rFonts w:ascii="Times New Roman" w:cs="Times New Roman" w:eastAsia="Times New Roman" w:hAnsi="Times New Roman"/>
          <w:sz w:val="18"/>
          <w:szCs w:val="18"/>
          <w:color w:val="auto"/>
        </w:rPr>
      </w:pPr>
    </w:p>
    <w:p>
      <w:pPr>
        <w:ind w:left="1420" w:right="220" w:hanging="439"/>
        <w:spacing w:after="0" w:line="286" w:lineRule="auto"/>
        <w:tabs>
          <w:tab w:leader="none" w:pos="14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guest student or intern pursuing studies or duties in any of the Insured’s or an </w:t>
      </w:r>
      <w:r>
        <w:rPr>
          <w:rFonts w:ascii="Times New Roman" w:cs="Times New Roman" w:eastAsia="Times New Roman" w:hAnsi="Times New Roman"/>
          <w:sz w:val="18"/>
          <w:szCs w:val="18"/>
          <w:b w:val="1"/>
          <w:bCs w:val="1"/>
          <w:color w:val="auto"/>
        </w:rPr>
        <w:t>Investment Adviser’s</w:t>
      </w:r>
      <w:r>
        <w:rPr>
          <w:rFonts w:ascii="Times New Roman" w:cs="Times New Roman" w:eastAsia="Times New Roman" w:hAnsi="Times New Roman"/>
          <w:sz w:val="18"/>
          <w:szCs w:val="18"/>
          <w:color w:val="auto"/>
        </w:rPr>
        <w:t xml:space="preserve"> offices or premises covered hereunder, while such person is performing services for the Insured;</w:t>
      </w:r>
    </w:p>
    <w:p>
      <w:pPr>
        <w:spacing w:after="0" w:line="60" w:lineRule="exact"/>
        <w:rPr>
          <w:rFonts w:ascii="Times New Roman" w:cs="Times New Roman" w:eastAsia="Times New Roman" w:hAnsi="Times New Roman"/>
          <w:sz w:val="18"/>
          <w:szCs w:val="18"/>
          <w:color w:val="auto"/>
        </w:rPr>
      </w:pPr>
    </w:p>
    <w:p>
      <w:pPr>
        <w:ind w:left="1420" w:right="80" w:hanging="439"/>
        <w:spacing w:after="0" w:line="286" w:lineRule="auto"/>
        <w:tabs>
          <w:tab w:leader="none" w:pos="14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attorney retained by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and any employee of such attorney, but only while performing legal services for the Insured;</w:t>
      </w:r>
    </w:p>
    <w:p>
      <w:pPr>
        <w:spacing w:after="0" w:line="60" w:lineRule="exact"/>
        <w:rPr>
          <w:rFonts w:ascii="Times New Roman" w:cs="Times New Roman" w:eastAsia="Times New Roman" w:hAnsi="Times New Roman"/>
          <w:sz w:val="18"/>
          <w:szCs w:val="18"/>
          <w:color w:val="auto"/>
        </w:rPr>
      </w:pPr>
    </w:p>
    <w:p>
      <w:pPr>
        <w:ind w:left="1420" w:right="20" w:hanging="439"/>
        <w:spacing w:after="0" w:line="256" w:lineRule="auto"/>
        <w:tabs>
          <w:tab w:leader="none" w:pos="14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natural person assigned to perform the usual duties of an employee within the premises of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and under the Insured’s supervision, by contract, including such persons provided by any employment agency furnishing temporary personnel to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on a contingent or part-time basis, and including a natural person who is leased to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under a written agreement between the Insured and a labor leasing firm to perform duties related to the conduct of the Insured’s business; (all such natural persons provided by a single employment agency or labor leasing firm will collectively be deemed to be one person for all the purposes of this bond, excepting, however, the last paragraph of Condition R.2.);</w:t>
      </w:r>
    </w:p>
    <w:p>
      <w:pPr>
        <w:spacing w:after="0" w:line="92" w:lineRule="exact"/>
        <w:rPr>
          <w:rFonts w:ascii="Times New Roman" w:cs="Times New Roman" w:eastAsia="Times New Roman" w:hAnsi="Times New Roman"/>
          <w:sz w:val="18"/>
          <w:szCs w:val="18"/>
          <w:color w:val="auto"/>
        </w:rPr>
      </w:pPr>
    </w:p>
    <w:p>
      <w:pPr>
        <w:ind w:left="1420" w:right="20" w:hanging="439"/>
        <w:spacing w:after="0" w:line="261" w:lineRule="auto"/>
        <w:tabs>
          <w:tab w:leader="none" w:pos="14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of an institution merged or consolidated with the Insured prior to the effective date of this bond, or, subject to General Agreement B., after the effective date of this bond, but only with respect to acts while an employee of such institution and which acts caused said institution to sustain a loss that was not known to the Insured or to the institution at the time of the merger or consolidation;</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10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020"/>
          </w:cols>
          <w:pgMar w:left="440" w:top="266" w:right="439" w:bottom="1440" w:gutter="0" w:footer="0" w:header="0"/>
        </w:sectPr>
      </w:pPr>
    </w:p>
    <w:bookmarkStart w:id="18" w:name="page19"/>
    <w:bookmarkEnd w:id="18"/>
    <w:p>
      <w:pPr>
        <w:ind w:left="1420" w:right="140" w:hanging="439"/>
        <w:spacing w:after="0" w:line="262" w:lineRule="auto"/>
        <w:tabs>
          <w:tab w:leader="none" w:pos="1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natural person, partnership, or corporation authorized by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to perform services as an </w:t>
      </w:r>
      <w:r>
        <w:rPr>
          <w:rFonts w:ascii="Times New Roman" w:cs="Times New Roman" w:eastAsia="Times New Roman" w:hAnsi="Times New Roman"/>
          <w:sz w:val="18"/>
          <w:szCs w:val="18"/>
          <w:b w:val="1"/>
          <w:bCs w:val="1"/>
          <w:color w:val="auto"/>
        </w:rPr>
        <w:t xml:space="preserve">Electronic Data Processor </w:t>
      </w:r>
      <w:r>
        <w:rPr>
          <w:rFonts w:ascii="Times New Roman" w:cs="Times New Roman" w:eastAsia="Times New Roman" w:hAnsi="Times New Roman"/>
          <w:sz w:val="18"/>
          <w:szCs w:val="18"/>
          <w:color w:val="auto"/>
        </w:rPr>
        <w:t>(each such</w:t>
      </w:r>
      <w:r>
        <w:rPr>
          <w:rFonts w:ascii="Times New Roman" w:cs="Times New Roman" w:eastAsia="Times New Roman" w:hAnsi="Times New Roman"/>
          <w:sz w:val="18"/>
          <w:szCs w:val="18"/>
          <w:b w:val="1"/>
          <w:bCs w:val="1"/>
          <w:color w:val="auto"/>
        </w:rPr>
        <w:t xml:space="preserve"> Electronic Data Processor, </w:t>
      </w:r>
      <w:r>
        <w:rPr>
          <w:rFonts w:ascii="Times New Roman" w:cs="Times New Roman" w:eastAsia="Times New Roman" w:hAnsi="Times New Roman"/>
          <w:sz w:val="18"/>
          <w:szCs w:val="18"/>
          <w:color w:val="auto"/>
        </w:rPr>
        <w:t>and the partners, officers and employees of such</w:t>
      </w:r>
      <w:r>
        <w:rPr>
          <w:rFonts w:ascii="Times New Roman" w:cs="Times New Roman" w:eastAsia="Times New Roman" w:hAnsi="Times New Roman"/>
          <w:sz w:val="18"/>
          <w:szCs w:val="18"/>
          <w:b w:val="1"/>
          <w:bCs w:val="1"/>
          <w:color w:val="auto"/>
        </w:rPr>
        <w:t xml:space="preserve"> Electronic Data Processor </w:t>
      </w:r>
      <w:r>
        <w:rPr>
          <w:rFonts w:ascii="Times New Roman" w:cs="Times New Roman" w:eastAsia="Times New Roman" w:hAnsi="Times New Roman"/>
          <w:sz w:val="18"/>
          <w:szCs w:val="18"/>
          <w:color w:val="auto"/>
        </w:rPr>
        <w:t>will collectively be deemed to be one</w:t>
      </w:r>
      <w:r>
        <w:rPr>
          <w:rFonts w:ascii="Times New Roman" w:cs="Times New Roman" w:eastAsia="Times New Roman" w:hAnsi="Times New Roman"/>
          <w:sz w:val="18"/>
          <w:szCs w:val="18"/>
          <w:b w:val="1"/>
          <w:bCs w:val="1"/>
          <w:color w:val="auto"/>
        </w:rPr>
        <w:t xml:space="preserve"> Employee </w:t>
      </w:r>
      <w:r>
        <w:rPr>
          <w:rFonts w:ascii="Times New Roman" w:cs="Times New Roman" w:eastAsia="Times New Roman" w:hAnsi="Times New Roman"/>
          <w:sz w:val="18"/>
          <w:szCs w:val="18"/>
          <w:color w:val="auto"/>
        </w:rPr>
        <w:t>for all the purposes of this bond, except with respect to Condition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R.2.);</w:t>
      </w:r>
    </w:p>
    <w:p>
      <w:pPr>
        <w:spacing w:after="0" w:line="81" w:lineRule="exact"/>
        <w:rPr>
          <w:rFonts w:ascii="Times New Roman" w:cs="Times New Roman" w:eastAsia="Times New Roman" w:hAnsi="Times New Roman"/>
          <w:sz w:val="18"/>
          <w:szCs w:val="18"/>
          <w:color w:val="auto"/>
        </w:rPr>
      </w:pPr>
    </w:p>
    <w:p>
      <w:pPr>
        <w:ind w:left="1420" w:right="260" w:hanging="439"/>
        <w:spacing w:after="0" w:line="262" w:lineRule="auto"/>
        <w:tabs>
          <w:tab w:leader="none" w:pos="1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director or trustee of an Insured,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underwriter (distributor), transfer agent, shareholder accounting record keeper, or administrator authorized by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agreement with the Insured to keep financial or other required records, but only while performing acts coming within the scope of the usual duties of an officer or employee or while acting as a member of any committee duly elected or appointed to examine or audit or have custody of or access to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of the Insured;</w:t>
      </w:r>
    </w:p>
    <w:p>
      <w:pPr>
        <w:spacing w:after="0" w:line="85" w:lineRule="exact"/>
        <w:rPr>
          <w:rFonts w:ascii="Times New Roman" w:cs="Times New Roman" w:eastAsia="Times New Roman" w:hAnsi="Times New Roman"/>
          <w:sz w:val="18"/>
          <w:szCs w:val="18"/>
          <w:color w:val="auto"/>
        </w:rPr>
      </w:pPr>
    </w:p>
    <w:p>
      <w:pPr>
        <w:ind w:left="1420" w:right="160" w:hanging="439"/>
        <w:spacing w:after="0" w:line="282" w:lineRule="auto"/>
        <w:tabs>
          <w:tab w:leader="none" w:pos="1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natural person who is a volunteer, while such person is subject to the Insured’s direction and control and is performing services for the Insured;</w:t>
      </w:r>
    </w:p>
    <w:p>
      <w:pPr>
        <w:spacing w:after="0" w:line="67" w:lineRule="exact"/>
        <w:rPr>
          <w:rFonts w:ascii="Times New Roman" w:cs="Times New Roman" w:eastAsia="Times New Roman" w:hAnsi="Times New Roman"/>
          <w:sz w:val="18"/>
          <w:szCs w:val="18"/>
          <w:color w:val="auto"/>
        </w:rPr>
      </w:pPr>
    </w:p>
    <w:p>
      <w:pPr>
        <w:ind w:left="1420" w:right="240" w:hanging="439"/>
        <w:spacing w:after="0" w:line="282" w:lineRule="auto"/>
        <w:tabs>
          <w:tab w:leader="none" w:pos="1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natural person who is a former employee retained as a consultant, pursuant to a written agreement with the Insured, while that person is subject to the Insured’s direction and control and performing services for the Insured; and</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officer, partner, or employee of:</w:t>
      </w:r>
    </w:p>
    <w:p>
      <w:pPr>
        <w:spacing w:after="0" w:line="126"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Investment Adviser;</w:t>
      </w:r>
    </w:p>
    <w:p>
      <w:pPr>
        <w:spacing w:after="0" w:line="134"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underwriter (distributor);</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agent or shareholder accounting record-keeper; or</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administrator authorized by written agreement to keep financial or other required records,</w:t>
      </w:r>
    </w:p>
    <w:p>
      <w:pPr>
        <w:spacing w:after="0" w:line="117" w:lineRule="exact"/>
        <w:rPr>
          <w:sz w:val="20"/>
          <w:szCs w:val="20"/>
          <w:color w:val="auto"/>
        </w:rPr>
      </w:pPr>
    </w:p>
    <w:p>
      <w:pPr>
        <w:ind w:left="1420" w:right="60"/>
        <w:spacing w:after="0" w:line="256" w:lineRule="auto"/>
        <w:rPr>
          <w:sz w:val="20"/>
          <w:szCs w:val="20"/>
          <w:color w:val="auto"/>
        </w:rPr>
      </w:pPr>
      <w:r>
        <w:rPr>
          <w:rFonts w:ascii="Times New Roman" w:cs="Times New Roman" w:eastAsia="Times New Roman" w:hAnsi="Times New Roman"/>
          <w:sz w:val="18"/>
          <w:szCs w:val="18"/>
          <w:color w:val="auto"/>
        </w:rPr>
        <w:t xml:space="preserve">for an Insured but only while performing acts coming within the scope of the usual duties of an officer or employee of the Insured, or while acting as a member of any committee duly elected or appointed to examine or audit or have custody of or access to the </w:t>
      </w:r>
      <w:r>
        <w:rPr>
          <w:rFonts w:ascii="Times New Roman" w:cs="Times New Roman" w:eastAsia="Times New Roman" w:hAnsi="Times New Roman"/>
          <w:sz w:val="18"/>
          <w:szCs w:val="18"/>
          <w:b w:val="1"/>
          <w:bCs w:val="1"/>
          <w:color w:val="auto"/>
        </w:rPr>
        <w:t xml:space="preserve">Property </w:t>
      </w:r>
      <w:r>
        <w:rPr>
          <w:rFonts w:ascii="Times New Roman" w:cs="Times New Roman" w:eastAsia="Times New Roman" w:hAnsi="Times New Roman"/>
          <w:sz w:val="18"/>
          <w:szCs w:val="18"/>
          <w:color w:val="auto"/>
        </w:rPr>
        <w:t>of any such Insured, provided that only employees or partners of a transfer agent, shareholder accounting record-keeper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administrator that is an affiliated person, as defined in the Investment Company Act of 1940, of an Insured or is an affiliated person of the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underwriter or administrator of such Insured, and that is not a bank, will be included within the definition of Employee.</w:t>
      </w:r>
    </w:p>
    <w:p>
      <w:pPr>
        <w:spacing w:after="0" w:line="75" w:lineRule="exact"/>
        <w:rPr>
          <w:sz w:val="20"/>
          <w:szCs w:val="20"/>
          <w:color w:val="auto"/>
        </w:rPr>
      </w:pPr>
    </w:p>
    <w:p>
      <w:pPr>
        <w:ind w:left="980"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Employee </w:t>
      </w:r>
      <w:r>
        <w:rPr>
          <w:rFonts w:ascii="Times New Roman" w:cs="Times New Roman" w:eastAsia="Times New Roman" w:hAnsi="Times New Roman"/>
          <w:sz w:val="18"/>
          <w:szCs w:val="18"/>
          <w:color w:val="auto"/>
        </w:rPr>
        <w:t>also means any natural person described above while such person is on medical, military, or other leave of absence. Coverage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applies to any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while on leave, regardless of whether such person remains subject to the Insured’s direction and control during the time of leave.</w:t>
      </w:r>
    </w:p>
    <w:p>
      <w:pPr>
        <w:spacing w:after="0" w:line="63" w:lineRule="exact"/>
        <w:rPr>
          <w:sz w:val="20"/>
          <w:szCs w:val="20"/>
          <w:color w:val="auto"/>
        </w:rPr>
      </w:pPr>
    </w:p>
    <w:p>
      <w:pPr>
        <w:ind w:left="980" w:right="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Employee </w:t>
      </w:r>
      <w:r>
        <w:rPr>
          <w:rFonts w:ascii="Times New Roman" w:cs="Times New Roman" w:eastAsia="Times New Roman" w:hAnsi="Times New Roman"/>
          <w:sz w:val="18"/>
          <w:szCs w:val="18"/>
          <w:color w:val="auto"/>
        </w:rPr>
        <w:t>does not mean any agent, broker, factor, commission merchant, consignee, independent contractor or representative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of the same general character not specified above.</w:t>
      </w:r>
    </w:p>
    <w:p>
      <w:pPr>
        <w:spacing w:after="0" w:line="60" w:lineRule="exact"/>
        <w:rPr>
          <w:sz w:val="20"/>
          <w:szCs w:val="20"/>
          <w:color w:val="auto"/>
        </w:rPr>
      </w:pPr>
    </w:p>
    <w:p>
      <w:pPr>
        <w:ind w:left="960" w:right="40" w:hanging="532"/>
        <w:spacing w:after="0" w:line="268" w:lineRule="auto"/>
        <w:tabs>
          <w:tab w:leader="none" w:pos="9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Evidence of Debt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instrument, including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Negotiable Instrument,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executed, or purportedly executed, by a customer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Insured and held by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that in the regular course of business is treated as evidencing the customer’s debt to the Insured.</w:t>
      </w:r>
    </w:p>
    <w:p>
      <w:pPr>
        <w:spacing w:after="0" w:line="76"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Financial Institution </w:t>
      </w:r>
      <w:r>
        <w:rPr>
          <w:rFonts w:ascii="Times New Roman" w:cs="Times New Roman" w:eastAsia="Times New Roman" w:hAnsi="Times New Roman"/>
          <w:sz w:val="18"/>
          <w:szCs w:val="18"/>
          <w:color w:val="auto"/>
        </w:rPr>
        <w:t>means:</w:t>
      </w:r>
    </w:p>
    <w:p>
      <w:pPr>
        <w:spacing w:after="0" w:line="134"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trust company, savings bank, credit union, savings and loan association, or similar thrift institution; or</w:t>
      </w:r>
    </w:p>
    <w:p>
      <w:pPr>
        <w:spacing w:after="0" w:line="126" w:lineRule="exact"/>
        <w:rPr>
          <w:rFonts w:ascii="Times New Roman" w:cs="Times New Roman" w:eastAsia="Times New Roman" w:hAnsi="Times New Roman"/>
          <w:sz w:val="18"/>
          <w:szCs w:val="18"/>
          <w:color w:val="auto"/>
        </w:rPr>
      </w:pPr>
    </w:p>
    <w:p>
      <w:pPr>
        <w:ind w:left="1420" w:right="280" w:hanging="439"/>
        <w:spacing w:after="0" w:line="286" w:lineRule="auto"/>
        <w:tabs>
          <w:tab w:leader="none" w:pos="14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stock brokerage firm, mutual fund, liquid assets fund or similar investment institution; provided that </w:t>
      </w:r>
      <w:r>
        <w:rPr>
          <w:rFonts w:ascii="Times New Roman" w:cs="Times New Roman" w:eastAsia="Times New Roman" w:hAnsi="Times New Roman"/>
          <w:sz w:val="18"/>
          <w:szCs w:val="18"/>
          <w:b w:val="1"/>
          <w:bCs w:val="1"/>
          <w:color w:val="auto"/>
        </w:rPr>
        <w:t>Financial Institution</w:t>
      </w:r>
      <w:r>
        <w:rPr>
          <w:rFonts w:ascii="Times New Roman" w:cs="Times New Roman" w:eastAsia="Times New Roman" w:hAnsi="Times New Roman"/>
          <w:sz w:val="18"/>
          <w:szCs w:val="18"/>
          <w:color w:val="auto"/>
        </w:rPr>
        <w:t xml:space="preserve"> does not include any such entity, institution or organization that is an Insured or an </w:t>
      </w:r>
      <w:r>
        <w:rPr>
          <w:rFonts w:ascii="Times New Roman" w:cs="Times New Roman" w:eastAsia="Times New Roman" w:hAnsi="Times New Roman"/>
          <w:sz w:val="18"/>
          <w:szCs w:val="18"/>
          <w:b w:val="1"/>
          <w:bCs w:val="1"/>
          <w:color w:val="auto"/>
        </w:rPr>
        <w:t>Investment Adviser.</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11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020"/>
          </w:cols>
          <w:pgMar w:left="440" w:top="266" w:right="439" w:bottom="1440" w:gutter="0" w:footer="0" w:header="0"/>
        </w:sectPr>
      </w:pPr>
    </w:p>
    <w:bookmarkStart w:id="19" w:name="page20"/>
    <w:bookmarkEnd w:id="19"/>
    <w:p>
      <w:pPr>
        <w:ind w:left="960" w:right="260" w:hanging="532"/>
        <w:spacing w:after="0" w:line="286" w:lineRule="auto"/>
        <w:tabs>
          <w:tab w:leader="none" w:pos="9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Forgery </w:t>
      </w:r>
      <w:r>
        <w:rPr>
          <w:rFonts w:ascii="Times New Roman" w:cs="Times New Roman" w:eastAsia="Times New Roman" w:hAnsi="Times New Roman"/>
          <w:sz w:val="18"/>
          <w:szCs w:val="18"/>
          <w:color w:val="auto"/>
        </w:rPr>
        <w:t>means signing the name of another person or organization with a handwritten signature directly applied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document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without authority, and with the intent to deceive.</w:t>
      </w:r>
    </w:p>
    <w:p>
      <w:pPr>
        <w:spacing w:after="0" w:line="50" w:lineRule="exact"/>
        <w:rPr>
          <w:rFonts w:ascii="Times New Roman" w:cs="Times New Roman" w:eastAsia="Times New Roman" w:hAnsi="Times New Roman"/>
          <w:sz w:val="18"/>
          <w:szCs w:val="18"/>
          <w:b w:val="1"/>
          <w:bCs w:val="1"/>
          <w:color w:val="auto"/>
        </w:rPr>
      </w:pPr>
    </w:p>
    <w:p>
      <w:pPr>
        <w:ind w:left="98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signature written on an electronic pad that captures the signature for purposes of creating an electronic digitized image of a handwritten signature, or a reproduction of a handwritten signature, is treated the same as a handwritten signature. Any other form of electronic signature or digital signature is not treated the same as a handwritten signature.</w:t>
      </w:r>
    </w:p>
    <w:p>
      <w:pPr>
        <w:spacing w:after="0" w:line="63" w:lineRule="exact"/>
        <w:rPr>
          <w:rFonts w:ascii="Times New Roman" w:cs="Times New Roman" w:eastAsia="Times New Roman" w:hAnsi="Times New Roman"/>
          <w:sz w:val="18"/>
          <w:szCs w:val="18"/>
          <w:b w:val="1"/>
          <w:bCs w:val="1"/>
          <w:color w:val="auto"/>
        </w:rPr>
      </w:pPr>
    </w:p>
    <w:p>
      <w:pPr>
        <w:ind w:left="980" w:right="22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Forgery </w:t>
      </w:r>
      <w:r>
        <w:rPr>
          <w:rFonts w:ascii="Times New Roman" w:cs="Times New Roman" w:eastAsia="Times New Roman" w:hAnsi="Times New Roman"/>
          <w:sz w:val="18"/>
          <w:szCs w:val="18"/>
          <w:color w:val="auto"/>
        </w:rPr>
        <w:t>does not mean a signature that consists in whole or in part of one’s own name signed with or without authority, in any capacity,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any purpose.</w:t>
      </w:r>
    </w:p>
    <w:p>
      <w:pPr>
        <w:spacing w:after="0" w:line="60" w:lineRule="exact"/>
        <w:rPr>
          <w:rFonts w:ascii="Times New Roman" w:cs="Times New Roman" w:eastAsia="Times New Roman" w:hAnsi="Times New Roman"/>
          <w:sz w:val="18"/>
          <w:szCs w:val="18"/>
          <w:b w:val="1"/>
          <w:bCs w:val="1"/>
          <w:color w:val="auto"/>
        </w:rPr>
      </w:pPr>
    </w:p>
    <w:p>
      <w:pPr>
        <w:ind w:left="960" w:right="220" w:hanging="532"/>
        <w:spacing w:after="0" w:line="286" w:lineRule="auto"/>
        <w:tabs>
          <w:tab w:leader="none" w:pos="9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Fraudulent Instruction </w:t>
      </w:r>
      <w:r>
        <w:rPr>
          <w:rFonts w:ascii="Times New Roman" w:cs="Times New Roman" w:eastAsia="Times New Roman" w:hAnsi="Times New Roman"/>
          <w:sz w:val="18"/>
          <w:szCs w:val="18"/>
          <w:color w:val="auto"/>
        </w:rPr>
        <w:t>means an intentional, fraudulent and unauthorized instruction directed to the Insured or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is:</w:t>
      </w:r>
    </w:p>
    <w:p>
      <w:pPr>
        <w:spacing w:after="0" w:line="64"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transmitted via telefacsimile, and:</w:t>
      </w:r>
    </w:p>
    <w:p>
      <w:pPr>
        <w:spacing w:after="0" w:line="126"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purports and reasonably appears to be from 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Financial Institution,</w:t>
      </w:r>
      <w:r>
        <w:rPr>
          <w:rFonts w:ascii="Times New Roman" w:cs="Times New Roman" w:eastAsia="Times New Roman" w:hAnsi="Times New Roman"/>
          <w:sz w:val="18"/>
          <w:szCs w:val="18"/>
          <w:color w:val="auto"/>
        </w:rPr>
        <w:t xml:space="preserve"> or another office of the Insured;</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was in fact transmitted by someone other than 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Financial Institution,</w:t>
      </w:r>
      <w:r>
        <w:rPr>
          <w:rFonts w:ascii="Times New Roman" w:cs="Times New Roman" w:eastAsia="Times New Roman" w:hAnsi="Times New Roman"/>
          <w:sz w:val="18"/>
          <w:szCs w:val="18"/>
          <w:color w:val="auto"/>
        </w:rPr>
        <w:t xml:space="preserve"> or another office of the Insured; and</w:t>
      </w:r>
    </w:p>
    <w:p>
      <w:pPr>
        <w:spacing w:after="0" w:line="134" w:lineRule="exact"/>
        <w:rPr>
          <w:rFonts w:ascii="Times New Roman" w:cs="Times New Roman" w:eastAsia="Times New Roman" w:hAnsi="Times New Roman"/>
          <w:sz w:val="18"/>
          <w:szCs w:val="18"/>
          <w:color w:val="auto"/>
        </w:rPr>
      </w:pPr>
    </w:p>
    <w:p>
      <w:pPr>
        <w:ind w:left="1960" w:right="440" w:hanging="533"/>
        <w:spacing w:after="0" w:line="282" w:lineRule="auto"/>
        <w:tabs>
          <w:tab w:leader="none" w:pos="196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purports and reasonably appears to contain the handwritten signature of a person authorized to initiate such transfer that proves to have been used by an unauthorized person; or</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transmitted verbally, via telephone, and purports to be from:</w:t>
      </w:r>
    </w:p>
    <w:p>
      <w:pPr>
        <w:spacing w:after="0" w:line="126" w:lineRule="exact"/>
        <w:rPr>
          <w:rFonts w:ascii="Times New Roman" w:cs="Times New Roman" w:eastAsia="Times New Roman" w:hAnsi="Times New Roman"/>
          <w:sz w:val="18"/>
          <w:szCs w:val="18"/>
          <w:color w:val="auto"/>
        </w:rPr>
      </w:pPr>
    </w:p>
    <w:p>
      <w:pPr>
        <w:ind w:left="1960" w:right="380" w:hanging="533"/>
        <w:spacing w:after="0" w:line="286" w:lineRule="auto"/>
        <w:tabs>
          <w:tab w:leader="none" w:pos="196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officer, director, partner or employee of 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who is authorized by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to instruct the Insured or an </w:t>
      </w:r>
      <w:r>
        <w:rPr>
          <w:rFonts w:ascii="Times New Roman" w:cs="Times New Roman" w:eastAsia="Times New Roman" w:hAnsi="Times New Roman"/>
          <w:sz w:val="18"/>
          <w:szCs w:val="18"/>
          <w:b w:val="1"/>
          <w:bCs w:val="1"/>
          <w:color w:val="auto"/>
        </w:rPr>
        <w:t xml:space="preserve">Investment Adviser </w:t>
      </w:r>
      <w:r>
        <w:rPr>
          <w:rFonts w:ascii="Times New Roman" w:cs="Times New Roman" w:eastAsia="Times New Roman" w:hAnsi="Times New Roman"/>
          <w:sz w:val="18"/>
          <w:szCs w:val="18"/>
          <w:color w:val="auto"/>
        </w:rPr>
        <w:t>to make such a transfer;</w:t>
      </w:r>
    </w:p>
    <w:p>
      <w:pPr>
        <w:spacing w:after="0" w:line="6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who is a natural person; or</w:t>
      </w:r>
    </w:p>
    <w:p>
      <w:pPr>
        <w:spacing w:after="0" w:line="130" w:lineRule="exact"/>
        <w:rPr>
          <w:rFonts w:ascii="Times New Roman" w:cs="Times New Roman" w:eastAsia="Times New Roman" w:hAnsi="Times New Roman"/>
          <w:sz w:val="18"/>
          <w:szCs w:val="18"/>
          <w:color w:val="auto"/>
        </w:rPr>
      </w:pPr>
    </w:p>
    <w:p>
      <w:pPr>
        <w:ind w:left="1960" w:right="40" w:hanging="533"/>
        <w:spacing w:after="0" w:line="268" w:lineRule="auto"/>
        <w:tabs>
          <w:tab w:leader="none" w:pos="196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in another office of the Insured who was authorized by the Insured to instruct other </w:t>
      </w:r>
      <w:r>
        <w:rPr>
          <w:rFonts w:ascii="Times New Roman" w:cs="Times New Roman" w:eastAsia="Times New Roman" w:hAnsi="Times New Roman"/>
          <w:sz w:val="18"/>
          <w:szCs w:val="18"/>
          <w:b w:val="1"/>
          <w:bCs w:val="1"/>
          <w:color w:val="auto"/>
        </w:rPr>
        <w:t>Employees</w:t>
      </w:r>
      <w:r>
        <w:rPr>
          <w:rFonts w:ascii="Times New Roman" w:cs="Times New Roman" w:eastAsia="Times New Roman" w:hAnsi="Times New Roman"/>
          <w:sz w:val="18"/>
          <w:szCs w:val="18"/>
          <w:color w:val="auto"/>
        </w:rPr>
        <w:t xml:space="preserve"> to transfer funds on deposit in a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account; and was received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specifically designated to receive and act upon such instructions,</w:t>
      </w:r>
    </w:p>
    <w:p>
      <w:pPr>
        <w:spacing w:after="0" w:line="6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but was in fact transmitted by someone other than a person described in paragraph V.2.; or</w:t>
      </w:r>
    </w:p>
    <w:p>
      <w:pPr>
        <w:spacing w:after="0" w:line="127" w:lineRule="exact"/>
        <w:rPr>
          <w:sz w:val="20"/>
          <w:szCs w:val="20"/>
          <w:color w:val="auto"/>
        </w:rPr>
      </w:pPr>
    </w:p>
    <w:p>
      <w:pPr>
        <w:ind w:left="1420" w:right="820" w:hanging="439"/>
        <w:spacing w:after="0" w:line="286" w:lineRule="auto"/>
        <w:tabs>
          <w:tab w:leader="none" w:pos="1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transmitted via electronic mail and purports and reasonably appears to be from a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of the Insured, but was in fact transmitted by someone other than such </w:t>
      </w:r>
      <w:r>
        <w:rPr>
          <w:rFonts w:ascii="Times New Roman" w:cs="Times New Roman" w:eastAsia="Times New Roman" w:hAnsi="Times New Roman"/>
          <w:sz w:val="18"/>
          <w:szCs w:val="18"/>
          <w:b w:val="1"/>
          <w:bCs w:val="1"/>
          <w:color w:val="auto"/>
        </w:rPr>
        <w:t>Customer.</w:t>
      </w:r>
    </w:p>
    <w:p>
      <w:pPr>
        <w:spacing w:after="0" w:line="47" w:lineRule="exact"/>
        <w:rPr>
          <w:sz w:val="20"/>
          <w:szCs w:val="20"/>
          <w:color w:val="auto"/>
        </w:rPr>
      </w:pPr>
    </w:p>
    <w:p>
      <w:pPr>
        <w:ind w:left="980"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Fraudulent Instruction </w:t>
      </w:r>
      <w:r>
        <w:rPr>
          <w:rFonts w:ascii="Times New Roman" w:cs="Times New Roman" w:eastAsia="Times New Roman" w:hAnsi="Times New Roman"/>
          <w:sz w:val="18"/>
          <w:szCs w:val="18"/>
          <w:color w:val="auto"/>
        </w:rPr>
        <w:t>does not include any instruction that purports to be from a</w:t>
      </w:r>
      <w:r>
        <w:rPr>
          <w:rFonts w:ascii="Times New Roman" w:cs="Times New Roman" w:eastAsia="Times New Roman" w:hAnsi="Times New Roman"/>
          <w:sz w:val="18"/>
          <w:szCs w:val="18"/>
          <w:b w:val="1"/>
          <w:bCs w:val="1"/>
          <w:color w:val="auto"/>
        </w:rPr>
        <w:t xml:space="preserve"> Customer </w:t>
      </w:r>
      <w:r>
        <w:rPr>
          <w:rFonts w:ascii="Times New Roman" w:cs="Times New Roman" w:eastAsia="Times New Roman" w:hAnsi="Times New Roman"/>
          <w:sz w:val="18"/>
          <w:szCs w:val="18"/>
          <w:color w:val="auto"/>
        </w:rPr>
        <w:t>unless the instruction is transmitted by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method that is authorized in the </w:t>
      </w:r>
      <w:r>
        <w:rPr>
          <w:rFonts w:ascii="Times New Roman" w:cs="Times New Roman" w:eastAsia="Times New Roman" w:hAnsi="Times New Roman"/>
          <w:sz w:val="18"/>
          <w:szCs w:val="18"/>
          <w:b w:val="1"/>
          <w:bCs w:val="1"/>
          <w:color w:val="auto"/>
        </w:rPr>
        <w:t>Funds Transfer Agreement</w:t>
      </w:r>
      <w:r>
        <w:rPr>
          <w:rFonts w:ascii="Times New Roman" w:cs="Times New Roman" w:eastAsia="Times New Roman" w:hAnsi="Times New Roman"/>
          <w:sz w:val="18"/>
          <w:szCs w:val="18"/>
          <w:color w:val="auto"/>
        </w:rPr>
        <w:t xml:space="preserve"> between the Insured and the </w:t>
      </w:r>
      <w:r>
        <w:rPr>
          <w:rFonts w:ascii="Times New Roman" w:cs="Times New Roman" w:eastAsia="Times New Roman" w:hAnsi="Times New Roman"/>
          <w:sz w:val="18"/>
          <w:szCs w:val="18"/>
          <w:b w:val="1"/>
          <w:bCs w:val="1"/>
          <w:color w:val="auto"/>
        </w:rPr>
        <w:t>Customer.</w:t>
      </w:r>
    </w:p>
    <w:p>
      <w:pPr>
        <w:spacing w:after="0" w:line="60" w:lineRule="exact"/>
        <w:rPr>
          <w:sz w:val="20"/>
          <w:szCs w:val="20"/>
          <w:color w:val="auto"/>
        </w:rPr>
      </w:pPr>
    </w:p>
    <w:p>
      <w:pPr>
        <w:ind w:left="960" w:hanging="532"/>
        <w:spacing w:after="0"/>
        <w:tabs>
          <w:tab w:leader="none" w:pos="9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Funds Transfer Agreement </w:t>
      </w:r>
      <w:r>
        <w:rPr>
          <w:rFonts w:ascii="Times New Roman" w:cs="Times New Roman" w:eastAsia="Times New Roman" w:hAnsi="Times New Roman"/>
          <w:sz w:val="18"/>
          <w:szCs w:val="18"/>
          <w:color w:val="auto"/>
        </w:rPr>
        <w:t>means an agreement, signed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w:t>
      </w:r>
    </w:p>
    <w:p>
      <w:pPr>
        <w:spacing w:after="0" w:line="130" w:lineRule="exact"/>
        <w:rPr>
          <w:rFonts w:ascii="Times New Roman" w:cs="Times New Roman" w:eastAsia="Times New Roman" w:hAnsi="Times New Roman"/>
          <w:sz w:val="18"/>
          <w:szCs w:val="18"/>
          <w:b w:val="1"/>
          <w:bCs w:val="1"/>
          <w:color w:val="auto"/>
        </w:rPr>
      </w:pPr>
    </w:p>
    <w:p>
      <w:pPr>
        <w:ind w:left="1420" w:right="140" w:hanging="439"/>
        <w:spacing w:after="0" w:line="286" w:lineRule="auto"/>
        <w:tabs>
          <w:tab w:leader="none" w:pos="14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authorizes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to rely on instructions transmitted by either voice, telefacsimile or electronic mail to make funds transfers; and</w:t>
      </w:r>
    </w:p>
    <w:p>
      <w:pPr>
        <w:spacing w:after="0" w:line="6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provides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with the names of persons authorized to initiate funds transfers.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12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020"/>
          </w:cols>
          <w:pgMar w:left="440" w:top="266" w:right="439" w:bottom="1440" w:gutter="0" w:footer="0" w:header="0"/>
        </w:sectPr>
      </w:pPr>
    </w:p>
    <w:bookmarkStart w:id="20" w:name="page21"/>
    <w:bookmarkEnd w:id="20"/>
    <w:p>
      <w:pPr>
        <w:ind w:left="960" w:right="300" w:hanging="532"/>
        <w:spacing w:after="0" w:line="317" w:lineRule="auto"/>
        <w:tabs>
          <w:tab w:leader="none" w:pos="960" w:val="left"/>
        </w:tabs>
        <w:numPr>
          <w:ilvl w:val="0"/>
          <w:numId w:val="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Guarantee </w:t>
      </w:r>
      <w:r>
        <w:rPr>
          <w:rFonts w:ascii="Times New Roman" w:cs="Times New Roman" w:eastAsia="Times New Roman" w:hAnsi="Times New Roman"/>
          <w:sz w:val="17"/>
          <w:szCs w:val="17"/>
          <w:color w:val="auto"/>
        </w:rPr>
        <w:t>means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Written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undertaking obligating the signer to pay the debt of another to the Insured or its assignee or to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Financial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 xml:space="preserve">Institution </w:t>
      </w:r>
      <w:r>
        <w:rPr>
          <w:rFonts w:ascii="Times New Roman" w:cs="Times New Roman" w:eastAsia="Times New Roman" w:hAnsi="Times New Roman"/>
          <w:sz w:val="17"/>
          <w:szCs w:val="17"/>
          <w:color w:val="auto"/>
        </w:rPr>
        <w:t>from which the Insured has purchased participation in the debt, if the debt is not paid in accordance with its terms.</w:t>
      </w:r>
    </w:p>
    <w:p>
      <w:pPr>
        <w:spacing w:after="0" w:line="37" w:lineRule="exact"/>
        <w:rPr>
          <w:rFonts w:ascii="Times New Roman" w:cs="Times New Roman" w:eastAsia="Times New Roman" w:hAnsi="Times New Roman"/>
          <w:sz w:val="17"/>
          <w:szCs w:val="17"/>
          <w:b w:val="1"/>
          <w:bCs w:val="1"/>
          <w:color w:val="auto"/>
        </w:rPr>
      </w:pPr>
    </w:p>
    <w:p>
      <w:pPr>
        <w:ind w:left="960" w:right="120" w:hanging="532"/>
        <w:spacing w:after="0" w:line="286" w:lineRule="auto"/>
        <w:tabs>
          <w:tab w:leader="none" w:pos="9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Instruction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order to the issuer of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requesting that the transfer, pledge, or release from pledge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of the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 xml:space="preserve"> specified be registered.</w:t>
      </w:r>
    </w:p>
    <w:p>
      <w:pPr>
        <w:spacing w:after="0" w:line="60" w:lineRule="exact"/>
        <w:rPr>
          <w:rFonts w:ascii="Times New Roman" w:cs="Times New Roman" w:eastAsia="Times New Roman" w:hAnsi="Times New Roman"/>
          <w:sz w:val="18"/>
          <w:szCs w:val="18"/>
          <w:b w:val="1"/>
          <w:bCs w:val="1"/>
          <w:color w:val="auto"/>
        </w:rPr>
      </w:pPr>
    </w:p>
    <w:p>
      <w:pPr>
        <w:ind w:left="960" w:right="220" w:hanging="532"/>
        <w:spacing w:after="0" w:line="286" w:lineRule="auto"/>
        <w:tabs>
          <w:tab w:leader="none" w:pos="9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Investment Adviser </w:t>
      </w:r>
      <w:r>
        <w:rPr>
          <w:rFonts w:ascii="Times New Roman" w:cs="Times New Roman" w:eastAsia="Times New Roman" w:hAnsi="Times New Roman"/>
          <w:sz w:val="18"/>
          <w:szCs w:val="18"/>
          <w:color w:val="auto"/>
        </w:rPr>
        <w:t>means any entity defined in §202(a)(11) of, and registered under, the Investment Advisers Act of 1940, as amended,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but only while acting on behalf of the Insured.</w:t>
      </w:r>
    </w:p>
    <w:p>
      <w:pPr>
        <w:spacing w:after="0" w:line="60" w:lineRule="exact"/>
        <w:rPr>
          <w:sz w:val="20"/>
          <w:szCs w:val="20"/>
          <w:color w:val="auto"/>
        </w:rPr>
      </w:pPr>
    </w:p>
    <w:p>
      <w:pPr>
        <w:ind w:left="960" w:hanging="532"/>
        <w:spacing w:after="0"/>
        <w:tabs>
          <w:tab w:leader="none" w:pos="9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Item of Deposit </w:t>
      </w:r>
      <w:r>
        <w:rPr>
          <w:rFonts w:ascii="Times New Roman" w:cs="Times New Roman" w:eastAsia="Times New Roman" w:hAnsi="Times New Roman"/>
          <w:sz w:val="18"/>
          <w:szCs w:val="18"/>
          <w:color w:val="auto"/>
        </w:rPr>
        <w:t>means any checks or drafts deposited into the account of a customer, shareholder or subscriber.</w:t>
      </w:r>
    </w:p>
    <w:p>
      <w:pPr>
        <w:spacing w:after="0" w:line="130"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Larceny or Embezzlement </w:t>
      </w:r>
      <w:r>
        <w:rPr>
          <w:rFonts w:ascii="Times New Roman" w:cs="Times New Roman" w:eastAsia="Times New Roman" w:hAnsi="Times New Roman"/>
          <w:sz w:val="18"/>
          <w:szCs w:val="18"/>
          <w:color w:val="auto"/>
        </w:rPr>
        <w:t>means larceny or embezzlement as defined in the Investment Company Act of 1940, §37 as amended.</w:t>
      </w:r>
    </w:p>
    <w:p>
      <w:pPr>
        <w:spacing w:after="0" w:line="130" w:lineRule="exact"/>
        <w:rPr>
          <w:rFonts w:ascii="Times New Roman" w:cs="Times New Roman" w:eastAsia="Times New Roman" w:hAnsi="Times New Roman"/>
          <w:sz w:val="18"/>
          <w:szCs w:val="18"/>
          <w:b w:val="1"/>
          <w:bCs w:val="1"/>
          <w:color w:val="auto"/>
        </w:rPr>
      </w:pPr>
    </w:p>
    <w:p>
      <w:pPr>
        <w:ind w:left="960" w:right="40" w:hanging="532"/>
        <w:spacing w:after="0" w:line="268" w:lineRule="auto"/>
        <w:tabs>
          <w:tab w:leader="none" w:pos="9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Letter of Credit </w:t>
      </w:r>
      <w:r>
        <w:rPr>
          <w:rFonts w:ascii="Times New Roman" w:cs="Times New Roman" w:eastAsia="Times New Roman" w:hAnsi="Times New Roman"/>
          <w:sz w:val="18"/>
          <w:szCs w:val="18"/>
          <w:color w:val="auto"/>
        </w:rPr>
        <w:t>means an engagement in writing by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Financial Institution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other person made at the request of a customer that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 xml:space="preserve">Financial Institution </w:t>
      </w:r>
      <w:r>
        <w:rPr>
          <w:rFonts w:ascii="Times New Roman" w:cs="Times New Roman" w:eastAsia="Times New Roman" w:hAnsi="Times New Roman"/>
          <w:sz w:val="18"/>
          <w:szCs w:val="18"/>
          <w:color w:val="auto"/>
        </w:rPr>
        <w:t>or other person will honor drafts or other demands for payment upon compliance with the conditions specified in the</w:t>
      </w:r>
      <w:r>
        <w:rPr>
          <w:rFonts w:ascii="Times New Roman" w:cs="Times New Roman" w:eastAsia="Times New Roman" w:hAnsi="Times New Roman"/>
          <w:sz w:val="18"/>
          <w:szCs w:val="18"/>
          <w:b w:val="1"/>
          <w:bCs w:val="1"/>
          <w:color w:val="auto"/>
        </w:rPr>
        <w:t xml:space="preserve"> Letter of Credit</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b w:val="1"/>
          <w:bCs w:val="1"/>
          <w:color w:val="auto"/>
        </w:rPr>
      </w:pPr>
    </w:p>
    <w:p>
      <w:pPr>
        <w:ind w:left="960" w:right="540" w:hanging="532"/>
        <w:spacing w:after="0" w:line="286" w:lineRule="auto"/>
        <w:tabs>
          <w:tab w:leader="none" w:pos="9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Loan </w:t>
      </w:r>
      <w:r>
        <w:rPr>
          <w:rFonts w:ascii="Times New Roman" w:cs="Times New Roman" w:eastAsia="Times New Roman" w:hAnsi="Times New Roman"/>
          <w:sz w:val="18"/>
          <w:szCs w:val="18"/>
          <w:color w:val="auto"/>
        </w:rPr>
        <w:t>means all extensions of credit by the Insured and all transactions creating a creditor relationship in favor of the Insured and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transactions by which the Insured assumes an existing creditor relationship.</w:t>
      </w:r>
    </w:p>
    <w:p>
      <w:pPr>
        <w:spacing w:after="0" w:line="60" w:lineRule="exact"/>
        <w:rPr>
          <w:rFonts w:ascii="Times New Roman" w:cs="Times New Roman" w:eastAsia="Times New Roman" w:hAnsi="Times New Roman"/>
          <w:sz w:val="18"/>
          <w:szCs w:val="18"/>
          <w:b w:val="1"/>
          <w:bCs w:val="1"/>
          <w:color w:val="auto"/>
        </w:rPr>
      </w:pPr>
    </w:p>
    <w:p>
      <w:pPr>
        <w:ind w:left="960" w:right="40" w:hanging="532"/>
        <w:spacing w:after="0" w:line="268" w:lineRule="auto"/>
        <w:tabs>
          <w:tab w:leader="none" w:pos="9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Messenger </w:t>
      </w:r>
      <w:r>
        <w:rPr>
          <w:rFonts w:ascii="Times New Roman" w:cs="Times New Roman" w:eastAsia="Times New Roman" w:hAnsi="Times New Roman"/>
          <w:sz w:val="18"/>
          <w:szCs w:val="18"/>
          <w:color w:val="auto"/>
        </w:rPr>
        <w:t>means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while in possession of the Insured’s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away from the Insured’s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Investment Adviser’s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premises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and any other natural person acting as custodian of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during an emergency arising from the incapacity of the original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Money </w:t>
      </w:r>
      <w:r>
        <w:rPr>
          <w:rFonts w:ascii="Times New Roman" w:cs="Times New Roman" w:eastAsia="Times New Roman" w:hAnsi="Times New Roman"/>
          <w:sz w:val="18"/>
          <w:szCs w:val="18"/>
          <w:color w:val="auto"/>
        </w:rPr>
        <w:t>means a medium of exchange in current use authorized or adopted by a domestic or foreign government as a part of its currency.</w:t>
      </w:r>
    </w:p>
    <w:p>
      <w:pPr>
        <w:spacing w:after="0" w:line="130"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Negotiable Instrument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document, that:</w:t>
      </w:r>
    </w:p>
    <w:p>
      <w:pPr>
        <w:spacing w:after="0" w:line="134"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signed by the maker or drawer;</w:t>
      </w:r>
    </w:p>
    <w:p>
      <w:pPr>
        <w:spacing w:after="0" w:line="126" w:lineRule="exact"/>
        <w:rPr>
          <w:rFonts w:ascii="Times New Roman" w:cs="Times New Roman" w:eastAsia="Times New Roman" w:hAnsi="Times New Roman"/>
          <w:sz w:val="18"/>
          <w:szCs w:val="18"/>
          <w:color w:val="auto"/>
        </w:rPr>
      </w:pPr>
    </w:p>
    <w:p>
      <w:pPr>
        <w:ind w:left="1420" w:right="40" w:hanging="439"/>
        <w:spacing w:after="0" w:line="286" w:lineRule="auto"/>
        <w:tabs>
          <w:tab w:leader="none" w:pos="14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contains an unconditional promise or order to pay a sum certain in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and no other promise, order, obligation or power given by the maker or drawer;</w:t>
      </w:r>
    </w:p>
    <w:p>
      <w:pPr>
        <w:spacing w:after="0" w:line="64"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payable on demand or at a definite time; and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payable to order or bearer.</w:t>
      </w:r>
    </w:p>
    <w:p>
      <w:pPr>
        <w:spacing w:after="0" w:line="1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Negotiable Instrument </w:t>
      </w:r>
      <w:r>
        <w:rPr>
          <w:rFonts w:ascii="Times New Roman" w:cs="Times New Roman" w:eastAsia="Times New Roman" w:hAnsi="Times New Roman"/>
          <w:sz w:val="18"/>
          <w:szCs w:val="18"/>
          <w:color w:val="auto"/>
        </w:rPr>
        <w:t>also means a counterfeit check or</w:t>
      </w:r>
      <w:r>
        <w:rPr>
          <w:rFonts w:ascii="Times New Roman" w:cs="Times New Roman" w:eastAsia="Times New Roman" w:hAnsi="Times New Roman"/>
          <w:sz w:val="18"/>
          <w:szCs w:val="18"/>
          <w:b w:val="1"/>
          <w:bCs w:val="1"/>
          <w:color w:val="auto"/>
        </w:rPr>
        <w:t xml:space="preserve"> Substitute Check.</w:t>
      </w:r>
    </w:p>
    <w:p>
      <w:pPr>
        <w:spacing w:after="0" w:line="131" w:lineRule="exact"/>
        <w:rPr>
          <w:sz w:val="20"/>
          <w:szCs w:val="20"/>
          <w:color w:val="auto"/>
        </w:rPr>
      </w:pPr>
    </w:p>
    <w:p>
      <w:pPr>
        <w:ind w:left="960" w:right="80" w:hanging="532"/>
        <w:spacing w:after="0" w:line="259" w:lineRule="auto"/>
        <w:tabs>
          <w:tab w:leader="none" w:pos="9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Network </w:t>
      </w:r>
      <w:r>
        <w:rPr>
          <w:rFonts w:ascii="Times New Roman" w:cs="Times New Roman" w:eastAsia="Times New Roman" w:hAnsi="Times New Roman"/>
          <w:sz w:val="18"/>
          <w:szCs w:val="18"/>
          <w:color w:val="auto"/>
        </w:rPr>
        <w:t>means any and all services provided by or through the facilities of any electronic or computer communication system,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Fedwire, Clearing House Interbank Payment System (CHIPS), Society for Worldwide Interbank Financial Telecommunication (SWIFT), National Automated Clearing House Association (NACHA) and similar interbank payment or settlement systems, including any shared networks, internet access facilities, or other similar facilities for such systems in which the Insured participates, allowing the input, output, examination, or transfer of data or programs from one computer to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w:t>
      </w:r>
    </w:p>
    <w:p>
      <w:pPr>
        <w:spacing w:after="0" w:line="84"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Original </w:t>
      </w:r>
      <w:r>
        <w:rPr>
          <w:rFonts w:ascii="Times New Roman" w:cs="Times New Roman" w:eastAsia="Times New Roman" w:hAnsi="Times New Roman"/>
          <w:sz w:val="18"/>
          <w:szCs w:val="18"/>
          <w:color w:val="auto"/>
        </w:rPr>
        <w:t>means the first rendering or archetype and does not include photocopies or electronic transmissions even if received and printed.</w:t>
      </w:r>
    </w:p>
    <w:p>
      <w:pPr>
        <w:spacing w:after="0" w:line="130"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Pre-Determined Telephone Number </w:t>
      </w:r>
      <w:r>
        <w:rPr>
          <w:rFonts w:ascii="Times New Roman" w:cs="Times New Roman" w:eastAsia="Times New Roman" w:hAnsi="Times New Roman"/>
          <w:sz w:val="18"/>
          <w:szCs w:val="18"/>
          <w:color w:val="auto"/>
        </w:rPr>
        <w:t>means a telephone number that:</w:t>
      </w:r>
    </w:p>
    <w:p>
      <w:pPr>
        <w:spacing w:after="0" w:line="130"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was provided by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when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opened the account with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13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020"/>
          </w:cols>
          <w:pgMar w:left="440" w:top="266" w:right="439" w:bottom="1440" w:gutter="0" w:footer="0" w:header="0"/>
        </w:sectPr>
      </w:pPr>
    </w:p>
    <w:bookmarkStart w:id="21" w:name="page22"/>
    <w:bookmarkEnd w:id="21"/>
    <w:p>
      <w:pPr>
        <w:ind w:left="1420" w:right="100" w:hanging="439"/>
        <w:spacing w:after="0" w:line="268" w:lineRule="auto"/>
        <w:tabs>
          <w:tab w:leader="none" w:pos="14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was provided in person by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after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opened the account with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while physically present on the Insured’s or </w:t>
      </w:r>
      <w:r>
        <w:rPr>
          <w:rFonts w:ascii="Times New Roman" w:cs="Times New Roman" w:eastAsia="Times New Roman" w:hAnsi="Times New Roman"/>
          <w:sz w:val="18"/>
          <w:szCs w:val="18"/>
          <w:b w:val="1"/>
          <w:bCs w:val="1"/>
          <w:color w:val="auto"/>
        </w:rPr>
        <w:t>Investment Adviser’s</w:t>
      </w:r>
      <w:r>
        <w:rPr>
          <w:rFonts w:ascii="Times New Roman" w:cs="Times New Roman" w:eastAsia="Times New Roman" w:hAnsi="Times New Roman"/>
          <w:sz w:val="18"/>
          <w:szCs w:val="18"/>
          <w:color w:val="auto"/>
        </w:rPr>
        <w:t xml:space="preserve"> premises and while presenting a government-issued photo identification;</w:t>
      </w:r>
    </w:p>
    <w:p>
      <w:pPr>
        <w:spacing w:after="0" w:line="76"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was provided in a </w:t>
      </w:r>
      <w:r>
        <w:rPr>
          <w:rFonts w:ascii="Times New Roman" w:cs="Times New Roman" w:eastAsia="Times New Roman" w:hAnsi="Times New Roman"/>
          <w:sz w:val="18"/>
          <w:szCs w:val="18"/>
          <w:b w:val="1"/>
          <w:bCs w:val="1"/>
          <w:color w:val="auto"/>
        </w:rPr>
        <w:t>Funds Transfer Agreement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20" w:right="240" w:hanging="439"/>
        <w:spacing w:after="0" w:line="268" w:lineRule="auto"/>
        <w:tabs>
          <w:tab w:leader="none" w:pos="14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replaced a telephone number previously provided for the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account, provided that confirmation of the legitimacy of the change was achieved through direct contact with the Customer at a telephone number described in paragraph JJ.1., JJ.2. or JJ.3. above; or</w:t>
      </w:r>
    </w:p>
    <w:p>
      <w:pPr>
        <w:spacing w:after="0" w:line="76" w:lineRule="exact"/>
        <w:rPr>
          <w:rFonts w:ascii="Times New Roman" w:cs="Times New Roman" w:eastAsia="Times New Roman" w:hAnsi="Times New Roman"/>
          <w:sz w:val="18"/>
          <w:szCs w:val="18"/>
          <w:color w:val="auto"/>
        </w:rPr>
      </w:pPr>
    </w:p>
    <w:p>
      <w:pPr>
        <w:ind w:left="1420" w:right="260" w:hanging="439"/>
        <w:spacing w:after="0" w:line="286" w:lineRule="auto"/>
        <w:tabs>
          <w:tab w:leader="none" w:pos="14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replaced a telephone number previously provided for the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xml:space="preserve"> account and was received by the Insured or the </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Adviser </w:t>
      </w:r>
      <w:r>
        <w:rPr>
          <w:rFonts w:ascii="Times New Roman" w:cs="Times New Roman" w:eastAsia="Times New Roman" w:hAnsi="Times New Roman"/>
          <w:sz w:val="18"/>
          <w:szCs w:val="18"/>
          <w:color w:val="auto"/>
        </w:rPr>
        <w:t>at least 30 days prior to the receipt of the</w:t>
      </w:r>
      <w:r>
        <w:rPr>
          <w:rFonts w:ascii="Times New Roman" w:cs="Times New Roman" w:eastAsia="Times New Roman" w:hAnsi="Times New Roman"/>
          <w:sz w:val="18"/>
          <w:szCs w:val="18"/>
          <w:b w:val="1"/>
          <w:bCs w:val="1"/>
          <w:color w:val="auto"/>
        </w:rPr>
        <w:t xml:space="preserve"> Fraudulent Instruction</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Property </w:t>
      </w:r>
      <w:r>
        <w:rPr>
          <w:rFonts w:ascii="Times New Roman" w:cs="Times New Roman" w:eastAsia="Times New Roman" w:hAnsi="Times New Roman"/>
          <w:sz w:val="18"/>
          <w:szCs w:val="18"/>
          <w:color w:val="auto"/>
        </w:rPr>
        <w:t>means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Money, Certificated Securities, Uncertificated Securities, Negotiable Instruments, Certificates of Deposit,</w:t>
      </w:r>
    </w:p>
    <w:p>
      <w:pPr>
        <w:spacing w:after="0" w:line="31" w:lineRule="exact"/>
        <w:rPr>
          <w:rFonts w:ascii="Times New Roman" w:cs="Times New Roman" w:eastAsia="Times New Roman" w:hAnsi="Times New Roman"/>
          <w:sz w:val="18"/>
          <w:szCs w:val="18"/>
          <w:b w:val="1"/>
          <w:bCs w:val="1"/>
          <w:color w:val="auto"/>
        </w:rPr>
      </w:pPr>
    </w:p>
    <w:p>
      <w:pPr>
        <w:ind w:left="960" w:right="12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Documents of Title, Acceptances, Evidences of Debt, Security Agreements, Withdrawal Orders, Certificates of Origin or Title, Letters of Credit, </w:t>
      </w:r>
      <w:r>
        <w:rPr>
          <w:rFonts w:ascii="Times New Roman" w:cs="Times New Roman" w:eastAsia="Times New Roman" w:hAnsi="Times New Roman"/>
          <w:sz w:val="18"/>
          <w:szCs w:val="18"/>
          <w:color w:val="auto"/>
        </w:rPr>
        <w:t>insurance policies, abstracts of title, deeds and mortgages on real estate, revenue and other stamps, tokens, unsold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lottery tickets, books of account and other records whether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or recorded electronically, gems, jewelry, precious metals of all kinds and in any form, and tangible items of personal property that are not hereinbefore enumerated.</w:t>
      </w:r>
    </w:p>
    <w:p>
      <w:pPr>
        <w:spacing w:after="0" w:line="90" w:lineRule="exact"/>
        <w:rPr>
          <w:rFonts w:ascii="Times New Roman" w:cs="Times New Roman" w:eastAsia="Times New Roman" w:hAnsi="Times New Roman"/>
          <w:sz w:val="18"/>
          <w:szCs w:val="18"/>
          <w:b w:val="1"/>
          <w:bCs w:val="1"/>
          <w:color w:val="auto"/>
        </w:rPr>
      </w:pPr>
    </w:p>
    <w:p>
      <w:pPr>
        <w:ind w:left="960" w:right="140" w:hanging="532"/>
        <w:spacing w:after="0" w:line="257" w:lineRule="auto"/>
        <w:tabs>
          <w:tab w:leader="none" w:pos="9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Restoration Expenses </w:t>
      </w:r>
      <w:r>
        <w:rPr>
          <w:rFonts w:ascii="Times New Roman" w:cs="Times New Roman" w:eastAsia="Times New Roman" w:hAnsi="Times New Roman"/>
          <w:sz w:val="18"/>
          <w:szCs w:val="18"/>
          <w:color w:val="auto"/>
        </w:rPr>
        <w:t>means reasonable costs incurred by the Insured or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with the Company’s prior 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consent, to restore, replace or reproduce damaged or destroyed computer programs, software or other electronic data stored within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or that the Insured owns, holds or is responsible for, to the condition that existed immediately preceding a</w:t>
      </w:r>
      <w:r>
        <w:rPr>
          <w:rFonts w:ascii="Times New Roman" w:cs="Times New Roman" w:eastAsia="Times New Roman" w:hAnsi="Times New Roman"/>
          <w:sz w:val="18"/>
          <w:szCs w:val="18"/>
          <w:b w:val="1"/>
          <w:bCs w:val="1"/>
          <w:color w:val="auto"/>
        </w:rPr>
        <w:t xml:space="preserve"> Computer Violation</w:t>
      </w:r>
      <w:r>
        <w:rPr>
          <w:rFonts w:ascii="Times New Roman" w:cs="Times New Roman" w:eastAsia="Times New Roman" w:hAnsi="Times New Roman"/>
          <w:sz w:val="18"/>
          <w:szCs w:val="18"/>
          <w:color w:val="auto"/>
        </w:rPr>
        <w:t>; provided that if it is determined by the Insured or</w:t>
      </w:r>
      <w:r>
        <w:rPr>
          <w:rFonts w:ascii="Times New Roman" w:cs="Times New Roman" w:eastAsia="Times New Roman" w:hAnsi="Times New Roman"/>
          <w:sz w:val="18"/>
          <w:szCs w:val="18"/>
          <w:b w:val="1"/>
          <w:bCs w:val="1"/>
          <w:color w:val="auto"/>
        </w:rPr>
        <w:t xml:space="preserve"> Investment Adviser </w:t>
      </w:r>
      <w:r>
        <w:rPr>
          <w:rFonts w:ascii="Times New Roman" w:cs="Times New Roman" w:eastAsia="Times New Roman" w:hAnsi="Times New Roman"/>
          <w:sz w:val="18"/>
          <w:szCs w:val="18"/>
          <w:color w:val="auto"/>
        </w:rPr>
        <w:t>that such computer programs, software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electronic data cannot reasonably be restored, replaced or reproduced, then </w:t>
      </w:r>
      <w:r>
        <w:rPr>
          <w:rFonts w:ascii="Times New Roman" w:cs="Times New Roman" w:eastAsia="Times New Roman" w:hAnsi="Times New Roman"/>
          <w:sz w:val="18"/>
          <w:szCs w:val="18"/>
          <w:b w:val="1"/>
          <w:bCs w:val="1"/>
          <w:color w:val="auto"/>
        </w:rPr>
        <w:t>Restoration Expenses</w:t>
      </w:r>
      <w:r>
        <w:rPr>
          <w:rFonts w:ascii="Times New Roman" w:cs="Times New Roman" w:eastAsia="Times New Roman" w:hAnsi="Times New Roman"/>
          <w:sz w:val="18"/>
          <w:szCs w:val="18"/>
          <w:color w:val="auto"/>
        </w:rPr>
        <w:t xml:space="preserve"> means only the reasonable costs incurred by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with the Company’s prior written consent, to reach such determination.</w:t>
      </w:r>
    </w:p>
    <w:p>
      <w:pPr>
        <w:spacing w:after="0" w:line="74"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Restoration Expenses </w:t>
      </w:r>
      <w:r>
        <w:rPr>
          <w:rFonts w:ascii="Times New Roman" w:cs="Times New Roman" w:eastAsia="Times New Roman" w:hAnsi="Times New Roman"/>
          <w:sz w:val="18"/>
          <w:szCs w:val="18"/>
          <w:color w:val="auto"/>
        </w:rPr>
        <w:t>do not include:</w:t>
      </w:r>
    </w:p>
    <w:p>
      <w:pPr>
        <w:spacing w:after="0" w:line="134" w:lineRule="exact"/>
        <w:rPr>
          <w:rFonts w:ascii="Times New Roman" w:cs="Times New Roman" w:eastAsia="Times New Roman" w:hAnsi="Times New Roman"/>
          <w:sz w:val="18"/>
          <w:szCs w:val="18"/>
          <w:b w:val="1"/>
          <w:bCs w:val="1"/>
          <w:color w:val="auto"/>
        </w:rPr>
      </w:pPr>
    </w:p>
    <w:p>
      <w:pPr>
        <w:ind w:left="1420" w:right="200" w:hanging="439"/>
        <w:spacing w:after="0" w:line="282" w:lineRule="auto"/>
        <w:tabs>
          <w:tab w:leader="none" w:pos="14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as a result of the reconstruction of computer programs, software, or other electronic data that the Insured did not have a license to use;</w:t>
      </w:r>
    </w:p>
    <w:p>
      <w:pPr>
        <w:spacing w:after="0" w:line="67" w:lineRule="exact"/>
        <w:rPr>
          <w:rFonts w:ascii="Times New Roman" w:cs="Times New Roman" w:eastAsia="Times New Roman" w:hAnsi="Times New Roman"/>
          <w:sz w:val="18"/>
          <w:szCs w:val="18"/>
          <w:color w:val="auto"/>
        </w:rPr>
      </w:pPr>
    </w:p>
    <w:p>
      <w:pPr>
        <w:ind w:left="1420" w:right="320" w:hanging="439"/>
        <w:spacing w:after="0" w:line="266" w:lineRule="auto"/>
        <w:tabs>
          <w:tab w:leader="none" w:pos="14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restore, replace, or reproduce damaged or destroyed computer programs, software or other electronic data if such damage or destruction was caused by computer programs, software, or other electronic data that the Insured did not have a license to use;</w:t>
      </w:r>
    </w:p>
    <w:p>
      <w:pPr>
        <w:spacing w:after="0" w:line="81" w:lineRule="exact"/>
        <w:rPr>
          <w:rFonts w:ascii="Times New Roman" w:cs="Times New Roman" w:eastAsia="Times New Roman" w:hAnsi="Times New Roman"/>
          <w:sz w:val="18"/>
          <w:szCs w:val="18"/>
          <w:color w:val="auto"/>
        </w:rPr>
      </w:pPr>
    </w:p>
    <w:p>
      <w:pPr>
        <w:ind w:left="1420" w:right="420" w:hanging="439"/>
        <w:spacing w:after="0" w:line="282" w:lineRule="auto"/>
        <w:tabs>
          <w:tab w:leader="none" w:pos="14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design, update, improve, or perfect the operation or performance of computer programs, software, or other electronic data; or</w:t>
      </w:r>
    </w:p>
    <w:p>
      <w:pPr>
        <w:spacing w:after="0" w:line="67" w:lineRule="exact"/>
        <w:rPr>
          <w:rFonts w:ascii="Times New Roman" w:cs="Times New Roman" w:eastAsia="Times New Roman" w:hAnsi="Times New Roman"/>
          <w:sz w:val="18"/>
          <w:szCs w:val="18"/>
          <w:color w:val="auto"/>
        </w:rPr>
      </w:pPr>
    </w:p>
    <w:p>
      <w:pPr>
        <w:ind w:left="1420" w:right="540" w:hanging="439"/>
        <w:spacing w:after="0" w:line="282" w:lineRule="auto"/>
        <w:tabs>
          <w:tab w:leader="none" w:pos="14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redo the work product, research, or analysis that was the basis of, or resulted in, any computer programs, software, or other electronic data stored.</w:t>
      </w:r>
    </w:p>
    <w:p>
      <w:pPr>
        <w:spacing w:after="0" w:line="63" w:lineRule="exact"/>
        <w:rPr>
          <w:rFonts w:ascii="Times New Roman" w:cs="Times New Roman" w:eastAsia="Times New Roman" w:hAnsi="Times New Roman"/>
          <w:sz w:val="18"/>
          <w:szCs w:val="18"/>
          <w:color w:val="auto"/>
        </w:rPr>
      </w:pPr>
    </w:p>
    <w:p>
      <w:pPr>
        <w:ind w:left="960" w:right="520" w:hanging="532"/>
        <w:spacing w:after="0" w:line="286" w:lineRule="auto"/>
        <w:tabs>
          <w:tab w:leader="none" w:pos="9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Security Agreement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that creates an interest in personal property or fixtures and that secures payment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of an obligation.</w:t>
      </w:r>
    </w:p>
    <w:p>
      <w:pPr>
        <w:spacing w:after="0" w:line="60" w:lineRule="exact"/>
        <w:rPr>
          <w:rFonts w:ascii="Times New Roman" w:cs="Times New Roman" w:eastAsia="Times New Roman" w:hAnsi="Times New Roman"/>
          <w:sz w:val="18"/>
          <w:szCs w:val="18"/>
          <w:b w:val="1"/>
          <w:bCs w:val="1"/>
          <w:color w:val="auto"/>
        </w:rPr>
      </w:pPr>
    </w:p>
    <w:p>
      <w:pPr>
        <w:ind w:left="960" w:right="320" w:hanging="532"/>
        <w:spacing w:after="0" w:line="268" w:lineRule="auto"/>
        <w:tabs>
          <w:tab w:leader="none" w:pos="9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Security Procedure </w:t>
      </w:r>
      <w:r>
        <w:rPr>
          <w:rFonts w:ascii="Times New Roman" w:cs="Times New Roman" w:eastAsia="Times New Roman" w:hAnsi="Times New Roman"/>
          <w:sz w:val="18"/>
          <w:szCs w:val="18"/>
          <w:color w:val="auto"/>
        </w:rPr>
        <w:t>means the Insured’s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Investment Adviser’s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established authentication process, other than voice recognition,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requires the use of algorithms or other codes, identifying words or numbers, encryption, or similar security devices or procedures. The following are not considered a </w:t>
      </w:r>
      <w:r>
        <w:rPr>
          <w:rFonts w:ascii="Times New Roman" w:cs="Times New Roman" w:eastAsia="Times New Roman" w:hAnsi="Times New Roman"/>
          <w:sz w:val="18"/>
          <w:szCs w:val="18"/>
          <w:b w:val="1"/>
          <w:bCs w:val="1"/>
          <w:color w:val="auto"/>
        </w:rPr>
        <w:t>Security Procedure</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general statement that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may establish security procedures;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statement that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may perform a callback or other security procedure; or</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statement that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will only accept requests from persons named on the account.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14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020"/>
          </w:cols>
          <w:pgMar w:left="440" w:top="266" w:right="439" w:bottom="1440" w:gutter="0" w:footer="0" w:header="0"/>
        </w:sectPr>
      </w:pPr>
    </w:p>
    <w:bookmarkStart w:id="22" w:name="page23"/>
    <w:bookmarkEnd w:id="22"/>
    <w:p>
      <w:pPr>
        <w:ind w:left="960" w:hanging="532"/>
        <w:spacing w:after="0"/>
        <w:tabs>
          <w:tab w:leader="none" w:pos="9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Single Loss </w:t>
      </w:r>
      <w:r>
        <w:rPr>
          <w:rFonts w:ascii="Times New Roman" w:cs="Times New Roman" w:eastAsia="Times New Roman" w:hAnsi="Times New Roman"/>
          <w:sz w:val="18"/>
          <w:szCs w:val="18"/>
          <w:color w:val="auto"/>
        </w:rPr>
        <w:t>has the meaning set forth in section VI. CONDITIONS, D. SINGLE LOSS.</w:t>
      </w:r>
    </w:p>
    <w:p>
      <w:pPr>
        <w:spacing w:after="0" w:line="130"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Statement of Uncertificated Security </w:t>
      </w:r>
      <w:r>
        <w:rPr>
          <w:rFonts w:ascii="Times New Roman" w:cs="Times New Roman" w:eastAsia="Times New Roman" w:hAnsi="Times New Roman"/>
          <w:sz w:val="18"/>
          <w:szCs w:val="18"/>
          <w:color w:val="auto"/>
        </w:rPr>
        <w:t>means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statement of the issuer of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containing:</w:t>
      </w:r>
    </w:p>
    <w:p>
      <w:pPr>
        <w:spacing w:after="0" w:line="130"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description of the issue of which the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 xml:space="preserve"> is a part;</w:t>
      </w:r>
    </w:p>
    <w:p>
      <w:pPr>
        <w:spacing w:after="0" w:line="134"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or units:</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transferred to the registered owner;</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pledged by the registered owner to the registered pledgee;</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from pledge by the registered pledgee;</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in the name of the registered owner on the date of the statement; or</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pledge on the date of the statement;</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registered owner and registered pledgee;</w:t>
      </w:r>
    </w:p>
    <w:p>
      <w:pPr>
        <w:spacing w:after="0" w:line="126" w:lineRule="exact"/>
        <w:rPr>
          <w:rFonts w:ascii="Times New Roman" w:cs="Times New Roman" w:eastAsia="Times New Roman" w:hAnsi="Times New Roman"/>
          <w:sz w:val="18"/>
          <w:szCs w:val="18"/>
          <w:color w:val="auto"/>
        </w:rPr>
      </w:pPr>
    </w:p>
    <w:p>
      <w:pPr>
        <w:ind w:left="1420" w:right="520" w:hanging="439"/>
        <w:spacing w:after="0" w:line="286" w:lineRule="auto"/>
        <w:tabs>
          <w:tab w:leader="none" w:pos="14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notation of any liens and restrictions of the issuer and any adverse claims to which the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 xml:space="preserve"> is or may be subject to, or a statement that there are none of those liens, restrictions or adverse claims; and</w:t>
      </w:r>
    </w:p>
    <w:p>
      <w:pPr>
        <w:spacing w:after="0" w:line="64"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the shares or units to the new registered owner of the shares or units was registered;</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of the registered pledgee was registered; or</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statement, if it is a periodic or annual statement.</w:t>
      </w:r>
    </w:p>
    <w:p>
      <w:pPr>
        <w:spacing w:after="0" w:line="126" w:lineRule="exact"/>
        <w:rPr>
          <w:rFonts w:ascii="Times New Roman" w:cs="Times New Roman" w:eastAsia="Times New Roman" w:hAnsi="Times New Roman"/>
          <w:sz w:val="18"/>
          <w:szCs w:val="18"/>
          <w:color w:val="auto"/>
        </w:rPr>
      </w:pPr>
    </w:p>
    <w:p>
      <w:pPr>
        <w:ind w:left="960" w:right="180" w:hanging="532"/>
        <w:spacing w:after="0" w:line="286" w:lineRule="auto"/>
        <w:tabs>
          <w:tab w:leader="none" w:pos="9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Substitute Check </w:t>
      </w:r>
      <w:r>
        <w:rPr>
          <w:rFonts w:ascii="Times New Roman" w:cs="Times New Roman" w:eastAsia="Times New Roman" w:hAnsi="Times New Roman"/>
          <w:sz w:val="18"/>
          <w:szCs w:val="18"/>
          <w:color w:val="auto"/>
        </w:rPr>
        <w:t>means a paper reproduction of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Original 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check as defined in the Check Clearing for the 21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Century Act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2003, as amended.</w:t>
      </w:r>
    </w:p>
    <w:p>
      <w:pPr>
        <w:spacing w:after="0" w:line="60" w:lineRule="exact"/>
        <w:rPr>
          <w:rFonts w:ascii="Times New Roman" w:cs="Times New Roman" w:eastAsia="Times New Roman" w:hAnsi="Times New Roman"/>
          <w:sz w:val="18"/>
          <w:szCs w:val="18"/>
          <w:b w:val="1"/>
          <w:bCs w:val="1"/>
          <w:color w:val="auto"/>
        </w:rPr>
      </w:pPr>
    </w:p>
    <w:p>
      <w:pPr>
        <w:ind w:left="960" w:right="560" w:hanging="532"/>
        <w:spacing w:after="0" w:line="286" w:lineRule="auto"/>
        <w:tabs>
          <w:tab w:leader="none" w:pos="9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Transportation Company </w:t>
      </w:r>
      <w:r>
        <w:rPr>
          <w:rFonts w:ascii="Times New Roman" w:cs="Times New Roman" w:eastAsia="Times New Roman" w:hAnsi="Times New Roman"/>
          <w:sz w:val="18"/>
          <w:szCs w:val="18"/>
          <w:color w:val="auto"/>
        </w:rPr>
        <w:t>means any organization that provides its own or leased vehicles for transportation or that provides freight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forwarding or air express services.</w:t>
      </w:r>
    </w:p>
    <w:p>
      <w:pPr>
        <w:spacing w:after="0" w:line="60" w:lineRule="exact"/>
        <w:rPr>
          <w:rFonts w:ascii="Times New Roman" w:cs="Times New Roman" w:eastAsia="Times New Roman" w:hAnsi="Times New Roman"/>
          <w:sz w:val="18"/>
          <w:szCs w:val="18"/>
          <w:b w:val="1"/>
          <w:bCs w:val="1"/>
          <w:color w:val="auto"/>
        </w:rPr>
      </w:pPr>
    </w:p>
    <w:p>
      <w:pPr>
        <w:ind w:left="960" w:right="240" w:hanging="532"/>
        <w:spacing w:after="0" w:line="286" w:lineRule="auto"/>
        <w:tabs>
          <w:tab w:leader="none" w:pos="9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Uncertificated Security </w:t>
      </w:r>
      <w:r>
        <w:rPr>
          <w:rFonts w:ascii="Times New Roman" w:cs="Times New Roman" w:eastAsia="Times New Roman" w:hAnsi="Times New Roman"/>
          <w:sz w:val="18"/>
          <w:szCs w:val="18"/>
          <w:color w:val="auto"/>
        </w:rPr>
        <w:t>means a share, participation or other interest in property of, or an enterprise of, the issuer or an obligation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issuer, that is:</w:t>
      </w:r>
    </w:p>
    <w:p>
      <w:pPr>
        <w:spacing w:after="0" w:line="60" w:lineRule="exact"/>
        <w:rPr>
          <w:rFonts w:ascii="Times New Roman" w:cs="Times New Roman" w:eastAsia="Times New Roman" w:hAnsi="Times New Roman"/>
          <w:sz w:val="18"/>
          <w:szCs w:val="18"/>
          <w:b w:val="1"/>
          <w:bCs w:val="1"/>
          <w:color w:val="auto"/>
        </w:rPr>
      </w:pPr>
    </w:p>
    <w:p>
      <w:pPr>
        <w:ind w:left="1420" w:right="520" w:hanging="439"/>
        <w:spacing w:after="0" w:line="286" w:lineRule="auto"/>
        <w:tabs>
          <w:tab w:leader="none" w:pos="14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represented by a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instrument issued in bearer or registered form and the transfer of which is registered upon books maintained for that purpose by or on behalf of the issuer;</w:t>
      </w:r>
    </w:p>
    <w:p>
      <w:pPr>
        <w:spacing w:after="0" w:line="64" w:lineRule="exact"/>
        <w:rPr>
          <w:rFonts w:ascii="Times New Roman" w:cs="Times New Roman" w:eastAsia="Times New Roman" w:hAnsi="Times New Roman"/>
          <w:sz w:val="18"/>
          <w:szCs w:val="18"/>
          <w:color w:val="auto"/>
        </w:rPr>
      </w:pPr>
    </w:p>
    <w:p>
      <w:pPr>
        <w:ind w:left="1420" w:right="60" w:hanging="439"/>
        <w:spacing w:after="0" w:line="282" w:lineRule="auto"/>
        <w:tabs>
          <w:tab w:leader="none" w:pos="14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type commonly dealt in on securities exchanges or markets, or commonly recognized in any area in which it is issued or dealt in as a medium for investment; and</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one of a class or series or by its terms divisible into a class or series of shares, participations, interests or obligations.</w:t>
      </w:r>
    </w:p>
    <w:p>
      <w:pPr>
        <w:spacing w:after="0" w:line="126" w:lineRule="exact"/>
        <w:rPr>
          <w:rFonts w:ascii="Times New Roman" w:cs="Times New Roman" w:eastAsia="Times New Roman" w:hAnsi="Times New Roman"/>
          <w:sz w:val="18"/>
          <w:szCs w:val="18"/>
          <w:color w:val="auto"/>
        </w:rPr>
      </w:pPr>
    </w:p>
    <w:p>
      <w:pPr>
        <w:ind w:left="960" w:right="20" w:hanging="532"/>
        <w:spacing w:after="0" w:line="286" w:lineRule="auto"/>
        <w:tabs>
          <w:tab w:leader="none" w:pos="9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Withdrawal Order </w:t>
      </w:r>
      <w:r>
        <w:rPr>
          <w:rFonts w:ascii="Times New Roman" w:cs="Times New Roman" w:eastAsia="Times New Roman" w:hAnsi="Times New Roman"/>
          <w:sz w:val="18"/>
          <w:szCs w:val="18"/>
          <w:color w:val="auto"/>
        </w:rPr>
        <w:t>means a non-negotiable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instrument, other than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Instruction</w:t>
      </w:r>
      <w:r>
        <w:rPr>
          <w:rFonts w:ascii="Times New Roman" w:cs="Times New Roman" w:eastAsia="Times New Roman" w:hAnsi="Times New Roman"/>
          <w:sz w:val="18"/>
          <w:szCs w:val="18"/>
          <w:color w:val="auto"/>
        </w:rPr>
        <w:t>, signed by a customer of the Insured authorizing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Insured to debit the customer’s account in the amount of funds stated therein.</w:t>
      </w:r>
    </w:p>
    <w:p>
      <w:pPr>
        <w:spacing w:after="0" w:line="60" w:lineRule="exact"/>
        <w:rPr>
          <w:rFonts w:ascii="Times New Roman" w:cs="Times New Roman" w:eastAsia="Times New Roman" w:hAnsi="Times New Roman"/>
          <w:sz w:val="18"/>
          <w:szCs w:val="18"/>
          <w:b w:val="1"/>
          <w:bCs w:val="1"/>
          <w:color w:val="auto"/>
        </w:rPr>
      </w:pPr>
    </w:p>
    <w:p>
      <w:pPr>
        <w:ind w:left="960" w:right="80" w:hanging="532"/>
        <w:spacing w:after="0" w:line="286" w:lineRule="auto"/>
        <w:tabs>
          <w:tab w:leader="none" w:pos="9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Written </w:t>
      </w:r>
      <w:r>
        <w:rPr>
          <w:rFonts w:ascii="Times New Roman" w:cs="Times New Roman" w:eastAsia="Times New Roman" w:hAnsi="Times New Roman"/>
          <w:sz w:val="18"/>
          <w:szCs w:val="18"/>
          <w:color w:val="auto"/>
        </w:rPr>
        <w:t>means expressed through letters or marks placed upon paper and visible to the eye. It does not include information contained in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Electronic Record</w:t>
      </w:r>
      <w:r>
        <w:rPr>
          <w:rFonts w:ascii="Times New Roman" w:cs="Times New Roman" w:eastAsia="Times New Roman" w:hAnsi="Times New Roman"/>
          <w:sz w:val="18"/>
          <w:szCs w:val="18"/>
          <w:color w:val="auto"/>
        </w:rPr>
        <w:t>, or only with respect to Insuring Agreement D, information communicated via telefacsimile.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15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020"/>
          </w:cols>
          <w:pgMar w:left="440" w:top="266" w:right="439" w:bottom="1440" w:gutter="0" w:footer="0" w:header="0"/>
        </w:sectPr>
      </w:pPr>
    </w:p>
    <w:bookmarkStart w:id="23" w:name="page24"/>
    <w:bookmarkEnd w:id="23"/>
    <w:p>
      <w:pPr>
        <w:ind w:left="424" w:hanging="424"/>
        <w:spacing w:after="0"/>
        <w:tabs>
          <w:tab w:leader="none" w:pos="424" w:val="left"/>
        </w:tabs>
        <w:numPr>
          <w:ilvl w:val="0"/>
          <w:numId w:val="3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EXCLUSIONS</w:t>
      </w:r>
    </w:p>
    <w:p>
      <w:pPr>
        <w:spacing w:after="0" w:line="202" w:lineRule="exact"/>
        <w:rPr>
          <w:rFonts w:ascii="Times New Roman" w:cs="Times New Roman" w:eastAsia="Times New Roman" w:hAnsi="Times New Roman"/>
          <w:sz w:val="18"/>
          <w:szCs w:val="18"/>
          <w:b w:val="1"/>
          <w:bCs w:val="1"/>
          <w:i w:val="1"/>
          <w:iCs w:val="1"/>
          <w:color w:val="auto"/>
        </w:rPr>
      </w:pPr>
    </w:p>
    <w:p>
      <w:pPr>
        <w:ind w:left="964" w:right="60" w:hanging="532"/>
        <w:spacing w:after="0" w:line="282" w:lineRule="auto"/>
        <w:tabs>
          <w:tab w:leader="none" w:pos="964"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loss resulting directly or indirectly from forgery or alteration, except when covered under Insuring Agreement A, D, E, F or G.</w:t>
      </w:r>
    </w:p>
    <w:p>
      <w:pPr>
        <w:spacing w:after="0" w:line="67" w:lineRule="exact"/>
        <w:rPr>
          <w:rFonts w:ascii="Times New Roman" w:cs="Times New Roman" w:eastAsia="Times New Roman" w:hAnsi="Times New Roman"/>
          <w:sz w:val="18"/>
          <w:szCs w:val="18"/>
          <w:b w:val="1"/>
          <w:bCs w:val="1"/>
          <w:color w:val="auto"/>
        </w:rPr>
      </w:pPr>
    </w:p>
    <w:p>
      <w:pPr>
        <w:ind w:left="964" w:right="20" w:hanging="532"/>
        <w:spacing w:after="0" w:line="258" w:lineRule="auto"/>
        <w:tabs>
          <w:tab w:leader="none" w:pos="964"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loss due to war, invasion, acts of foreign enemies, hostilities (whether war is declared or not), civil war, rebellion, revolution, insurrection, military or usurped power, confiscation, nationalization, requisition, or destruction of, or damage to, property by or under the order of any government, public or local authority, unless such loss occurs in transit in the circumstances recited in Insuring Agreement C and unless, when such transit was initiated, there was no knowledge of such act or condition related to any of the foregoing on the part of any person acting for the Insured in initiating such transit.</w:t>
      </w:r>
    </w:p>
    <w:p>
      <w:pPr>
        <w:spacing w:after="0" w:line="88" w:lineRule="exact"/>
        <w:rPr>
          <w:rFonts w:ascii="Times New Roman" w:cs="Times New Roman" w:eastAsia="Times New Roman" w:hAnsi="Times New Roman"/>
          <w:sz w:val="18"/>
          <w:szCs w:val="18"/>
          <w:b w:val="1"/>
          <w:bCs w:val="1"/>
          <w:color w:val="auto"/>
        </w:rPr>
      </w:pPr>
    </w:p>
    <w:p>
      <w:pPr>
        <w:ind w:left="964" w:right="800" w:hanging="532"/>
        <w:spacing w:after="0" w:line="282" w:lineRule="auto"/>
        <w:tabs>
          <w:tab w:leader="none" w:pos="964"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loss resulting directly or indirectly from nuclear reaction, nuclear radiation, radioactive contamination, biological, or chemical contamination or to any related act or incident.</w:t>
      </w:r>
    </w:p>
    <w:p>
      <w:pPr>
        <w:spacing w:after="0" w:line="67" w:lineRule="exact"/>
        <w:rPr>
          <w:rFonts w:ascii="Times New Roman" w:cs="Times New Roman" w:eastAsia="Times New Roman" w:hAnsi="Times New Roman"/>
          <w:sz w:val="18"/>
          <w:szCs w:val="18"/>
          <w:b w:val="1"/>
          <w:bCs w:val="1"/>
          <w:color w:val="auto"/>
        </w:rPr>
      </w:pPr>
    </w:p>
    <w:p>
      <w:pPr>
        <w:ind w:left="964" w:right="320" w:hanging="532"/>
        <w:spacing w:after="0" w:line="261" w:lineRule="auto"/>
        <w:tabs>
          <w:tab w:leader="none" w:pos="964"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directly or indirectly from any acts of any director or trustee of the Insured other than one employed as a salaried, pensioned, or elected official or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of the Insured, except when performing acts coming within the scope of the usual duties of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or while acting as a member of any committee duly elected or appointed by resolution of the board of directors or trustees of the Insured to perform specific, as distinguished from general, directorial acts on behalf of the Insured.</w:t>
      </w:r>
    </w:p>
    <w:p>
      <w:pPr>
        <w:spacing w:after="0" w:line="81" w:lineRule="exact"/>
        <w:rPr>
          <w:rFonts w:ascii="Times New Roman" w:cs="Times New Roman" w:eastAsia="Times New Roman" w:hAnsi="Times New Roman"/>
          <w:sz w:val="18"/>
          <w:szCs w:val="18"/>
          <w:b w:val="1"/>
          <w:bCs w:val="1"/>
          <w:color w:val="auto"/>
        </w:rPr>
      </w:pPr>
    </w:p>
    <w:p>
      <w:pPr>
        <w:ind w:left="964" w:right="40" w:hanging="532"/>
        <w:spacing w:after="0" w:line="262" w:lineRule="auto"/>
        <w:tabs>
          <w:tab w:leader="none" w:pos="964"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directly or indirectly from the complete or partial non-payment of, or default upon, any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xml:space="preserve"> or transaction involving the Insured as a lender or borrower, or extension of credit, including the purchase, discounting or other acquisition of false or genuine accounts, invoices, notes, agreements or </w:t>
      </w:r>
      <w:r>
        <w:rPr>
          <w:rFonts w:ascii="Times New Roman" w:cs="Times New Roman" w:eastAsia="Times New Roman" w:hAnsi="Times New Roman"/>
          <w:sz w:val="18"/>
          <w:szCs w:val="18"/>
          <w:b w:val="1"/>
          <w:bCs w:val="1"/>
          <w:color w:val="auto"/>
        </w:rPr>
        <w:t>Evidences of Debt</w:t>
      </w:r>
      <w:r>
        <w:rPr>
          <w:rFonts w:ascii="Times New Roman" w:cs="Times New Roman" w:eastAsia="Times New Roman" w:hAnsi="Times New Roman"/>
          <w:sz w:val="18"/>
          <w:szCs w:val="18"/>
          <w:color w:val="auto"/>
        </w:rPr>
        <w:t xml:space="preserve">, whether such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transaction or extension was procured in good faith or through trick, artifice, fraud, or false pretenses, except when covered under Insuring Agreement A or E.</w:t>
      </w:r>
    </w:p>
    <w:p>
      <w:pPr>
        <w:spacing w:after="0" w:line="81"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caused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except:</w:t>
      </w:r>
    </w:p>
    <w:p>
      <w:pPr>
        <w:spacing w:after="0" w:line="134" w:lineRule="exact"/>
        <w:rPr>
          <w:rFonts w:ascii="Times New Roman" w:cs="Times New Roman" w:eastAsia="Times New Roman" w:hAnsi="Times New Roman"/>
          <w:sz w:val="18"/>
          <w:szCs w:val="18"/>
          <w:b w:val="1"/>
          <w:bCs w:val="1"/>
          <w:color w:val="auto"/>
        </w:rPr>
      </w:pPr>
    </w:p>
    <w:p>
      <w:pPr>
        <w:ind w:left="1424" w:hanging="439"/>
        <w:spacing w:after="0"/>
        <w:tabs>
          <w:tab w:leader="none" w:pos="1424"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covered under Insuring Agreement A.; or</w:t>
      </w:r>
    </w:p>
    <w:p>
      <w:pPr>
        <w:spacing w:after="0" w:line="130" w:lineRule="exact"/>
        <w:rPr>
          <w:rFonts w:ascii="Times New Roman" w:cs="Times New Roman" w:eastAsia="Times New Roman" w:hAnsi="Times New Roman"/>
          <w:sz w:val="18"/>
          <w:szCs w:val="18"/>
          <w:color w:val="auto"/>
        </w:rPr>
      </w:pPr>
    </w:p>
    <w:p>
      <w:pPr>
        <w:ind w:left="1424" w:right="920" w:hanging="439"/>
        <w:spacing w:after="0" w:line="282" w:lineRule="auto"/>
        <w:tabs>
          <w:tab w:leader="none" w:pos="1424"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 covered under Insuring Agreement B. or C. and resulting directly from mysterious unexplainable disappearance or misplacement, or unintentional destruction of or damage to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64" w:right="300" w:hanging="532"/>
        <w:spacing w:after="0" w:line="282" w:lineRule="auto"/>
        <w:tabs>
          <w:tab w:leader="none" w:pos="964"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loss resulting directly or indirectly from the use or purported use of credit, debit, charge, access, convenience, identification cash management or other cards:</w:t>
      </w:r>
    </w:p>
    <w:p>
      <w:pPr>
        <w:spacing w:after="0" w:line="67" w:lineRule="exact"/>
        <w:rPr>
          <w:rFonts w:ascii="Times New Roman" w:cs="Times New Roman" w:eastAsia="Times New Roman" w:hAnsi="Times New Roman"/>
          <w:sz w:val="18"/>
          <w:szCs w:val="18"/>
          <w:b w:val="1"/>
          <w:bCs w:val="1"/>
          <w:color w:val="auto"/>
        </w:rPr>
      </w:pPr>
    </w:p>
    <w:p>
      <w:pPr>
        <w:ind w:left="1424" w:hanging="439"/>
        <w:spacing w:after="0"/>
        <w:tabs>
          <w:tab w:leader="none" w:pos="1424"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obtaining credit or funds;</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gaining access to any automated teller machine; or</w:t>
      </w:r>
    </w:p>
    <w:p>
      <w:pPr>
        <w:spacing w:after="0" w:line="130" w:lineRule="exact"/>
        <w:rPr>
          <w:rFonts w:ascii="Times New Roman" w:cs="Times New Roman" w:eastAsia="Times New Roman" w:hAnsi="Times New Roman"/>
          <w:sz w:val="18"/>
          <w:szCs w:val="18"/>
          <w:color w:val="auto"/>
        </w:rPr>
      </w:pPr>
    </w:p>
    <w:p>
      <w:pPr>
        <w:ind w:left="1424" w:right="660" w:hanging="439"/>
        <w:spacing w:after="0" w:line="282" w:lineRule="auto"/>
        <w:tabs>
          <w:tab w:leader="none" w:pos="1424"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gaining access to any point of sale terminal, customer-bank communication terminal, or similar electronic terminal of any electronic funds transfer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-4685665</wp:posOffset>
            </wp:positionV>
            <wp:extent cx="69951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 w:lineRule="exact"/>
        <w:rPr>
          <w:sz w:val="20"/>
          <w:szCs w:val="20"/>
          <w:color w:val="auto"/>
        </w:rPr>
      </w:pPr>
    </w:p>
    <w:p>
      <w:pPr>
        <w:ind w:left="984" w:right="160"/>
        <w:spacing w:after="0" w:line="282" w:lineRule="auto"/>
        <w:rPr>
          <w:sz w:val="20"/>
          <w:szCs w:val="20"/>
          <w:color w:val="auto"/>
        </w:rPr>
      </w:pPr>
      <w:r>
        <w:rPr>
          <w:rFonts w:ascii="Times New Roman" w:cs="Times New Roman" w:eastAsia="Times New Roman" w:hAnsi="Times New Roman"/>
          <w:sz w:val="18"/>
          <w:szCs w:val="18"/>
          <w:color w:val="auto"/>
        </w:rPr>
        <w:t>whether such cards were issued, or purport to have been issued, by the Insured or by anyone other than the Insured, except when covered under Insuring Agreement A.</w:t>
      </w:r>
    </w:p>
    <w:p>
      <w:pPr>
        <w:spacing w:after="0" w:line="63" w:lineRule="exact"/>
        <w:rPr>
          <w:sz w:val="20"/>
          <w:szCs w:val="20"/>
          <w:color w:val="auto"/>
        </w:rPr>
      </w:pPr>
    </w:p>
    <w:p>
      <w:pPr>
        <w:ind w:left="964" w:right="120" w:hanging="532"/>
        <w:spacing w:after="0" w:line="286" w:lineRule="auto"/>
        <w:tabs>
          <w:tab w:leader="none" w:pos="964"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through the surrender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away from an office of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as a result of a threat:</w:t>
      </w:r>
    </w:p>
    <w:p>
      <w:pPr>
        <w:spacing w:after="0" w:line="60" w:lineRule="exact"/>
        <w:rPr>
          <w:rFonts w:ascii="Times New Roman" w:cs="Times New Roman" w:eastAsia="Times New Roman" w:hAnsi="Times New Roman"/>
          <w:sz w:val="18"/>
          <w:szCs w:val="18"/>
          <w:b w:val="1"/>
          <w:bCs w:val="1"/>
          <w:color w:val="auto"/>
        </w:rPr>
      </w:pPr>
    </w:p>
    <w:p>
      <w:pPr>
        <w:ind w:left="1424" w:right="280" w:hanging="439"/>
        <w:spacing w:after="0" w:line="286" w:lineRule="auto"/>
        <w:tabs>
          <w:tab w:leader="none" w:pos="142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do bodily harm to any person, except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in transit in the custody of a </w:t>
      </w:r>
      <w:r>
        <w:rPr>
          <w:rFonts w:ascii="Times New Roman" w:cs="Times New Roman" w:eastAsia="Times New Roman" w:hAnsi="Times New Roman"/>
          <w:sz w:val="18"/>
          <w:szCs w:val="18"/>
          <w:b w:val="1"/>
          <w:bCs w:val="1"/>
          <w:color w:val="auto"/>
        </w:rPr>
        <w:t>Messenger</w:t>
      </w:r>
      <w:r>
        <w:rPr>
          <w:rFonts w:ascii="Times New Roman" w:cs="Times New Roman" w:eastAsia="Times New Roman" w:hAnsi="Times New Roman"/>
          <w:sz w:val="18"/>
          <w:szCs w:val="18"/>
          <w:color w:val="auto"/>
        </w:rPr>
        <w:t xml:space="preserve"> provided that when such transit was initiated there was no knowledge by the Insured of any such threat; or</w:t>
      </w:r>
    </w:p>
    <w:p>
      <w:pPr>
        <w:spacing w:after="0" w:line="64"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do damage to the premises or property of the Insured,</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except when covered under Insuring Agreement A.</w:t>
      </w:r>
    </w:p>
    <w:p>
      <w:pPr>
        <w:spacing w:after="0" w:line="156" w:lineRule="exact"/>
        <w:rPr>
          <w:sz w:val="20"/>
          <w:szCs w:val="20"/>
          <w:color w:val="auto"/>
        </w:rPr>
      </w:pPr>
    </w:p>
    <w:tbl>
      <w:tblPr>
        <w:tblLayout w:type="fixed"/>
        <w:tblInd w:w="4" w:type="dxa"/>
        <w:tblCellMar>
          <w:top w:w="0" w:type="dxa"/>
          <w:left w:w="0" w:type="dxa"/>
          <w:bottom w:w="0" w:type="dxa"/>
          <w:right w:w="0" w:type="dxa"/>
        </w:tblCellMar>
      </w:tblPr>
      <w:tr>
        <w:trPr>
          <w:trHeight w:val="225"/>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16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024"/>
          </w:cols>
          <w:pgMar w:left="436" w:top="266" w:right="439" w:bottom="1440" w:gutter="0" w:footer="0" w:header="0"/>
        </w:sectPr>
      </w:pPr>
    </w:p>
    <w:bookmarkStart w:id="24" w:name="page25"/>
    <w:bookmarkEnd w:id="24"/>
    <w:p>
      <w:pPr>
        <w:ind w:left="960" w:right="40" w:hanging="532"/>
        <w:spacing w:after="0" w:line="261" w:lineRule="auto"/>
        <w:tabs>
          <w:tab w:leader="none" w:pos="9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bond does not cover loss resulting directly or indirectly from payments made or withdrawals from a customer’s account involving erroneous credits to such account, unless such payments or withdrawals are physically received by such depositor or representative of such depositor who is within the office of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at the time of such payment or withdrawal, or except when covered under Insuring Agreement A.</w:t>
      </w:r>
    </w:p>
    <w:p>
      <w:pPr>
        <w:spacing w:after="0" w:line="85" w:lineRule="exact"/>
        <w:rPr>
          <w:rFonts w:ascii="Times New Roman" w:cs="Times New Roman" w:eastAsia="Times New Roman" w:hAnsi="Times New Roman"/>
          <w:sz w:val="18"/>
          <w:szCs w:val="18"/>
          <w:b w:val="1"/>
          <w:bCs w:val="1"/>
          <w:color w:val="auto"/>
        </w:rPr>
      </w:pPr>
    </w:p>
    <w:p>
      <w:pPr>
        <w:ind w:left="960" w:right="80" w:hanging="532"/>
        <w:spacing w:after="0" w:line="258" w:lineRule="auto"/>
        <w:tabs>
          <w:tab w:leader="none" w:pos="9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loss resulting directly or indirectly from payments made or withdrawals from a customer’s account involving items of deposit that are not finally paid for any reason, including forgery or any other fraud, except when covered under Insuring Agreement A or J, however, this exclusion does not apply to United States Government checks or drafts that are returned to the Insured by the United States Government for any reason after the funds for said checks or drafts have been remitted to the Insured or credited to the Insured’s account.</w:t>
      </w:r>
    </w:p>
    <w:p>
      <w:pPr>
        <w:spacing w:after="0" w:line="88" w:lineRule="exact"/>
        <w:rPr>
          <w:rFonts w:ascii="Times New Roman" w:cs="Times New Roman" w:eastAsia="Times New Roman" w:hAnsi="Times New Roman"/>
          <w:sz w:val="18"/>
          <w:szCs w:val="18"/>
          <w:b w:val="1"/>
          <w:bCs w:val="1"/>
          <w:color w:val="auto"/>
        </w:rPr>
      </w:pPr>
    </w:p>
    <w:p>
      <w:pPr>
        <w:ind w:left="960" w:right="260" w:hanging="532"/>
        <w:spacing w:after="0" w:line="282" w:lineRule="auto"/>
        <w:tabs>
          <w:tab w:leader="none" w:pos="9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directly or indirectly from counterfeiting, except when covered under Insuring Agreement A, D, but only as respects </w:t>
      </w:r>
      <w:r>
        <w:rPr>
          <w:rFonts w:ascii="Times New Roman" w:cs="Times New Roman" w:eastAsia="Times New Roman" w:hAnsi="Times New Roman"/>
          <w:sz w:val="18"/>
          <w:szCs w:val="18"/>
          <w:b w:val="1"/>
          <w:bCs w:val="1"/>
          <w:color w:val="auto"/>
        </w:rPr>
        <w:t>Negotiable Instruments</w:t>
      </w:r>
      <w:r>
        <w:rPr>
          <w:rFonts w:ascii="Times New Roman" w:cs="Times New Roman" w:eastAsia="Times New Roman" w:hAnsi="Times New Roman"/>
          <w:sz w:val="18"/>
          <w:szCs w:val="18"/>
          <w:color w:val="auto"/>
        </w:rPr>
        <w:t xml:space="preserve"> (except </w:t>
      </w:r>
      <w:r>
        <w:rPr>
          <w:rFonts w:ascii="Times New Roman" w:cs="Times New Roman" w:eastAsia="Times New Roman" w:hAnsi="Times New Roman"/>
          <w:sz w:val="18"/>
          <w:szCs w:val="18"/>
          <w:b w:val="1"/>
          <w:bCs w:val="1"/>
          <w:color w:val="auto"/>
        </w:rPr>
        <w:t>Evidences of Debt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Substitute Checks</w:t>
      </w:r>
      <w:r>
        <w:rPr>
          <w:rFonts w:ascii="Times New Roman" w:cs="Times New Roman" w:eastAsia="Times New Roman" w:hAnsi="Times New Roman"/>
          <w:sz w:val="18"/>
          <w:szCs w:val="18"/>
          <w:color w:val="auto"/>
        </w:rPr>
        <w:t>), E or F.</w:t>
      </w:r>
    </w:p>
    <w:p>
      <w:pPr>
        <w:spacing w:after="0" w:line="63"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while:</w:t>
      </w:r>
    </w:p>
    <w:p>
      <w:pPr>
        <w:spacing w:after="0" w:line="134"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mail;</w:t>
      </w:r>
    </w:p>
    <w:p>
      <w:pPr>
        <w:spacing w:after="0" w:line="126" w:lineRule="exact"/>
        <w:rPr>
          <w:rFonts w:ascii="Times New Roman" w:cs="Times New Roman" w:eastAsia="Times New Roman" w:hAnsi="Times New Roman"/>
          <w:sz w:val="18"/>
          <w:szCs w:val="18"/>
          <w:color w:val="auto"/>
        </w:rPr>
      </w:pPr>
    </w:p>
    <w:p>
      <w:pPr>
        <w:ind w:left="1420" w:right="40" w:hanging="439"/>
        <w:spacing w:after="0" w:line="268" w:lineRule="auto"/>
        <w:tabs>
          <w:tab w:leader="none" w:pos="14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custody of any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 xml:space="preserve">, unless covered under Insuring Agreement C provided however that non-negotiable instruments while in the possession and custody of any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 xml:space="preserve"> will be deemed to be covered under Insuring Agreement C; or</w:t>
      </w:r>
    </w:p>
    <w:p>
      <w:pPr>
        <w:spacing w:after="0" w:line="76"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located on the premises of any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except when covered under Insuring Agreement A.</w:t>
      </w:r>
    </w:p>
    <w:p>
      <w:pPr>
        <w:spacing w:after="0" w:line="131" w:lineRule="exact"/>
        <w:rPr>
          <w:sz w:val="20"/>
          <w:szCs w:val="20"/>
          <w:color w:val="auto"/>
        </w:rPr>
      </w:pPr>
    </w:p>
    <w:p>
      <w:pPr>
        <w:ind w:left="960" w:hanging="532"/>
        <w:spacing w:after="0"/>
        <w:tabs>
          <w:tab w:leader="none" w:pos="9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potential income, including interest and dividends not realized by the Insured.</w:t>
      </w:r>
    </w:p>
    <w:p>
      <w:pPr>
        <w:spacing w:after="0" w:line="130" w:lineRule="exact"/>
        <w:rPr>
          <w:rFonts w:ascii="Times New Roman" w:cs="Times New Roman" w:eastAsia="Times New Roman" w:hAnsi="Times New Roman"/>
          <w:sz w:val="18"/>
          <w:szCs w:val="18"/>
          <w:b w:val="1"/>
          <w:bCs w:val="1"/>
          <w:color w:val="auto"/>
        </w:rPr>
      </w:pPr>
    </w:p>
    <w:p>
      <w:pPr>
        <w:ind w:left="960" w:right="640" w:hanging="532"/>
        <w:spacing w:after="0" w:line="282" w:lineRule="auto"/>
        <w:tabs>
          <w:tab w:leader="none" w:pos="9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damages of any type for which the Insured is legally liable, except direct compensatory damages, but not multiples thereof, arising directly from a loss covered under this bond.</w:t>
      </w:r>
    </w:p>
    <w:p>
      <w:pPr>
        <w:spacing w:after="0" w:line="67" w:lineRule="exact"/>
        <w:rPr>
          <w:rFonts w:ascii="Times New Roman" w:cs="Times New Roman" w:eastAsia="Times New Roman" w:hAnsi="Times New Roman"/>
          <w:sz w:val="18"/>
          <w:szCs w:val="18"/>
          <w:b w:val="1"/>
          <w:bCs w:val="1"/>
          <w:color w:val="auto"/>
        </w:rPr>
      </w:pPr>
    </w:p>
    <w:p>
      <w:pPr>
        <w:ind w:left="960" w:right="520" w:hanging="532"/>
        <w:spacing w:after="0" w:line="282" w:lineRule="auto"/>
        <w:tabs>
          <w:tab w:leader="none" w:pos="9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any fees, costs, or other expenses incurred by the Insured in establishing the existence of or amount of loss covered under this bond except when covered under Insuring Agreement G.</w:t>
      </w:r>
    </w:p>
    <w:p>
      <w:pPr>
        <w:spacing w:after="0" w:line="67"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indirect or consequential loss of any nature.</w:t>
      </w:r>
    </w:p>
    <w:p>
      <w:pPr>
        <w:spacing w:after="0" w:line="126"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from any violation by the Insured or by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b w:val="1"/>
          <w:bCs w:val="1"/>
          <w:color w:val="auto"/>
        </w:rPr>
      </w:pPr>
    </w:p>
    <w:p>
      <w:pPr>
        <w:ind w:left="1420" w:right="440" w:hanging="439"/>
        <w:spacing w:after="0" w:line="282" w:lineRule="auto"/>
        <w:tabs>
          <w:tab w:leader="none" w:pos="14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law regulating: (i) the issuance, purchase or sale of securities; (ii) securities transactions upon security exchanges or over the counter market; (iii) investment companies; or (iv) investment advisers; or</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rule or regulation made pursuant to any such law,</w:t>
      </w:r>
    </w:p>
    <w:p>
      <w:pPr>
        <w:spacing w:after="0" w:line="117" w:lineRule="exact"/>
        <w:rPr>
          <w:sz w:val="20"/>
          <w:szCs w:val="20"/>
          <w:color w:val="auto"/>
        </w:rPr>
      </w:pPr>
    </w:p>
    <w:p>
      <w:pPr>
        <w:ind w:left="980" w:right="300"/>
        <w:spacing w:after="0" w:line="282" w:lineRule="auto"/>
        <w:rPr>
          <w:sz w:val="20"/>
          <w:szCs w:val="20"/>
          <w:color w:val="auto"/>
        </w:rPr>
      </w:pPr>
      <w:r>
        <w:rPr>
          <w:rFonts w:ascii="Times New Roman" w:cs="Times New Roman" w:eastAsia="Times New Roman" w:hAnsi="Times New Roman"/>
          <w:sz w:val="18"/>
          <w:szCs w:val="18"/>
          <w:color w:val="auto"/>
        </w:rPr>
        <w:t>unless it is established by the Insured that the act or acts that caused said loss involved fraudulent or dishonest conduct that would have caused a covered loss to the Insured in a similar amount in the absence of such laws, rules or regulations.</w:t>
      </w:r>
    </w:p>
    <w:p>
      <w:pPr>
        <w:spacing w:after="0" w:line="67" w:lineRule="exact"/>
        <w:rPr>
          <w:sz w:val="20"/>
          <w:szCs w:val="20"/>
          <w:color w:val="auto"/>
        </w:rPr>
      </w:pPr>
    </w:p>
    <w:p>
      <w:pPr>
        <w:jc w:val="both"/>
        <w:ind w:left="960" w:right="500" w:hanging="532"/>
        <w:spacing w:after="0" w:line="266" w:lineRule="auto"/>
        <w:tabs>
          <w:tab w:leader="none" w:pos="9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directly or indirectly from the failure of a financial or depository institution, or its receiver or liquidator, to pay or deliver, on demand of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funds or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of the Insured held by it in any capacity, except when covered under Insuring Agreement A or B.1.a.</w:t>
      </w:r>
    </w:p>
    <w:p>
      <w:pPr>
        <w:spacing w:after="0" w:line="77" w:lineRule="exact"/>
        <w:rPr>
          <w:rFonts w:ascii="Times New Roman" w:cs="Times New Roman" w:eastAsia="Times New Roman" w:hAnsi="Times New Roman"/>
          <w:sz w:val="18"/>
          <w:szCs w:val="18"/>
          <w:b w:val="1"/>
          <w:bCs w:val="1"/>
          <w:color w:val="auto"/>
        </w:rPr>
      </w:pPr>
    </w:p>
    <w:p>
      <w:pPr>
        <w:ind w:left="960" w:right="160" w:hanging="532"/>
        <w:spacing w:after="0" w:line="286" w:lineRule="auto"/>
        <w:tabs>
          <w:tab w:leader="none" w:pos="9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involving any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 xml:space="preserve"> except an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 xml:space="preserve"> of any Federal Reserve Bank of the United States or when covered under Insuring Agreement A, E or I.</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17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020"/>
          </w:cols>
          <w:pgMar w:left="440" w:top="270" w:right="439" w:bottom="1440" w:gutter="0" w:footer="0" w:header="0"/>
        </w:sectPr>
      </w:pPr>
    </w:p>
    <w:bookmarkStart w:id="25" w:name="page26"/>
    <w:bookmarkEnd w:id="25"/>
    <w:p>
      <w:pPr>
        <w:ind w:left="960" w:hanging="532"/>
        <w:spacing w:after="0"/>
        <w:tabs>
          <w:tab w:leader="none" w:pos="9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bond does not cover under Insuring Agreement I, in addition to all of the other exclusions, loss:</w:t>
      </w:r>
    </w:p>
    <w:p>
      <w:pPr>
        <w:spacing w:after="0" w:line="126" w:lineRule="exact"/>
        <w:rPr>
          <w:rFonts w:ascii="Times New Roman" w:cs="Times New Roman" w:eastAsia="Times New Roman" w:hAnsi="Times New Roman"/>
          <w:sz w:val="18"/>
          <w:szCs w:val="18"/>
          <w:b w:val="1"/>
          <w:bCs w:val="1"/>
          <w:color w:val="auto"/>
        </w:rPr>
      </w:pPr>
    </w:p>
    <w:p>
      <w:pPr>
        <w:ind w:left="1420" w:right="40" w:hanging="439"/>
        <w:spacing w:after="0" w:line="259" w:lineRule="auto"/>
        <w:tabs>
          <w:tab w:leader="none" w:pos="14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resulting directly or indirectly from entries or changes made by an individual authorized to have access to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xml:space="preserve">, who acts in good faith on instructions or advices received by telegraph, teletype, human voice over a telephone, or by any other means, unless such instructions or advices are given to that individual by a software contractor (or by a partner, officer or employee thereof) authorized by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to design, develop, prepare, supply, service, write, or implement programs for the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except when covered under Insuring Agreement I.2.;</w:t>
      </w:r>
    </w:p>
    <w:p>
      <w:pPr>
        <w:spacing w:after="0" w:line="88" w:lineRule="exact"/>
        <w:rPr>
          <w:rFonts w:ascii="Times New Roman" w:cs="Times New Roman" w:eastAsia="Times New Roman" w:hAnsi="Times New Roman"/>
          <w:sz w:val="18"/>
          <w:szCs w:val="18"/>
          <w:color w:val="auto"/>
        </w:rPr>
      </w:pPr>
    </w:p>
    <w:p>
      <w:pPr>
        <w:jc w:val="both"/>
        <w:ind w:left="1420" w:right="300" w:hanging="439"/>
        <w:spacing w:after="0" w:line="266" w:lineRule="auto"/>
        <w:tabs>
          <w:tab w:leader="none" w:pos="14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caused by an employee or director of an automated clearing house (including a Federal Reserve Bank), service bureau, electronic communications systems (including Fedwire, CHIPS and SWIFT) or merchants who have contracted with the Insured to perform electronic funds transfer services; or</w:t>
      </w:r>
    </w:p>
    <w:p>
      <w:pPr>
        <w:spacing w:after="0" w:line="77" w:lineRule="exact"/>
        <w:rPr>
          <w:rFonts w:ascii="Times New Roman" w:cs="Times New Roman" w:eastAsia="Times New Roman" w:hAnsi="Times New Roman"/>
          <w:sz w:val="18"/>
          <w:szCs w:val="18"/>
          <w:color w:val="auto"/>
        </w:rPr>
      </w:pPr>
    </w:p>
    <w:p>
      <w:pPr>
        <w:ind w:left="1420" w:right="100" w:hanging="439"/>
        <w:spacing w:after="0" w:line="268" w:lineRule="auto"/>
        <w:tabs>
          <w:tab w:leader="none" w:pos="14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resulting directly or indirectly from entries or changes made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acting in good faith on any electronic communication, unless such instructions are purportedly sent by a customer, </w:t>
      </w:r>
      <w:r>
        <w:rPr>
          <w:rFonts w:ascii="Times New Roman" w:cs="Times New Roman" w:eastAsia="Times New Roman" w:hAnsi="Times New Roman"/>
          <w:sz w:val="18"/>
          <w:szCs w:val="18"/>
          <w:b w:val="1"/>
          <w:bCs w:val="1"/>
          <w:color w:val="auto"/>
        </w:rPr>
        <w:t>Financial Institution</w:t>
      </w:r>
      <w:r>
        <w:rPr>
          <w:rFonts w:ascii="Times New Roman" w:cs="Times New Roman" w:eastAsia="Times New Roman" w:hAnsi="Times New Roman"/>
          <w:sz w:val="18"/>
          <w:szCs w:val="18"/>
          <w:color w:val="auto"/>
        </w:rPr>
        <w:t>, or automated clearing house, except when covered under Insuring Agreement I.2.</w:t>
      </w:r>
    </w:p>
    <w:p>
      <w:pPr>
        <w:spacing w:after="0" w:line="76" w:lineRule="exact"/>
        <w:rPr>
          <w:rFonts w:ascii="Times New Roman" w:cs="Times New Roman" w:eastAsia="Times New Roman" w:hAnsi="Times New Roman"/>
          <w:sz w:val="18"/>
          <w:szCs w:val="18"/>
          <w:color w:val="auto"/>
        </w:rPr>
      </w:pPr>
    </w:p>
    <w:p>
      <w:pPr>
        <w:ind w:left="960" w:right="520" w:hanging="532"/>
        <w:spacing w:after="0" w:line="286" w:lineRule="auto"/>
        <w:tabs>
          <w:tab w:leader="none" w:pos="9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directly or indirectly from </w:t>
      </w:r>
      <w:r>
        <w:rPr>
          <w:rFonts w:ascii="Times New Roman" w:cs="Times New Roman" w:eastAsia="Times New Roman" w:hAnsi="Times New Roman"/>
          <w:sz w:val="18"/>
          <w:szCs w:val="18"/>
          <w:b w:val="1"/>
          <w:bCs w:val="1"/>
          <w:color w:val="auto"/>
        </w:rPr>
        <w:t>Computer Fraud</w:t>
      </w:r>
      <w:r>
        <w:rPr>
          <w:rFonts w:ascii="Times New Roman" w:cs="Times New Roman" w:eastAsia="Times New Roman" w:hAnsi="Times New Roman"/>
          <w:sz w:val="18"/>
          <w:szCs w:val="18"/>
          <w:color w:val="auto"/>
        </w:rPr>
        <w:t xml:space="preserve"> or mechanical breakdown or failure to function properly of any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except when covered under Insuring Agreement A, B, or I.</w:t>
      </w:r>
    </w:p>
    <w:p>
      <w:pPr>
        <w:spacing w:after="0" w:line="64" w:lineRule="exact"/>
        <w:rPr>
          <w:rFonts w:ascii="Times New Roman" w:cs="Times New Roman" w:eastAsia="Times New Roman" w:hAnsi="Times New Roman"/>
          <w:sz w:val="18"/>
          <w:szCs w:val="18"/>
          <w:b w:val="1"/>
          <w:bCs w:val="1"/>
          <w:color w:val="auto"/>
        </w:rPr>
      </w:pPr>
    </w:p>
    <w:p>
      <w:pPr>
        <w:ind w:left="960" w:right="80" w:hanging="532"/>
        <w:spacing w:after="0" w:line="266" w:lineRule="auto"/>
        <w:tabs>
          <w:tab w:leader="none" w:pos="9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under Insuring Agreement I.2., in addition to all of the other exclusions, loss resulting directly or indirectly from the Insured’s or an </w:t>
      </w:r>
      <w:r>
        <w:rPr>
          <w:rFonts w:ascii="Times New Roman" w:cs="Times New Roman" w:eastAsia="Times New Roman" w:hAnsi="Times New Roman"/>
          <w:sz w:val="18"/>
          <w:szCs w:val="18"/>
          <w:b w:val="1"/>
          <w:bCs w:val="1"/>
          <w:color w:val="auto"/>
        </w:rPr>
        <w:t>Investment Adviser’s</w:t>
      </w:r>
      <w:r>
        <w:rPr>
          <w:rFonts w:ascii="Times New Roman" w:cs="Times New Roman" w:eastAsia="Times New Roman" w:hAnsi="Times New Roman"/>
          <w:sz w:val="18"/>
          <w:szCs w:val="18"/>
          <w:color w:val="auto"/>
        </w:rPr>
        <w:t xml:space="preserve"> assumption of liability by contract unless the liability arises from a loss covered by Insuring Agreement I.2. and would be imposed on the Insured regardless of the existence of the contract.</w:t>
      </w:r>
    </w:p>
    <w:p>
      <w:pPr>
        <w:spacing w:after="0" w:line="81" w:lineRule="exact"/>
        <w:rPr>
          <w:rFonts w:ascii="Times New Roman" w:cs="Times New Roman" w:eastAsia="Times New Roman" w:hAnsi="Times New Roman"/>
          <w:sz w:val="18"/>
          <w:szCs w:val="18"/>
          <w:b w:val="1"/>
          <w:bCs w:val="1"/>
          <w:color w:val="auto"/>
        </w:rPr>
      </w:pPr>
    </w:p>
    <w:p>
      <w:pPr>
        <w:ind w:left="960" w:right="80" w:hanging="532"/>
        <w:spacing w:after="0" w:line="258" w:lineRule="auto"/>
        <w:tabs>
          <w:tab w:leader="none" w:pos="9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directly or indirectly from theft, disappearance, destruction, or disclosure of intangible property or confidential information, including trade secrets, customer lists, customer’s intellectual property, confidential processing methods, formulas, patents, computer programs, negatives, drawings, manuscripts, prints and other records of a similar nature, whether such confidential information is owned by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or held by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in any capacity including concurrently with another person.</w:t>
      </w:r>
    </w:p>
    <w:p>
      <w:pPr>
        <w:spacing w:after="0" w:line="88" w:lineRule="exact"/>
        <w:rPr>
          <w:rFonts w:ascii="Times New Roman" w:cs="Times New Roman" w:eastAsia="Times New Roman" w:hAnsi="Times New Roman"/>
          <w:sz w:val="18"/>
          <w:szCs w:val="18"/>
          <w:b w:val="1"/>
          <w:bCs w:val="1"/>
          <w:color w:val="auto"/>
        </w:rPr>
      </w:pPr>
    </w:p>
    <w:p>
      <w:pPr>
        <w:ind w:left="960" w:right="80" w:hanging="532"/>
        <w:spacing w:after="0" w:line="261" w:lineRule="auto"/>
        <w:tabs>
          <w:tab w:leader="none" w:pos="9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bond does not cover expenses arising from a data security breach or incident, including forensic audit expenses, fines, penalties, expenses to comply with federal and state laws, payment card industry data security standards (if applicable), or expenses related to notifying affected individuals when the affected individual’s personally identifiable customer, financial or medical information was stolen, accessed, downloaded, or misappropriated while in the Insured’s care, custody, or control.</w:t>
      </w:r>
    </w:p>
    <w:p>
      <w:pPr>
        <w:spacing w:after="0" w:line="85" w:lineRule="exact"/>
        <w:rPr>
          <w:rFonts w:ascii="Times New Roman" w:cs="Times New Roman" w:eastAsia="Times New Roman" w:hAnsi="Times New Roman"/>
          <w:sz w:val="18"/>
          <w:szCs w:val="18"/>
          <w:b w:val="1"/>
          <w:bCs w:val="1"/>
          <w:color w:val="auto"/>
        </w:rPr>
      </w:pPr>
    </w:p>
    <w:p>
      <w:pPr>
        <w:ind w:left="960" w:right="20" w:hanging="532"/>
        <w:spacing w:after="0" w:line="282" w:lineRule="auto"/>
        <w:tabs>
          <w:tab w:leader="none" w:pos="9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under Insuring Agreement A.1., in addition to all of the other exclusions, loss resulting directly or indirectly from the alleged or actual destruction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b w:val="1"/>
          <w:bCs w:val="1"/>
          <w:color w:val="auto"/>
        </w:rPr>
      </w:pPr>
    </w:p>
    <w:p>
      <w:pPr>
        <w:ind w:left="960" w:right="300" w:hanging="532"/>
        <w:spacing w:after="0" w:line="262" w:lineRule="auto"/>
        <w:tabs>
          <w:tab w:leader="none" w:pos="9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costs, or expenses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agrees to incur, or incurs on behalf of another person or entity, when the Insured is not legally obligated to incur such loss, costs, or expenses under the Uniform Commercial Code or any other common, case, or tort law, statute, rule, or code anywhere in the world, including any rule or code of any clearing or similar organization; except when covered under Insuring Agreement I.2.</w:t>
      </w:r>
    </w:p>
    <w:p>
      <w:pPr>
        <w:spacing w:after="0" w:line="82" w:lineRule="exact"/>
        <w:rPr>
          <w:sz w:val="20"/>
          <w:szCs w:val="20"/>
          <w:color w:val="auto"/>
        </w:rPr>
      </w:pPr>
    </w:p>
    <w:p>
      <w:pPr>
        <w:jc w:val="both"/>
        <w:ind w:left="960" w:right="260" w:hanging="532"/>
        <w:spacing w:after="0" w:line="262" w:lineRule="auto"/>
        <w:tabs>
          <w:tab w:leader="none" w:pos="9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directly or indirectly from the dishonest or fraudulent acts of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as to whom the bond has terminated pursuant to Condition R. Cancelation, Termination, Change or Modification, provided, however, that this exclusion does not apply to loss of any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already in transit in the custody of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at the time the bond terminated or to loss resulting directly from dishonest or fraudulent acts occurring prior to the time the bond terminated.</w:t>
      </w:r>
    </w:p>
    <w:p>
      <w:pPr>
        <w:spacing w:after="0" w:line="81" w:lineRule="exact"/>
        <w:rPr>
          <w:rFonts w:ascii="Times New Roman" w:cs="Times New Roman" w:eastAsia="Times New Roman" w:hAnsi="Times New Roman"/>
          <w:sz w:val="18"/>
          <w:szCs w:val="18"/>
          <w:b w:val="1"/>
          <w:bCs w:val="1"/>
          <w:color w:val="auto"/>
        </w:rPr>
      </w:pPr>
    </w:p>
    <w:p>
      <w:pPr>
        <w:ind w:left="960" w:right="20" w:hanging="532"/>
        <w:spacing w:after="0" w:line="262" w:lineRule="auto"/>
        <w:tabs>
          <w:tab w:leader="none" w:pos="9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from the unauthorized online </w:t>
      </w:r>
      <w:r>
        <w:rPr>
          <w:rFonts w:ascii="Times New Roman" w:cs="Times New Roman" w:eastAsia="Times New Roman" w:hAnsi="Times New Roman"/>
          <w:sz w:val="18"/>
          <w:szCs w:val="18"/>
          <w:b w:val="1"/>
          <w:bCs w:val="1"/>
          <w:color w:val="auto"/>
        </w:rPr>
        <w:t>Network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xml:space="preserve"> or internet access to a customer account maintained by the Insured, through the use of fraudulently obtained customer login, identification, password, or authentication information, except where such information has been obtained directly from unauthorized fraudulent access to a secure file containing such information on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except when covered under Insuring Agreement I.2.</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18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020"/>
          </w:cols>
          <w:pgMar w:left="440" w:top="270" w:right="439" w:bottom="1440" w:gutter="0" w:footer="0" w:header="0"/>
        </w:sectPr>
      </w:pPr>
    </w:p>
    <w:bookmarkStart w:id="26" w:name="page27"/>
    <w:bookmarkEnd w:id="26"/>
    <w:p>
      <w:pPr>
        <w:ind w:left="960" w:right="100" w:hanging="532"/>
        <w:spacing w:after="0" w:line="262" w:lineRule="auto"/>
        <w:tabs>
          <w:tab w:leader="none" w:pos="9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bond does not cover damages resulting from any civil, criminal, or other legal proceeding in which the Insured or </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Adviser </w:t>
      </w:r>
      <w:r>
        <w:rPr>
          <w:rFonts w:ascii="Times New Roman" w:cs="Times New Roman" w:eastAsia="Times New Roman" w:hAnsi="Times New Roman"/>
          <w:sz w:val="18"/>
          <w:szCs w:val="18"/>
          <w:color w:val="auto"/>
        </w:rPr>
        <w:t>is adjudicated to have engaged in racketeering activity, except when the Insured establishes that the act or acts giving rise to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damages were committed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under circumstances that result directly in a loss to the Insured covered by Insuring Agreement A. For purposes of this exclusion, “racketeering activity” is defined in 18 U.S.C. 1961 et seq., as amended.</w:t>
      </w:r>
    </w:p>
    <w:p>
      <w:pPr>
        <w:spacing w:after="0" w:line="81" w:lineRule="exact"/>
        <w:rPr>
          <w:rFonts w:ascii="Times New Roman" w:cs="Times New Roman" w:eastAsia="Times New Roman" w:hAnsi="Times New Roman"/>
          <w:sz w:val="18"/>
          <w:szCs w:val="18"/>
          <w:b w:val="1"/>
          <w:bCs w:val="1"/>
          <w:color w:val="auto"/>
        </w:rPr>
      </w:pPr>
    </w:p>
    <w:p>
      <w:pPr>
        <w:ind w:left="960" w:right="400" w:hanging="532"/>
        <w:spacing w:after="0" w:line="286" w:lineRule="auto"/>
        <w:tabs>
          <w:tab w:leader="none" w:pos="9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any loss resulting directly or indirectly from a </w:t>
      </w:r>
      <w:r>
        <w:rPr>
          <w:rFonts w:ascii="Times New Roman" w:cs="Times New Roman" w:eastAsia="Times New Roman" w:hAnsi="Times New Roman"/>
          <w:sz w:val="18"/>
          <w:szCs w:val="18"/>
          <w:b w:val="1"/>
          <w:bCs w:val="1"/>
          <w:color w:val="auto"/>
        </w:rPr>
        <w:t>Fraudulent Instruction</w:t>
      </w:r>
      <w:r>
        <w:rPr>
          <w:rFonts w:ascii="Times New Roman" w:cs="Times New Roman" w:eastAsia="Times New Roman" w:hAnsi="Times New Roman"/>
          <w:sz w:val="18"/>
          <w:szCs w:val="18"/>
          <w:color w:val="auto"/>
        </w:rPr>
        <w:t xml:space="preserve"> except when covered under Insuring Agreement I.2.</w:t>
      </w:r>
    </w:p>
    <w:p>
      <w:pPr>
        <w:spacing w:after="0" w:line="64" w:lineRule="exact"/>
        <w:rPr>
          <w:rFonts w:ascii="Times New Roman" w:cs="Times New Roman" w:eastAsia="Times New Roman" w:hAnsi="Times New Roman"/>
          <w:sz w:val="18"/>
          <w:szCs w:val="18"/>
          <w:b w:val="1"/>
          <w:bCs w:val="1"/>
          <w:color w:val="auto"/>
        </w:rPr>
      </w:pPr>
    </w:p>
    <w:p>
      <w:pPr>
        <w:ind w:left="960" w:right="320" w:hanging="532"/>
        <w:spacing w:after="0" w:line="266" w:lineRule="auto"/>
        <w:tabs>
          <w:tab w:leader="none" w:pos="9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or expenses due to liability imposed upon the Insured as a result of the unlawful disclosure of non-public information by the Insured,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or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as a result of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acting upon such information, whether or not authorized.</w:t>
      </w:r>
    </w:p>
    <w:p>
      <w:pPr>
        <w:spacing w:after="0" w:line="77" w:lineRule="exact"/>
        <w:rPr>
          <w:rFonts w:ascii="Times New Roman" w:cs="Times New Roman" w:eastAsia="Times New Roman" w:hAnsi="Times New Roman"/>
          <w:sz w:val="18"/>
          <w:szCs w:val="18"/>
          <w:b w:val="1"/>
          <w:bCs w:val="1"/>
          <w:color w:val="auto"/>
        </w:rPr>
      </w:pPr>
    </w:p>
    <w:p>
      <w:pPr>
        <w:ind w:left="960" w:right="20" w:hanging="532"/>
        <w:spacing w:after="0" w:line="268" w:lineRule="auto"/>
        <w:tabs>
          <w:tab w:leader="none" w:pos="9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does not cover loss resulting directly or indirectly from the input of an </w:t>
      </w:r>
      <w:r>
        <w:rPr>
          <w:rFonts w:ascii="Times New Roman" w:cs="Times New Roman" w:eastAsia="Times New Roman" w:hAnsi="Times New Roman"/>
          <w:sz w:val="18"/>
          <w:szCs w:val="18"/>
          <w:b w:val="1"/>
          <w:bCs w:val="1"/>
          <w:color w:val="auto"/>
        </w:rPr>
        <w:t>Electronic Record</w:t>
      </w:r>
      <w:r>
        <w:rPr>
          <w:rFonts w:ascii="Times New Roman" w:cs="Times New Roman" w:eastAsia="Times New Roman" w:hAnsi="Times New Roman"/>
          <w:sz w:val="18"/>
          <w:szCs w:val="18"/>
          <w:color w:val="auto"/>
        </w:rPr>
        <w:t xml:space="preserve"> into a </w:t>
      </w:r>
      <w:r>
        <w:rPr>
          <w:rFonts w:ascii="Times New Roman" w:cs="Times New Roman" w:eastAsia="Times New Roman" w:hAnsi="Times New Roman"/>
          <w:sz w:val="18"/>
          <w:szCs w:val="18"/>
          <w:b w:val="1"/>
          <w:bCs w:val="1"/>
          <w:color w:val="auto"/>
        </w:rPr>
        <w:t>Computer System</w:t>
      </w:r>
      <w:r>
        <w:rPr>
          <w:rFonts w:ascii="Times New Roman" w:cs="Times New Roman" w:eastAsia="Times New Roman" w:hAnsi="Times New Roman"/>
          <w:sz w:val="18"/>
          <w:szCs w:val="18"/>
          <w:color w:val="auto"/>
        </w:rPr>
        <w:t>, either on the premises of a customer of the Insured or under the control of such a customer, by a customer or other person who had authorized access to the customer’s authentication mechanism.</w:t>
      </w:r>
    </w:p>
    <w:p>
      <w:pPr>
        <w:spacing w:after="0" w:line="31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VI.</w:t>
        <w:tab/>
        <w:t>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69951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78" w:lineRule="exact"/>
        <w:rPr>
          <w:sz w:val="20"/>
          <w:szCs w:val="20"/>
          <w:color w:val="auto"/>
        </w:rPr>
      </w:pPr>
    </w:p>
    <w:p>
      <w:pPr>
        <w:ind w:left="960" w:hanging="532"/>
        <w:spacing w:after="0"/>
        <w:tabs>
          <w:tab w:leader="none" w:pos="9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COMPANIES INCLUDED AS INSURED</w:t>
      </w:r>
    </w:p>
    <w:p>
      <w:pPr>
        <w:spacing w:after="0" w:line="121"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more than one corporation, co-partnership, or person, or any combination of them are included as the Insured herein:</w:t>
      </w:r>
    </w:p>
    <w:p>
      <w:pPr>
        <w:spacing w:after="0" w:line="130" w:lineRule="exact"/>
        <w:rPr>
          <w:rFonts w:ascii="Times New Roman" w:cs="Times New Roman" w:eastAsia="Times New Roman" w:hAnsi="Times New Roman"/>
          <w:sz w:val="18"/>
          <w:szCs w:val="18"/>
          <w:b w:val="1"/>
          <w:bCs w:val="1"/>
          <w:color w:val="auto"/>
        </w:rPr>
      </w:pPr>
    </w:p>
    <w:p>
      <w:pPr>
        <w:ind w:left="1420" w:right="260" w:hanging="439"/>
        <w:spacing w:after="0" w:line="282" w:lineRule="auto"/>
        <w:tabs>
          <w:tab w:leader="none" w:pos="14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liability of the Company for loss or losses sustained by any one or more or all of them will not exceed the limit for which the Company would be liable hereunder if all such loss were sustained by any one of them;</w:t>
      </w:r>
    </w:p>
    <w:p>
      <w:pPr>
        <w:spacing w:after="0" w:line="67" w:lineRule="exact"/>
        <w:rPr>
          <w:rFonts w:ascii="Times New Roman" w:cs="Times New Roman" w:eastAsia="Times New Roman" w:hAnsi="Times New Roman"/>
          <w:sz w:val="18"/>
          <w:szCs w:val="18"/>
          <w:color w:val="auto"/>
        </w:rPr>
      </w:pPr>
    </w:p>
    <w:p>
      <w:pPr>
        <w:ind w:left="1420" w:right="20" w:hanging="439"/>
        <w:spacing w:after="0" w:line="258" w:lineRule="auto"/>
        <w:tabs>
          <w:tab w:leader="none" w:pos="14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Insured first named will be deemed authorized to make, adjust and receive and enforce payment of all claims under the bond and will be deemed to be the agent of the others for such purposes and for the giving or receiving of any notice required or permitted to be given by the terms of this bond, provided however that the Company will furnish each named Insured with a copy of the bond and with any amendment to the bond, together with a copy of each formal filing of claim by any Insured and notification of the terms of any settlement of a claim prior to the execution of such settlement;</w:t>
      </w:r>
    </w:p>
    <w:p>
      <w:pPr>
        <w:spacing w:after="0" w:line="88"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be responsible for the proper application of any payment made hereunder to the first named Insured; and</w:t>
      </w:r>
    </w:p>
    <w:p>
      <w:pPr>
        <w:spacing w:after="0" w:line="126" w:lineRule="exact"/>
        <w:rPr>
          <w:rFonts w:ascii="Times New Roman" w:cs="Times New Roman" w:eastAsia="Times New Roman" w:hAnsi="Times New Roman"/>
          <w:sz w:val="18"/>
          <w:szCs w:val="18"/>
          <w:color w:val="auto"/>
        </w:rPr>
      </w:pPr>
    </w:p>
    <w:p>
      <w:pPr>
        <w:ind w:left="1420" w:right="360" w:hanging="439"/>
        <w:spacing w:after="0" w:line="286" w:lineRule="auto"/>
        <w:tabs>
          <w:tab w:leader="none" w:pos="14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knowledge possessed or discovery made by any partner, officer or supervisory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of any Insured will for the purposes of Condition B., Condition H. or Condition R. of this bond constitute knowledge or discovery by all the Insureds.</w:t>
      </w:r>
    </w:p>
    <w:p>
      <w:pPr>
        <w:spacing w:after="0" w:line="6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DISCOVERY</w:t>
      </w:r>
    </w:p>
    <w:p>
      <w:pPr>
        <w:spacing w:after="0" w:line="117" w:lineRule="exact"/>
        <w:rPr>
          <w:rFonts w:ascii="Times New Roman" w:cs="Times New Roman" w:eastAsia="Times New Roman" w:hAnsi="Times New Roman"/>
          <w:sz w:val="18"/>
          <w:szCs w:val="18"/>
          <w:b w:val="1"/>
          <w:bCs w:val="1"/>
          <w:color w:val="auto"/>
        </w:rPr>
      </w:pPr>
    </w:p>
    <w:p>
      <w:pPr>
        <w:ind w:left="980" w:right="10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applies to loss discovered by the Insured during the </w:t>
      </w:r>
      <w:r>
        <w:rPr>
          <w:rFonts w:ascii="Times New Roman" w:cs="Times New Roman" w:eastAsia="Times New Roman" w:hAnsi="Times New Roman"/>
          <w:sz w:val="18"/>
          <w:szCs w:val="18"/>
          <w:b w:val="1"/>
          <w:bCs w:val="1"/>
          <w:color w:val="auto"/>
        </w:rPr>
        <w:t>Bond Period</w:t>
      </w:r>
      <w:r>
        <w:rPr>
          <w:rFonts w:ascii="Times New Roman" w:cs="Times New Roman" w:eastAsia="Times New Roman" w:hAnsi="Times New Roman"/>
          <w:sz w:val="18"/>
          <w:szCs w:val="18"/>
          <w:color w:val="auto"/>
        </w:rPr>
        <w:t xml:space="preserve">. Discovery occurs when an officer or director of the Insured or of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first becomes aware of facts that would cause a reasonable person to assume that a loss of a type covered by this bond has been or will be incurred, regardless of when the act or acts causing or contributing to such loss occurred, even though the exact amount or details of loss may not then be known.</w:t>
      </w:r>
    </w:p>
    <w:p>
      <w:pPr>
        <w:spacing w:after="0" w:line="68" w:lineRule="exact"/>
        <w:rPr>
          <w:rFonts w:ascii="Times New Roman" w:cs="Times New Roman" w:eastAsia="Times New Roman" w:hAnsi="Times New Roman"/>
          <w:sz w:val="18"/>
          <w:szCs w:val="18"/>
          <w:b w:val="1"/>
          <w:bCs w:val="1"/>
          <w:color w:val="auto"/>
        </w:rPr>
      </w:pPr>
    </w:p>
    <w:p>
      <w:pPr>
        <w:ind w:left="980" w:right="160"/>
        <w:spacing w:after="0" w:line="31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 xml:space="preserve">Discovery also occurs when an officer or director of the Insured or an </w:t>
      </w:r>
      <w:r>
        <w:rPr>
          <w:rFonts w:ascii="Times New Roman" w:cs="Times New Roman" w:eastAsia="Times New Roman" w:hAnsi="Times New Roman"/>
          <w:sz w:val="17"/>
          <w:szCs w:val="17"/>
          <w:b w:val="1"/>
          <w:bCs w:val="1"/>
          <w:color w:val="auto"/>
        </w:rPr>
        <w:t>Investment Adviser</w:t>
      </w:r>
      <w:r>
        <w:rPr>
          <w:rFonts w:ascii="Times New Roman" w:cs="Times New Roman" w:eastAsia="Times New Roman" w:hAnsi="Times New Roman"/>
          <w:sz w:val="17"/>
          <w:szCs w:val="17"/>
          <w:color w:val="auto"/>
        </w:rPr>
        <w:t xml:space="preserve"> receives notice of an actual or potential claim in which it is alleged that the Insured is liable to a third party under circumstances that, if true, would constitute a loss under this bond.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19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020"/>
          </w:cols>
          <w:pgMar w:left="440" w:top="266" w:right="439" w:bottom="1440" w:gutter="0" w:footer="0" w:header="0"/>
        </w:sectPr>
      </w:pPr>
    </w:p>
    <w:bookmarkStart w:id="27" w:name="page28"/>
    <w:bookmarkEnd w:id="27"/>
    <w:p>
      <w:pPr>
        <w:ind w:left="960" w:hanging="532"/>
        <w:spacing w:after="0"/>
        <w:tabs>
          <w:tab w:leader="none" w:pos="9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BOND PERIOD</w:t>
      </w:r>
    </w:p>
    <w:p>
      <w:pPr>
        <w:spacing w:after="0" w:line="117" w:lineRule="exact"/>
        <w:rPr>
          <w:rFonts w:ascii="Times New Roman" w:cs="Times New Roman" w:eastAsia="Times New Roman" w:hAnsi="Times New Roman"/>
          <w:sz w:val="18"/>
          <w:szCs w:val="18"/>
          <w:b w:val="1"/>
          <w:bCs w:val="1"/>
          <w:color w:val="auto"/>
        </w:rPr>
      </w:pPr>
    </w:p>
    <w:p>
      <w:pPr>
        <w:ind w:left="980" w:right="48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Bond Period </w:t>
      </w:r>
      <w:r>
        <w:rPr>
          <w:rFonts w:ascii="Times New Roman" w:cs="Times New Roman" w:eastAsia="Times New Roman" w:hAnsi="Times New Roman"/>
          <w:sz w:val="18"/>
          <w:szCs w:val="18"/>
          <w:color w:val="auto"/>
        </w:rPr>
        <w:t>means the period of one year following the inception date of this bond or any annual anniversary thereof, or if the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the inception or annual anniversary date and the expiration date of this bond is less than one year, then such lesser period.</w:t>
      </w:r>
    </w:p>
    <w:p>
      <w:pPr>
        <w:spacing w:after="0" w:line="60"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SINGLE LOSS</w:t>
      </w:r>
    </w:p>
    <w:p>
      <w:pPr>
        <w:spacing w:after="0" w:line="117" w:lineRule="exact"/>
        <w:rPr>
          <w:rFonts w:ascii="Times New Roman" w:cs="Times New Roman" w:eastAsia="Times New Roman" w:hAnsi="Times New Roman"/>
          <w:sz w:val="18"/>
          <w:szCs w:val="18"/>
          <w:b w:val="1"/>
          <w:bCs w:val="1"/>
          <w:color w:val="auto"/>
        </w:rPr>
      </w:pPr>
    </w:p>
    <w:p>
      <w:pPr>
        <w:ind w:left="980" w:right="48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Single Loss </w:t>
      </w:r>
      <w:r>
        <w:rPr>
          <w:rFonts w:ascii="Times New Roman" w:cs="Times New Roman" w:eastAsia="Times New Roman" w:hAnsi="Times New Roman"/>
          <w:sz w:val="18"/>
          <w:szCs w:val="18"/>
          <w:color w:val="auto"/>
        </w:rPr>
        <w:t>means all covered loss, including court costs and attorney’s fees incurred by the Company under General Agreement 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resulting from:</w:t>
      </w:r>
    </w:p>
    <w:p>
      <w:pPr>
        <w:spacing w:after="0" w:line="60"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one act or series of related acts of burglary, robbery, or attempt thereat, in which no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is implicated;</w:t>
      </w:r>
    </w:p>
    <w:p>
      <w:pPr>
        <w:spacing w:after="0" w:line="130" w:lineRule="exact"/>
        <w:rPr>
          <w:rFonts w:ascii="Times New Roman" w:cs="Times New Roman" w:eastAsia="Times New Roman" w:hAnsi="Times New Roman"/>
          <w:sz w:val="18"/>
          <w:szCs w:val="18"/>
          <w:color w:val="auto"/>
        </w:rPr>
      </w:pPr>
    </w:p>
    <w:p>
      <w:pPr>
        <w:ind w:left="1420" w:right="140" w:hanging="439"/>
        <w:spacing w:after="0" w:line="286" w:lineRule="auto"/>
        <w:tabs>
          <w:tab w:leader="none" w:pos="14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one act or series of related unintentional or negligent acts or omissions on the part of any person (whether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not) resulting in damage to or destruction or misplacement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color w:val="auto"/>
        </w:rPr>
      </w:pPr>
    </w:p>
    <w:p>
      <w:pPr>
        <w:ind w:left="1420" w:right="200" w:hanging="439"/>
        <w:spacing w:after="0" w:line="286" w:lineRule="auto"/>
        <w:tabs>
          <w:tab w:leader="none" w:pos="14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acts or omissions other than those specified in 1. and 2. above, caused by any person (whether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not) or in which such person is implicated; or</w:t>
      </w:r>
    </w:p>
    <w:p>
      <w:pPr>
        <w:spacing w:after="0" w:line="64"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casualty or event not specified in 1., 2., or 3. above.</w:t>
      </w:r>
    </w:p>
    <w:p>
      <w:pPr>
        <w:spacing w:after="0" w:line="126"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SINGLE LOSS LIMIT OF INSURANCE</w:t>
      </w:r>
    </w:p>
    <w:p>
      <w:pPr>
        <w:spacing w:after="0" w:line="117" w:lineRule="exact"/>
        <w:rPr>
          <w:rFonts w:ascii="Times New Roman" w:cs="Times New Roman" w:eastAsia="Times New Roman" w:hAnsi="Times New Roman"/>
          <w:sz w:val="18"/>
          <w:szCs w:val="18"/>
          <w:b w:val="1"/>
          <w:bCs w:val="1"/>
          <w:color w:val="auto"/>
        </w:rPr>
      </w:pPr>
    </w:p>
    <w:p>
      <w:pPr>
        <w:ind w:left="980" w:right="8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Company’s liability for each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will not exceed the applicable Single Loss Limit of Insurance set forth in ITEM 4 of the Declarations. If a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is covered under more than one Insuring Agreement or Coverage, the Single Loss Limit of Insurance for each applicable Insuring Agreement or Coverage will apply separately to that part of the loss covered under such Insuring Agreement or Coverage, provided that the maximum payable for such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will not exceed the largest applicable Single Loss Limit of Insurance.</w:t>
      </w:r>
    </w:p>
    <w:p>
      <w:pPr>
        <w:spacing w:after="0" w:line="81"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DEDUCTIBLE</w:t>
      </w:r>
    </w:p>
    <w:p>
      <w:pPr>
        <w:spacing w:after="0" w:line="117" w:lineRule="exact"/>
        <w:rPr>
          <w:rFonts w:ascii="Times New Roman" w:cs="Times New Roman" w:eastAsia="Times New Roman" w:hAnsi="Times New Roman"/>
          <w:sz w:val="18"/>
          <w:szCs w:val="18"/>
          <w:b w:val="1"/>
          <w:bCs w:val="1"/>
          <w:color w:val="auto"/>
        </w:rPr>
      </w:pPr>
    </w:p>
    <w:p>
      <w:pPr>
        <w:ind w:left="980" w:right="48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Company is liable hereunder only for the amount by which any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exceeds the Single Loss Deductible Amount for the Insuring Agreement or Coverage applicable to such loss, subject to the applicable Single Loss Limit of Insurance.</w:t>
      </w:r>
    </w:p>
    <w:p>
      <w:pPr>
        <w:spacing w:after="0" w:line="46" w:lineRule="exact"/>
        <w:rPr>
          <w:rFonts w:ascii="Times New Roman" w:cs="Times New Roman" w:eastAsia="Times New Roman" w:hAnsi="Times New Roman"/>
          <w:sz w:val="18"/>
          <w:szCs w:val="18"/>
          <w:b w:val="1"/>
          <w:bCs w:val="1"/>
          <w:color w:val="auto"/>
        </w:rPr>
      </w:pPr>
    </w:p>
    <w:p>
      <w:pPr>
        <w:ind w:left="980" w:right="1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a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is covered under more than one Coverage within an Insuring Agreement, the Single Loss Deductible Amount set forth in ITEM 4 of the Declarations for each applicable Coverage will apply separately to the part of such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covered under such Coverage, however the sum of such Single Loss Deductible Amounts for such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will not exceed the highest applicable Single Loss Deductible Amount for any such Coverage.</w:t>
      </w:r>
    </w:p>
    <w:p>
      <w:pPr>
        <w:spacing w:after="0" w:line="72" w:lineRule="exact"/>
        <w:rPr>
          <w:rFonts w:ascii="Times New Roman" w:cs="Times New Roman" w:eastAsia="Times New Roman" w:hAnsi="Times New Roman"/>
          <w:sz w:val="18"/>
          <w:szCs w:val="18"/>
          <w:b w:val="1"/>
          <w:bCs w:val="1"/>
          <w:color w:val="auto"/>
        </w:rPr>
      </w:pPr>
    </w:p>
    <w:p>
      <w:pPr>
        <w:ind w:left="980" w:right="1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Insured will, in the time and in the manner prescribed in this bond, give the Company notice of any loss of the kind covered by the terms of this bond that exceeds 25% of the Single Loss Deductible Amount applicable to such loss, whether or not the Company is liable therefor, and upon the request of the Company will file with it a brief statement giving the particulars concerning such loss.</w:t>
      </w:r>
    </w:p>
    <w:p>
      <w:pPr>
        <w:spacing w:after="0" w:line="77"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NON-ACCUMULATION OF LIMITS</w:t>
      </w:r>
    </w:p>
    <w:p>
      <w:pPr>
        <w:spacing w:after="0" w:line="117" w:lineRule="exact"/>
        <w:rPr>
          <w:rFonts w:ascii="Times New Roman" w:cs="Times New Roman" w:eastAsia="Times New Roman" w:hAnsi="Times New Roman"/>
          <w:sz w:val="18"/>
          <w:szCs w:val="18"/>
          <w:b w:val="1"/>
          <w:bCs w:val="1"/>
          <w:color w:val="auto"/>
        </w:rPr>
      </w:pPr>
    </w:p>
    <w:p>
      <w:pPr>
        <w:ind w:left="980" w:right="34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Single Loss Limit of Insurance of the Company is not cumulative in amount from </w:t>
      </w:r>
      <w:r>
        <w:rPr>
          <w:rFonts w:ascii="Times New Roman" w:cs="Times New Roman" w:eastAsia="Times New Roman" w:hAnsi="Times New Roman"/>
          <w:sz w:val="18"/>
          <w:szCs w:val="18"/>
          <w:b w:val="1"/>
          <w:bCs w:val="1"/>
          <w:color w:val="auto"/>
        </w:rPr>
        <w:t>Bond Period</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b w:val="1"/>
          <w:bCs w:val="1"/>
          <w:color w:val="auto"/>
        </w:rPr>
        <w:t>Bond Period</w:t>
      </w:r>
      <w:r>
        <w:rPr>
          <w:rFonts w:ascii="Times New Roman" w:cs="Times New Roman" w:eastAsia="Times New Roman" w:hAnsi="Times New Roman"/>
          <w:sz w:val="18"/>
          <w:szCs w:val="18"/>
          <w:color w:val="auto"/>
        </w:rPr>
        <w:t>, regardless of the number of years this bond is in force, the number of times this bond may be renewed or replaced, or the number of premiums that are payable or paid.</w:t>
      </w:r>
    </w:p>
    <w:p>
      <w:pPr>
        <w:spacing w:after="0" w:line="76"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 PROOF OF LOSS - LEGAL PROCEEDINGS</w:t>
      </w:r>
    </w:p>
    <w:p>
      <w:pPr>
        <w:spacing w:after="0" w:line="130" w:lineRule="exact"/>
        <w:rPr>
          <w:rFonts w:ascii="Times New Roman" w:cs="Times New Roman" w:eastAsia="Times New Roman" w:hAnsi="Times New Roman"/>
          <w:sz w:val="18"/>
          <w:szCs w:val="18"/>
          <w:b w:val="1"/>
          <w:bCs w:val="1"/>
          <w:color w:val="auto"/>
        </w:rPr>
      </w:pPr>
    </w:p>
    <w:p>
      <w:pPr>
        <w:ind w:left="1420" w:right="240" w:hanging="439"/>
        <w:spacing w:after="0" w:line="286" w:lineRule="auto"/>
        <w:tabs>
          <w:tab w:leader="none" w:pos="14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earliest practicable moment not to exceed 90 days after discovery of loss,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must give the Company notice thereof.</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20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020"/>
          </w:cols>
          <w:pgMar w:left="440" w:top="266" w:right="439" w:bottom="1440" w:gutter="0" w:footer="0" w:header="0"/>
        </w:sectPr>
      </w:pPr>
    </w:p>
    <w:bookmarkStart w:id="28" w:name="page29"/>
    <w:bookmarkEnd w:id="28"/>
    <w:p>
      <w:pPr>
        <w:ind w:left="1420" w:right="180" w:hanging="439"/>
        <w:spacing w:after="0" w:line="286" w:lineRule="auto"/>
        <w:tabs>
          <w:tab w:leader="none" w:pos="14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Within six months after such discovery,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must furnish to the Company proof of loss, duly sworn to, with full particulars.</w:t>
      </w:r>
    </w:p>
    <w:p>
      <w:pPr>
        <w:spacing w:after="0" w:line="60" w:lineRule="exact"/>
        <w:rPr>
          <w:rFonts w:ascii="Times New Roman" w:cs="Times New Roman" w:eastAsia="Times New Roman" w:hAnsi="Times New Roman"/>
          <w:sz w:val="18"/>
          <w:szCs w:val="18"/>
          <w:color w:val="auto"/>
        </w:rPr>
      </w:pPr>
    </w:p>
    <w:p>
      <w:pPr>
        <w:ind w:left="1420" w:right="160" w:hanging="439"/>
        <w:spacing w:after="0" w:line="286" w:lineRule="auto"/>
        <w:tabs>
          <w:tab w:leader="none" w:pos="14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Lost </w:t>
      </w:r>
      <w:r>
        <w:rPr>
          <w:rFonts w:ascii="Times New Roman" w:cs="Times New Roman" w:eastAsia="Times New Roman" w:hAnsi="Times New Roman"/>
          <w:sz w:val="18"/>
          <w:szCs w:val="18"/>
          <w:b w:val="1"/>
          <w:bCs w:val="1"/>
          <w:color w:val="auto"/>
        </w:rPr>
        <w:t>Certificated Securities</w:t>
      </w:r>
      <w:r>
        <w:rPr>
          <w:rFonts w:ascii="Times New Roman" w:cs="Times New Roman" w:eastAsia="Times New Roman" w:hAnsi="Times New Roman"/>
          <w:sz w:val="18"/>
          <w:szCs w:val="18"/>
          <w:color w:val="auto"/>
        </w:rPr>
        <w:t xml:space="preserve"> listed in a proof of loss will be identified by certificate or bond numbers if such securities were issued therewith.</w:t>
      </w:r>
    </w:p>
    <w:p>
      <w:pPr>
        <w:spacing w:after="0" w:line="64" w:lineRule="exact"/>
        <w:rPr>
          <w:rFonts w:ascii="Times New Roman" w:cs="Times New Roman" w:eastAsia="Times New Roman" w:hAnsi="Times New Roman"/>
          <w:sz w:val="18"/>
          <w:szCs w:val="18"/>
          <w:color w:val="auto"/>
        </w:rPr>
      </w:pPr>
    </w:p>
    <w:p>
      <w:pPr>
        <w:ind w:left="1420" w:right="20" w:hanging="439"/>
        <w:spacing w:after="0" w:line="258" w:lineRule="auto"/>
        <w:tabs>
          <w:tab w:leader="none" w:pos="14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for the recovery of any loss hereunder will not be brought prior to the expiration of 60 days after the original proof of loss is filed with the Company or after the expiration of 24 months from the discovery of such loss, except that any action or proceeding to recover hereunder on account of any judgment against the Insured in any suit mentioned in General Agreement E., or to recover attorney’s fees paid in any such suit, will be brought within 24 months from the date upon which the judgment and such suit will become final.</w:t>
      </w:r>
    </w:p>
    <w:p>
      <w:pPr>
        <w:spacing w:after="0" w:line="88" w:lineRule="exact"/>
        <w:rPr>
          <w:rFonts w:ascii="Times New Roman" w:cs="Times New Roman" w:eastAsia="Times New Roman" w:hAnsi="Times New Roman"/>
          <w:sz w:val="18"/>
          <w:szCs w:val="18"/>
          <w:color w:val="auto"/>
        </w:rPr>
      </w:pPr>
    </w:p>
    <w:p>
      <w:pPr>
        <w:ind w:left="1420" w:right="160" w:hanging="439"/>
        <w:spacing w:after="0" w:line="282" w:lineRule="auto"/>
        <w:tabs>
          <w:tab w:leader="none" w:pos="14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limitation embodied in this bond is prohibited by any law controlling the construction hereof, such limitation will be deemed to be amended so as to equal the minimum period of limitation provided by such law.</w:t>
      </w:r>
    </w:p>
    <w:p>
      <w:pPr>
        <w:spacing w:after="0" w:line="67" w:lineRule="exact"/>
        <w:rPr>
          <w:rFonts w:ascii="Times New Roman" w:cs="Times New Roman" w:eastAsia="Times New Roman" w:hAnsi="Times New Roman"/>
          <w:sz w:val="18"/>
          <w:szCs w:val="18"/>
          <w:color w:val="auto"/>
        </w:rPr>
      </w:pPr>
    </w:p>
    <w:p>
      <w:pPr>
        <w:ind w:left="1420" w:right="180" w:hanging="439"/>
        <w:spacing w:after="0" w:line="282" w:lineRule="auto"/>
        <w:tabs>
          <w:tab w:leader="none" w:pos="14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bond is for the use and benefit only of the Insured, and the Company will not be liable hereunder for loss sustained by anyone other than the Insured. No suit, action or legal proceedings will be brought hereunder by anyone other than the Insured.</w:t>
      </w:r>
    </w:p>
    <w:p>
      <w:pPr>
        <w:spacing w:after="0" w:line="63"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VALUATION</w:t>
      </w:r>
    </w:p>
    <w:p>
      <w:pPr>
        <w:spacing w:after="0" w:line="134"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w:t>
      </w:r>
    </w:p>
    <w:p>
      <w:pPr>
        <w:spacing w:after="0" w:line="113" w:lineRule="exact"/>
        <w:rPr>
          <w:rFonts w:ascii="Times New Roman" w:cs="Times New Roman" w:eastAsia="Times New Roman" w:hAnsi="Times New Roman"/>
          <w:sz w:val="18"/>
          <w:szCs w:val="18"/>
          <w:color w:val="auto"/>
        </w:rPr>
      </w:pPr>
    </w:p>
    <w:p>
      <w:pPr>
        <w:ind w:left="1420" w:right="2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loss of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or loss payable in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will be paid, at the option of the Insured, in the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of the country in which the loss was sustained or in the U.S. dollar equivalent thereof determined at the rate of exchange at the time of payment of such loss.</w:t>
      </w:r>
    </w:p>
    <w:p>
      <w:pPr>
        <w:spacing w:after="0" w:line="64"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w:t>
      </w:r>
    </w:p>
    <w:p>
      <w:pPr>
        <w:spacing w:after="0" w:line="117" w:lineRule="exact"/>
        <w:rPr>
          <w:rFonts w:ascii="Times New Roman" w:cs="Times New Roman" w:eastAsia="Times New Roman" w:hAnsi="Times New Roman"/>
          <w:sz w:val="18"/>
          <w:szCs w:val="18"/>
          <w:color w:val="auto"/>
        </w:rPr>
      </w:pPr>
    </w:p>
    <w:p>
      <w:pPr>
        <w:ind w:left="1420" w:right="4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Company will settle in kind its liability under this bond on account of a loss of any securities or, at the option of the Insured, will pay to the Insured the cost of replacing such securities, determined by their highest quoted market value at any time between the business day next preceding the discovery of the loss and the day that the loss is settled. In case of a loss of subscription, conversion or redemption privileges through the misplacement or loss of securities, the amount of such loss will be the value of such privileges immediately preceding the expiration thereof. If such securities cannot be replaced or have no quoted market value, or if such privileges have no quoted market value, their value will be determined by agreement or, at the option of the Insured, arbitration.</w:t>
      </w:r>
    </w:p>
    <w:p>
      <w:pPr>
        <w:spacing w:after="0" w:line="64" w:lineRule="exact"/>
        <w:rPr>
          <w:rFonts w:ascii="Times New Roman" w:cs="Times New Roman" w:eastAsia="Times New Roman" w:hAnsi="Times New Roman"/>
          <w:sz w:val="18"/>
          <w:szCs w:val="18"/>
          <w:color w:val="auto"/>
        </w:rPr>
      </w:pPr>
    </w:p>
    <w:p>
      <w:pPr>
        <w:jc w:val="both"/>
        <w:ind w:left="1420" w:right="8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If the applicable coverage of this bond is subject to a Single Loss Deductible Amount or is not sufficient in amount to indemnify the Insured in full for the loss of securities for which claim is made hereunder, the liability of the Company under this bond is limited to the payment for, or the duplication of, so much of such securities as has a value equal to the amount of such applicable coverage.</w:t>
      </w:r>
    </w:p>
    <w:p>
      <w:pPr>
        <w:spacing w:after="0" w:line="49" w:lineRule="exact"/>
        <w:rPr>
          <w:rFonts w:ascii="Times New Roman" w:cs="Times New Roman" w:eastAsia="Times New Roman" w:hAnsi="Times New Roman"/>
          <w:sz w:val="18"/>
          <w:szCs w:val="18"/>
          <w:color w:val="auto"/>
        </w:rPr>
      </w:pPr>
    </w:p>
    <w:p>
      <w:pPr>
        <w:ind w:left="1420" w:right="1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instance of the Company, the Insured or any customer of the Insured becomes principal upon any bonds, or gives any undertakings, required as a prerequisite to the reissuing or duplicating of any securities for the loss of which the Company is liable under this bond, the Company will become surety upon such bonds or undertakings without premium charge and will indemnify the Insured or such customer against any loss that the Insured or such customer may sustain by reason of having become principal upon any such bonds or having given any such undertakings. The amount of indemnity under this paragraph will not exceed the amount stated in ITEM 4 of the Declarations for the applicable Insuring Agreement.</w:t>
      </w:r>
    </w:p>
    <w:p>
      <w:pPr>
        <w:spacing w:after="0" w:line="92"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Books of Account and Other Records</w:t>
      </w:r>
    </w:p>
    <w:p>
      <w:pPr>
        <w:spacing w:after="0" w:line="117" w:lineRule="exact"/>
        <w:rPr>
          <w:rFonts w:ascii="Times New Roman" w:cs="Times New Roman" w:eastAsia="Times New Roman" w:hAnsi="Times New Roman"/>
          <w:sz w:val="18"/>
          <w:szCs w:val="18"/>
          <w:color w:val="auto"/>
        </w:rPr>
      </w:pPr>
    </w:p>
    <w:p>
      <w:pPr>
        <w:ind w:left="1420" w:right="1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loss of, or damage to, any books of account or other records used by the Insured in its business, the Company will be liable under this bond only if such books or records are actually reproduced and then for not more than the cost of the blank books, blank pages or other materials plus the cost of labor for the actual transcription or copying of data that have been furnished by the Insured in order to reproduce such books and other records.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21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020"/>
          </w:cols>
          <w:pgMar w:left="440" w:top="266" w:right="439" w:bottom="1440" w:gutter="0" w:footer="0" w:header="0"/>
        </w:sectPr>
      </w:pPr>
    </w:p>
    <w:bookmarkStart w:id="29" w:name="page30"/>
    <w:bookmarkEnd w:id="29"/>
    <w:p>
      <w:pPr>
        <w:ind w:left="1420" w:hanging="439"/>
        <w:spacing w:after="0"/>
        <w:tabs>
          <w:tab w:leader="none" w:pos="14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Property other than Money, Securities, Books of Account or Other Records</w:t>
      </w:r>
    </w:p>
    <w:p>
      <w:pPr>
        <w:spacing w:after="0" w:line="113" w:lineRule="exact"/>
        <w:rPr>
          <w:rFonts w:ascii="Times New Roman" w:cs="Times New Roman" w:eastAsia="Times New Roman" w:hAnsi="Times New Roman"/>
          <w:sz w:val="18"/>
          <w:szCs w:val="18"/>
          <w:color w:val="auto"/>
        </w:rPr>
      </w:pPr>
    </w:p>
    <w:p>
      <w:pPr>
        <w:ind w:left="1420" w:right="48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case of loss of, or damage to, any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securities, books of account or other records, except damage covered under Insuring Agreement B.2. or B.3., the Company will not be liable for more than the actual cash value of such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The Company may, at its election, pay the actual cash value of, repair or replace such</w:t>
      </w:r>
      <w:r>
        <w:rPr>
          <w:rFonts w:ascii="Times New Roman" w:cs="Times New Roman" w:eastAsia="Times New Roman" w:hAnsi="Times New Roman"/>
          <w:sz w:val="18"/>
          <w:szCs w:val="18"/>
          <w:b w:val="1"/>
          <w:bCs w:val="1"/>
          <w:color w:val="auto"/>
        </w:rPr>
        <w:t xml:space="preserve"> Property</w:t>
      </w:r>
      <w:r>
        <w:rPr>
          <w:rFonts w:ascii="Times New Roman" w:cs="Times New Roman" w:eastAsia="Times New Roman" w:hAnsi="Times New Roman"/>
          <w:sz w:val="18"/>
          <w:szCs w:val="18"/>
          <w:color w:val="auto"/>
        </w:rPr>
        <w:t>.</w:t>
      </w:r>
    </w:p>
    <w:p>
      <w:pPr>
        <w:spacing w:after="0" w:line="62" w:lineRule="exact"/>
        <w:rPr>
          <w:rFonts w:ascii="Times New Roman" w:cs="Times New Roman" w:eastAsia="Times New Roman" w:hAnsi="Times New Roman"/>
          <w:sz w:val="18"/>
          <w:szCs w:val="18"/>
          <w:color w:val="auto"/>
        </w:rPr>
      </w:pPr>
    </w:p>
    <w:p>
      <w:pPr>
        <w:ind w:left="1420" w:right="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damage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covered under Insuring Agreement B.2., the Company will be liable for the full cost of repair or replacement of such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without deduction for depreciation.</w:t>
      </w:r>
    </w:p>
    <w:p>
      <w:pPr>
        <w:spacing w:after="0" w:line="50" w:lineRule="exact"/>
        <w:rPr>
          <w:rFonts w:ascii="Times New Roman" w:cs="Times New Roman" w:eastAsia="Times New Roman" w:hAnsi="Times New Roman"/>
          <w:sz w:val="18"/>
          <w:szCs w:val="18"/>
          <w:color w:val="auto"/>
        </w:rPr>
      </w:pPr>
    </w:p>
    <w:p>
      <w:pPr>
        <w:ind w:left="1420" w:right="5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between the Company and the Insured as to the cash value, replacement value or as to the adequacy of repair or replacement will be resolved by agreement or, at the option of the Insured, arbitration.</w:t>
      </w:r>
    </w:p>
    <w:p>
      <w:pPr>
        <w:spacing w:after="0" w:line="63"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w:t>
      </w:r>
    </w:p>
    <w:p>
      <w:pPr>
        <w:spacing w:after="0" w:line="117" w:lineRule="exact"/>
        <w:rPr>
          <w:rFonts w:ascii="Times New Roman" w:cs="Times New Roman" w:eastAsia="Times New Roman" w:hAnsi="Times New Roman"/>
          <w:sz w:val="18"/>
          <w:szCs w:val="18"/>
          <w:b w:val="1"/>
          <w:bCs w:val="1"/>
          <w:color w:val="auto"/>
        </w:rPr>
      </w:pPr>
    </w:p>
    <w:p>
      <w:pPr>
        <w:ind w:left="980" w:right="60"/>
        <w:spacing w:after="0" w:line="31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 xml:space="preserve">In the event of payment under this bond, the Insured or </w:t>
      </w:r>
      <w:r>
        <w:rPr>
          <w:rFonts w:ascii="Times New Roman" w:cs="Times New Roman" w:eastAsia="Times New Roman" w:hAnsi="Times New Roman"/>
          <w:sz w:val="17"/>
          <w:szCs w:val="17"/>
          <w:b w:val="1"/>
          <w:bCs w:val="1"/>
          <w:color w:val="auto"/>
        </w:rPr>
        <w:t>Investment Adviser</w:t>
      </w:r>
      <w:r>
        <w:rPr>
          <w:rFonts w:ascii="Times New Roman" w:cs="Times New Roman" w:eastAsia="Times New Roman" w:hAnsi="Times New Roman"/>
          <w:sz w:val="17"/>
          <w:szCs w:val="17"/>
          <w:color w:val="auto"/>
        </w:rPr>
        <w:t xml:space="preserve"> will deliver, if so requested by the Company, an assignment of such of the Insured’s rights, title and interest and causes of action as it has against any person or entity to the extent of the loss payment.</w:t>
      </w:r>
    </w:p>
    <w:p>
      <w:pPr>
        <w:spacing w:after="0" w:line="37"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SUBROGATION</w:t>
      </w:r>
    </w:p>
    <w:p>
      <w:pPr>
        <w:spacing w:after="0" w:line="121" w:lineRule="exact"/>
        <w:rPr>
          <w:rFonts w:ascii="Times New Roman" w:cs="Times New Roman" w:eastAsia="Times New Roman" w:hAnsi="Times New Roman"/>
          <w:sz w:val="18"/>
          <w:szCs w:val="18"/>
          <w:b w:val="1"/>
          <w:bCs w:val="1"/>
          <w:color w:val="auto"/>
        </w:rPr>
      </w:pPr>
    </w:p>
    <w:p>
      <w:pPr>
        <w:ind w:left="980" w:right="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the event of payment under this bond, the Company will be subrogated to all of the Insured’s rights of recovery therefor against any person or entity to the extent of such payment. If the rules of a </w:t>
      </w:r>
      <w:r>
        <w:rPr>
          <w:rFonts w:ascii="Times New Roman" w:cs="Times New Roman" w:eastAsia="Times New Roman" w:hAnsi="Times New Roman"/>
          <w:sz w:val="18"/>
          <w:szCs w:val="18"/>
          <w:b w:val="1"/>
          <w:bCs w:val="1"/>
          <w:color w:val="auto"/>
        </w:rPr>
        <w:t>Depository</w:t>
      </w:r>
      <w:r>
        <w:rPr>
          <w:rFonts w:ascii="Times New Roman" w:cs="Times New Roman" w:eastAsia="Times New Roman" w:hAnsi="Times New Roman"/>
          <w:sz w:val="18"/>
          <w:szCs w:val="18"/>
          <w:color w:val="auto"/>
        </w:rPr>
        <w:t xml:space="preserve"> provide that the Insured will be assessed for a portion of any judgment (or agreed settlement) taken by the Company based upon the assignment set forth in Condition J. above and the Insured actually pays such assessment, the Company will reimburse the Insured for the amount of the assessment. However, such reimbursement will not exceed the amount of the loss payment by the Company.</w:t>
      </w:r>
    </w:p>
    <w:p>
      <w:pPr>
        <w:spacing w:after="0" w:line="84"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RECOVERIES</w:t>
      </w:r>
    </w:p>
    <w:p>
      <w:pPr>
        <w:spacing w:after="0" w:line="134" w:lineRule="exact"/>
        <w:rPr>
          <w:rFonts w:ascii="Times New Roman" w:cs="Times New Roman" w:eastAsia="Times New Roman" w:hAnsi="Times New Roman"/>
          <w:sz w:val="18"/>
          <w:szCs w:val="18"/>
          <w:b w:val="1"/>
          <w:bCs w:val="1"/>
          <w:color w:val="auto"/>
        </w:rPr>
      </w:pPr>
    </w:p>
    <w:p>
      <w:pPr>
        <w:ind w:left="1420" w:right="500" w:hanging="439"/>
        <w:spacing w:after="0" w:line="282" w:lineRule="auto"/>
        <w:tabs>
          <w:tab w:leader="none" w:pos="14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recoveries, whether effected by the Company or by the Insured will be applied, after first deducting the costs and expenses incurred in obtaining such recovery, in the following order of priority:</w:t>
      </w:r>
    </w:p>
    <w:p>
      <w:pPr>
        <w:spacing w:after="0" w:line="67" w:lineRule="exact"/>
        <w:rPr>
          <w:rFonts w:ascii="Times New Roman" w:cs="Times New Roman" w:eastAsia="Times New Roman" w:hAnsi="Times New Roman"/>
          <w:sz w:val="18"/>
          <w:szCs w:val="18"/>
          <w:color w:val="auto"/>
        </w:rPr>
      </w:pPr>
    </w:p>
    <w:p>
      <w:pPr>
        <w:ind w:left="1960" w:right="60" w:hanging="533"/>
        <w:spacing w:after="0" w:line="261" w:lineRule="auto"/>
        <w:tabs>
          <w:tab w:leader="none" w:pos="196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the Insured to reimburse the Insured for loss sustained that would have been paid under this bond but for the fact that such loss is in excess of the Single Loss Limit of Insurance, provided however, such loss does not include claim expense payments made by the Insured in excess of the Single Loss Limit of Insurance of Insuring Agreement G and such payments will not be deemed excess for purposes of establishing order of priority;</w:t>
      </w:r>
    </w:p>
    <w:p>
      <w:pPr>
        <w:spacing w:after="0" w:line="85"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to the Company in satisfaction of amounts paid or to be paid to the Insured in settlement of the Insured’s claim;</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to the Insured in satisfaction of any Single Loss Deductible Amount; and</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to the Insured in satisfaction of any loss not covered under this bond.</w:t>
      </w:r>
    </w:p>
    <w:p>
      <w:pPr>
        <w:spacing w:after="0" w:line="130" w:lineRule="exact"/>
        <w:rPr>
          <w:rFonts w:ascii="Times New Roman" w:cs="Times New Roman" w:eastAsia="Times New Roman" w:hAnsi="Times New Roman"/>
          <w:sz w:val="18"/>
          <w:szCs w:val="18"/>
          <w:color w:val="auto"/>
        </w:rPr>
      </w:pPr>
    </w:p>
    <w:p>
      <w:pPr>
        <w:ind w:left="1420" w:right="180" w:hanging="439"/>
        <w:spacing w:after="0" w:line="282" w:lineRule="auto"/>
        <w:tabs>
          <w:tab w:leader="none" w:pos="14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on account of loss of securities as set forth in Condition I.2., or recovery from reinsurance or indemnity of the Company, will not be deemed a recovery as used herein.</w:t>
      </w:r>
    </w:p>
    <w:p>
      <w:pPr>
        <w:spacing w:after="0" w:line="50" w:lineRule="exact"/>
        <w:rPr>
          <w:sz w:val="20"/>
          <w:szCs w:val="20"/>
          <w:color w:val="auto"/>
        </w:rPr>
      </w:pPr>
    </w:p>
    <w:p>
      <w:pPr>
        <w:ind w:left="980" w:right="80"/>
        <w:spacing w:after="0" w:line="257" w:lineRule="auto"/>
        <w:rPr>
          <w:sz w:val="20"/>
          <w:szCs w:val="20"/>
          <w:color w:val="auto"/>
        </w:rPr>
      </w:pPr>
      <w:r>
        <w:rPr>
          <w:rFonts w:ascii="Times New Roman" w:cs="Times New Roman" w:eastAsia="Times New Roman" w:hAnsi="Times New Roman"/>
          <w:sz w:val="18"/>
          <w:szCs w:val="18"/>
          <w:color w:val="auto"/>
        </w:rPr>
        <w:t xml:space="preserve">In determining the amount of any loss covered under this bond, all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received by the Insured from any source whatsoever in connection with any matter from which a loss has arisen, including payments and receipts of principal, interest, dividends, commission, and the like, received prior to a loss settlement under this bond, will be deducted from the amount actually paid out, advanced, withdrawn, taken or otherwise lost or stolen. The value of all property received by the Insured from any source whatever and whenever received, in connection with any matter from which a loss has arisen, will be valued as of the date received and will likewise be deducted from the claimed loss.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22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020"/>
          </w:cols>
          <w:pgMar w:left="440" w:top="270" w:right="439" w:bottom="1440" w:gutter="0" w:footer="0" w:header="0"/>
        </w:sectPr>
      </w:pPr>
    </w:p>
    <w:bookmarkStart w:id="30" w:name="page31"/>
    <w:bookmarkEnd w:id="30"/>
    <w:p>
      <w:pPr>
        <w:ind w:left="960" w:hanging="532"/>
        <w:spacing w:after="0"/>
        <w:tabs>
          <w:tab w:leader="none" w:pos="9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COOPERATION</w:t>
      </w:r>
    </w:p>
    <w:p>
      <w:pPr>
        <w:spacing w:after="0" w:line="121"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the Company’s request, and at reasonable times and places designated by the Company, the Insured will:</w:t>
      </w:r>
    </w:p>
    <w:p>
      <w:pPr>
        <w:spacing w:after="0" w:line="130"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to examination by the Company and subscribe to the same under oath;</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for the Company’s examination all pertinent records; and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the Company in all matters pertaining to the loss.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Insured will execute all papers and render assistance to secure to the Company the rights and causes of action provided for herein.</w:t>
      </w:r>
    </w:p>
    <w:p>
      <w:pPr>
        <w:spacing w:after="0" w:line="117" w:lineRule="exact"/>
        <w:rPr>
          <w:sz w:val="20"/>
          <w:szCs w:val="20"/>
          <w:color w:val="auto"/>
        </w:rPr>
      </w:pPr>
    </w:p>
    <w:p>
      <w:pPr>
        <w:ind w:left="980" w:right="700"/>
        <w:spacing w:after="0" w:line="282" w:lineRule="auto"/>
        <w:rPr>
          <w:sz w:val="20"/>
          <w:szCs w:val="20"/>
          <w:color w:val="auto"/>
        </w:rPr>
      </w:pPr>
      <w:r>
        <w:rPr>
          <w:rFonts w:ascii="Times New Roman" w:cs="Times New Roman" w:eastAsia="Times New Roman" w:hAnsi="Times New Roman"/>
          <w:sz w:val="18"/>
          <w:szCs w:val="18"/>
          <w:color w:val="auto"/>
        </w:rPr>
        <w:t>The Insured will do nothing after discovery of loss to prejudice such rights or causes of action and must do everything reasonably necessary to secure those rights and causes of action.</w:t>
      </w:r>
    </w:p>
    <w:p>
      <w:pPr>
        <w:spacing w:after="0" w:line="63" w:lineRule="exact"/>
        <w:rPr>
          <w:sz w:val="20"/>
          <w:szCs w:val="20"/>
          <w:color w:val="auto"/>
        </w:rPr>
      </w:pPr>
    </w:p>
    <w:p>
      <w:pPr>
        <w:ind w:left="960" w:hanging="532"/>
        <w:spacing w:after="0"/>
        <w:tabs>
          <w:tab w:leader="none" w:pos="9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ANTI-BUNDLING</w:t>
      </w:r>
    </w:p>
    <w:p>
      <w:pPr>
        <w:spacing w:after="0" w:line="117" w:lineRule="exact"/>
        <w:rPr>
          <w:rFonts w:ascii="Times New Roman" w:cs="Times New Roman" w:eastAsia="Times New Roman" w:hAnsi="Times New Roman"/>
          <w:sz w:val="18"/>
          <w:szCs w:val="18"/>
          <w:b w:val="1"/>
          <w:bCs w:val="1"/>
          <w:color w:val="auto"/>
        </w:rPr>
      </w:pPr>
    </w:p>
    <w:p>
      <w:pPr>
        <w:ind w:left="980" w:right="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any Insuring Agreement requires that an enumerated type of document be altered or </w:t>
      </w:r>
      <w:r>
        <w:rPr>
          <w:rFonts w:ascii="Times New Roman" w:cs="Times New Roman" w:eastAsia="Times New Roman" w:hAnsi="Times New Roman"/>
          <w:sz w:val="18"/>
          <w:szCs w:val="18"/>
          <w:b w:val="1"/>
          <w:bCs w:val="1"/>
          <w:color w:val="auto"/>
        </w:rPr>
        <w:t>Counterfeit</w:t>
      </w:r>
      <w:r>
        <w:rPr>
          <w:rFonts w:ascii="Times New Roman" w:cs="Times New Roman" w:eastAsia="Times New Roman" w:hAnsi="Times New Roman"/>
          <w:sz w:val="18"/>
          <w:szCs w:val="18"/>
          <w:color w:val="auto"/>
        </w:rPr>
        <w:t xml:space="preserve">, or contain a signature that is a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or that it be obtained through trick, artifice, fraud or false pretenses, the alteration,</w:t>
      </w:r>
      <w:r>
        <w:rPr>
          <w:rFonts w:ascii="Times New Roman" w:cs="Times New Roman" w:eastAsia="Times New Roman" w:hAnsi="Times New Roman"/>
          <w:sz w:val="18"/>
          <w:szCs w:val="18"/>
          <w:b w:val="1"/>
          <w:bCs w:val="1"/>
          <w:color w:val="auto"/>
        </w:rPr>
        <w:t xml:space="preserve"> Counterfeit</w:t>
      </w:r>
      <w:r>
        <w:rPr>
          <w:rFonts w:ascii="Times New Roman" w:cs="Times New Roman" w:eastAsia="Times New Roman" w:hAnsi="Times New Roman"/>
          <w:sz w:val="18"/>
          <w:szCs w:val="18"/>
          <w:color w:val="auto"/>
        </w:rPr>
        <w:t>, or signature must be on or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enumerated document itself, not on or of some other document submitted with, accompanying, or incorporated by reference into, the enumerated document.</w:t>
      </w:r>
    </w:p>
    <w:p>
      <w:pPr>
        <w:spacing w:after="0" w:line="81"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 OF INSURANCE UNDER THIS BOND AND PRIOR INSURANCE</w:t>
      </w:r>
    </w:p>
    <w:p>
      <w:pPr>
        <w:spacing w:after="0" w:line="117" w:lineRule="exact"/>
        <w:rPr>
          <w:rFonts w:ascii="Times New Roman" w:cs="Times New Roman" w:eastAsia="Times New Roman" w:hAnsi="Times New Roman"/>
          <w:sz w:val="18"/>
          <w:szCs w:val="18"/>
          <w:b w:val="1"/>
          <w:bCs w:val="1"/>
          <w:color w:val="auto"/>
        </w:rPr>
      </w:pPr>
    </w:p>
    <w:p>
      <w:pPr>
        <w:ind w:left="980" w:right="160"/>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With respect to any </w:t>
      </w:r>
      <w:r>
        <w:rPr>
          <w:rFonts w:ascii="Times New Roman" w:cs="Times New Roman" w:eastAsia="Times New Roman" w:hAnsi="Times New Roman"/>
          <w:sz w:val="18"/>
          <w:szCs w:val="18"/>
          <w:b w:val="1"/>
          <w:bCs w:val="1"/>
          <w:color w:val="auto"/>
        </w:rPr>
        <w:t>Single Loss</w:t>
      </w:r>
      <w:r>
        <w:rPr>
          <w:rFonts w:ascii="Times New Roman" w:cs="Times New Roman" w:eastAsia="Times New Roman" w:hAnsi="Times New Roman"/>
          <w:sz w:val="18"/>
          <w:szCs w:val="18"/>
          <w:color w:val="auto"/>
        </w:rPr>
        <w:t xml:space="preserve"> that is recoverable or recovered in whole or in part under any other bonds or policies issued by the Company to the Insured or to any predecessor in interest of the Insured and canceled or terminated or allowed to expire and in which the period for discovery has not expired at the time any such loss thereunder is discovered, the total liability of the Company under this bond and under such other bonds or policies will not exceed, in the aggregate, the amount carried hereunder on such loss or the amount available to the Insured under such other bonds or policies, as limited by the terms and conditions thereof, for any such loss if the latter amount be the larger.</w:t>
      </w:r>
    </w:p>
    <w:p>
      <w:pPr>
        <w:spacing w:after="0" w:line="78" w:lineRule="exact"/>
        <w:rPr>
          <w:rFonts w:ascii="Times New Roman" w:cs="Times New Roman" w:eastAsia="Times New Roman" w:hAnsi="Times New Roman"/>
          <w:sz w:val="18"/>
          <w:szCs w:val="18"/>
          <w:b w:val="1"/>
          <w:bCs w:val="1"/>
          <w:color w:val="auto"/>
        </w:rPr>
      </w:pPr>
    </w:p>
    <w:p>
      <w:pPr>
        <w:ind w:left="98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coverage of this bond supersedes in whole or in part the coverage of any other bond or policy of insurance issued by an insurer other than the Company and canceled, terminated or allowed to expire, the Company, with respect to any loss sustained prior to such cancelation, termination or expiration and discovered within the period permitted under such other bond or policy for the discovery of loss thereunder, will be liable under this bond only for that part of such loss covered by this bond as is in excess of the amount recoverable or recovered on account of such loss under such other bond or policy, anything to the contrary in such other bond or policy notwithstanding.</w:t>
      </w:r>
    </w:p>
    <w:p>
      <w:pPr>
        <w:spacing w:after="0" w:line="84"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INSURANCE OR INDEMNITY</w:t>
      </w:r>
    </w:p>
    <w:p>
      <w:pPr>
        <w:spacing w:after="0" w:line="121"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Coverage afforded hereunder applies only as excess over any valid and collectible insurance or indemnity obtained by:</w:t>
      </w:r>
    </w:p>
    <w:p>
      <w:pPr>
        <w:spacing w:after="0" w:line="130"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Insured;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anyone other than the Insured;</w:t>
      </w:r>
    </w:p>
    <w:p>
      <w:pPr>
        <w:spacing w:after="0" w:line="126"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Transportation Company</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another entity on whose premises the loss occurred or that employed the person causing the loss; or</w:t>
      </w:r>
    </w:p>
    <w:p>
      <w:pPr>
        <w:spacing w:after="0" w:line="126"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messenger conveying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involved.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23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020"/>
          </w:cols>
          <w:pgMar w:left="440" w:top="266" w:right="439" w:bottom="1440" w:gutter="0" w:footer="0" w:header="0"/>
        </w:sectPr>
      </w:pPr>
    </w:p>
    <w:bookmarkStart w:id="31" w:name="page32"/>
    <w:bookmarkEnd w:id="31"/>
    <w:p>
      <w:pPr>
        <w:ind w:left="960" w:hanging="532"/>
        <w:spacing w:after="0"/>
        <w:tabs>
          <w:tab w:leader="none" w:pos="9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COVERED PROPERTY</w:t>
      </w:r>
    </w:p>
    <w:p>
      <w:pPr>
        <w:spacing w:after="0" w:line="117"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bond applies to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owned by the Insured;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held by the Insured in any capacity; or</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Insured is responsible,</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prior to or at the time of the occurrence of the loss. This bond is for the sole use and benefit of the Insured.</w:t>
      </w:r>
    </w:p>
    <w:p>
      <w:pPr>
        <w:spacing w:after="0" w:line="127" w:lineRule="exact"/>
        <w:rPr>
          <w:sz w:val="20"/>
          <w:szCs w:val="20"/>
          <w:color w:val="auto"/>
        </w:rPr>
      </w:pPr>
    </w:p>
    <w:p>
      <w:pPr>
        <w:ind w:left="960" w:hanging="532"/>
        <w:spacing w:after="0"/>
        <w:tabs>
          <w:tab w:leader="none" w:pos="9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CANCELATION, TERMINATION, CHANGE, OR MODIFICATION</w:t>
      </w:r>
    </w:p>
    <w:p>
      <w:pPr>
        <w:spacing w:after="0" w:line="134"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Cancelation</w:t>
      </w:r>
    </w:p>
    <w:p>
      <w:pPr>
        <w:spacing w:after="0" w:line="126" w:lineRule="exact"/>
        <w:rPr>
          <w:rFonts w:ascii="Times New Roman" w:cs="Times New Roman" w:eastAsia="Times New Roman" w:hAnsi="Times New Roman"/>
          <w:sz w:val="18"/>
          <w:szCs w:val="18"/>
          <w:color w:val="auto"/>
        </w:rPr>
      </w:pPr>
    </w:p>
    <w:p>
      <w:pPr>
        <w:ind w:left="1960" w:right="180" w:hanging="533"/>
        <w:spacing w:after="0" w:line="259" w:lineRule="auto"/>
        <w:tabs>
          <w:tab w:leader="none" w:pos="196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is canceled in its entirety immediately upon receipt by the Company of a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notice from the Insured or an </w:t>
      </w:r>
      <w:r>
        <w:rPr>
          <w:rFonts w:ascii="Times New Roman" w:cs="Times New Roman" w:eastAsia="Times New Roman" w:hAnsi="Times New Roman"/>
          <w:sz w:val="18"/>
          <w:szCs w:val="18"/>
          <w:b w:val="1"/>
          <w:bCs w:val="1"/>
          <w:color w:val="auto"/>
        </w:rPr>
        <w:t xml:space="preserve">Investment Adviser </w:t>
      </w:r>
      <w:r>
        <w:rPr>
          <w:rFonts w:ascii="Times New Roman" w:cs="Times New Roman" w:eastAsia="Times New Roman" w:hAnsi="Times New Roman"/>
          <w:sz w:val="18"/>
          <w:szCs w:val="18"/>
          <w:color w:val="auto"/>
        </w:rPr>
        <w:t>of its desire to cancel this bond, provided the Insured or</w:t>
      </w:r>
      <w:r>
        <w:rPr>
          <w:rFonts w:ascii="Times New Roman" w:cs="Times New Roman" w:eastAsia="Times New Roman" w:hAnsi="Times New Roman"/>
          <w:sz w:val="18"/>
          <w:szCs w:val="18"/>
          <w:b w:val="1"/>
          <w:bCs w:val="1"/>
          <w:color w:val="auto"/>
        </w:rPr>
        <w:t xml:space="preserve"> Investment Adviser </w:t>
      </w:r>
      <w:r>
        <w:rPr>
          <w:rFonts w:ascii="Times New Roman" w:cs="Times New Roman" w:eastAsia="Times New Roman" w:hAnsi="Times New Roman"/>
          <w:sz w:val="18"/>
          <w:szCs w:val="18"/>
          <w:color w:val="auto"/>
        </w:rPr>
        <w:t>has provided at least 60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days’ advance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notice to the U.S. Securities and Exchange Commission (SEC). The Company will notify all other Insureds of the receipt of such a cancelation request from the Insured or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however the cancelation will not be effective until 60 days after receipt of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notice by all other Insureds.</w:t>
      </w:r>
    </w:p>
    <w:p>
      <w:pPr>
        <w:spacing w:after="0" w:line="84" w:lineRule="exact"/>
        <w:rPr>
          <w:rFonts w:ascii="Times New Roman" w:cs="Times New Roman" w:eastAsia="Times New Roman" w:hAnsi="Times New Roman"/>
          <w:sz w:val="18"/>
          <w:szCs w:val="18"/>
          <w:color w:val="auto"/>
        </w:rPr>
      </w:pPr>
    </w:p>
    <w:p>
      <w:pPr>
        <w:ind w:left="1960" w:right="440" w:hanging="533"/>
        <w:spacing w:after="0" w:line="286" w:lineRule="auto"/>
        <w:tabs>
          <w:tab w:leader="none" w:pos="196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is canceled in its entirety 60 days after the receipt by each Insured and the SEC, of a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notice from the Company of its desire to cancel this bond.</w:t>
      </w:r>
    </w:p>
    <w:p>
      <w:pPr>
        <w:spacing w:after="0" w:line="60" w:lineRule="exact"/>
        <w:rPr>
          <w:rFonts w:ascii="Times New Roman" w:cs="Times New Roman" w:eastAsia="Times New Roman" w:hAnsi="Times New Roman"/>
          <w:sz w:val="18"/>
          <w:szCs w:val="18"/>
          <w:color w:val="auto"/>
        </w:rPr>
      </w:pPr>
    </w:p>
    <w:p>
      <w:pPr>
        <w:ind w:left="1960" w:right="260" w:hanging="533"/>
        <w:spacing w:after="0" w:line="268" w:lineRule="auto"/>
        <w:tabs>
          <w:tab w:leader="none" w:pos="196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Coverage is canceled as to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as to any partner, officer, or employee of any </w:t>
      </w:r>
      <w:r>
        <w:rPr>
          <w:rFonts w:ascii="Times New Roman" w:cs="Times New Roman" w:eastAsia="Times New Roman" w:hAnsi="Times New Roman"/>
          <w:sz w:val="18"/>
          <w:szCs w:val="18"/>
          <w:b w:val="1"/>
          <w:bCs w:val="1"/>
          <w:color w:val="auto"/>
        </w:rPr>
        <w:t>Electronic Data Processor</w:t>
      </w:r>
      <w:r>
        <w:rPr>
          <w:rFonts w:ascii="Times New Roman" w:cs="Times New Roman" w:eastAsia="Times New Roman" w:hAnsi="Times New Roman"/>
          <w:sz w:val="18"/>
          <w:szCs w:val="18"/>
          <w:color w:val="auto"/>
        </w:rPr>
        <w:t xml:space="preserve"> 60 days after the receipt by the Insured and the SEC, of a written notice from the Company of its desire to cancel coverage under this bond as to such person.</w:t>
      </w:r>
    </w:p>
    <w:p>
      <w:pPr>
        <w:spacing w:after="0" w:line="323"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bond terminates in its entirety immediately upon the Expiration Date set forth in ITEM 2 of the Declarations.</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bond terminates as to any Insured:</w:t>
      </w:r>
    </w:p>
    <w:p>
      <w:pPr>
        <w:spacing w:after="0" w:line="130" w:lineRule="exact"/>
        <w:rPr>
          <w:rFonts w:ascii="Times New Roman" w:cs="Times New Roman" w:eastAsia="Times New Roman" w:hAnsi="Times New Roman"/>
          <w:sz w:val="18"/>
          <w:szCs w:val="18"/>
          <w:color w:val="auto"/>
        </w:rPr>
      </w:pPr>
    </w:p>
    <w:p>
      <w:pPr>
        <w:ind w:left="2400" w:hanging="433"/>
        <w:spacing w:after="0"/>
        <w:tabs>
          <w:tab w:leader="none" w:pos="2400" w:val="left"/>
        </w:tabs>
        <w:numPr>
          <w:ilvl w:val="3"/>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the surrender of such Insured’s charter to any governmental authority; or</w:t>
      </w:r>
    </w:p>
    <w:p>
      <w:pPr>
        <w:spacing w:after="0" w:line="130" w:lineRule="exact"/>
        <w:rPr>
          <w:rFonts w:ascii="Times New Roman" w:cs="Times New Roman" w:eastAsia="Times New Roman" w:hAnsi="Times New Roman"/>
          <w:sz w:val="18"/>
          <w:szCs w:val="18"/>
          <w:color w:val="auto"/>
        </w:rPr>
      </w:pPr>
    </w:p>
    <w:p>
      <w:pPr>
        <w:ind w:left="2400" w:hanging="433"/>
        <w:spacing w:after="0"/>
        <w:tabs>
          <w:tab w:leader="none" w:pos="2400" w:val="left"/>
        </w:tabs>
        <w:numPr>
          <w:ilvl w:val="3"/>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the taking over of such Insured by a receiver or other liquidator or by any State or Federal official,</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whichever occurs first.</w:t>
      </w:r>
    </w:p>
    <w:p>
      <w:pPr>
        <w:spacing w:after="0" w:line="117" w:lineRule="exact"/>
        <w:rPr>
          <w:sz w:val="20"/>
          <w:szCs w:val="20"/>
          <w:color w:val="auto"/>
        </w:rPr>
      </w:pPr>
    </w:p>
    <w:p>
      <w:pPr>
        <w:ind w:left="1980" w:right="160"/>
        <w:spacing w:after="0" w:line="282" w:lineRule="auto"/>
        <w:rPr>
          <w:sz w:val="20"/>
          <w:szCs w:val="20"/>
          <w:color w:val="auto"/>
        </w:rPr>
      </w:pPr>
      <w:r>
        <w:rPr>
          <w:rFonts w:ascii="Times New Roman" w:cs="Times New Roman" w:eastAsia="Times New Roman" w:hAnsi="Times New Roman"/>
          <w:sz w:val="18"/>
          <w:szCs w:val="18"/>
          <w:color w:val="auto"/>
        </w:rPr>
        <w:t>Termination of the bond as to any Insured terminates liability for any loss sustained by such Insured that is discovered after the effective date of such termination.</w:t>
      </w:r>
    </w:p>
    <w:p>
      <w:pPr>
        <w:spacing w:after="0" w:line="63" w:lineRule="exact"/>
        <w:rPr>
          <w:sz w:val="20"/>
          <w:szCs w:val="20"/>
          <w:color w:val="auto"/>
        </w:rPr>
      </w:pPr>
    </w:p>
    <w:p>
      <w:pPr>
        <w:ind w:left="1960" w:hanging="533"/>
        <w:spacing w:after="0"/>
        <w:tabs>
          <w:tab w:leader="none" w:pos="1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Coverage terminates as to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as to any partner, officer, or employee of any </w:t>
      </w:r>
      <w:r>
        <w:rPr>
          <w:rFonts w:ascii="Times New Roman" w:cs="Times New Roman" w:eastAsia="Times New Roman" w:hAnsi="Times New Roman"/>
          <w:sz w:val="18"/>
          <w:szCs w:val="18"/>
          <w:b w:val="1"/>
          <w:bCs w:val="1"/>
          <w:color w:val="auto"/>
        </w:rPr>
        <w:t>Electronic Data Processor</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2400" w:right="260" w:hanging="433"/>
        <w:spacing w:after="0" w:line="282" w:lineRule="auto"/>
        <w:tabs>
          <w:tab w:leader="none" w:pos="24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any Director or Officer or Insured not in collusion with such person, learns of any dishonest or fraudulent employment related act, including </w:t>
      </w:r>
      <w:r>
        <w:rPr>
          <w:rFonts w:ascii="Times New Roman" w:cs="Times New Roman" w:eastAsia="Times New Roman" w:hAnsi="Times New Roman"/>
          <w:sz w:val="18"/>
          <w:szCs w:val="18"/>
          <w:b w:val="1"/>
          <w:bCs w:val="1"/>
          <w:color w:val="auto"/>
        </w:rPr>
        <w:t>Larceny or Embezzlement;</w:t>
      </w:r>
      <w:r>
        <w:rPr>
          <w:rFonts w:ascii="Times New Roman" w:cs="Times New Roman" w:eastAsia="Times New Roman" w:hAnsi="Times New Roman"/>
          <w:sz w:val="18"/>
          <w:szCs w:val="18"/>
          <w:color w:val="auto"/>
        </w:rPr>
        <w:t xml:space="preserve"> or</w:t>
      </w:r>
    </w:p>
    <w:p>
      <w:pPr>
        <w:spacing w:after="0" w:line="67" w:lineRule="exact"/>
        <w:rPr>
          <w:rFonts w:ascii="Times New Roman" w:cs="Times New Roman" w:eastAsia="Times New Roman" w:hAnsi="Times New Roman"/>
          <w:sz w:val="18"/>
          <w:szCs w:val="18"/>
          <w:color w:val="auto"/>
        </w:rPr>
      </w:pPr>
    </w:p>
    <w:p>
      <w:pPr>
        <w:ind w:left="2400" w:right="260" w:hanging="433"/>
        <w:spacing w:after="0" w:line="266" w:lineRule="auto"/>
        <w:tabs>
          <w:tab w:leader="none" w:pos="24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60 days after any director or officer of the Insured not in collusion with such person, learns of any dishonest or fraudulent non-employment related act, including </w:t>
      </w:r>
      <w:r>
        <w:rPr>
          <w:rFonts w:ascii="Times New Roman" w:cs="Times New Roman" w:eastAsia="Times New Roman" w:hAnsi="Times New Roman"/>
          <w:sz w:val="18"/>
          <w:szCs w:val="18"/>
          <w:b w:val="1"/>
          <w:bCs w:val="1"/>
          <w:color w:val="auto"/>
        </w:rPr>
        <w:t>Larceny or Embezzlement</w:t>
      </w:r>
      <w:r>
        <w:rPr>
          <w:rFonts w:ascii="Times New Roman" w:cs="Times New Roman" w:eastAsia="Times New Roman" w:hAnsi="Times New Roman"/>
          <w:sz w:val="18"/>
          <w:szCs w:val="18"/>
          <w:color w:val="auto"/>
        </w:rPr>
        <w:t xml:space="preserve">, that resulted in a loss of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in excess of $25,000,</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24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020"/>
          </w:cols>
          <w:pgMar w:left="440" w:top="266" w:right="439" w:bottom="1440" w:gutter="0" w:footer="0" w:header="0"/>
        </w:sectPr>
      </w:pPr>
    </w:p>
    <w:bookmarkStart w:id="32" w:name="page33"/>
    <w:bookmarkEnd w:id="32"/>
    <w:p>
      <w:pPr>
        <w:ind w:left="1980"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either of which were committed by such person at any time, whether in the employment of the Insured or otherwise, whether or not of the type covered under Insuring Agreement A, against the Insured or any other person or entity, without prejudice to the loss of any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then in transit in the custody of such person.</w:t>
      </w:r>
    </w:p>
    <w:p>
      <w:pPr>
        <w:spacing w:after="0" w:line="64" w:lineRule="exact"/>
        <w:rPr>
          <w:sz w:val="20"/>
          <w:szCs w:val="20"/>
          <w:color w:val="auto"/>
        </w:rPr>
      </w:pPr>
    </w:p>
    <w:p>
      <w:pPr>
        <w:ind w:left="1980" w:right="100"/>
        <w:spacing w:after="0" w:line="262" w:lineRule="auto"/>
        <w:rPr>
          <w:sz w:val="20"/>
          <w:szCs w:val="20"/>
          <w:color w:val="auto"/>
        </w:rPr>
      </w:pPr>
      <w:r>
        <w:rPr>
          <w:rFonts w:ascii="Times New Roman" w:cs="Times New Roman" w:eastAsia="Times New Roman" w:hAnsi="Times New Roman"/>
          <w:sz w:val="18"/>
          <w:szCs w:val="18"/>
          <w:color w:val="auto"/>
        </w:rPr>
        <w:t xml:space="preserve">However, termination of coverage as to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as set forth in c.(1) and c.(2) of the preceding paragraph, will not apply to any such person provided the Insured has received and retains an original letter signed by a prior insurer reinstating coverage for such individual for whom the Insured discovered had committed a dishonest or fraudulent act prior to the effective date of this bond.</w:t>
      </w:r>
    </w:p>
    <w:p>
      <w:pPr>
        <w:spacing w:after="0" w:line="329" w:lineRule="exact"/>
        <w:rPr>
          <w:sz w:val="20"/>
          <w:szCs w:val="20"/>
          <w:color w:val="auto"/>
        </w:rPr>
      </w:pPr>
    </w:p>
    <w:p>
      <w:pPr>
        <w:ind w:left="1420" w:hanging="439"/>
        <w:spacing w:after="0"/>
        <w:tabs>
          <w:tab w:leader="none" w:pos="14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Modification</w:t>
      </w:r>
    </w:p>
    <w:p>
      <w:pPr>
        <w:spacing w:after="0" w:line="117" w:lineRule="exact"/>
        <w:rPr>
          <w:rFonts w:ascii="Times New Roman" w:cs="Times New Roman" w:eastAsia="Times New Roman" w:hAnsi="Times New Roman"/>
          <w:sz w:val="18"/>
          <w:szCs w:val="18"/>
          <w:color w:val="auto"/>
        </w:rPr>
      </w:pPr>
    </w:p>
    <w:p>
      <w:pPr>
        <w:ind w:left="1420" w:right="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bond or any instrument amending or affecting this bond may not be changed or modified orally. No changes in or modification of this bond will be effective unless made by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endorsement issued to form a part of this bond and including the signature of the Company’s Authorized Representative. When a bond covers only one Insured no change or modification that would adversely affect the rights of the Insured will be effective prior to 60 days after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notification has been furnished to the SEC by the Insured,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or the Company. If more than one Insured is named under this bond, the Company will give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notice to each Insured and to the SEC not less than 60 days prior to the effective date of any change or modification that would adversely affect the rights of such Insured.</w:t>
      </w:r>
    </w:p>
    <w:p>
      <w:pPr>
        <w:spacing w:after="0" w:line="9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DISCOVERY PERIOD</w:t>
      </w:r>
    </w:p>
    <w:p>
      <w:pPr>
        <w:spacing w:after="0" w:line="117" w:lineRule="exact"/>
        <w:rPr>
          <w:rFonts w:ascii="Times New Roman" w:cs="Times New Roman" w:eastAsia="Times New Roman" w:hAnsi="Times New Roman"/>
          <w:sz w:val="18"/>
          <w:szCs w:val="18"/>
          <w:b w:val="1"/>
          <w:bCs w:val="1"/>
          <w:color w:val="auto"/>
        </w:rPr>
      </w:pPr>
    </w:p>
    <w:p>
      <w:pPr>
        <w:ind w:left="980" w:right="28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At any time prior to the cancelation or termination of this bond in its entirety, whether by the Insured,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or the Company,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xml:space="preserve"> may give to the Company written notice that it desires under this bond an additional period of 12 months within which to discover loss sustained by the Insured prior to the effective date of such cancelation or termination and will pay an additional premium therefor.</w:t>
      </w:r>
    </w:p>
    <w:p>
      <w:pPr>
        <w:spacing w:after="0" w:line="68" w:lineRule="exact"/>
        <w:rPr>
          <w:rFonts w:ascii="Times New Roman" w:cs="Times New Roman" w:eastAsia="Times New Roman" w:hAnsi="Times New Roman"/>
          <w:sz w:val="18"/>
          <w:szCs w:val="18"/>
          <w:b w:val="1"/>
          <w:bCs w:val="1"/>
          <w:color w:val="auto"/>
        </w:rPr>
      </w:pPr>
    </w:p>
    <w:p>
      <w:pPr>
        <w:ind w:left="980" w:right="12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Upon receipt of such notice from the Insured or an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the Company will give its written consent thereto; provided, that such additional period of time terminates immediately:</w:t>
      </w:r>
    </w:p>
    <w:p>
      <w:pPr>
        <w:spacing w:after="0" w:line="64" w:lineRule="exact"/>
        <w:rPr>
          <w:rFonts w:ascii="Times New Roman" w:cs="Times New Roman" w:eastAsia="Times New Roman" w:hAnsi="Times New Roman"/>
          <w:sz w:val="18"/>
          <w:szCs w:val="18"/>
          <w:b w:val="1"/>
          <w:bCs w:val="1"/>
          <w:color w:val="auto"/>
        </w:rPr>
      </w:pPr>
    </w:p>
    <w:p>
      <w:pPr>
        <w:ind w:left="1420" w:right="180" w:hanging="439"/>
        <w:spacing w:after="0" w:line="266" w:lineRule="auto"/>
        <w:tabs>
          <w:tab w:leader="none" w:pos="14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effective date of any other insurance obtained by the Insured, its successor in business or any other party, replacing in whole or in part the insurance afforded by this bond, whether or not such other insurance provides coverage for loss sustained prior to its effective date; or</w:t>
      </w:r>
    </w:p>
    <w:p>
      <w:pPr>
        <w:spacing w:after="0" w:line="81" w:lineRule="exact"/>
        <w:rPr>
          <w:rFonts w:ascii="Times New Roman" w:cs="Times New Roman" w:eastAsia="Times New Roman" w:hAnsi="Times New Roman"/>
          <w:sz w:val="18"/>
          <w:szCs w:val="18"/>
          <w:color w:val="auto"/>
        </w:rPr>
      </w:pPr>
    </w:p>
    <w:p>
      <w:pPr>
        <w:ind w:left="1420" w:right="500" w:hanging="439"/>
        <w:spacing w:after="0" w:line="282" w:lineRule="auto"/>
        <w:tabs>
          <w:tab w:leader="none" w:pos="14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takeover of the Insured’s business by any state or federal official or agency, or by any receiver or liquidator acting or appointed for this purpose,</w:t>
      </w:r>
    </w:p>
    <w:p>
      <w:pPr>
        <w:spacing w:after="0" w:line="54" w:lineRule="exact"/>
        <w:rPr>
          <w:sz w:val="20"/>
          <w:szCs w:val="20"/>
          <w:color w:val="auto"/>
        </w:rPr>
      </w:pPr>
    </w:p>
    <w:p>
      <w:pPr>
        <w:ind w:left="980" w:right="480"/>
        <w:spacing w:after="0" w:line="282" w:lineRule="auto"/>
        <w:rPr>
          <w:sz w:val="20"/>
          <w:szCs w:val="20"/>
          <w:color w:val="auto"/>
        </w:rPr>
      </w:pPr>
      <w:r>
        <w:rPr>
          <w:rFonts w:ascii="Times New Roman" w:cs="Times New Roman" w:eastAsia="Times New Roman" w:hAnsi="Times New Roman"/>
          <w:sz w:val="18"/>
          <w:szCs w:val="18"/>
          <w:color w:val="auto"/>
        </w:rPr>
        <w:t>whichever occurs first, and without the necessity of the Company giving notice of such termination. In the event that such additional period of time is terminated, as provided above, the Company will refund on a pro-rata basis, any unearned premium.</w:t>
      </w:r>
    </w:p>
    <w:p>
      <w:pPr>
        <w:spacing w:after="0" w:line="54" w:lineRule="exact"/>
        <w:rPr>
          <w:sz w:val="20"/>
          <w:szCs w:val="20"/>
          <w:color w:val="auto"/>
        </w:rPr>
      </w:pPr>
    </w:p>
    <w:p>
      <w:pPr>
        <w:jc w:val="both"/>
        <w:ind w:left="980" w:right="100"/>
        <w:spacing w:after="0" w:line="266" w:lineRule="auto"/>
        <w:rPr>
          <w:sz w:val="20"/>
          <w:szCs w:val="20"/>
          <w:color w:val="auto"/>
        </w:rPr>
      </w:pPr>
      <w:r>
        <w:rPr>
          <w:rFonts w:ascii="Times New Roman" w:cs="Times New Roman" w:eastAsia="Times New Roman" w:hAnsi="Times New Roman"/>
          <w:sz w:val="18"/>
          <w:szCs w:val="18"/>
          <w:color w:val="auto"/>
        </w:rPr>
        <w:t>The right to purchase such additional period for the discovery of loss may not be exercised by any state or federal official or agency, or by any receiver or liquidator, acting or appointed to take over the Insured’s business for the operation or for the liquidation thereof or for any other purpose.</w:t>
      </w:r>
    </w:p>
    <w:p>
      <w:pPr>
        <w:spacing w:after="0" w:line="68" w:lineRule="exact"/>
        <w:rPr>
          <w:sz w:val="20"/>
          <w:szCs w:val="20"/>
          <w:color w:val="auto"/>
        </w:rPr>
      </w:pPr>
    </w:p>
    <w:p>
      <w:pPr>
        <w:ind w:left="980" w:right="360"/>
        <w:spacing w:after="0" w:line="282" w:lineRule="auto"/>
        <w:rPr>
          <w:sz w:val="20"/>
          <w:szCs w:val="20"/>
          <w:color w:val="auto"/>
        </w:rPr>
      </w:pPr>
      <w:r>
        <w:rPr>
          <w:rFonts w:ascii="Times New Roman" w:cs="Times New Roman" w:eastAsia="Times New Roman" w:hAnsi="Times New Roman"/>
          <w:sz w:val="18"/>
          <w:szCs w:val="18"/>
          <w:color w:val="auto"/>
        </w:rPr>
        <w:t xml:space="preserve">The Company’s total liability for any loss discovered during such additional period of time is part of, and not in addition to, the Single Loss Limit of Insurance of the </w:t>
      </w:r>
      <w:r>
        <w:rPr>
          <w:rFonts w:ascii="Times New Roman" w:cs="Times New Roman" w:eastAsia="Times New Roman" w:hAnsi="Times New Roman"/>
          <w:sz w:val="18"/>
          <w:szCs w:val="18"/>
          <w:b w:val="1"/>
          <w:bCs w:val="1"/>
          <w:color w:val="auto"/>
        </w:rPr>
        <w:t>Bond Period</w:t>
      </w:r>
      <w:r>
        <w:rPr>
          <w:rFonts w:ascii="Times New Roman" w:cs="Times New Roman" w:eastAsia="Times New Roman" w:hAnsi="Times New Roman"/>
          <w:sz w:val="18"/>
          <w:szCs w:val="18"/>
          <w:color w:val="auto"/>
        </w:rPr>
        <w:t xml:space="preserve"> that terminates immediately preceding the effective date of such additional period.</w:t>
      </w:r>
    </w:p>
    <w:p>
      <w:pPr>
        <w:spacing w:after="0" w:line="63" w:lineRule="exact"/>
        <w:rPr>
          <w:sz w:val="20"/>
          <w:szCs w:val="20"/>
          <w:color w:val="auto"/>
        </w:rPr>
      </w:pPr>
    </w:p>
    <w:p>
      <w:pPr>
        <w:ind w:left="960" w:hanging="532"/>
        <w:spacing w:after="0"/>
        <w:tabs>
          <w:tab w:leader="none" w:pos="9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HEADINGS</w:t>
      </w:r>
    </w:p>
    <w:p>
      <w:pPr>
        <w:spacing w:after="0" w:line="121" w:lineRule="exact"/>
        <w:rPr>
          <w:rFonts w:ascii="Times New Roman" w:cs="Times New Roman" w:eastAsia="Times New Roman" w:hAnsi="Times New Roman"/>
          <w:sz w:val="18"/>
          <w:szCs w:val="18"/>
          <w:b w:val="1"/>
          <w:bCs w:val="1"/>
          <w:color w:val="auto"/>
        </w:rPr>
      </w:pPr>
    </w:p>
    <w:p>
      <w:pPr>
        <w:ind w:left="980" w:right="3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titles of the various paragraphs of this bond and its endorsements are inserted solely for convenience or reference and are not to be deemed in any way to limit, expand or affect the provision to which they relate.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IVBB-16001 Ed. 01-16</w:t>
            </w:r>
          </w:p>
        </w:tc>
        <w:tc>
          <w:tcPr>
            <w:tcW w:w="3720" w:type="dxa"/>
            <w:vAlign w:val="bottom"/>
            <w:tcBorders>
              <w:top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w w:val="98"/>
              </w:rPr>
              <w:t>Page 25 of 25</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720" w:type="dxa"/>
            <w:vAlign w:val="bottom"/>
          </w:tcPr>
          <w:p>
            <w:pPr>
              <w:spacing w:after="0"/>
              <w:rPr>
                <w:sz w:val="20"/>
                <w:szCs w:val="20"/>
                <w:color w:val="auto"/>
              </w:rPr>
            </w:pPr>
          </w:p>
        </w:tc>
      </w:tr>
    </w:tbl>
    <w:p>
      <w:pPr>
        <w:sectPr>
          <w:pgSz w:w="11900" w:h="16838" w:orient="portrait"/>
          <w:cols w:equalWidth="0" w:num="1">
            <w:col w:w="11020"/>
          </w:cols>
          <w:pgMar w:left="440" w:top="270" w:right="439" w:bottom="1440" w:gutter="0" w:footer="0" w:header="0"/>
        </w:sectPr>
      </w:pPr>
    </w:p>
    <w:bookmarkStart w:id="33" w:name="page34"/>
    <w:bookmarkEnd w:id="3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182880</wp:posOffset>
            </wp:positionV>
            <wp:extent cx="7012305"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12305" cy="171450"/>
                    </a:xfrm>
                    <a:prstGeom prst="rect">
                      <a:avLst/>
                    </a:prstGeom>
                    <a:noFill/>
                  </pic:spPr>
                </pic:pic>
              </a:graphicData>
            </a:graphic>
          </wp:anchor>
        </w:drawing>
        <w:t>THIS ENDORSEMENT CHANGES THE POLICY. PLEASE READ IT CAREFULLY.</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NAMED INSURED ENDORSEMENT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endorsement changes the following: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200025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 is agreed that: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added to ITEM 1 of the Declarations as Insureds: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PennantPark Floating Rate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Issuing Company: Travelers Casualty and Surety Company of America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Policy Number: 106736322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IVBB-19004 Ed. 01-16</w:t>
            </w:r>
          </w:p>
        </w:tc>
        <w:tc>
          <w:tcPr>
            <w:tcW w:w="3640" w:type="dxa"/>
            <w:vAlign w:val="bottom"/>
            <w:tcBorders>
              <w:top w:val="single" w:sz="8" w:color="auto"/>
            </w:tcBorders>
          </w:tcPr>
          <w:p>
            <w:pPr>
              <w:ind w:left="2820"/>
              <w:spacing w:after="0"/>
              <w:rPr>
                <w:sz w:val="20"/>
                <w:szCs w:val="20"/>
                <w:color w:val="auto"/>
              </w:rPr>
            </w:pPr>
            <w:r>
              <w:rPr>
                <w:rFonts w:ascii="Times New Roman" w:cs="Times New Roman" w:eastAsia="Times New Roman" w:hAnsi="Times New Roman"/>
                <w:sz w:val="18"/>
                <w:szCs w:val="18"/>
                <w:color w:val="auto"/>
                <w:w w:val="98"/>
              </w:rPr>
              <w:t>Page 1 of 1</w:t>
            </w: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640" w:type="dxa"/>
            <w:vAlign w:val="bottom"/>
          </w:tcPr>
          <w:p>
            <w:pPr>
              <w:spacing w:after="0"/>
              <w:rPr>
                <w:sz w:val="20"/>
                <w:szCs w:val="20"/>
                <w:color w:val="auto"/>
              </w:rPr>
            </w:pPr>
          </w:p>
        </w:tc>
      </w:tr>
    </w:tbl>
    <w:p>
      <w:pPr>
        <w:sectPr>
          <w:pgSz w:w="11900" w:h="16838" w:orient="portrait"/>
          <w:cols w:equalWidth="0" w:num="1">
            <w:col w:w="11020"/>
          </w:cols>
          <w:pgMar w:left="440" w:top="293" w:right="439" w:bottom="1440" w:gutter="0" w:footer="0" w:header="0"/>
        </w:sectPr>
      </w:pPr>
    </w:p>
    <w:bookmarkStart w:id="34" w:name="page35"/>
    <w:bookmarkEnd w:id="34"/>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182880</wp:posOffset>
            </wp:positionV>
            <wp:extent cx="701230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12305" cy="171450"/>
                    </a:xfrm>
                    <a:prstGeom prst="rect">
                      <a:avLst/>
                    </a:prstGeom>
                    <a:noFill/>
                  </pic:spPr>
                </pic:pic>
              </a:graphicData>
            </a:graphic>
          </wp:anchor>
        </w:drawing>
        <w:t>THIS ENDORSEMENT CHANGES THE POLICY. PLEASE READ IT CAREFULLY.</w:t>
      </w:r>
    </w:p>
    <w:p>
      <w:pPr>
        <w:spacing w:after="0" w:line="25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UNAUTHORIZED SIGNATURE ENDORSEMENT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endorsement changes the following:</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200025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 is agreed that:</w:t>
      </w:r>
    </w:p>
    <w:p>
      <w:pPr>
        <w:spacing w:after="0" w:line="135" w:lineRule="exact"/>
        <w:rPr>
          <w:sz w:val="20"/>
          <w:szCs w:val="20"/>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added to section II. INSURING AGREEMENTS, D. FORGERY OR ALTERATION:</w:t>
      </w:r>
    </w:p>
    <w:p>
      <w:pPr>
        <w:spacing w:after="0" w:line="113" w:lineRule="exact"/>
        <w:rPr>
          <w:rFonts w:ascii="Times New Roman" w:cs="Times New Roman" w:eastAsia="Times New Roman" w:hAnsi="Times New Roman"/>
          <w:sz w:val="18"/>
          <w:szCs w:val="18"/>
          <w:color w:val="auto"/>
        </w:rPr>
      </w:pPr>
    </w:p>
    <w:p>
      <w:pPr>
        <w:jc w:val="both"/>
        <w:ind w:left="444" w:right="6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resulting from the Insured accepting, paying, or cashing any </w:t>
      </w:r>
      <w:r>
        <w:rPr>
          <w:rFonts w:ascii="Times New Roman" w:cs="Times New Roman" w:eastAsia="Times New Roman" w:hAnsi="Times New Roman"/>
          <w:sz w:val="18"/>
          <w:szCs w:val="18"/>
          <w:b w:val="1"/>
          <w:bCs w:val="1"/>
          <w:color w:val="auto"/>
        </w:rPr>
        <w:t>Negotiable Instrument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Withdrawal Order</w:t>
      </w:r>
      <w:r>
        <w:rPr>
          <w:rFonts w:ascii="Times New Roman" w:cs="Times New Roman" w:eastAsia="Times New Roman" w:hAnsi="Times New Roman"/>
          <w:sz w:val="18"/>
          <w:szCs w:val="18"/>
          <w:color w:val="auto"/>
        </w:rPr>
        <w:t xml:space="preserve"> made or drawn on a customer’s account, which bears an unauthorized signature or an unauthorized endorsement, provided that the Insured has on file the signatures of all persons authorized to sign or endorse such </w:t>
      </w:r>
      <w:r>
        <w:rPr>
          <w:rFonts w:ascii="Times New Roman" w:cs="Times New Roman" w:eastAsia="Times New Roman" w:hAnsi="Times New Roman"/>
          <w:sz w:val="18"/>
          <w:szCs w:val="18"/>
          <w:b w:val="1"/>
          <w:bCs w:val="1"/>
          <w:color w:val="auto"/>
        </w:rPr>
        <w:t>Negotiable Instrument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Withdrawal Order</w:t>
      </w:r>
      <w:r>
        <w:rPr>
          <w:rFonts w:ascii="Times New Roman" w:cs="Times New Roman" w:eastAsia="Times New Roman" w:hAnsi="Times New Roman"/>
          <w:sz w:val="18"/>
          <w:szCs w:val="18"/>
          <w:color w:val="auto"/>
        </w:rPr>
        <w:t>.</w:t>
      </w:r>
    </w:p>
    <w:p>
      <w:pPr>
        <w:spacing w:after="0" w:line="32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replaces section VI. CONDITIONS, N. ANTI-BUNDLING:</w:t>
      </w:r>
    </w:p>
    <w:p>
      <w:pPr>
        <w:spacing w:after="0" w:line="126" w:lineRule="exact"/>
        <w:rPr>
          <w:rFonts w:ascii="Times New Roman" w:cs="Times New Roman" w:eastAsia="Times New Roman" w:hAnsi="Times New Roman"/>
          <w:sz w:val="18"/>
          <w:szCs w:val="18"/>
          <w:color w:val="auto"/>
        </w:rPr>
      </w:pP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7"/>
          <w:szCs w:val="17"/>
          <w:b w:val="1"/>
          <w:bCs w:val="1"/>
          <w:color w:val="auto"/>
        </w:rPr>
        <w:t>ANTI-BUNDLING</w:t>
      </w:r>
    </w:p>
    <w:p>
      <w:pPr>
        <w:spacing w:after="0" w:line="117" w:lineRule="exact"/>
        <w:rPr>
          <w:rFonts w:ascii="Times New Roman" w:cs="Times New Roman" w:eastAsia="Times New Roman" w:hAnsi="Times New Roman"/>
          <w:sz w:val="18"/>
          <w:szCs w:val="18"/>
          <w:color w:val="auto"/>
        </w:rPr>
      </w:pPr>
    </w:p>
    <w:p>
      <w:pPr>
        <w:ind w:left="984" w:right="10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Insuring Agreement requires that an enumerated type of document be altered or </w:t>
      </w:r>
      <w:r>
        <w:rPr>
          <w:rFonts w:ascii="Times New Roman" w:cs="Times New Roman" w:eastAsia="Times New Roman" w:hAnsi="Times New Roman"/>
          <w:sz w:val="18"/>
          <w:szCs w:val="18"/>
          <w:b w:val="1"/>
          <w:bCs w:val="1"/>
          <w:color w:val="auto"/>
        </w:rPr>
        <w:t>Counterfeit</w:t>
      </w:r>
      <w:r>
        <w:rPr>
          <w:rFonts w:ascii="Times New Roman" w:cs="Times New Roman" w:eastAsia="Times New Roman" w:hAnsi="Times New Roman"/>
          <w:sz w:val="18"/>
          <w:szCs w:val="18"/>
          <w:color w:val="auto"/>
        </w:rPr>
        <w:t xml:space="preserve">, or contain a signature or endorsement which is a </w:t>
      </w:r>
      <w:r>
        <w:rPr>
          <w:rFonts w:ascii="Times New Roman" w:cs="Times New Roman" w:eastAsia="Times New Roman" w:hAnsi="Times New Roman"/>
          <w:sz w:val="18"/>
          <w:szCs w:val="18"/>
          <w:b w:val="1"/>
          <w:bCs w:val="1"/>
          <w:color w:val="auto"/>
        </w:rPr>
        <w:t>Forgery</w:t>
      </w:r>
      <w:r>
        <w:rPr>
          <w:rFonts w:ascii="Times New Roman" w:cs="Times New Roman" w:eastAsia="Times New Roman" w:hAnsi="Times New Roman"/>
          <w:sz w:val="18"/>
          <w:szCs w:val="18"/>
          <w:color w:val="auto"/>
        </w:rPr>
        <w:t xml:space="preserve"> or which is unauthorized, or that it be obtained through trick, artifice, fraud, or false pretenses, such alteration, </w:t>
      </w:r>
      <w:r>
        <w:rPr>
          <w:rFonts w:ascii="Times New Roman" w:cs="Times New Roman" w:eastAsia="Times New Roman" w:hAnsi="Times New Roman"/>
          <w:sz w:val="18"/>
          <w:szCs w:val="18"/>
          <w:b w:val="1"/>
          <w:bCs w:val="1"/>
          <w:color w:val="auto"/>
        </w:rPr>
        <w:t>Counterfeit</w:t>
      </w:r>
      <w:r>
        <w:rPr>
          <w:rFonts w:ascii="Times New Roman" w:cs="Times New Roman" w:eastAsia="Times New Roman" w:hAnsi="Times New Roman"/>
          <w:sz w:val="18"/>
          <w:szCs w:val="18"/>
          <w:color w:val="auto"/>
        </w:rPr>
        <w:t>, signature, or endorsement must be on or of the enumerated document itself, not on or of some other document submitted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accompanying, or incorporated by reference into, the enumerated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6" w:lineRule="exact"/>
        <w:rPr>
          <w:sz w:val="20"/>
          <w:szCs w:val="20"/>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2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Issuing Company: Travelers Casualty and Surety Company of America</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Policy Number: 106736322</w:t>
      </w:r>
    </w:p>
    <w:p>
      <w:pPr>
        <w:spacing w:after="0" w:line="138" w:lineRule="exact"/>
        <w:rPr>
          <w:sz w:val="20"/>
          <w:szCs w:val="20"/>
          <w:color w:val="auto"/>
        </w:rPr>
      </w:pPr>
    </w:p>
    <w:tbl>
      <w:tblPr>
        <w:tblLayout w:type="fixed"/>
        <w:tblInd w:w="4" w:type="dxa"/>
        <w:tblCellMar>
          <w:top w:w="0" w:type="dxa"/>
          <w:left w:w="0" w:type="dxa"/>
          <w:bottom w:w="0" w:type="dxa"/>
          <w:right w:w="0" w:type="dxa"/>
        </w:tblCellMar>
      </w:tblPr>
      <w:tr>
        <w:trPr>
          <w:trHeight w:val="225"/>
        </w:trPr>
        <w:tc>
          <w:tcPr>
            <w:tcW w:w="7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IVBB-19010 Ed. 01-16</w:t>
            </w:r>
          </w:p>
        </w:tc>
        <w:tc>
          <w:tcPr>
            <w:tcW w:w="3640" w:type="dxa"/>
            <w:vAlign w:val="bottom"/>
            <w:tcBorders>
              <w:top w:val="single" w:sz="8" w:color="auto"/>
            </w:tcBorders>
          </w:tcPr>
          <w:p>
            <w:pPr>
              <w:ind w:left="2820"/>
              <w:spacing w:after="0"/>
              <w:rPr>
                <w:sz w:val="20"/>
                <w:szCs w:val="20"/>
                <w:color w:val="auto"/>
              </w:rPr>
            </w:pPr>
            <w:r>
              <w:rPr>
                <w:rFonts w:ascii="Times New Roman" w:cs="Times New Roman" w:eastAsia="Times New Roman" w:hAnsi="Times New Roman"/>
                <w:sz w:val="18"/>
                <w:szCs w:val="18"/>
                <w:color w:val="auto"/>
                <w:w w:val="98"/>
              </w:rPr>
              <w:t>Page 1 of 1</w:t>
            </w: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 2016 The Travelers Indemnity Company. All rights reserved.</w:t>
            </w:r>
          </w:p>
        </w:tc>
        <w:tc>
          <w:tcPr>
            <w:tcW w:w="3640" w:type="dxa"/>
            <w:vAlign w:val="bottom"/>
          </w:tcPr>
          <w:p>
            <w:pPr>
              <w:spacing w:after="0"/>
              <w:rPr>
                <w:sz w:val="20"/>
                <w:szCs w:val="20"/>
                <w:color w:val="auto"/>
              </w:rPr>
            </w:pPr>
          </w:p>
        </w:tc>
      </w:tr>
    </w:tbl>
    <w:p>
      <w:pPr>
        <w:sectPr>
          <w:pgSz w:w="11900" w:h="16838" w:orient="portrait"/>
          <w:cols w:equalWidth="0" w:num="1">
            <w:col w:w="11024"/>
          </w:cols>
          <w:pgMar w:left="436" w:top="293" w:right="439" w:bottom="1440" w:gutter="0" w:footer="0" w:header="0"/>
        </w:sectPr>
      </w:pPr>
    </w:p>
    <w:bookmarkStart w:id="35" w:name="page36"/>
    <w:bookmarkEnd w:id="3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182880</wp:posOffset>
            </wp:positionV>
            <wp:extent cx="7012305"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12305" cy="171450"/>
                    </a:xfrm>
                    <a:prstGeom prst="rect">
                      <a:avLst/>
                    </a:prstGeom>
                    <a:noFill/>
                  </pic:spPr>
                </pic:pic>
              </a:graphicData>
            </a:graphic>
          </wp:anchor>
        </w:drawing>
        <w:t>THIS ENDORSEMENT CHANGES THE BOND. PLEASE READ IT CAREFULLY.</w:t>
      </w:r>
    </w:p>
    <w:p>
      <w:pPr>
        <w:spacing w:after="0" w:line="2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AUTOMATIC INCREASE IN INSURING AGREEMENT A.1. SINGLE LOSS LIMIT OF INSURANCE ENDORSEMENT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endorsement changes the following: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200025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 is agreed that: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added to section VI. CONDITIONS, E. SINGLE LOSS LIMIT OF INSURANCE:</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Notwithstanding the previous paragraph, if the Insured, while this bond is in force, requires an increase in the limit of Insuring Agreement A.1. in order to comply with SEC Regulation 17g-1, as a result of:</w:t>
      </w:r>
    </w:p>
    <w:p>
      <w:pPr>
        <w:spacing w:after="0" w:line="67" w:lineRule="exact"/>
        <w:rPr>
          <w:sz w:val="20"/>
          <w:szCs w:val="20"/>
          <w:color w:val="auto"/>
        </w:rPr>
      </w:pPr>
    </w:p>
    <w:p>
      <w:pPr>
        <w:ind w:left="960" w:right="380" w:hanging="532"/>
        <w:spacing w:after="0" w:line="282" w:lineRule="auto"/>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assets under management by current Insureds under the bond, per the terms of section III. GENERAL AGREEMENTS, A. ORGANIC GROWTH; or</w:t>
      </w:r>
    </w:p>
    <w:p>
      <w:pPr>
        <w:spacing w:after="0" w:line="67" w:lineRule="exact"/>
        <w:rPr>
          <w:rFonts w:ascii="Times New Roman" w:cs="Times New Roman" w:eastAsia="Times New Roman" w:hAnsi="Times New Roman"/>
          <w:sz w:val="18"/>
          <w:szCs w:val="18"/>
          <w:color w:val="auto"/>
        </w:rPr>
      </w:pPr>
    </w:p>
    <w:p>
      <w:pPr>
        <w:ind w:left="960" w:right="720" w:hanging="532"/>
        <w:spacing w:after="0" w:line="282" w:lineRule="auto"/>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assets under management due to the addition of new investment companies per the terms of section III. GENERAL AGREEMENTS, B. CONSOLIDATION – MERGER – PURCHASE OR ACQUISTION OF ASSETS,</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the Single Loss Limit of Insurance for Insuring Agreement A.1. will automatically be increased to comply with Regulation 17g-1 without the payment of additional premium, for the remainder of the </w:t>
      </w:r>
      <w:r>
        <w:rPr>
          <w:rFonts w:ascii="Times New Roman" w:cs="Times New Roman" w:eastAsia="Times New Roman" w:hAnsi="Times New Roman"/>
          <w:sz w:val="18"/>
          <w:szCs w:val="18"/>
          <w:b w:val="1"/>
          <w:bCs w:val="1"/>
          <w:color w:val="auto"/>
        </w:rPr>
        <w:t>Bond Period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7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Nothing herein contained shall be held to vary, alter, waive, or extend any of the terms, conditions, exclusions, or limitations of the above-mentioned bond, except as expressly stated herein. This endorsement is part of such bond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88265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Issuing Company: </w:t>
      </w:r>
      <w:r>
        <w:rPr>
          <w:rFonts w:ascii="Times New Roman" w:cs="Times New Roman" w:eastAsia="Times New Roman" w:hAnsi="Times New Roman"/>
          <w:sz w:val="18"/>
          <w:szCs w:val="18"/>
          <w:b w:val="1"/>
          <w:bCs w:val="1"/>
          <w:color w:val="auto"/>
        </w:rPr>
        <w:t>Travelers Casualty and Surety Company of America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Bond Number: </w:t>
      </w:r>
      <w:r>
        <w:rPr>
          <w:rFonts w:ascii="Times New Roman" w:cs="Times New Roman" w:eastAsia="Times New Roman" w:hAnsi="Times New Roman"/>
          <w:sz w:val="18"/>
          <w:szCs w:val="18"/>
          <w:b w:val="1"/>
          <w:bCs w:val="1"/>
          <w:color w:val="auto"/>
        </w:rPr>
        <w:t>106736322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IVBB-19044 Ed. 05-18</w:t>
            </w:r>
          </w:p>
        </w:tc>
        <w:tc>
          <w:tcPr>
            <w:tcW w:w="3640" w:type="dxa"/>
            <w:vAlign w:val="bottom"/>
            <w:tcBorders>
              <w:top w:val="single" w:sz="8" w:color="auto"/>
            </w:tcBorders>
          </w:tcPr>
          <w:p>
            <w:pPr>
              <w:ind w:left="2820"/>
              <w:spacing w:after="0"/>
              <w:rPr>
                <w:sz w:val="20"/>
                <w:szCs w:val="20"/>
                <w:color w:val="auto"/>
              </w:rPr>
            </w:pPr>
            <w:r>
              <w:rPr>
                <w:rFonts w:ascii="Times New Roman" w:cs="Times New Roman" w:eastAsia="Times New Roman" w:hAnsi="Times New Roman"/>
                <w:sz w:val="18"/>
                <w:szCs w:val="18"/>
                <w:color w:val="auto"/>
                <w:w w:val="98"/>
              </w:rPr>
              <w:t>Page 1 of 1</w:t>
            </w: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 2018 The Travelers Indemnity Company. All rights reserved.</w:t>
            </w:r>
          </w:p>
        </w:tc>
        <w:tc>
          <w:tcPr>
            <w:tcW w:w="3640" w:type="dxa"/>
            <w:vAlign w:val="bottom"/>
          </w:tcPr>
          <w:p>
            <w:pPr>
              <w:spacing w:after="0"/>
              <w:rPr>
                <w:sz w:val="20"/>
                <w:szCs w:val="20"/>
                <w:color w:val="auto"/>
              </w:rPr>
            </w:pPr>
          </w:p>
        </w:tc>
      </w:tr>
    </w:tbl>
    <w:p>
      <w:pPr>
        <w:sectPr>
          <w:pgSz w:w="11900" w:h="16838" w:orient="portrait"/>
          <w:cols w:equalWidth="0" w:num="1">
            <w:col w:w="11020"/>
          </w:cols>
          <w:pgMar w:left="440" w:top="293" w:right="439" w:bottom="1440" w:gutter="0" w:footer="0" w:header="0"/>
        </w:sectPr>
      </w:pPr>
    </w:p>
    <w:bookmarkStart w:id="36" w:name="page37"/>
    <w:bookmarkEnd w:id="36"/>
    <w:p>
      <w:pPr>
        <w:ind w:left="22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182880</wp:posOffset>
            </wp:positionV>
            <wp:extent cx="7012305"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12305" cy="171450"/>
                    </a:xfrm>
                    <a:prstGeom prst="rect">
                      <a:avLst/>
                    </a:prstGeom>
                    <a:noFill/>
                  </pic:spPr>
                </pic:pic>
              </a:graphicData>
            </a:graphic>
          </wp:anchor>
        </w:drawing>
        <w:t>THIS ENDORSEMENT CHANGES THE POLICY. PLEASE READ IT CAREFULLY.</w:t>
      </w:r>
    </w:p>
    <w:p>
      <w:pPr>
        <w:spacing w:after="0" w:line="25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REPLACE GENERAL AGREEMENT A. ORGANIC GROWTH ENDORSEMENT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endorsement changes the following: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 is agreed that: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replaces section III. GENERAL AGREEMENTS, A. ORGANIC GROWTH:</w:t>
      </w:r>
    </w:p>
    <w:p>
      <w:pPr>
        <w:spacing w:after="0" w:line="221" w:lineRule="exact"/>
        <w:rPr>
          <w:sz w:val="20"/>
          <w:szCs w:val="20"/>
          <w:color w:val="auto"/>
        </w:rPr>
      </w:pPr>
    </w:p>
    <w:p>
      <w:pPr>
        <w:jc w:val="both"/>
        <w:ind w:right="220"/>
        <w:spacing w:after="0" w:line="282" w:lineRule="auto"/>
        <w:rPr>
          <w:sz w:val="20"/>
          <w:szCs w:val="20"/>
          <w:color w:val="auto"/>
        </w:rPr>
      </w:pPr>
      <w:r>
        <w:rPr>
          <w:rFonts w:ascii="Times New Roman" w:cs="Times New Roman" w:eastAsia="Times New Roman" w:hAnsi="Times New Roman"/>
          <w:sz w:val="17"/>
          <w:szCs w:val="17"/>
          <w:color w:val="auto"/>
        </w:rPr>
        <w:t xml:space="preserve">If an Insured or </w:t>
      </w:r>
      <w:r>
        <w:rPr>
          <w:rFonts w:ascii="Times New Roman" w:cs="Times New Roman" w:eastAsia="Times New Roman" w:hAnsi="Times New Roman"/>
          <w:sz w:val="17"/>
          <w:szCs w:val="17"/>
          <w:b w:val="1"/>
          <w:bCs w:val="1"/>
          <w:color w:val="auto"/>
        </w:rPr>
        <w:t>Investment Adviser</w:t>
      </w:r>
      <w:r>
        <w:rPr>
          <w:rFonts w:ascii="Times New Roman" w:cs="Times New Roman" w:eastAsia="Times New Roman" w:hAnsi="Times New Roman"/>
          <w:sz w:val="17"/>
          <w:szCs w:val="17"/>
          <w:color w:val="auto"/>
        </w:rPr>
        <w:t xml:space="preserve">, while this bond is in force, adds additional </w:t>
      </w:r>
      <w:r>
        <w:rPr>
          <w:rFonts w:ascii="Times New Roman" w:cs="Times New Roman" w:eastAsia="Times New Roman" w:hAnsi="Times New Roman"/>
          <w:sz w:val="17"/>
          <w:szCs w:val="17"/>
          <w:b w:val="1"/>
          <w:bCs w:val="1"/>
          <w:color w:val="auto"/>
        </w:rPr>
        <w:t>Employees</w:t>
      </w:r>
      <w:r>
        <w:rPr>
          <w:rFonts w:ascii="Times New Roman" w:cs="Times New Roman" w:eastAsia="Times New Roman" w:hAnsi="Times New Roman"/>
          <w:sz w:val="17"/>
          <w:szCs w:val="17"/>
          <w:color w:val="auto"/>
        </w:rPr>
        <w:t xml:space="preserve"> or experiences an increase in assets under management, other than by consolidation or merger with, or purchase or acquisition of the assets, assets under management or liabilities of, another institution, such </w:t>
      </w:r>
      <w:r>
        <w:rPr>
          <w:rFonts w:ascii="Times New Roman" w:cs="Times New Roman" w:eastAsia="Times New Roman" w:hAnsi="Times New Roman"/>
          <w:sz w:val="17"/>
          <w:szCs w:val="17"/>
          <w:b w:val="1"/>
          <w:bCs w:val="1"/>
          <w:color w:val="auto"/>
        </w:rPr>
        <w:t xml:space="preserve">Employees </w:t>
      </w:r>
      <w:r>
        <w:rPr>
          <w:rFonts w:ascii="Times New Roman" w:cs="Times New Roman" w:eastAsia="Times New Roman" w:hAnsi="Times New Roman"/>
          <w:sz w:val="17"/>
          <w:szCs w:val="17"/>
          <w:color w:val="auto"/>
        </w:rPr>
        <w:t>or increased assets under management will automatically be covered hereunder from the date of such addition without the requirement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notice to the Company or the payment of additional premium for the remainder of the Policy Period as set forth in ITEM 2 of the Declarations.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168275</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88265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Issuing Company: </w:t>
      </w:r>
      <w:r>
        <w:rPr>
          <w:rFonts w:ascii="Times New Roman" w:cs="Times New Roman" w:eastAsia="Times New Roman" w:hAnsi="Times New Roman"/>
          <w:sz w:val="18"/>
          <w:szCs w:val="18"/>
          <w:b w:val="1"/>
          <w:bCs w:val="1"/>
          <w:color w:val="auto"/>
        </w:rPr>
        <w:t>Travelers Casualty and Surety Company of America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Policy Number: </w:t>
      </w:r>
      <w:r>
        <w:rPr>
          <w:rFonts w:ascii="Times New Roman" w:cs="Times New Roman" w:eastAsia="Times New Roman" w:hAnsi="Times New Roman"/>
          <w:sz w:val="18"/>
          <w:szCs w:val="18"/>
          <w:b w:val="1"/>
          <w:bCs w:val="1"/>
          <w:color w:val="auto"/>
        </w:rPr>
        <w:t>106736322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IVBB-19045 Ed. 03-19</w:t>
            </w:r>
          </w:p>
        </w:tc>
        <w:tc>
          <w:tcPr>
            <w:tcW w:w="3640" w:type="dxa"/>
            <w:vAlign w:val="bottom"/>
            <w:tcBorders>
              <w:top w:val="single" w:sz="8" w:color="auto"/>
            </w:tcBorders>
          </w:tcPr>
          <w:p>
            <w:pPr>
              <w:ind w:left="2820"/>
              <w:spacing w:after="0"/>
              <w:rPr>
                <w:sz w:val="20"/>
                <w:szCs w:val="20"/>
                <w:color w:val="auto"/>
              </w:rPr>
            </w:pPr>
            <w:r>
              <w:rPr>
                <w:rFonts w:ascii="Times New Roman" w:cs="Times New Roman" w:eastAsia="Times New Roman" w:hAnsi="Times New Roman"/>
                <w:sz w:val="18"/>
                <w:szCs w:val="18"/>
                <w:color w:val="auto"/>
                <w:w w:val="98"/>
              </w:rPr>
              <w:t>Page 1 of 1</w:t>
            </w: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 2019 The Travelers Indemnity Company. All rights reserved.</w:t>
            </w:r>
          </w:p>
        </w:tc>
        <w:tc>
          <w:tcPr>
            <w:tcW w:w="3640" w:type="dxa"/>
            <w:vAlign w:val="bottom"/>
          </w:tcPr>
          <w:p>
            <w:pPr>
              <w:spacing w:after="0"/>
              <w:rPr>
                <w:sz w:val="20"/>
                <w:szCs w:val="20"/>
                <w:color w:val="auto"/>
              </w:rPr>
            </w:pPr>
          </w:p>
        </w:tc>
      </w:tr>
    </w:tbl>
    <w:p>
      <w:pPr>
        <w:sectPr>
          <w:pgSz w:w="11900" w:h="16838" w:orient="portrait"/>
          <w:cols w:equalWidth="0" w:num="1">
            <w:col w:w="11020"/>
          </w:cols>
          <w:pgMar w:left="440" w:top="293" w:right="439" w:bottom="1440" w:gutter="0" w:footer="0" w:header="0"/>
        </w:sectPr>
      </w:pPr>
    </w:p>
    <w:bookmarkStart w:id="37" w:name="page38"/>
    <w:bookmarkEnd w:id="37"/>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182880</wp:posOffset>
            </wp:positionV>
            <wp:extent cx="7012305"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12305" cy="171450"/>
                    </a:xfrm>
                    <a:prstGeom prst="rect">
                      <a:avLst/>
                    </a:prstGeom>
                    <a:noFill/>
                  </pic:spPr>
                </pic:pic>
              </a:graphicData>
            </a:graphic>
          </wp:anchor>
        </w:drawing>
        <w:t>THIS ENDORSEMENT CHANGES THE POLICY. PLEASE READ IT CAREFULLY.</w:t>
      </w:r>
    </w:p>
    <w:p>
      <w:pPr>
        <w:spacing w:after="0" w:line="252" w:lineRule="exact"/>
        <w:rPr>
          <w:sz w:val="20"/>
          <w:szCs w:val="20"/>
          <w:color w:val="auto"/>
        </w:rPr>
      </w:pPr>
    </w:p>
    <w:p>
      <w:pPr>
        <w:ind w:left="1544"/>
        <w:spacing w:after="0"/>
        <w:rPr>
          <w:sz w:val="20"/>
          <w:szCs w:val="20"/>
          <w:color w:val="auto"/>
        </w:rPr>
      </w:pPr>
      <w:r>
        <w:rPr>
          <w:rFonts w:ascii="Times New Roman" w:cs="Times New Roman" w:eastAsia="Times New Roman" w:hAnsi="Times New Roman"/>
          <w:sz w:val="18"/>
          <w:szCs w:val="18"/>
          <w:b w:val="1"/>
          <w:bCs w:val="1"/>
          <w:color w:val="auto"/>
        </w:rPr>
        <w:t>NEW YORK CANCELATION, TERMINATION, CHANGE, OR MODIFICATION ENDORSEMENT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endorsement changes the following:</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200025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 is agreed that:</w:t>
      </w:r>
    </w:p>
    <w:p>
      <w:pPr>
        <w:spacing w:after="0" w:line="135" w:lineRule="exact"/>
        <w:rPr>
          <w:sz w:val="20"/>
          <w:szCs w:val="20"/>
          <w:color w:val="auto"/>
        </w:rPr>
      </w:pPr>
    </w:p>
    <w:p>
      <w:pPr>
        <w:ind w:left="424" w:hanging="424"/>
        <w:spacing w:after="0"/>
        <w:tabs>
          <w:tab w:leader="none" w:pos="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replaces VI. CONDITIONS, R. CANCELATION, TERMINATION, CHANGE, OR MODIFICATION, 1.b.:</w:t>
      </w:r>
    </w:p>
    <w:p>
      <w:pPr>
        <w:spacing w:after="0" w:line="130" w:lineRule="exact"/>
        <w:rPr>
          <w:rFonts w:ascii="Times New Roman" w:cs="Times New Roman" w:eastAsia="Times New Roman" w:hAnsi="Times New Roman"/>
          <w:sz w:val="18"/>
          <w:szCs w:val="18"/>
          <w:color w:val="auto"/>
        </w:rPr>
      </w:pPr>
    </w:p>
    <w:p>
      <w:pPr>
        <w:ind w:left="964" w:right="100" w:hanging="532"/>
        <w:spacing w:after="0" w:line="266" w:lineRule="auto"/>
        <w:tabs>
          <w:tab w:leader="none" w:pos="96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bond has been in effect for 90 days or less, it may be canceled by the Company for any reason. Such cancelation will be effective 90 days after the Company mails a notice of cancelation to the first named Insured at the mailing address set forth in ITEM 1 of the Declarations, the SEC, and every other Insured.</w:t>
      </w:r>
    </w:p>
    <w:p>
      <w:pPr>
        <w:spacing w:after="0" w:line="67" w:lineRule="exact"/>
        <w:rPr>
          <w:rFonts w:ascii="Times New Roman" w:cs="Times New Roman" w:eastAsia="Times New Roman" w:hAnsi="Times New Roman"/>
          <w:sz w:val="18"/>
          <w:szCs w:val="18"/>
          <w:color w:val="auto"/>
        </w:rPr>
      </w:pPr>
    </w:p>
    <w:p>
      <w:pPr>
        <w:jc w:val="both"/>
        <w:ind w:left="984"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bond has been in effect for more than 90 days or is a renewal, then cancelation may only be for one or more of the following reasons and will be effective 90 days after the notice of cancelation is mailed or delivered to the first named Insured at the mailing address set forth in ITEM 1 of the Declarations, the SEC, and to every other Insured:</w:t>
      </w:r>
    </w:p>
    <w:p>
      <w:pPr>
        <w:spacing w:after="0" w:line="81" w:lineRule="exact"/>
        <w:rPr>
          <w:rFonts w:ascii="Times New Roman" w:cs="Times New Roman" w:eastAsia="Times New Roman" w:hAnsi="Times New Roman"/>
          <w:sz w:val="18"/>
          <w:szCs w:val="18"/>
          <w:color w:val="auto"/>
        </w:rPr>
      </w:pPr>
    </w:p>
    <w:p>
      <w:pPr>
        <w:ind w:left="1424" w:right="740" w:hanging="439"/>
        <w:spacing w:after="0" w:line="282" w:lineRule="auto"/>
        <w:tabs>
          <w:tab w:leader="none" w:pos="1424"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nonpayment of premium or installment that is overdue, as well as any unpaid fees charged for installments, late payment or reinstatement;</w:t>
      </w:r>
    </w:p>
    <w:p>
      <w:pPr>
        <w:spacing w:after="0" w:line="67"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conviction of the Insured of a crime arising out of acts increasing the hazard insured against;</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 of fraud or material misrepresentation in the obtaining of this bond or in the presentation of a claim hereunder;</w:t>
      </w:r>
    </w:p>
    <w:p>
      <w:pPr>
        <w:spacing w:after="0" w:line="130" w:lineRule="exact"/>
        <w:rPr>
          <w:rFonts w:ascii="Times New Roman" w:cs="Times New Roman" w:eastAsia="Times New Roman" w:hAnsi="Times New Roman"/>
          <w:sz w:val="18"/>
          <w:szCs w:val="18"/>
          <w:color w:val="auto"/>
        </w:rPr>
      </w:pPr>
    </w:p>
    <w:p>
      <w:pPr>
        <w:ind w:left="1424" w:right="120" w:hanging="439"/>
        <w:spacing w:after="0" w:line="282" w:lineRule="auto"/>
        <w:tabs>
          <w:tab w:leader="none" w:pos="1424"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 after the inception date set forth in ITEM 2 of the Declarations of an act or omission, or a violation of any bond condition that substantially and materially increases the hazard insured against;</w:t>
      </w:r>
    </w:p>
    <w:p>
      <w:pPr>
        <w:spacing w:after="0" w:line="67" w:lineRule="exact"/>
        <w:rPr>
          <w:rFonts w:ascii="Times New Roman" w:cs="Times New Roman" w:eastAsia="Times New Roman" w:hAnsi="Times New Roman"/>
          <w:sz w:val="18"/>
          <w:szCs w:val="18"/>
          <w:color w:val="auto"/>
        </w:rPr>
      </w:pPr>
    </w:p>
    <w:p>
      <w:pPr>
        <w:jc w:val="both"/>
        <w:ind w:left="1424" w:right="140" w:hanging="439"/>
        <w:spacing w:after="0" w:line="266" w:lineRule="auto"/>
        <w:tabs>
          <w:tab w:leader="none" w:pos="1424"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 in the nature or extent of the risk, occurring after the Inception Date set forth in ITEM 2 of the Declarations, which causes the risk of loss to be substantially and materially increased beyond that contemplated at the time the bond was issued or last renewed;</w:t>
      </w:r>
    </w:p>
    <w:p>
      <w:pPr>
        <w:spacing w:after="0" w:line="81" w:lineRule="exact"/>
        <w:rPr>
          <w:rFonts w:ascii="Times New Roman" w:cs="Times New Roman" w:eastAsia="Times New Roman" w:hAnsi="Times New Roman"/>
          <w:sz w:val="18"/>
          <w:szCs w:val="18"/>
          <w:color w:val="auto"/>
        </w:rPr>
      </w:pPr>
    </w:p>
    <w:p>
      <w:pPr>
        <w:ind w:left="1424" w:right="560" w:hanging="439"/>
        <w:spacing w:after="0" w:line="282" w:lineRule="auto"/>
        <w:tabs>
          <w:tab w:leader="none" w:pos="1424"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superintendent that continuation of the present premium volume of the Company would jeopardize the Company’s solvency or be hazardous to the interests of the Company’s stockholders or creditors, or to the public;</w:t>
      </w:r>
    </w:p>
    <w:p>
      <w:pPr>
        <w:spacing w:after="0" w:line="67" w:lineRule="exact"/>
        <w:rPr>
          <w:rFonts w:ascii="Times New Roman" w:cs="Times New Roman" w:eastAsia="Times New Roman" w:hAnsi="Times New Roman"/>
          <w:sz w:val="18"/>
          <w:szCs w:val="18"/>
          <w:color w:val="auto"/>
        </w:rPr>
      </w:pPr>
    </w:p>
    <w:p>
      <w:pPr>
        <w:ind w:left="1424" w:right="160" w:hanging="439"/>
        <w:spacing w:after="0" w:line="282" w:lineRule="auto"/>
        <w:tabs>
          <w:tab w:leader="none" w:pos="1424"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superintendent that continuation of the bond would violate, or would place the Company in violation of, any provision of the New York State Insurance Law; or</w:t>
      </w:r>
    </w:p>
    <w:p>
      <w:pPr>
        <w:spacing w:after="0" w:line="67" w:lineRule="exact"/>
        <w:rPr>
          <w:rFonts w:ascii="Times New Roman" w:cs="Times New Roman" w:eastAsia="Times New Roman" w:hAnsi="Times New Roman"/>
          <w:sz w:val="18"/>
          <w:szCs w:val="18"/>
          <w:color w:val="auto"/>
        </w:rPr>
      </w:pPr>
    </w:p>
    <w:p>
      <w:pPr>
        <w:ind w:left="1424" w:right="460" w:hanging="439"/>
        <w:spacing w:after="0" w:line="282" w:lineRule="auto"/>
        <w:tabs>
          <w:tab w:leader="none" w:pos="1424"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Company has reason to believe, in good faith and with sufficient cause, that there is a possible risk or danger that the insured property will be destroyed by the Insured for the purpose of collecting the insurance proceeds, provided that:</w:t>
      </w:r>
    </w:p>
    <w:p>
      <w:pPr>
        <w:spacing w:after="0" w:line="67" w:lineRule="exact"/>
        <w:rPr>
          <w:rFonts w:ascii="Times New Roman" w:cs="Times New Roman" w:eastAsia="Times New Roman" w:hAnsi="Times New Roman"/>
          <w:sz w:val="18"/>
          <w:szCs w:val="18"/>
          <w:color w:val="auto"/>
        </w:rPr>
      </w:pPr>
    </w:p>
    <w:p>
      <w:pPr>
        <w:jc w:val="both"/>
        <w:ind w:left="1964" w:right="540" w:hanging="533"/>
        <w:spacing w:after="0" w:line="312" w:lineRule="auto"/>
        <w:tabs>
          <w:tab w:leader="none" w:pos="1964" w:val="left"/>
        </w:tabs>
        <w:numPr>
          <w:ilvl w:val="3"/>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notice of cancelation on this ground informs the Insured in plain language that the Insured must act within 10 days if review by the Department of Financial Services of the State of New York of the ground for cancelation is desired; and</w:t>
      </w:r>
    </w:p>
    <w:p>
      <w:pPr>
        <w:spacing w:after="0" w:line="45" w:lineRule="exact"/>
        <w:rPr>
          <w:rFonts w:ascii="Times New Roman" w:cs="Times New Roman" w:eastAsia="Times New Roman" w:hAnsi="Times New Roman"/>
          <w:sz w:val="17"/>
          <w:szCs w:val="17"/>
          <w:color w:val="auto"/>
        </w:rPr>
      </w:pPr>
    </w:p>
    <w:p>
      <w:pPr>
        <w:ind w:left="1964" w:right="140" w:hanging="533"/>
        <w:spacing w:after="0" w:line="282" w:lineRule="auto"/>
        <w:tabs>
          <w:tab w:leader="none" w:pos="1964" w:val="left"/>
        </w:tabs>
        <w:numPr>
          <w:ilvl w:val="3"/>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cancelation on this ground is provided simultaneously by the Company to the Department of Financial Services of the State of New York.</w:t>
      </w:r>
    </w:p>
    <w:p>
      <w:pPr>
        <w:spacing w:after="0" w:line="31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are added to VI. CONDITIONS, R. CANCELATION, TERMINATION, CHANGE, OR MODIFICATION:</w:t>
      </w:r>
    </w:p>
    <w:p>
      <w:pPr>
        <w:spacing w:after="0" w:line="131" w:lineRule="exact"/>
        <w:rPr>
          <w:sz w:val="20"/>
          <w:szCs w:val="20"/>
          <w:color w:val="auto"/>
        </w:rPr>
      </w:pPr>
    </w:p>
    <w:p>
      <w:pPr>
        <w:ind w:left="964" w:hanging="532"/>
        <w:spacing w:after="0"/>
        <w:tabs>
          <w:tab w:leader="none" w:pos="96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Nonrenewal</w:t>
      </w:r>
    </w:p>
    <w:p>
      <w:pPr>
        <w:spacing w:after="0" w:line="117" w:lineRule="exact"/>
        <w:rPr>
          <w:sz w:val="20"/>
          <w:szCs w:val="20"/>
          <w:color w:val="auto"/>
        </w:rPr>
      </w:pPr>
    </w:p>
    <w:p>
      <w:pPr>
        <w:ind w:left="444" w:right="160"/>
        <w:spacing w:after="0" w:line="261" w:lineRule="auto"/>
        <w:rPr>
          <w:sz w:val="20"/>
          <w:szCs w:val="20"/>
          <w:color w:val="auto"/>
        </w:rPr>
      </w:pPr>
      <w:r>
        <w:rPr>
          <w:rFonts w:ascii="Times New Roman" w:cs="Times New Roman" w:eastAsia="Times New Roman" w:hAnsi="Times New Roman"/>
          <w:sz w:val="18"/>
          <w:szCs w:val="18"/>
          <w:color w:val="auto"/>
        </w:rPr>
        <w:t xml:space="preserve">The Company will not be required to renew this bond upon its expiration. If the Company elects not to renew, the Company will provide the Insured set forth in ITEM 1 of the Declarations, the SEC, and every other Insured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notice to that effect at least 60 days, but no more than 120 days, before the Expiration Date set forth in ITEM 2 of the Declarations. If such notice is given late, the bond will continue in effect for 60 days after such notice is received by the Insured.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Issuing Company: </w:t>
      </w:r>
      <w:r>
        <w:rPr>
          <w:rFonts w:ascii="Times New Roman" w:cs="Times New Roman" w:eastAsia="Times New Roman" w:hAnsi="Times New Roman"/>
          <w:sz w:val="18"/>
          <w:szCs w:val="18"/>
          <w:b w:val="1"/>
          <w:bCs w:val="1"/>
          <w:color w:val="auto"/>
        </w:rPr>
        <w:t>Travelers Casualty and Surety Company of America</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Policy Number: </w:t>
      </w:r>
      <w:r>
        <w:rPr>
          <w:rFonts w:ascii="Times New Roman" w:cs="Times New Roman" w:eastAsia="Times New Roman" w:hAnsi="Times New Roman"/>
          <w:sz w:val="18"/>
          <w:szCs w:val="18"/>
          <w:b w:val="1"/>
          <w:bCs w:val="1"/>
          <w:color w:val="auto"/>
        </w:rPr>
        <w:t>106736322</w:t>
      </w:r>
    </w:p>
    <w:p>
      <w:pPr>
        <w:spacing w:after="0" w:line="138" w:lineRule="exact"/>
        <w:rPr>
          <w:sz w:val="20"/>
          <w:szCs w:val="20"/>
          <w:color w:val="auto"/>
        </w:rPr>
      </w:pPr>
    </w:p>
    <w:tbl>
      <w:tblPr>
        <w:tblLayout w:type="fixed"/>
        <w:tblInd w:w="4" w:type="dxa"/>
        <w:tblCellMar>
          <w:top w:w="0" w:type="dxa"/>
          <w:left w:w="0" w:type="dxa"/>
          <w:bottom w:w="0" w:type="dxa"/>
          <w:right w:w="0" w:type="dxa"/>
        </w:tblCellMar>
      </w:tblPr>
      <w:tr>
        <w:trPr>
          <w:trHeight w:val="225"/>
        </w:trPr>
        <w:tc>
          <w:tcPr>
            <w:tcW w:w="7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IVBB-18023 Rev. 12-17</w:t>
            </w:r>
          </w:p>
        </w:tc>
        <w:tc>
          <w:tcPr>
            <w:tcW w:w="3640" w:type="dxa"/>
            <w:vAlign w:val="bottom"/>
            <w:tcBorders>
              <w:top w:val="single" w:sz="8" w:color="auto"/>
            </w:tcBorders>
          </w:tcPr>
          <w:p>
            <w:pPr>
              <w:ind w:left="2820"/>
              <w:spacing w:after="0"/>
              <w:rPr>
                <w:sz w:val="20"/>
                <w:szCs w:val="20"/>
                <w:color w:val="auto"/>
              </w:rPr>
            </w:pPr>
            <w:r>
              <w:rPr>
                <w:rFonts w:ascii="Times New Roman" w:cs="Times New Roman" w:eastAsia="Times New Roman" w:hAnsi="Times New Roman"/>
                <w:sz w:val="18"/>
                <w:szCs w:val="18"/>
                <w:color w:val="auto"/>
                <w:w w:val="98"/>
              </w:rPr>
              <w:t>Page 1 of 2</w:t>
            </w: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 2017 The Travelers Indemnity Company. All rights reserved.</w:t>
            </w:r>
          </w:p>
        </w:tc>
        <w:tc>
          <w:tcPr>
            <w:tcW w:w="3640" w:type="dxa"/>
            <w:vAlign w:val="bottom"/>
          </w:tcPr>
          <w:p>
            <w:pPr>
              <w:spacing w:after="0"/>
              <w:rPr>
                <w:sz w:val="20"/>
                <w:szCs w:val="20"/>
                <w:color w:val="auto"/>
              </w:rPr>
            </w:pPr>
          </w:p>
        </w:tc>
      </w:tr>
    </w:tbl>
    <w:p>
      <w:pPr>
        <w:sectPr>
          <w:pgSz w:w="11900" w:h="16838" w:orient="portrait"/>
          <w:cols w:equalWidth="0" w:num="1">
            <w:col w:w="11024"/>
          </w:cols>
          <w:pgMar w:left="436" w:top="293" w:right="439" w:bottom="1440" w:gutter="0" w:footer="0" w:header="0"/>
        </w:sectPr>
      </w:pPr>
    </w:p>
    <w:bookmarkStart w:id="38" w:name="page39"/>
    <w:bookmarkEnd w:id="38"/>
    <w:p>
      <w:pPr>
        <w:ind w:left="960" w:hanging="532"/>
        <w:spacing w:after="0"/>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Renewal with Altered Terms:</w:t>
      </w:r>
    </w:p>
    <w:p>
      <w:pPr>
        <w:spacing w:after="0" w:line="117" w:lineRule="exact"/>
        <w:rPr>
          <w:sz w:val="20"/>
          <w:szCs w:val="20"/>
          <w:color w:val="auto"/>
        </w:rPr>
      </w:pPr>
    </w:p>
    <w:p>
      <w:pPr>
        <w:ind w:left="440" w:right="60"/>
        <w:spacing w:after="0" w:line="258" w:lineRule="auto"/>
        <w:rPr>
          <w:sz w:val="20"/>
          <w:szCs w:val="20"/>
          <w:color w:val="auto"/>
        </w:rPr>
      </w:pPr>
      <w:r>
        <w:rPr>
          <w:rFonts w:ascii="Times New Roman" w:cs="Times New Roman" w:eastAsia="Times New Roman" w:hAnsi="Times New Roman"/>
          <w:sz w:val="18"/>
          <w:szCs w:val="18"/>
          <w:color w:val="auto"/>
        </w:rPr>
        <w:t xml:space="preserve">Should this bond be renewed or replaced, but with a reduction of limits, reduced coverage, increased deductible, additional exclusions, or upon increased premiums in excess of 10% (exclusive of any premium increase as a result of experience rating), the Company must mail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notice to the Insured shown in ITEM 1 of the Declarations at least 60 days but not more than 120 days before renewal or replacement. If such notice is given late, the renewal or replacement bond will be in effect with the same terms, conditions and rates as the terminated bond for 60 days after such notice is received by the Insured.</w:t>
      </w:r>
    </w:p>
    <w:p>
      <w:pPr>
        <w:spacing w:after="0" w:line="75" w:lineRule="exact"/>
        <w:rPr>
          <w:sz w:val="20"/>
          <w:szCs w:val="20"/>
          <w:color w:val="auto"/>
        </w:rPr>
      </w:pPr>
    </w:p>
    <w:p>
      <w:pPr>
        <w:ind w:left="440" w:right="40"/>
        <w:spacing w:after="0" w:line="261" w:lineRule="auto"/>
        <w:rPr>
          <w:sz w:val="20"/>
          <w:szCs w:val="20"/>
          <w:color w:val="auto"/>
        </w:rPr>
      </w:pPr>
      <w:r>
        <w:rPr>
          <w:rFonts w:ascii="Times New Roman" w:cs="Times New Roman" w:eastAsia="Times New Roman" w:hAnsi="Times New Roman"/>
          <w:sz w:val="18"/>
          <w:szCs w:val="18"/>
          <w:color w:val="auto"/>
        </w:rPr>
        <w:t>The Company may elect to simply notify the Insured that the bond will either not be renewed, or will be renewed with different terms, conditions or rates. In such event, the Company will inform each Insured and the SEC that a second notice will be sent at a later date specifying the Company’s exact intention. The notice will inform the parties that, in the meantime, coverage will continue at the same terms, conditions and rates as the expiring bond until the expiration date of the bond or 60 days after the second notice is received by the Insured, whichever is 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168275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IVBB-18023 Rev. 12-17</w:t>
            </w:r>
          </w:p>
        </w:tc>
        <w:tc>
          <w:tcPr>
            <w:tcW w:w="3640" w:type="dxa"/>
            <w:vAlign w:val="bottom"/>
            <w:tcBorders>
              <w:top w:val="single" w:sz="8" w:color="auto"/>
            </w:tcBorders>
          </w:tcPr>
          <w:p>
            <w:pPr>
              <w:ind w:left="2820"/>
              <w:spacing w:after="0"/>
              <w:rPr>
                <w:sz w:val="20"/>
                <w:szCs w:val="20"/>
                <w:color w:val="auto"/>
              </w:rPr>
            </w:pPr>
            <w:r>
              <w:rPr>
                <w:rFonts w:ascii="Times New Roman" w:cs="Times New Roman" w:eastAsia="Times New Roman" w:hAnsi="Times New Roman"/>
                <w:sz w:val="18"/>
                <w:szCs w:val="18"/>
                <w:color w:val="auto"/>
                <w:w w:val="98"/>
              </w:rPr>
              <w:t>Page 2 of 2</w:t>
            </w: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 2017 The Travelers Indemnity Company. All rights reserved.</w:t>
            </w:r>
          </w:p>
        </w:tc>
        <w:tc>
          <w:tcPr>
            <w:tcW w:w="3640" w:type="dxa"/>
            <w:vAlign w:val="bottom"/>
          </w:tcPr>
          <w:p>
            <w:pPr>
              <w:spacing w:after="0"/>
              <w:rPr>
                <w:sz w:val="20"/>
                <w:szCs w:val="20"/>
                <w:color w:val="auto"/>
              </w:rPr>
            </w:pPr>
          </w:p>
        </w:tc>
      </w:tr>
    </w:tbl>
    <w:p>
      <w:pPr>
        <w:sectPr>
          <w:pgSz w:w="11900" w:h="16838" w:orient="portrait"/>
          <w:cols w:equalWidth="0" w:num="1">
            <w:col w:w="11020"/>
          </w:cols>
          <w:pgMar w:left="440" w:top="270" w:right="439" w:bottom="1440" w:gutter="0" w:footer="0" w:header="0"/>
        </w:sectPr>
      </w:pPr>
    </w:p>
    <w:bookmarkStart w:id="39" w:name="page40"/>
    <w:bookmarkEnd w:id="39"/>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183515</wp:posOffset>
            </wp:positionV>
            <wp:extent cx="7012305"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12305" cy="171450"/>
                    </a:xfrm>
                    <a:prstGeom prst="rect">
                      <a:avLst/>
                    </a:prstGeom>
                    <a:noFill/>
                  </pic:spPr>
                </pic:pic>
              </a:graphicData>
            </a:graphic>
          </wp:anchor>
        </w:drawing>
        <w:t>THIS ENDORSEMENT CHANGES THE POLICY. PLEASE READ IT CAREFULLY.</w:t>
      </w:r>
    </w:p>
    <w:p>
      <w:pPr>
        <w:spacing w:after="0" w:line="252" w:lineRule="exact"/>
        <w:rPr>
          <w:sz w:val="20"/>
          <w:szCs w:val="20"/>
          <w:color w:val="auto"/>
        </w:rPr>
      </w:pPr>
    </w:p>
    <w:p>
      <w:pPr>
        <w:ind w:left="2304"/>
        <w:spacing w:after="0"/>
        <w:rPr>
          <w:sz w:val="20"/>
          <w:szCs w:val="20"/>
          <w:color w:val="auto"/>
        </w:rPr>
      </w:pPr>
      <w:r>
        <w:rPr>
          <w:rFonts w:ascii="Times New Roman" w:cs="Times New Roman" w:eastAsia="Times New Roman" w:hAnsi="Times New Roman"/>
          <w:sz w:val="18"/>
          <w:szCs w:val="18"/>
          <w:b w:val="1"/>
          <w:bCs w:val="1"/>
          <w:color w:val="auto"/>
        </w:rPr>
        <w:t>NEW YORK INSURANCE MANDATORY REGULATION 209 ENDORSEMENT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endorsement changes the following:</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200025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 is agreed that:</w:t>
      </w:r>
    </w:p>
    <w:p>
      <w:pPr>
        <w:spacing w:after="0" w:line="131" w:lineRule="exact"/>
        <w:rPr>
          <w:sz w:val="20"/>
          <w:szCs w:val="20"/>
          <w:color w:val="auto"/>
        </w:rPr>
      </w:pPr>
    </w:p>
    <w:p>
      <w:pPr>
        <w:ind w:left="424" w:hanging="424"/>
        <w:spacing w:after="0"/>
        <w:tabs>
          <w:tab w:leader="none" w:pos="42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is added to section </w:t>
      </w:r>
      <w:r>
        <w:rPr>
          <w:rFonts w:ascii="Times New Roman" w:cs="Times New Roman" w:eastAsia="Times New Roman" w:hAnsi="Times New Roman"/>
          <w:sz w:val="18"/>
          <w:szCs w:val="18"/>
          <w:b w:val="1"/>
          <w:bCs w:val="1"/>
          <w:color w:val="auto"/>
        </w:rPr>
        <w:t>V. EXCLUSIONS, AA.</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right="10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However, this exclusion will not apply to loss caused by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of an Insured located in New York who was convicted of a fraudulent or dishonest act prior to becoming employed by the Insured if the Insured made a determination to hire or retain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utilizing the factors set out in Correction Law Article 23-A. Nevertheless, this exclusion will apply to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loss caused by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for whom there is a bar to employment established by law and the Insured has hired or retained the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despite the bar.</w:t>
      </w:r>
    </w:p>
    <w:p>
      <w:pPr>
        <w:spacing w:after="0" w:line="324"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is added to section </w:t>
      </w:r>
      <w:r>
        <w:rPr>
          <w:rFonts w:ascii="Times New Roman" w:cs="Times New Roman" w:eastAsia="Times New Roman" w:hAnsi="Times New Roman"/>
          <w:sz w:val="18"/>
          <w:szCs w:val="18"/>
          <w:b w:val="1"/>
          <w:bCs w:val="1"/>
          <w:color w:val="auto"/>
        </w:rPr>
        <w:t>VI. CONDITIONS, R. CANCELATION OR TERMINATION</w:t>
      </w:r>
      <w:r>
        <w:rPr>
          <w:rFonts w:ascii="Times New Roman" w:cs="Times New Roman" w:eastAsia="Times New Roman" w:hAnsi="Times New Roman"/>
          <w:sz w:val="18"/>
          <w:szCs w:val="18"/>
          <w:color w:val="auto"/>
        </w:rPr>
        <w:t>, 2. Termination, c.:</w:t>
      </w:r>
    </w:p>
    <w:p>
      <w:pPr>
        <w:spacing w:after="0" w:line="117" w:lineRule="exact"/>
        <w:rPr>
          <w:rFonts w:ascii="Times New Roman" w:cs="Times New Roman" w:eastAsia="Times New Roman" w:hAnsi="Times New Roman"/>
          <w:sz w:val="18"/>
          <w:szCs w:val="18"/>
          <w:color w:val="auto"/>
        </w:rPr>
      </w:pPr>
    </w:p>
    <w:p>
      <w:pPr>
        <w:ind w:left="444" w:right="52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Termination of coverage as to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as set forth in c.(1) and c.(2) above will not apply to any such person provided the Insured has received and retains an original letter signed by a prior insurer reinstating coverage for such individual whom the Insured discovered had committed a dishonest or fraudulent act prior to the effective date of this bond.</w:t>
      </w:r>
    </w:p>
    <w:p>
      <w:pPr>
        <w:spacing w:after="0" w:line="62" w:lineRule="exact"/>
        <w:rPr>
          <w:rFonts w:ascii="Times New Roman" w:cs="Times New Roman" w:eastAsia="Times New Roman" w:hAnsi="Times New Roman"/>
          <w:sz w:val="18"/>
          <w:szCs w:val="18"/>
          <w:color w:val="auto"/>
        </w:rPr>
      </w:pPr>
    </w:p>
    <w:p>
      <w:pPr>
        <w:ind w:left="444" w:right="26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upon the detection by any Insured that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(hereafter “detected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has committed any dishonest or fraudulent acts or theft, the Insured must immediately remove the detected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from a position that may enable the detected </w:t>
      </w:r>
      <w:r>
        <w:rPr>
          <w:rFonts w:ascii="Times New Roman" w:cs="Times New Roman" w:eastAsia="Times New Roman" w:hAnsi="Times New Roman"/>
          <w:sz w:val="18"/>
          <w:szCs w:val="18"/>
          <w:b w:val="1"/>
          <w:bCs w:val="1"/>
          <w:color w:val="auto"/>
        </w:rPr>
        <w:t xml:space="preserve">Employee </w:t>
      </w:r>
      <w:r>
        <w:rPr>
          <w:rFonts w:ascii="Times New Roman" w:cs="Times New Roman" w:eastAsia="Times New Roman" w:hAnsi="Times New Roman"/>
          <w:sz w:val="18"/>
          <w:szCs w:val="18"/>
          <w:color w:val="auto"/>
        </w:rPr>
        <w:t>to cause the Insured to suffer a loss by any subsequent dishonest or fraudulent acts or theft. The Insured, within 48 hours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detection, must notify the Company with full and complete particulars of the detected dishonest or fraudulent acts or theft.</w:t>
      </w:r>
    </w:p>
    <w:p>
      <w:pPr>
        <w:spacing w:after="0" w:line="68" w:lineRule="exact"/>
        <w:rPr>
          <w:rFonts w:ascii="Times New Roman" w:cs="Times New Roman" w:eastAsia="Times New Roman" w:hAnsi="Times New Roman"/>
          <w:sz w:val="18"/>
          <w:szCs w:val="18"/>
          <w:color w:val="auto"/>
        </w:rPr>
      </w:pPr>
    </w:p>
    <w:p>
      <w:pPr>
        <w:ind w:left="444" w:right="1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section, detection occurs when any partner, officer, or supervisory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of any Insured, who is not in collusion with the detected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becomes aware that the detected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has committed any dishonest or fraudulent acts or theft.</w:t>
      </w:r>
    </w:p>
    <w:p>
      <w:pPr>
        <w:spacing w:after="0" w:line="46" w:lineRule="exact"/>
        <w:rPr>
          <w:rFonts w:ascii="Times New Roman" w:cs="Times New Roman" w:eastAsia="Times New Roman" w:hAnsi="Times New Roman"/>
          <w:sz w:val="18"/>
          <w:szCs w:val="18"/>
          <w:color w:val="auto"/>
        </w:rPr>
      </w:pPr>
    </w:p>
    <w:p>
      <w:pPr>
        <w:ind w:left="444" w:right="2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Coverage under this bond with respect to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will terminate upon written notice to each Insured and to the Securities and Exchange Commission from the Company of not less than 60 days prior to the effective date of termination specified in such notice.</w:t>
      </w:r>
    </w:p>
    <w:p>
      <w:pPr>
        <w:spacing w:after="0" w:line="46" w:lineRule="exact"/>
        <w:rPr>
          <w:rFonts w:ascii="Times New Roman" w:cs="Times New Roman" w:eastAsia="Times New Roman" w:hAnsi="Times New Roman"/>
          <w:sz w:val="18"/>
          <w:szCs w:val="18"/>
          <w:color w:val="auto"/>
        </w:rPr>
      </w:pPr>
    </w:p>
    <w:p>
      <w:pPr>
        <w:ind w:left="444" w:right="16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Termination of coverage as to any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of an Insured located in New York as set forth in c.(1) and c.(2) above will also not apply to any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if: (a) the dishonest act was committed by that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prior to becoming employed by the Insured, (b) the dishonest act resulted in a conviction of that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and (c) the Insured made a determination to hire or retain the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utilizing the factors set out in Correction Law Article 23-A. However, such termination of coverage will apply to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or loss caused by such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for whom there is a bar to employment established by law and the Insured has hired or retained the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despite the 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179070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8" w:lineRule="exact"/>
        <w:rPr>
          <w:sz w:val="20"/>
          <w:szCs w:val="20"/>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Issuing Company: </w:t>
      </w:r>
      <w:r>
        <w:rPr>
          <w:rFonts w:ascii="Times New Roman" w:cs="Times New Roman" w:eastAsia="Times New Roman" w:hAnsi="Times New Roman"/>
          <w:sz w:val="18"/>
          <w:szCs w:val="18"/>
          <w:b w:val="1"/>
          <w:bCs w:val="1"/>
          <w:color w:val="auto"/>
        </w:rPr>
        <w:t>Travelers Casualty and Surety Company of America</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Policy Number: </w:t>
      </w:r>
      <w:r>
        <w:rPr>
          <w:rFonts w:ascii="Times New Roman" w:cs="Times New Roman" w:eastAsia="Times New Roman" w:hAnsi="Times New Roman"/>
          <w:sz w:val="18"/>
          <w:szCs w:val="18"/>
          <w:b w:val="1"/>
          <w:bCs w:val="1"/>
          <w:color w:val="auto"/>
        </w:rPr>
        <w:t>106736322</w:t>
      </w:r>
    </w:p>
    <w:p>
      <w:pPr>
        <w:spacing w:after="0" w:line="138" w:lineRule="exact"/>
        <w:rPr>
          <w:sz w:val="20"/>
          <w:szCs w:val="20"/>
          <w:color w:val="auto"/>
        </w:rPr>
      </w:pPr>
    </w:p>
    <w:tbl>
      <w:tblPr>
        <w:tblLayout w:type="fixed"/>
        <w:tblInd w:w="4" w:type="dxa"/>
        <w:tblCellMar>
          <w:top w:w="0" w:type="dxa"/>
          <w:left w:w="0" w:type="dxa"/>
          <w:bottom w:w="0" w:type="dxa"/>
          <w:right w:w="0" w:type="dxa"/>
        </w:tblCellMar>
      </w:tblPr>
      <w:tr>
        <w:trPr>
          <w:trHeight w:val="225"/>
        </w:trPr>
        <w:tc>
          <w:tcPr>
            <w:tcW w:w="7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IVBB-17022 Rev. 10-19</w:t>
            </w:r>
          </w:p>
        </w:tc>
        <w:tc>
          <w:tcPr>
            <w:tcW w:w="3640" w:type="dxa"/>
            <w:vAlign w:val="bottom"/>
            <w:tcBorders>
              <w:top w:val="single" w:sz="8" w:color="auto"/>
            </w:tcBorders>
          </w:tcPr>
          <w:p>
            <w:pPr>
              <w:ind w:left="2820"/>
              <w:spacing w:after="0"/>
              <w:rPr>
                <w:sz w:val="20"/>
                <w:szCs w:val="20"/>
                <w:color w:val="auto"/>
              </w:rPr>
            </w:pPr>
            <w:r>
              <w:rPr>
                <w:rFonts w:ascii="Times New Roman" w:cs="Times New Roman" w:eastAsia="Times New Roman" w:hAnsi="Times New Roman"/>
                <w:sz w:val="18"/>
                <w:szCs w:val="18"/>
                <w:color w:val="auto"/>
                <w:w w:val="98"/>
              </w:rPr>
              <w:t>Page 1 of 1</w:t>
            </w: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 2019 The Travelers Indemnity Company. All rights reserved.</w:t>
            </w:r>
          </w:p>
        </w:tc>
        <w:tc>
          <w:tcPr>
            <w:tcW w:w="3640" w:type="dxa"/>
            <w:vAlign w:val="bottom"/>
          </w:tcPr>
          <w:p>
            <w:pPr>
              <w:spacing w:after="0"/>
              <w:rPr>
                <w:sz w:val="20"/>
                <w:szCs w:val="20"/>
                <w:color w:val="auto"/>
              </w:rPr>
            </w:pPr>
          </w:p>
        </w:tc>
      </w:tr>
    </w:tbl>
    <w:p>
      <w:pPr>
        <w:sectPr>
          <w:pgSz w:w="11900" w:h="16838" w:orient="portrait"/>
          <w:cols w:equalWidth="0" w:num="1">
            <w:col w:w="11024"/>
          </w:cols>
          <w:pgMar w:left="436" w:top="293" w:right="4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THE SECRETARY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CERTIFYING RESOLUTIONS APPROVING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JOINT FIDELITY BOND</w:t>
      </w:r>
    </w:p>
    <w:p>
      <w:pPr>
        <w:spacing w:after="0" w:line="20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THE UNDERSIGNED</w:t>
      </w:r>
      <w:r>
        <w:rPr>
          <w:rFonts w:ascii="Times New Roman" w:cs="Times New Roman" w:eastAsia="Times New Roman" w:hAnsi="Times New Roman"/>
          <w:sz w:val="18"/>
          <w:szCs w:val="18"/>
          <w:color w:val="auto"/>
        </w:rPr>
        <w:t>, the duly appointed Secretary of PennantPark Investment Corporation, a Maryland corporation (“PNNT”), an externally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managed, non-diversified investment company that has elected to be treated as a business development company under the Investment Company Act of 1940, as amended (the “1940 Act”), does hereby certify that the resolutions set forth below were approved by the Board of Directors of PNNT(the “Board”), including a majority of the directors who are not “interested persons” of PNNT, as defined in Section 2(a)(19) of the 1940 Act (the “Independent Directors”), on May 3, 2022 at a meeting of the Board (the “Meeting”) in connection with a joint fidelity bond for covering each of PNNT, PennantPark Floating Rate Capital Ltd. (“PFLT,” and each of PNNT and PFLT, a “Corporation” and together, the “Corporations”), PennantPark Investment Advisers, LLC (the “Adviser”) and PennantPark Investment Administration, LLC (the “Administrator”):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Board reviewed the materials presented at the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NOW, THEREFORE, BE IT:</w:t>
      </w:r>
    </w:p>
    <w:p>
      <w:pPr>
        <w:spacing w:after="0" w:line="22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Board of each Corporation determined that the applicable Corporation, the Adviser and the Administrator each be covered as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“Insured” under a joint fidelity bond (for both Corporations, the “Bond”) having an aggregate coverage of $5 million issued by The Travelers Indemnity Company, a reputable fidelity insurance company, against larceny and embezzlement and such other types of losses as are included in standard fidelity bonds, covering the officers and the other employees of the applicable Corporation, the Adviser and the Administrator from time to time and containing such provisions as may be required by the rules promulgated under the 1940 Act;</w:t>
      </w:r>
    </w:p>
    <w:p>
      <w:pPr>
        <w:spacing w:after="0" w:line="17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the proposed form and amount of the Bond considered at the Meeting be, and hereby are, approved after consideration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factors deemed relevant by the directors of the applicable Corporation (the “Directors”), and separately approved by the Independent Directors, including, but not limited to, the amount of the Bond, the value of the aggregate assets of the applicable Corporation to which any person covered under the Bond may have access, the estimated amount of the premium for such Bond, the type and terms of the arrangements made for the custody and safekeeping of the applicable Corporation’s assets and the nature of the securities in the applicable Corporation’s portfolio;</w:t>
      </w:r>
    </w:p>
    <w:p>
      <w:pPr>
        <w:spacing w:after="0" w:line="17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the payment by the applicable Corporation of the premium for coverage under the Bond, in the amount described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and the share of the premium to be allocated to the applicable Corporation and to the Adviser/Administrator for the Bond, based upon their proportionate share of the sum of the premiums that would have been paid if such fidelity bond coverage had been purchased separately, be, and hereby are, approved by the Directors of the applicable Corporation, including the Independent Directors of the applicable Corporation, after having given due consideration to, among other things, the number of other parties insured under the Bond, the nature of the business activities of those other parties, the amount of the premium for the Bond, the ratable allocation of the premium among all parties named as insureds and the extent to which the share of the premium allocated to the applicable Corporation under the Bond is less than the premium the applicable Corporation would have had to pay had it maintained a single insured bond;</w:t>
      </w:r>
    </w:p>
    <w:p>
      <w:pPr>
        <w:sectPr>
          <w:pgSz w:w="11900" w:h="16838" w:orient="portrait"/>
          <w:cols w:equalWidth="0" w:num="1">
            <w:col w:w="11020"/>
          </w:cols>
          <w:pgMar w:left="440" w:top="266" w:right="439" w:bottom="1440" w:gutter="0" w:footer="0" w:header="0"/>
        </w:sectPr>
      </w:pPr>
    </w:p>
    <w:bookmarkStart w:id="41" w:name="page42"/>
    <w:bookmarkEnd w:id="41"/>
    <w:p>
      <w:pPr>
        <w:ind w:right="60"/>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FURTHER RESOLVED</w:t>
      </w:r>
      <w:r>
        <w:rPr>
          <w:rFonts w:ascii="Times New Roman" w:cs="Times New Roman" w:eastAsia="Times New Roman" w:hAnsi="Times New Roman"/>
          <w:sz w:val="18"/>
          <w:szCs w:val="18"/>
          <w:color w:val="auto"/>
        </w:rPr>
        <w:t>, that the proposed Joint Fidelity Bond Agreement among the applicable Corporation, the Adviser and the Administrator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providing that in the event that any recovery is received under the Bond as a result of a loss sustained by the applicable Corporation and also by any other named Insured, the applicable Corporation shall receive an equitable and proportionate share of the recovery, but in no event less than the amount it would have received had it provided and maintained a single insured bond with the minimum coverage required by paragraph (d)(1) of Rule 17g-1 under the 1940 Act, is approved, with such further changes therein as Richard Cheung and Arthur H. Penn (each, an “Officer” and, together, the “Officers”), may determine to be necessary or desirable and proper, with the advice of the applicable Corporation’s counsel, the execution of each Joint Fidelity Bond Agreement by such Officers to be conclusive evidence of such determination;</w:t>
      </w:r>
    </w:p>
    <w:p>
      <w:pPr>
        <w:spacing w:after="0" w:line="183"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the Secretary of the applicable Corporation be, and hereby is, designated as the party responsible for making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filings and giving the notices with respect to the Bond required by paragraph (g) of Rule 17g-1 under the 1940 Act;</w:t>
      </w:r>
    </w:p>
    <w:p>
      <w:pPr>
        <w:spacing w:after="0" w:line="15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the Officers be, and each of them hereby is, authorized to obtain and enter into a joint liability insurance policy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and amount as presented at the Meeting for all losses, covering the applicable Corporation, the Adviser and the Administrator and their respective directors and officers (each of whom shall be deemed a third party beneficiary thereof) generally against liabilities and expenses arising out of claims, actions or proceedings asserted or threatened against them in their respective capacities for or relating to the applicable Corporation, the Adviser and the Administrator, as the case may be, subject to such ordinary exceptions as the Officer executing the same deems reasonable or appropriate;</w:t>
      </w:r>
    </w:p>
    <w:p>
      <w:pPr>
        <w:spacing w:after="0" w:line="179" w:lineRule="exact"/>
        <w:rPr>
          <w:sz w:val="20"/>
          <w:szCs w:val="20"/>
          <w:color w:val="auto"/>
        </w:rPr>
      </w:pPr>
    </w:p>
    <w:p>
      <w:pPr>
        <w:ind w:right="240"/>
        <w:spacing w:after="0" w:line="317" w:lineRule="auto"/>
        <w:rPr>
          <w:sz w:val="20"/>
          <w:szCs w:val="20"/>
          <w:color w:val="auto"/>
        </w:rPr>
      </w:pPr>
      <w:r>
        <w:rPr>
          <w:rFonts w:ascii="Times New Roman" w:cs="Times New Roman" w:eastAsia="Times New Roman" w:hAnsi="Times New Roman"/>
          <w:sz w:val="17"/>
          <w:szCs w:val="17"/>
          <w:b w:val="1"/>
          <w:bCs w:val="1"/>
          <w:color w:val="auto"/>
        </w:rPr>
        <w:t>FURTHER RESOLVED</w:t>
      </w:r>
      <w:r>
        <w:rPr>
          <w:rFonts w:ascii="Times New Roman" w:cs="Times New Roman" w:eastAsia="Times New Roman" w:hAnsi="Times New Roman"/>
          <w:sz w:val="17"/>
          <w:szCs w:val="17"/>
          <w:color w:val="auto"/>
        </w:rPr>
        <w:t>, that the Directors of each Corporation, including the Independent Directors of each Corporation, hereby find that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applicable Corporation’s participation in the above-referenced joint liability insurance policy is in the best interest of the applicable Corporation; and</w:t>
      </w:r>
    </w:p>
    <w:p>
      <w:pPr>
        <w:spacing w:after="0" w:line="13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the share of the premium to be allocated 60% to PNNT and PFLT and 40% to the Adviser and its affiliates for the Bond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applicable joint liability insurance policy, which is based upon each Corporation’s proportionate share of the sum of the premiums that would have been paid if such insurance coverage were purchased separately, be, and hereby is, determined to be fair and reasonable to the applicable Corporation by the Directors of such Corporation, including the Independent Directors of such Corporation and that the appropriate allocation between each of the Corporations, with respect to the joint liability insurance policy, is obtained.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I have hereunto set my hand as an officer of the Corporation this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June 2022.</w:t>
      </w:r>
    </w:p>
    <w:p>
      <w:pPr>
        <w:spacing w:after="0" w:line="25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Thomas J. Friedmann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Secretary</w:t>
      </w:r>
    </w:p>
    <w:p>
      <w:pPr>
        <w:sectPr>
          <w:pgSz w:w="11900" w:h="16838" w:orient="portrait"/>
          <w:cols w:equalWidth="0" w:num="1">
            <w:col w:w="10960"/>
          </w:cols>
          <w:pgMar w:left="440" w:top="266" w:right="49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JOINT FIDELITY BOND AGREEMENT</w:t>
      </w:r>
    </w:p>
    <w:p>
      <w:pPr>
        <w:spacing w:after="0" w:line="229"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This JOINT FIDELITY BOND AGREEMENT is dated as of May 3, 2022 by and among PennantPark Investment Corporation, a Maryland corporation (“PNNT”), PennantPark Floating Rate Capital Ltd., a Maryland corporation (“PFLT”), PennantPark Investment Advisers, LLC, a Delaware limited liability company (the “Adviser”), and PennantPark Investment Administration, LLC, a Delaware limited liability company (the “Administrator”).</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WITNESSETH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0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PNNT, PFLT, the Adviser, and the Administrator are joint named insureds (each, an “Insured” and collectively, the “Insureds”) under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bond issued by Travelers Casualty and Surety Company of America (the “Bond”);</w:t>
      </w:r>
    </w:p>
    <w:p>
      <w:pPr>
        <w:spacing w:after="0" w:line="155" w:lineRule="exact"/>
        <w:rPr>
          <w:sz w:val="20"/>
          <w:szCs w:val="20"/>
          <w:color w:val="auto"/>
        </w:rPr>
      </w:pPr>
    </w:p>
    <w:p>
      <w:pPr>
        <w:ind w:left="4" w:right="6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each of PNNT and PFLT is required to provide and maintain a fidelity bond pursuant to Rule 17g-1 under the Investment Company Act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1940, as amended (the “1940 Act”);</w:t>
      </w:r>
    </w:p>
    <w:p>
      <w:pPr>
        <w:spacing w:after="0" w:line="155" w:lineRule="exact"/>
        <w:rPr>
          <w:sz w:val="20"/>
          <w:szCs w:val="20"/>
          <w:color w:val="auto"/>
        </w:rPr>
      </w:pPr>
    </w:p>
    <w:p>
      <w:pPr>
        <w:ind w:left="4" w:right="12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Rule 17g-1 under the 1940 Act requires that the Insureds enter into an agreement with each other, containing certain provisions regarding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respective amounts to be received by them in the event recovery is received under the Bond as a result of a loss sustained by them; and</w:t>
      </w:r>
    </w:p>
    <w:p>
      <w:pPr>
        <w:spacing w:after="0" w:line="155" w:lineRule="exact"/>
        <w:rPr>
          <w:sz w:val="20"/>
          <w:szCs w:val="20"/>
          <w:color w:val="auto"/>
        </w:rPr>
      </w:pPr>
    </w:p>
    <w:p>
      <w:pPr>
        <w:ind w:left="4" w:right="76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Agreement has been approved by the directors of each of PNNT and PFLT, including a majority of the directors who are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“interested persons” of each of PNNT and PFLT (as defined in the 1940 Act).</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parties hereto, in consideration of the premises and the mutual covenants contained herein, hereby agree as follows:</w:t>
      </w:r>
    </w:p>
    <w:p>
      <w:pPr>
        <w:spacing w:after="0" w:line="229" w:lineRule="exact"/>
        <w:rPr>
          <w:sz w:val="20"/>
          <w:szCs w:val="20"/>
          <w:color w:val="auto"/>
        </w:rPr>
      </w:pPr>
    </w:p>
    <w:p>
      <w:pPr>
        <w:ind w:left="4" w:right="20" w:hanging="4"/>
        <w:spacing w:after="0" w:line="282" w:lineRule="auto"/>
        <w:tabs>
          <w:tab w:leader="none" w:pos="18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Insured agrees to maintain in effect, and will pay a portion of the premiums for, the Bond, which premium will be allocated pro rata according to the relative premium that such Insured would pay for separate fidelity bond coverage.</w:t>
      </w:r>
    </w:p>
    <w:p>
      <w:pPr>
        <w:spacing w:after="0" w:line="161" w:lineRule="exact"/>
        <w:rPr>
          <w:rFonts w:ascii="Times New Roman" w:cs="Times New Roman" w:eastAsia="Times New Roman" w:hAnsi="Times New Roman"/>
          <w:sz w:val="18"/>
          <w:szCs w:val="18"/>
          <w:color w:val="auto"/>
        </w:rPr>
      </w:pPr>
    </w:p>
    <w:p>
      <w:pPr>
        <w:ind w:left="4" w:right="340" w:hanging="4"/>
        <w:spacing w:after="0" w:line="266" w:lineRule="auto"/>
        <w:tabs>
          <w:tab w:leader="none" w:pos="18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recovery is received under the Bond as a result of a loss sustained by each Insured, each Insured shall receive an equitable and proportionate share of the recovery, but each Insured shall receive an amount at least equal to the amount it would have received had it provided and maintained a single insured bond with the minimum coverage required by paragraph (d)(1) of Rule 17g-1 under the 1940 Act.</w:t>
      </w:r>
    </w:p>
    <w:p>
      <w:pPr>
        <w:spacing w:after="0" w:line="175" w:lineRule="exact"/>
        <w:rPr>
          <w:rFonts w:ascii="Times New Roman" w:cs="Times New Roman" w:eastAsia="Times New Roman" w:hAnsi="Times New Roman"/>
          <w:sz w:val="18"/>
          <w:szCs w:val="18"/>
          <w:color w:val="auto"/>
        </w:rPr>
      </w:pPr>
    </w:p>
    <w:p>
      <w:pPr>
        <w:jc w:val="both"/>
        <w:ind w:left="4" w:right="60" w:hanging="4"/>
        <w:spacing w:after="0" w:line="266" w:lineRule="auto"/>
        <w:tabs>
          <w:tab w:leader="none" w:pos="18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within ten days after making any claim under the Bond, provide the other party with written notice of the amount and nature of such claim. Each party shall, within ten days after the receipt thereof, provide the other party with written notice of the terms of settlement of any claim made under the Bond by such party.</w:t>
      </w:r>
    </w:p>
    <w:p>
      <w:pPr>
        <w:spacing w:after="0" w:line="175"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rights and duties hereunder shall not be assignable by any party hereto without written consent of the other party.</w:t>
      </w:r>
    </w:p>
    <w:p>
      <w:pPr>
        <w:spacing w:after="0" w:line="225" w:lineRule="exact"/>
        <w:rPr>
          <w:rFonts w:ascii="Times New Roman" w:cs="Times New Roman" w:eastAsia="Times New Roman" w:hAnsi="Times New Roman"/>
          <w:sz w:val="18"/>
          <w:szCs w:val="18"/>
          <w:color w:val="auto"/>
        </w:rPr>
      </w:pPr>
    </w:p>
    <w:p>
      <w:pPr>
        <w:ind w:left="4" w:right="20" w:hanging="4"/>
        <w:spacing w:after="0" w:line="282" w:lineRule="auto"/>
        <w:tabs>
          <w:tab w:leader="none" w:pos="18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amended by the parties hereto only if such amendment is approved by the Board of Directors of each of PNNT and PFLT and such amendment is set forth in a written instrument executed by each of the parties hereto.</w:t>
      </w:r>
    </w:p>
    <w:p>
      <w:pPr>
        <w:spacing w:after="0" w:line="161"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construed in accordance with the laws of the State of New York.</w:t>
      </w:r>
    </w:p>
    <w:p>
      <w:pPr>
        <w:spacing w:after="0" w:line="225"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This agreement may be executed simultaneously in two or more counterparts, each of which shall be deemed an original, but all of which taken together shall constitute one and the same instrument.</w:t>
      </w:r>
    </w:p>
    <w:p>
      <w:pPr>
        <w:sectPr>
          <w:pgSz w:w="11900" w:h="16838" w:orient="portrait"/>
          <w:cols w:equalWidth="0" w:num="1">
            <w:col w:w="11024"/>
          </w:cols>
          <w:pgMar w:left="436" w:top="266" w:right="439" w:bottom="1440" w:gutter="0" w:footer="0" w:header="0"/>
        </w:sectPr>
      </w:pPr>
    </w:p>
    <w:bookmarkStart w:id="43" w:name="page44"/>
    <w:bookmarkEnd w:id="43"/>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this Agreement has been executed by the parties as of the date first set forth above.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INVESTMENT CORPORATION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Arthur Penn</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Arthur Penn</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FLOATING RATE CAPITAL LTD.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Arthur Penn</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Arthur Penn</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INVESTMENT ADVISERS,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Arthur Penn</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Arthur Penn</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INVESTMENT ADMINISTRATION,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LLC</w:t>
      </w:r>
    </w:p>
    <w:p>
      <w:pPr>
        <w:spacing w:after="0" w:line="20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Richard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Richard Cheung</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Managing Director</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14FD4A1"/>
    <w:multiLevelType w:val="hybridMultilevel"/>
    <w:lvl w:ilvl="0">
      <w:lvlJc w:val="left"/>
      <w:lvlText w:val="%1."/>
      <w:numFmt w:val="decimal"/>
      <w:start w:val="1"/>
    </w:lvl>
  </w:abstractNum>
  <w:abstractNum w:abstractNumId="1">
    <w:nsid w:val="419AC241"/>
    <w:multiLevelType w:val="hybridMultilevel"/>
    <w:lvl w:ilvl="0">
      <w:lvlJc w:val="left"/>
      <w:lvlText w:val="%1."/>
      <w:numFmt w:val="decimal"/>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1."/>
      <w:numFmt w:val="decimal"/>
      <w:start w:val="1"/>
    </w:lvl>
  </w:abstractNum>
  <w:abstractNum w:abstractNumId="5">
    <w:nsid w:val="3804823E"/>
    <w:multiLevelType w:val="hybridMultilevel"/>
    <w:lvl w:ilvl="0">
      <w:lvlJc w:val="left"/>
      <w:lvlText w:val="%1."/>
      <w:numFmt w:val="decimal"/>
      <w:start w:val="4"/>
    </w:lvl>
  </w:abstractNum>
  <w:abstractNum w:abstractNumId="6">
    <w:nsid w:val="77465F01"/>
    <w:multiLevelType w:val="hybridMultilevel"/>
    <w:lvl w:ilvl="0">
      <w:lvlJc w:val="left"/>
      <w:lvlText w:val="%1."/>
      <w:numFmt w:val="upperLetter"/>
      <w:start w:val="9"/>
    </w:lvl>
  </w:abstractNum>
  <w:abstractNum w:abstractNumId="7">
    <w:nsid w:val="7724C67E"/>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8">
    <w:nsid w:val="5C482A97"/>
    <w:multiLevelType w:val="hybridMultilevel"/>
    <w:lvl w:ilvl="0">
      <w:lvlJc w:val="left"/>
      <w:lvlText w:val="%1."/>
      <w:numFmt w:val="decimal"/>
      <w:start w:val="2"/>
    </w:lvl>
  </w:abstractNum>
  <w:abstractNum w:abstractNumId="9">
    <w:nsid w:val="2463B9EA"/>
    <w:multiLevelType w:val="hybridMultilevel"/>
    <w:lvl w:ilvl="0">
      <w:lvlJc w:val="left"/>
      <w:lvlText w:val="%1."/>
      <w:numFmt w:val="upperLetter"/>
      <w:start w:val="3"/>
    </w:lvl>
    <w:lvl w:ilvl="1">
      <w:lvlJc w:val="left"/>
      <w:lvlText w:val="%2."/>
      <w:numFmt w:val="decimal"/>
      <w:start w:val="1"/>
    </w:lvl>
  </w:abstractNum>
  <w:abstractNum w:abstractNumId="10">
    <w:nsid w:val="5E884ADC"/>
    <w:multiLevelType w:val="hybridMultilevel"/>
    <w:lvl w:ilvl="0">
      <w:lvlJc w:val="left"/>
      <w:lvlText w:val="%1."/>
      <w:numFmt w:val="upperLetter"/>
      <w:start w:val="5"/>
    </w:lvl>
    <w:lvl w:ilvl="1">
      <w:lvlJc w:val="left"/>
      <w:lvlText w:val="%2."/>
      <w:numFmt w:val="decimal"/>
      <w:start w:val="1"/>
    </w:lvl>
    <w:lvl w:ilvl="2">
      <w:lvlJc w:val="left"/>
      <w:lvlText w:val="%3."/>
      <w:numFmt w:val="lowerLetter"/>
      <w:start w:val="1"/>
    </w:lvl>
  </w:abstractNum>
  <w:abstractNum w:abstractNumId="11">
    <w:nsid w:val="51EAD36B"/>
    <w:multiLevelType w:val="hybridMultilevel"/>
    <w:lvl w:ilvl="0">
      <w:lvlJc w:val="left"/>
      <w:lvlText w:val="%1."/>
      <w:numFmt w:val="lowerLetter"/>
      <w:start w:val="9"/>
    </w:lvl>
  </w:abstractNum>
  <w:abstractNum w:abstractNumId="12">
    <w:nsid w:val="2D517796"/>
    <w:multiLevelType w:val="hybridMultilevel"/>
    <w:lvl w:ilvl="0">
      <w:lvlJc w:val="left"/>
      <w:lvlText w:val="%1"/>
      <w:numFmt w:val="decimal"/>
      <w:start w:val="1"/>
    </w:lvl>
    <w:lvl w:ilvl="1">
      <w:lvlJc w:val="left"/>
      <w:lvlText w:val="(%2)"/>
      <w:numFmt w:val="decimal"/>
      <w:start w:val="1"/>
    </w:lvl>
  </w:abstractNum>
  <w:abstractNum w:abstractNumId="13">
    <w:nsid w:val="580BD78F"/>
    <w:multiLevelType w:val="hybridMultilevel"/>
    <w:lvl w:ilvl="0">
      <w:lvlJc w:val="left"/>
      <w:lvlText w:val="%1."/>
      <w:numFmt w:val="decimal"/>
      <w:start w:val="2"/>
    </w:lvl>
    <w:lvl w:ilvl="1">
      <w:lvlJc w:val="left"/>
      <w:lvlText w:val="%2"/>
      <w:numFmt w:val="decimal"/>
      <w:start w:val="1"/>
    </w:lvl>
  </w:abstractNum>
  <w:abstractNum w:abstractNumId="14">
    <w:nsid w:val="153EA438"/>
    <w:multiLevelType w:val="hybridMultilevel"/>
    <w:lvl w:ilvl="0">
      <w:lvlJc w:val="left"/>
      <w:lvlText w:val="%1."/>
      <w:numFmt w:val="upperLetter"/>
      <w:start w:val="6"/>
    </w:lvl>
    <w:lvl w:ilvl="1">
      <w:lvlJc w:val="left"/>
      <w:lvlText w:val="%2."/>
      <w:numFmt w:val="decimal"/>
      <w:start w:val="1"/>
    </w:lvl>
  </w:abstractNum>
  <w:abstractNum w:abstractNumId="15">
    <w:nsid w:val="3855585C"/>
    <w:multiLevelType w:val="hybridMultilevel"/>
    <w:lvl w:ilvl="0">
      <w:lvlJc w:val="left"/>
      <w:lvlText w:val="%1."/>
      <w:numFmt w:val="upperLetter"/>
      <w:start w:val="9"/>
    </w:lvl>
  </w:abstractNum>
  <w:abstractNum w:abstractNumId="16">
    <w:nsid w:val="70A64E2A"/>
    <w:multiLevelType w:val="hybridMultilevel"/>
    <w:lvl w:ilvl="0">
      <w:lvlJc w:val="left"/>
      <w:lvlText w:val="%1."/>
      <w:numFmt w:val="lowerLetter"/>
      <w:start w:val="1"/>
    </w:lvl>
  </w:abstractNum>
  <w:abstractNum w:abstractNumId="17">
    <w:nsid w:val="6A2342EC"/>
    <w:multiLevelType w:val="hybridMultilevel"/>
    <w:lvl w:ilvl="0">
      <w:lvlJc w:val="left"/>
      <w:lvlText w:val="%1."/>
      <w:numFmt w:val="upperLetter"/>
      <w:start w:val="10"/>
    </w:lvl>
    <w:lvl w:ilvl="1">
      <w:lvlJc w:val="left"/>
      <w:lvlText w:val="%2."/>
      <w:numFmt w:val="decimal"/>
      <w:start w:val="1"/>
    </w:lvl>
  </w:abstractNum>
  <w:abstractNum w:abstractNumId="18">
    <w:nsid w:val="2A487CB0"/>
    <w:multiLevelType w:val="hybridMultilevel"/>
    <w:lvl w:ilvl="0">
      <w:lvlJc w:val="left"/>
      <w:lvlText w:val="%1."/>
      <w:numFmt w:val="upperLetter"/>
      <w:start w:val="61"/>
    </w:lvl>
    <w:lvl w:ilvl="1">
      <w:lvlJc w:val="left"/>
      <w:lvlText w:val="%2"/>
      <w:numFmt w:val="upperLetter"/>
      <w:start w:val="1"/>
    </w:lvl>
  </w:abstractNum>
  <w:abstractNum w:abstractNumId="19">
    <w:nsid w:val="1D4ED43B"/>
    <w:multiLevelType w:val="hybridMultilevel"/>
    <w:lvl w:ilvl="0">
      <w:lvlJc w:val="left"/>
      <w:lvlText w:val="%1."/>
      <w:numFmt w:val="upperLetter"/>
      <w:start w:val="2"/>
    </w:lvl>
    <w:lvl w:ilvl="1">
      <w:lvlJc w:val="left"/>
      <w:lvlText w:val="%2."/>
      <w:numFmt w:val="decimal"/>
      <w:start w:val="1"/>
    </w:lvl>
  </w:abstractNum>
  <w:abstractNum w:abstractNumId="20">
    <w:nsid w:val="725A06FB"/>
    <w:multiLevelType w:val="hybridMultilevel"/>
    <w:lvl w:ilvl="0">
      <w:lvlJc w:val="left"/>
      <w:lvlText w:val="%1"/>
      <w:numFmt w:val="upperLetter"/>
      <w:start w:val="1"/>
    </w:lvl>
    <w:lvl w:ilvl="1">
      <w:lvlJc w:val="left"/>
      <w:lvlText w:val="%2."/>
      <w:numFmt w:val="lowerLetter"/>
      <w:start w:val="1"/>
    </w:lvl>
  </w:abstractNum>
  <w:abstractNum w:abstractNumId="21">
    <w:nsid w:val="2CD89A32"/>
    <w:multiLevelType w:val="hybridMultilevel"/>
    <w:lvl w:ilvl="0">
      <w:lvlJc w:val="left"/>
      <w:lvlText w:val="%1."/>
      <w:numFmt w:val="upperLetter"/>
      <w:start w:val="3"/>
    </w:lvl>
    <w:lvl w:ilvl="1">
      <w:lvlJc w:val="left"/>
      <w:lvlText w:val="%2"/>
      <w:numFmt w:val="lowerLetter"/>
      <w:start w:val="1"/>
    </w:lvl>
  </w:abstractNum>
  <w:abstractNum w:abstractNumId="22">
    <w:nsid w:val="57E4CCAF"/>
    <w:multiLevelType w:val="hybridMultilevel"/>
    <w:lvl w:ilvl="0">
      <w:lvlJc w:val="left"/>
      <w:lvlText w:val="%1."/>
      <w:numFmt w:val="upperLetter"/>
      <w:start w:val="5"/>
    </w:lvl>
    <w:lvl w:ilvl="1">
      <w:lvlJc w:val="left"/>
      <w:lvlText w:val="%2."/>
      <w:numFmt w:val="decimal"/>
      <w:start w:val="1"/>
    </w:lvl>
  </w:abstractNum>
  <w:abstractNum w:abstractNumId="23">
    <w:nsid w:val="7A6D8D3C"/>
    <w:multiLevelType w:val="hybridMultilevel"/>
    <w:lvl w:ilvl="0">
      <w:lvlJc w:val="left"/>
      <w:lvlText w:val="%1."/>
      <w:numFmt w:val="upperLetter"/>
      <w:start w:val="1"/>
    </w:lvl>
  </w:abstractNum>
  <w:abstractNum w:abstractNumId="24">
    <w:nsid w:val="4B588F54"/>
    <w:multiLevelType w:val="hybridMultilevel"/>
    <w:lvl w:ilvl="0">
      <w:lvlJc w:val="left"/>
      <w:lvlText w:val="%1."/>
      <w:numFmt w:val="upperLetter"/>
      <w:start w:val="4"/>
    </w:lvl>
    <w:lvl w:ilvl="1">
      <w:lvlJc w:val="left"/>
      <w:lvlText w:val="%2."/>
      <w:numFmt w:val="decimal"/>
      <w:start w:val="1"/>
    </w:lvl>
  </w:abstractNum>
  <w:abstractNum w:abstractNumId="25">
    <w:nsid w:val="542289EC"/>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26">
    <w:nsid w:val="6DE91B18"/>
    <w:multiLevelType w:val="hybridMultilevel"/>
    <w:lvl w:ilvl="0">
      <w:lvlJc w:val="left"/>
      <w:lvlText w:val="%1."/>
      <w:numFmt w:val="upperLetter"/>
      <w:start w:val="12"/>
    </w:lvl>
    <w:lvl w:ilvl="1">
      <w:lvlJc w:val="left"/>
      <w:lvlText w:val="%2."/>
      <w:numFmt w:val="decimal"/>
      <w:start w:val="1"/>
    </w:lvl>
  </w:abstractNum>
  <w:abstractNum w:abstractNumId="27">
    <w:nsid w:val="38437FDB"/>
    <w:multiLevelType w:val="hybridMultilevel"/>
    <w:lvl w:ilvl="0">
      <w:lvlJc w:val="left"/>
      <w:lvlText w:val="%1."/>
      <w:numFmt w:val="decimal"/>
      <w:start w:val="6"/>
    </w:lvl>
    <w:lvl w:ilvl="1">
      <w:lvlJc w:val="left"/>
      <w:lvlText w:val="%2."/>
      <w:numFmt w:val="lowerLetter"/>
      <w:start w:val="1"/>
    </w:lvl>
  </w:abstractNum>
  <w:abstractNum w:abstractNumId="28">
    <w:nsid w:val="7644A45C"/>
    <w:multiLevelType w:val="hybridMultilevel"/>
    <w:lvl w:ilvl="0">
      <w:lvlJc w:val="left"/>
      <w:lvlText w:val="%1."/>
      <w:numFmt w:val="upperLetter"/>
      <w:start w:val="19"/>
    </w:lvl>
    <w:lvl w:ilvl="1">
      <w:lvlJc w:val="left"/>
      <w:lvlText w:val="%2."/>
      <w:numFmt w:val="decimal"/>
      <w:start w:val="1"/>
    </w:lvl>
  </w:abstractNum>
  <w:abstractNum w:abstractNumId="29">
    <w:nsid w:val="32FFF902"/>
    <w:multiLevelType w:val="hybridMultilevel"/>
    <w:lvl w:ilvl="0">
      <w:lvlJc w:val="left"/>
      <w:lvlText w:val="%1."/>
      <w:numFmt w:val="upperLetter"/>
      <w:start w:val="21"/>
    </w:lvl>
    <w:lvl w:ilvl="1">
      <w:lvlJc w:val="left"/>
      <w:lvlText w:val="%2."/>
      <w:numFmt w:val="decimal"/>
      <w:start w:val="1"/>
    </w:lvl>
    <w:lvl w:ilvl="2">
      <w:lvlJc w:val="left"/>
      <w:lvlText w:val="%3."/>
      <w:numFmt w:val="lowerLetter"/>
      <w:start w:val="1"/>
    </w:lvl>
  </w:abstractNum>
  <w:abstractNum w:abstractNumId="30">
    <w:nsid w:val="684A481A"/>
    <w:multiLevelType w:val="hybridMultilevel"/>
    <w:lvl w:ilvl="0">
      <w:lvlJc w:val="left"/>
      <w:lvlText w:val="%1."/>
      <w:numFmt w:val="decimal"/>
      <w:start w:val="3"/>
    </w:lvl>
  </w:abstractNum>
  <w:abstractNum w:abstractNumId="31">
    <w:nsid w:val="579478FE"/>
    <w:multiLevelType w:val="hybridMultilevel"/>
    <w:lvl w:ilvl="0">
      <w:lvlJc w:val="left"/>
      <w:lvlText w:val="%1."/>
      <w:numFmt w:val="upperLetter"/>
      <w:start w:val="23"/>
    </w:lvl>
    <w:lvl w:ilvl="1">
      <w:lvlJc w:val="left"/>
      <w:lvlText w:val="%2."/>
      <w:numFmt w:val="lowerLetter"/>
      <w:start w:val="1"/>
    </w:lvl>
  </w:abstractNum>
  <w:abstractNum w:abstractNumId="32">
    <w:nsid w:val="749ABB43"/>
    <w:multiLevelType w:val="hybridMultilevel"/>
    <w:lvl w:ilvl="0">
      <w:lvlJc w:val="left"/>
      <w:lvlText w:val="%1."/>
      <w:numFmt w:val="upperLetter"/>
      <w:start w:val="24"/>
    </w:lvl>
  </w:abstractNum>
  <w:abstractNum w:abstractNumId="33">
    <w:nsid w:val="3DC240FB"/>
    <w:multiLevelType w:val="hybridMultilevel"/>
    <w:lvl w:ilvl="0">
      <w:lvlJc w:val="left"/>
      <w:lvlText w:val="%1."/>
      <w:numFmt w:val="upperLetter"/>
      <w:start w:val="27"/>
    </w:lvl>
    <w:lvl w:ilvl="1">
      <w:lvlJc w:val="left"/>
      <w:lvlText w:val="%2."/>
      <w:numFmt w:val="decimal"/>
      <w:start w:val="1"/>
    </w:lvl>
  </w:abstractNum>
  <w:abstractNum w:abstractNumId="34">
    <w:nsid w:val="1BA026FA"/>
    <w:multiLevelType w:val="hybridMultilevel"/>
    <w:lvl w:ilvl="0">
      <w:lvlJc w:val="left"/>
      <w:lvlText w:val="%1."/>
      <w:numFmt w:val="upperLetter"/>
      <w:start w:val="34"/>
    </w:lvl>
    <w:lvl w:ilvl="1">
      <w:lvlJc w:val="left"/>
      <w:lvlText w:val="%2."/>
      <w:numFmt w:val="decimal"/>
      <w:start w:val="1"/>
    </w:lvl>
  </w:abstractNum>
  <w:abstractNum w:abstractNumId="35">
    <w:nsid w:val="79A1DEAA"/>
    <w:multiLevelType w:val="hybridMultilevel"/>
    <w:lvl w:ilvl="0">
      <w:lvlJc w:val="left"/>
      <w:lvlText w:val="%1"/>
      <w:numFmt w:val="upperLetter"/>
      <w:start w:val="1"/>
    </w:lvl>
    <w:lvl w:ilvl="1">
      <w:lvlJc w:val="left"/>
      <w:lvlText w:val="%2."/>
      <w:numFmt w:val="decimal"/>
      <w:start w:val="2"/>
    </w:lvl>
  </w:abstractNum>
  <w:abstractNum w:abstractNumId="36">
    <w:nsid w:val="75C6C33A"/>
    <w:multiLevelType w:val="hybridMultilevel"/>
    <w:lvl w:ilvl="0">
      <w:lvlJc w:val="left"/>
      <w:lvlText w:val="%1."/>
      <w:numFmt w:val="upperLetter"/>
      <w:start w:val="37"/>
    </w:lvl>
    <w:lvl w:ilvl="1">
      <w:lvlJc w:val="left"/>
      <w:lvlText w:val="%2."/>
      <w:numFmt w:val="decimal"/>
      <w:start w:val="1"/>
    </w:lvl>
  </w:abstractNum>
  <w:abstractNum w:abstractNumId="37">
    <w:nsid w:val="12E685FB"/>
    <w:multiLevelType w:val="hybridMultilevel"/>
    <w:lvl w:ilvl="0">
      <w:lvlJc w:val="left"/>
      <w:lvlText w:val="%1."/>
      <w:numFmt w:val="upperLetter"/>
      <w:start w:val="41"/>
    </w:lvl>
    <w:lvl w:ilvl="1">
      <w:lvlJc w:val="left"/>
      <w:lvlText w:val="%2."/>
      <w:numFmt w:val="decimal"/>
      <w:start w:val="1"/>
    </w:lvl>
    <w:lvl w:ilvl="2">
      <w:lvlJc w:val="left"/>
      <w:lvlText w:val="%3."/>
      <w:numFmt w:val="lowerLetter"/>
      <w:start w:val="1"/>
    </w:lvl>
  </w:abstractNum>
  <w:abstractNum w:abstractNumId="38">
    <w:nsid w:val="70C6A529"/>
    <w:multiLevelType w:val="hybridMultilevel"/>
    <w:lvl w:ilvl="0">
      <w:lvlJc w:val="left"/>
      <w:lvlText w:val="%1."/>
      <w:numFmt w:val="upperLetter"/>
      <w:start w:val="22"/>
    </w:lvl>
    <w:lvl w:ilvl="1">
      <w:lvlJc w:val="left"/>
      <w:lvlText w:val="%2."/>
      <w:numFmt w:val="upperLetter"/>
      <w:start w:val="1"/>
    </w:lvl>
    <w:lvl w:ilvl="2">
      <w:lvlJc w:val="left"/>
      <w:lvlText w:val="%3."/>
      <w:numFmt w:val="decimal"/>
      <w:start w:val="1"/>
    </w:lvl>
  </w:abstractNum>
  <w:abstractNum w:abstractNumId="39">
    <w:nsid w:val="520EEDD1"/>
    <w:multiLevelType w:val="hybridMultilevel"/>
    <w:lvl w:ilvl="0">
      <w:lvlJc w:val="left"/>
      <w:lvlText w:val="%1."/>
      <w:numFmt w:val="upperLetter"/>
      <w:start w:val="8"/>
    </w:lvl>
    <w:lvl w:ilvl="1">
      <w:lvlJc w:val="left"/>
      <w:lvlText w:val="%2."/>
      <w:numFmt w:val="decimal"/>
      <w:start w:val="1"/>
    </w:lvl>
  </w:abstractNum>
  <w:abstractNum w:abstractNumId="40">
    <w:nsid w:val="374A3FE6"/>
    <w:multiLevelType w:val="hybridMultilevel"/>
    <w:lvl w:ilvl="0">
      <w:lvlJc w:val="left"/>
      <w:lvlText w:val="%1."/>
      <w:numFmt w:val="upperLetter"/>
      <w:start w:val="9"/>
    </w:lvl>
    <w:lvl w:ilvl="1">
      <w:lvlJc w:val="left"/>
      <w:lvlText w:val="%2."/>
      <w:numFmt w:val="decimal"/>
      <w:start w:val="1"/>
    </w:lvl>
  </w:abstractNum>
  <w:abstractNum w:abstractNumId="41">
    <w:nsid w:val="4F4EF005"/>
    <w:multiLevelType w:val="hybridMultilevel"/>
    <w:lvl w:ilvl="0">
      <w:lvlJc w:val="left"/>
      <w:lvlText w:val="%1."/>
      <w:numFmt w:val="upperLetter"/>
      <w:start w:val="13"/>
    </w:lvl>
    <w:lvl w:ilvl="1">
      <w:lvlJc w:val="left"/>
      <w:lvlText w:val="%2."/>
      <w:numFmt w:val="decimal"/>
      <w:start w:val="1"/>
    </w:lvl>
  </w:abstractNum>
  <w:abstractNum w:abstractNumId="42">
    <w:nsid w:val="23F9C13C"/>
    <w:multiLevelType w:val="hybridMultilevel"/>
    <w:lvl w:ilvl="0">
      <w:lvlJc w:val="left"/>
      <w:lvlText w:val="%1."/>
      <w:numFmt w:val="upperLetter"/>
      <w:start w:val="18"/>
    </w:lvl>
  </w:abstractNum>
  <w:abstractNum w:abstractNumId="43">
    <w:nsid w:val="649BB77C"/>
    <w:multiLevelType w:val="hybridMultilevel"/>
    <w:lvl w:ilvl="0">
      <w:lvlJc w:val="left"/>
      <w:lvlText w:val="%1."/>
      <w:numFmt w:val="upperLetter"/>
      <w:start w:val="20"/>
    </w:lvl>
    <w:lvl w:ilvl="1">
      <w:lvlJc w:val="left"/>
      <w:lvlText w:val="%2."/>
      <w:numFmt w:val="decimal"/>
      <w:start w:val="1"/>
    </w:lvl>
  </w:abstractNum>
  <w:abstractNum w:abstractNumId="44">
    <w:nsid w:val="275AC794"/>
    <w:multiLevelType w:val="hybridMultilevel"/>
    <w:lvl w:ilvl="0">
      <w:lvlJc w:val="left"/>
      <w:lvlText w:val="%1."/>
      <w:numFmt w:val="upperLetter"/>
      <w:start w:val="27"/>
    </w:lvl>
  </w:abstractNum>
  <w:abstractNum w:abstractNumId="45">
    <w:nsid w:val="39386575"/>
    <w:multiLevelType w:val="hybridMultilevel"/>
    <w:lvl w:ilvl="0">
      <w:lvlJc w:val="left"/>
      <w:lvlText w:val="%1."/>
      <w:numFmt w:val="upperLetter"/>
      <w:start w:val="29"/>
    </w:lvl>
  </w:abstractNum>
  <w:abstractNum w:abstractNumId="46">
    <w:nsid w:val="1CF10FD8"/>
    <w:multiLevelType w:val="hybridMultilevel"/>
    <w:lvl w:ilvl="0">
      <w:lvlJc w:val="left"/>
      <w:lvlText w:val="%1."/>
      <w:numFmt w:val="upperLetter"/>
      <w:start w:val="1"/>
    </w:lvl>
    <w:lvl w:ilvl="1">
      <w:lvlJc w:val="left"/>
      <w:lvlText w:val="%2."/>
      <w:numFmt w:val="decimal"/>
      <w:start w:val="1"/>
    </w:lvl>
  </w:abstractNum>
  <w:abstractNum w:abstractNumId="47">
    <w:nsid w:val="180115BE"/>
    <w:multiLevelType w:val="hybridMultilevel"/>
    <w:lvl w:ilvl="0">
      <w:lvlJc w:val="left"/>
      <w:lvlText w:val="%1."/>
      <w:numFmt w:val="upperLetter"/>
      <w:start w:val="3"/>
    </w:lvl>
    <w:lvl w:ilvl="1">
      <w:lvlJc w:val="left"/>
      <w:lvlText w:val="%2."/>
      <w:numFmt w:val="decimal"/>
      <w:start w:val="1"/>
    </w:lvl>
  </w:abstractNum>
  <w:abstractNum w:abstractNumId="48">
    <w:nsid w:val="235BA861"/>
    <w:multiLevelType w:val="hybridMultilevel"/>
    <w:lvl w:ilvl="0">
      <w:lvlJc w:val="left"/>
      <w:lvlText w:val="%1"/>
      <w:numFmt w:val="upperLetter"/>
      <w:start w:val="1"/>
    </w:lvl>
    <w:lvl w:ilvl="1">
      <w:lvlJc w:val="left"/>
      <w:lvlText w:val="%2."/>
      <w:numFmt w:val="decimal"/>
      <w:start w:val="2"/>
    </w:lvl>
  </w:abstractNum>
  <w:abstractNum w:abstractNumId="49">
    <w:nsid w:val="47398C89"/>
    <w:multiLevelType w:val="hybridMultilevel"/>
    <w:lvl w:ilvl="0">
      <w:lvlJc w:val="left"/>
      <w:lvlText w:val="%1."/>
      <w:numFmt w:val="upperLetter"/>
      <w:start w:val="9"/>
    </w:lvl>
    <w:lvl w:ilvl="1">
      <w:lvlJc w:val="left"/>
      <w:lvlText w:val="%2."/>
      <w:numFmt w:val="decimal"/>
      <w:start w:val="1"/>
    </w:lvl>
  </w:abstractNum>
  <w:abstractNum w:abstractNumId="50">
    <w:nsid w:val="354FE9F9"/>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abstractNum>
  <w:abstractNum w:abstractNumId="51">
    <w:nsid w:val="15B5AF5C"/>
    <w:multiLevelType w:val="hybridMultilevel"/>
    <w:lvl w:ilvl="0">
      <w:lvlJc w:val="left"/>
      <w:lvlText w:val="%1."/>
      <w:numFmt w:val="upperLetter"/>
      <w:start w:val="10"/>
    </w:lvl>
    <w:lvl w:ilvl="1">
      <w:lvlJc w:val="left"/>
      <w:lvlText w:val="%2."/>
      <w:numFmt w:val="decimal"/>
      <w:start w:val="1"/>
    </w:lvl>
    <w:lvl w:ilvl="2">
      <w:lvlJc w:val="left"/>
      <w:lvlText w:val="%3."/>
      <w:numFmt w:val="lowerLetter"/>
      <w:start w:val="1"/>
    </w:lvl>
  </w:abstractNum>
  <w:abstractNum w:abstractNumId="52">
    <w:nsid w:val="741226BB"/>
    <w:multiLevelType w:val="hybridMultilevel"/>
    <w:lvl w:ilvl="0">
      <w:lvlJc w:val="left"/>
      <w:lvlText w:val="%1."/>
      <w:numFmt w:val="upperLetter"/>
      <w:start w:val="13"/>
    </w:lvl>
    <w:lvl w:ilvl="1">
      <w:lvlJc w:val="left"/>
      <w:lvlText w:val="%2."/>
      <w:numFmt w:val="decimal"/>
      <w:start w:val="1"/>
    </w:lvl>
  </w:abstractNum>
  <w:abstractNum w:abstractNumId="53">
    <w:nsid w:val="D34B6A8"/>
    <w:multiLevelType w:val="hybridMultilevel"/>
    <w:lvl w:ilvl="0">
      <w:lvlJc w:val="left"/>
      <w:lvlText w:val="%1."/>
      <w:numFmt w:val="upperLetter"/>
      <w:start w:val="14"/>
    </w:lvl>
    <w:lvl w:ilvl="1">
      <w:lvlJc w:val="left"/>
      <w:lvlText w:val="%2."/>
      <w:numFmt w:val="decimal"/>
      <w:start w:val="1"/>
    </w:lvl>
  </w:abstractNum>
  <w:abstractNum w:abstractNumId="54">
    <w:nsid w:val="10233C99"/>
    <w:multiLevelType w:val="hybridMultilevel"/>
    <w:lvl w:ilvl="0">
      <w:lvlJc w:val="left"/>
      <w:lvlText w:val="%1."/>
      <w:numFmt w:val="upperLetter"/>
      <w:start w:val="17"/>
    </w:lvl>
    <w:lvl w:ilvl="1">
      <w:lvlJc w:val="left"/>
      <w:lvlText w:val="%2."/>
      <w:numFmt w:val="decimal"/>
      <w:start w:val="1"/>
    </w:lvl>
  </w:abstractNum>
  <w:abstractNum w:abstractNumId="55">
    <w:nsid w:val="3F6AB60F"/>
    <w:multiLevelType w:val="hybridMultilevel"/>
    <w:lvl w:ilvl="0">
      <w:lvlJc w:val="left"/>
      <w:lvlText w:val="%1."/>
      <w:numFmt w:val="upperLetter"/>
      <w:start w:val="18"/>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56">
    <w:nsid w:val="61574095"/>
    <w:multiLevelType w:val="hybridMultilevel"/>
    <w:lvl w:ilvl="0">
      <w:lvlJc w:val="left"/>
      <w:lvlText w:val="%1."/>
      <w:numFmt w:val="lowerLetter"/>
      <w:start w:val="3"/>
    </w:lvl>
    <w:lvl w:ilvl="1">
      <w:lvlJc w:val="left"/>
      <w:lvlText w:val="(%2)"/>
      <w:numFmt w:val="decimal"/>
      <w:start w:val="1"/>
    </w:lvl>
  </w:abstractNum>
  <w:abstractNum w:abstractNumId="57">
    <w:nsid w:val="7E0C57B1"/>
    <w:multiLevelType w:val="hybridMultilevel"/>
    <w:lvl w:ilvl="0">
      <w:lvlJc w:val="left"/>
      <w:lvlText w:val="%1"/>
      <w:numFmt w:val="upperLetter"/>
      <w:start w:val="1"/>
    </w:lvl>
    <w:lvl w:ilvl="1">
      <w:lvlJc w:val="left"/>
      <w:lvlText w:val="%2."/>
      <w:numFmt w:val="decimal"/>
      <w:start w:val="3"/>
    </w:lvl>
  </w:abstractNum>
  <w:abstractNum w:abstractNumId="58">
    <w:nsid w:val="77AE35EB"/>
    <w:multiLevelType w:val="hybridMultilevel"/>
    <w:lvl w:ilvl="0">
      <w:lvlJc w:val="left"/>
      <w:lvlText w:val="%1."/>
      <w:numFmt w:val="upperLetter"/>
      <w:start w:val="19"/>
    </w:lvl>
    <w:lvl w:ilvl="1">
      <w:lvlJc w:val="left"/>
      <w:lvlText w:val="%2."/>
      <w:numFmt w:val="decimal"/>
      <w:start w:val="1"/>
    </w:lvl>
  </w:abstractNum>
  <w:abstractNum w:abstractNumId="59">
    <w:nsid w:val="579BE4F1"/>
    <w:multiLevelType w:val="hybridMultilevel"/>
    <w:lvl w:ilvl="0">
      <w:lvlJc w:val="left"/>
      <w:lvlText w:val="%1."/>
      <w:numFmt w:val="upperLetter"/>
      <w:start w:val="20"/>
    </w:lvl>
  </w:abstractNum>
  <w:abstractNum w:abstractNumId="60">
    <w:nsid w:val="310C50B3"/>
    <w:multiLevelType w:val="hybridMultilevel"/>
    <w:lvl w:ilvl="0">
      <w:lvlJc w:val="left"/>
      <w:lvlText w:val="%1."/>
      <w:numFmt w:val="decimal"/>
      <w:start w:val="1"/>
    </w:lvl>
    <w:lvl w:ilvl="1">
      <w:lvlJc w:val="left"/>
      <w:lvlText w:val="%2"/>
      <w:numFmt w:val="upperLetter"/>
      <w:start w:val="1"/>
    </w:lvl>
  </w:abstractNum>
  <w:abstractNum w:abstractNumId="61">
    <w:nsid w:val="5FF87E05"/>
    <w:multiLevelType w:val="hybridMultilevel"/>
    <w:lvl w:ilvl="0">
      <w:lvlJc w:val="left"/>
      <w:lvlText w:val="%1."/>
      <w:numFmt w:val="decimal"/>
      <w:start w:val="1"/>
    </w:lvl>
  </w:abstractNum>
  <w:abstractNum w:abstractNumId="62">
    <w:nsid w:val="2F305DEF"/>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lvl w:ilvl="3">
      <w:lvlJc w:val="left"/>
      <w:lvlText w:val="(%4)"/>
      <w:numFmt w:val="lowerLetter"/>
      <w:start w:val="1"/>
    </w:lvl>
  </w:abstractNum>
  <w:abstractNum w:abstractNumId="63">
    <w:nsid w:val="25A70BF7"/>
    <w:multiLevelType w:val="hybridMultilevel"/>
    <w:lvl w:ilvl="0">
      <w:lvlJc w:val="left"/>
      <w:lvlText w:val="%1."/>
      <w:numFmt w:val="decimal"/>
      <w:start w:val="4"/>
    </w:lvl>
  </w:abstractNum>
  <w:abstractNum w:abstractNumId="64">
    <w:nsid w:val="1DBABF00"/>
    <w:multiLevelType w:val="hybridMultilevel"/>
    <w:lvl w:ilvl="0">
      <w:lvlJc w:val="left"/>
      <w:lvlText w:val="%1."/>
      <w:numFmt w:val="decimal"/>
      <w:start w:val="5"/>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2022-06-10T15:14:15Z</dcterms:created>
  <dcterms:modified xsi:type="dcterms:W3CDTF">2022-06-10T15:14:15Z</dcterms:modified>
</cp:coreProperties>
</file>