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4104"/>
        <w:spacing w:after="0"/>
        <w:rPr>
          <w:sz w:val="20"/>
          <w:szCs w:val="20"/>
          <w:color w:val="auto"/>
        </w:rPr>
      </w:pPr>
      <w:r>
        <w:rPr>
          <w:rFonts w:ascii="Arial" w:cs="Arial" w:eastAsia="Arial" w:hAnsi="Arial"/>
          <w:sz w:val="22"/>
          <w:szCs w:val="22"/>
          <w:b w:val="1"/>
          <w:bCs w:val="1"/>
          <w:color w:val="auto"/>
        </w:rPr>
        <w:t>Date of Report: April 14, 2021</w:t>
      </w:r>
    </w:p>
    <w:p>
      <w:pPr>
        <w:spacing w:after="0" w:line="14" w:lineRule="exact"/>
        <w:rPr>
          <w:sz w:val="24"/>
          <w:szCs w:val="24"/>
          <w:color w:val="auto"/>
        </w:rPr>
      </w:pPr>
    </w:p>
    <w:p>
      <w:pPr>
        <w:ind w:left="4044"/>
        <w:spacing w:after="0"/>
        <w:rPr>
          <w:sz w:val="20"/>
          <w:szCs w:val="20"/>
          <w:color w:val="auto"/>
        </w:rPr>
      </w:pPr>
      <w:r>
        <w:rPr>
          <w:rFonts w:ascii="Arial" w:cs="Arial" w:eastAsia="Arial" w:hAnsi="Arial"/>
          <w:sz w:val="22"/>
          <w:szCs w:val="22"/>
          <w:b w:val="1"/>
          <w:bCs w:val="1"/>
          <w:color w:val="auto"/>
        </w:rPr>
        <w:t>(Date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Investment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60" w:type="dxa"/>
            <w:vAlign w:val="bottom"/>
          </w:tcPr>
          <w:p>
            <w:pPr>
              <w:jc w:val="center"/>
              <w:ind w:right="227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814-00736</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20-8250744</w:t>
            </w:r>
          </w:p>
        </w:tc>
      </w:tr>
      <w:tr>
        <w:trPr>
          <w:trHeight w:val="148"/>
        </w:trPr>
        <w:tc>
          <w:tcPr>
            <w:tcW w:w="4060" w:type="dxa"/>
            <w:vAlign w:val="bottom"/>
          </w:tcPr>
          <w:p>
            <w:pPr>
              <w:jc w:val="center"/>
              <w:ind w:right="22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60" w:type="dxa"/>
            <w:vAlign w:val="bottom"/>
          </w:tcPr>
          <w:p>
            <w:pPr>
              <w:jc w:val="center"/>
              <w:ind w:right="227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4060" w:type="dxa"/>
            <w:vAlign w:val="bottom"/>
          </w:tcPr>
          <w:p>
            <w:pPr>
              <w:jc w:val="center"/>
              <w:ind w:left="117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60" w:type="dxa"/>
            <w:vAlign w:val="bottom"/>
          </w:tcPr>
          <w:p>
            <w:pPr>
              <w:jc w:val="center"/>
              <w:ind w:left="119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60" w:type="dxa"/>
            <w:vAlign w:val="bottom"/>
          </w:tcPr>
          <w:p>
            <w:pPr>
              <w:jc w:val="center"/>
              <w:ind w:left="11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 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5"/>
        </w:trPr>
        <w:tc>
          <w:tcPr>
            <w:tcW w:w="3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PNNT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30"/>
        </w:trPr>
        <w:tc>
          <w:tcPr>
            <w:tcW w:w="3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5.50% Notes due 2024</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PNNTG</w:t>
            </w:r>
          </w:p>
        </w:tc>
        <w:tc>
          <w:tcPr>
            <w:tcW w:w="35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61"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11"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7.01. Regulation FD Disclosure.</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On April 14, 2021, PennantPark Investment Corporation issued a press release announcing that it has priced an underwritten public offering of</w:t>
      </w:r>
    </w:p>
    <w:p>
      <w:pPr>
        <w:spacing w:after="0" w:line="35" w:lineRule="exact"/>
        <w:rPr>
          <w:sz w:val="20"/>
          <w:szCs w:val="20"/>
          <w:color w:val="auto"/>
        </w:rPr>
      </w:pPr>
    </w:p>
    <w:p>
      <w:pPr>
        <w:ind w:left="4" w:right="520"/>
        <w:spacing w:after="0" w:line="260" w:lineRule="auto"/>
        <w:rPr>
          <w:sz w:val="20"/>
          <w:szCs w:val="20"/>
          <w:color w:val="auto"/>
        </w:rPr>
      </w:pPr>
      <w:r>
        <w:rPr>
          <w:rFonts w:ascii="Arial" w:cs="Arial" w:eastAsia="Arial" w:hAnsi="Arial"/>
          <w:sz w:val="18"/>
          <w:szCs w:val="18"/>
          <w:color w:val="auto"/>
        </w:rPr>
        <w:t>$150 million in aggregate principal amount of its 4.50% unsecured notes due 2026. A copy of the press release is furnished as Exhibit 99.1 to this Current Report on Form 8-K.</w:t>
      </w:r>
    </w:p>
    <w:p>
      <w:pPr>
        <w:spacing w:after="0" w:line="185"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ind w:left="444" w:right="9100" w:hanging="444"/>
        <w:spacing w:after="0" w:line="445" w:lineRule="auto"/>
        <w:tabs>
          <w:tab w:leader="none" w:pos="25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spacing w:after="0" w:line="139" w:lineRule="exact"/>
        <w:rPr>
          <w:rFonts w:ascii="Arial" w:cs="Arial" w:eastAsia="Arial" w:hAnsi="Arial"/>
          <w:sz w:val="17"/>
          <w:szCs w:val="17"/>
          <w:b w:val="1"/>
          <w:bCs w:val="1"/>
          <w:color w:val="auto"/>
        </w:rPr>
      </w:pPr>
    </w:p>
    <w:p>
      <w:pPr>
        <w:ind w:left="444" w:right="8200" w:hanging="444"/>
        <w:spacing w:after="0" w:line="407" w:lineRule="auto"/>
        <w:tabs>
          <w:tab w:leader="none" w:pos="26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444" w:right="8580" w:hanging="444"/>
        <w:spacing w:after="0" w:line="407" w:lineRule="auto"/>
        <w:tabs>
          <w:tab w:leader="none" w:pos="248"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spacing w:after="0" w:line="161" w:lineRule="exact"/>
        <w:rPr>
          <w:rFonts w:ascii="Arial" w:cs="Arial" w:eastAsia="Arial" w:hAnsi="Arial"/>
          <w:sz w:val="18"/>
          <w:szCs w:val="18"/>
          <w:b w:val="1"/>
          <w:bCs w:val="1"/>
          <w:color w:val="auto"/>
        </w:rPr>
      </w:pPr>
    </w:p>
    <w:p>
      <w:pPr>
        <w:ind w:left="264" w:hanging="264"/>
        <w:spacing w:after="0"/>
        <w:tabs>
          <w:tab w:leader="none" w:pos="26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ind w:left="4"/>
        <w:spacing w:after="0"/>
        <w:tabs>
          <w:tab w:leader="none" w:pos="644"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April 14, 2021</w:t>
        </w:r>
      </w:hyperlink>
    </w:p>
    <w:p>
      <w:pPr>
        <w:sectPr>
          <w:pgSz w:w="11900" w:h="16838" w:orient="portrait"/>
          <w:cols w:equalWidth="0" w:num="1">
            <w:col w:w="11004"/>
          </w:cols>
          <w:pgMar w:left="436" w:top="270" w:right="45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April 14, 2021</w:t>
      </w:r>
      <w:r>
        <w:rPr>
          <w:sz w:val="20"/>
          <w:szCs w:val="20"/>
          <w:color w:val="auto"/>
        </w:rPr>
        <w:tab/>
      </w:r>
      <w:r>
        <w:rPr>
          <w:rFonts w:ascii="Arial" w:cs="Arial" w:eastAsia="Arial" w:hAnsi="Arial"/>
          <w:sz w:val="18"/>
          <w:szCs w:val="18"/>
          <w:b w:val="1"/>
          <w:bCs w:val="1"/>
          <w:color w:val="auto"/>
        </w:rPr>
        <w:t>PENNANTPARK INVESTMENT CORPORATION</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880"/>
          </w:cols>
          <w:pgMar w:left="440" w:top="270" w:right="5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185670" cy="5403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856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 Prices Public Offering of $150 Million 4.50% Unsecured Notes Due 2026</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NEW YORK, NY, April 14, 2021 — PennantPark Investment Corporation (the “Company”) (NASDAQ: PNNT) announced that it has priced an underwritten public offering of $150 million in aggregate principal amount of its 4.50% unsecured notes due 2026 (the “Notes”). The Notes will mature on May 1, 2026 and may be redeemed in whole or in part at the Company’s option at any time at par plus a “make-whole” premium, if applicable;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Notes may be redeemed at par three months prior to their maturity. The Notes will bear interest at a rate of 4.50% per year payable</w:t>
      </w:r>
      <w:r>
        <w:rPr>
          <w:rFonts w:ascii="Arial" w:cs="Arial" w:eastAsia="Arial" w:hAnsi="Arial"/>
          <w:sz w:val="18"/>
          <w:szCs w:val="18"/>
          <w:i w:val="1"/>
          <w:iCs w:val="1"/>
          <w:color w:val="auto"/>
        </w:rPr>
        <w:t xml:space="preserve"> </w:t>
      </w:r>
      <w:r>
        <w:rPr>
          <w:rFonts w:ascii="Arial" w:cs="Arial" w:eastAsia="Arial" w:hAnsi="Arial"/>
          <w:sz w:val="18"/>
          <w:szCs w:val="18"/>
          <w:color w:val="auto"/>
        </w:rPr>
        <w:t>semi-annually on May 1 and November 1 of each year, beginning November 1,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offering is expected to close on April 21, 2021, subject to customary closing conditions.</w:t>
      </w:r>
    </w:p>
    <w:p>
      <w:pPr>
        <w:spacing w:after="0" w:line="22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 xml:space="preserve">Raymond James &amp; Associates, Inc., Keefe, Bruyette &amp; Woods, Inc., </w:t>
      </w:r>
      <w:r>
        <w:rPr>
          <w:rFonts w:ascii="Arial" w:cs="Arial" w:eastAsia="Arial" w:hAnsi="Arial"/>
          <w:sz w:val="18"/>
          <w:szCs w:val="18"/>
          <w:i w:val="1"/>
          <w:iCs w:val="1"/>
          <w:color w:val="auto"/>
        </w:rPr>
        <w:t>A Stifel Company</w:t>
      </w:r>
      <w:r>
        <w:rPr>
          <w:rFonts w:ascii="Arial" w:cs="Arial" w:eastAsia="Arial" w:hAnsi="Arial"/>
          <w:sz w:val="18"/>
          <w:szCs w:val="18"/>
          <w:color w:val="auto"/>
        </w:rPr>
        <w:t>, Truist Securities, Inc. and J.P. Morgan Securities LLC are acting as joint book-running managers for this offering. Compass Point Research &amp; Trading, LLC, JMP Securities LLC, Ladenburg Thalmann &amp; Co. Inc. and Capital One Securities, Inc. are acting as co-managers for this offering.</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expects to use the net proceeds from this offering to reduce outstanding obligations under its credit facility, to invest in new or existing portfolio companies or for other general corporate or strategic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color w:val="auto"/>
        </w:rPr>
        <w:t>Investors are advised to carefully consider the investment objectives, risks, charges and expenses of the Company before investing. The pricing term sheet, dated April 14, 2021, the preliminary prospectus supplement, dated April 14, 2021, and the accompanying prospectus, dated January 30, 2020, each of which has been filed with the Securities and Exchange Commission (the “SEC”), contain this and other information about the Company and should be read carefully before investing.</w:t>
      </w:r>
    </w:p>
    <w:p>
      <w:pPr>
        <w:spacing w:after="0" w:line="18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the Company and are not soliciting an offer to buy such securities in any state or jurisdiction where such offer and sale is not permitted.</w:t>
      </w:r>
    </w:p>
    <w:p>
      <w:pPr>
        <w:spacing w:after="0" w:line="180"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The Company’s shelf registration statement is on file and has been declared effective by the SEC. The offering may be made only by means of a preliminary prospectus supplement and an accompanying prospectus.</w:t>
      </w:r>
    </w:p>
    <w:p>
      <w:pPr>
        <w:spacing w:after="0" w:line="16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b w:val="1"/>
          <w:bCs w:val="1"/>
          <w:color w:val="auto"/>
        </w:rPr>
        <w:t xml:space="preserve">Before you invest, you should read the prospectus in that registration statement, the preliminary prospectus supplement and other documents the Company has filed with the SEC for more complete information about the Company and this offering. You may get these documents for free by visiting EDGAR on the SEC website at </w:t>
      </w:r>
      <w:r>
        <w:rPr>
          <w:rFonts w:ascii="Arial" w:cs="Arial" w:eastAsia="Arial" w:hAnsi="Arial"/>
          <w:sz w:val="17"/>
          <w:szCs w:val="17"/>
          <w:b w:val="1"/>
          <w:bCs w:val="1"/>
          <w:i w:val="1"/>
          <w:iCs w:val="1"/>
          <w:color w:val="auto"/>
        </w:rPr>
        <w:t>www.sec.gov</w:t>
      </w:r>
      <w:r>
        <w:rPr>
          <w:rFonts w:ascii="Arial" w:cs="Arial" w:eastAsia="Arial" w:hAnsi="Arial"/>
          <w:sz w:val="17"/>
          <w:szCs w:val="17"/>
          <w:b w:val="1"/>
          <w:bCs w:val="1"/>
          <w:color w:val="auto"/>
        </w:rPr>
        <w:t xml:space="preserve">. </w:t>
      </w:r>
      <w:r>
        <w:rPr>
          <w:rFonts w:ascii="Arial" w:cs="Arial" w:eastAsia="Arial" w:hAnsi="Arial"/>
          <w:sz w:val="17"/>
          <w:szCs w:val="17"/>
          <w:color w:val="auto"/>
        </w:rPr>
        <w:t>Alternatively, you may obtain copies of the preliminary prospectus supplement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accompanying prospectus from: Raymond James &amp; Associates, Inc., 880 Carillon Parkway, St. Petersburg, FL 33716, email: prospectus@raymondjames.com, telephone: 800-248-8863; Keefe, Bruyette &amp; Woods, </w:t>
      </w:r>
      <w:r>
        <w:rPr>
          <w:rFonts w:ascii="Arial" w:cs="Arial" w:eastAsia="Arial" w:hAnsi="Arial"/>
          <w:sz w:val="17"/>
          <w:szCs w:val="17"/>
          <w:i w:val="1"/>
          <w:iCs w:val="1"/>
          <w:color w:val="auto"/>
        </w:rPr>
        <w:t>A Stifel Company</w:t>
      </w:r>
      <w:r>
        <w:rPr>
          <w:rFonts w:ascii="Arial" w:cs="Arial" w:eastAsia="Arial" w:hAnsi="Arial"/>
          <w:sz w:val="17"/>
          <w:szCs w:val="17"/>
          <w:color w:val="auto"/>
        </w:rPr>
        <w:t>, Attn: Prospectus Department, 787 Seventh Avenue, Fourth Floor, New York, NY 10019, telephone: 1-800-966-1559, facsimile: 1-212-581-1592 or email: USCapitalMarkets@kbw.com; and Truist Securities Inc., Attn: Prospectus Department, 303 Peachtree Road, Atlanta, GA 30308, telephone: 1-800-685-4786 or email: TSIDocs@Truist.com. You are advised to obtain a copy of the prospectus supplement and accompanying prospectus and to carefully review the information contained or incorporated by reference therein before making any investment decision.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CORPORATION</w:t>
      </w:r>
    </w:p>
    <w:p>
      <w:pPr>
        <w:spacing w:after="0" w:line="12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PENNANTPARK INVESTMENT ADVISERS, LLC</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PennantPark Investment Advisers, LLC is a leading middle market credit platform, managing $4.3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(the “Exchange Act”), the “safe harbor” provisions of the Private Securities Litigation Reform Act of 1995 do not apply to forward-looking statements made in periodic reports the Company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 905-1000</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2021-04-15T06:44:02Z</dcterms:created>
  <dcterms:modified xsi:type="dcterms:W3CDTF">2021-04-15T06:44:02Z</dcterms:modified>
</cp:coreProperties>
</file>