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497</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 No. 333-192782</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the Prospectus dated January 30,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83185</wp:posOffset>
            </wp:positionV>
            <wp:extent cx="1766570" cy="377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66570" cy="3771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ind w:left="4940"/>
        <w:spacing w:after="0"/>
        <w:rPr>
          <w:sz w:val="20"/>
          <w:szCs w:val="20"/>
          <w:color w:val="auto"/>
        </w:rPr>
      </w:pPr>
      <w:r>
        <w:rPr>
          <w:rFonts w:ascii="Arial" w:cs="Arial" w:eastAsia="Arial" w:hAnsi="Arial"/>
          <w:sz w:val="22"/>
          <w:szCs w:val="22"/>
          <w:b w:val="1"/>
          <w:bCs w:val="1"/>
          <w:color w:val="auto"/>
        </w:rPr>
        <w:t>8,500,000 Shares</w:t>
      </w:r>
    </w:p>
    <w:p>
      <w:pPr>
        <w:spacing w:after="0" w:line="98" w:lineRule="exact"/>
        <w:rPr>
          <w:sz w:val="24"/>
          <w:szCs w:val="24"/>
          <w:color w:val="auto"/>
        </w:rPr>
      </w:pPr>
    </w:p>
    <w:p>
      <w:pPr>
        <w:ind w:left="5000"/>
        <w:spacing w:after="0"/>
        <w:rPr>
          <w:sz w:val="20"/>
          <w:szCs w:val="20"/>
          <w:color w:val="auto"/>
        </w:rPr>
      </w:pPr>
      <w:r>
        <w:rPr>
          <w:rFonts w:ascii="Arial" w:cs="Arial" w:eastAsia="Arial" w:hAnsi="Arial"/>
          <w:sz w:val="22"/>
          <w:szCs w:val="22"/>
          <w:b w:val="1"/>
          <w:bCs w:val="1"/>
          <w:color w:val="auto"/>
        </w:rPr>
        <w:t>Common Stock</w:t>
      </w:r>
    </w:p>
    <w:p>
      <w:pPr>
        <w:spacing w:after="0" w:line="98" w:lineRule="exact"/>
        <w:rPr>
          <w:sz w:val="24"/>
          <w:szCs w:val="24"/>
          <w:color w:val="auto"/>
        </w:rPr>
      </w:pPr>
    </w:p>
    <w:p>
      <w:pPr>
        <w:ind w:left="4940"/>
        <w:spacing w:after="0"/>
        <w:rPr>
          <w:sz w:val="20"/>
          <w:szCs w:val="20"/>
          <w:color w:val="auto"/>
        </w:rPr>
      </w:pPr>
      <w:r>
        <w:rPr>
          <w:rFonts w:ascii="Arial" w:cs="Arial" w:eastAsia="Arial" w:hAnsi="Arial"/>
          <w:sz w:val="22"/>
          <w:szCs w:val="22"/>
          <w:b w:val="1"/>
          <w:bCs w:val="1"/>
          <w:color w:val="auto"/>
        </w:rPr>
        <w:t>$11.63 Per Share</w:t>
      </w:r>
    </w:p>
    <w:p>
      <w:pPr>
        <w:spacing w:after="0" w:line="111" w:lineRule="exact"/>
        <w:rPr>
          <w:sz w:val="24"/>
          <w:szCs w:val="24"/>
          <w:color w:val="auto"/>
        </w:rPr>
      </w:pPr>
    </w:p>
    <w:p>
      <w:pPr>
        <w:ind w:right="120" w:firstLine="456"/>
        <w:spacing w:after="0" w:line="312" w:lineRule="auto"/>
        <w:rPr>
          <w:sz w:val="20"/>
          <w:szCs w:val="20"/>
          <w:color w:val="auto"/>
        </w:rPr>
      </w:pPr>
      <w:r>
        <w:rPr>
          <w:rFonts w:ascii="Arial" w:cs="Arial" w:eastAsia="Arial" w:hAnsi="Arial"/>
          <w:sz w:val="16"/>
          <w:szCs w:val="16"/>
          <w:color w:val="auto"/>
        </w:rPr>
        <w:t>We are offering for sale 8,500,000 shares of our common stock. Our common stock is traded on the NASDAQ Global Select Market under the symbol “PNNT.” The last reported closing price for our common stock on September 4, 2014 was $11.86 per share. The net asset value of our common stock on June 30, 2014 (the last date prior to the date of this prospectus supplement on which we determined net asset value) was $11.33 per share.</w:t>
      </w:r>
    </w:p>
    <w:p>
      <w:pPr>
        <w:spacing w:after="0" w:line="39" w:lineRule="exact"/>
        <w:rPr>
          <w:sz w:val="24"/>
          <w:szCs w:val="24"/>
          <w:color w:val="auto"/>
        </w:rPr>
      </w:pPr>
    </w:p>
    <w:p>
      <w:pPr>
        <w:ind w:right="60" w:firstLine="456"/>
        <w:spacing w:after="0" w:line="276" w:lineRule="auto"/>
        <w:rPr>
          <w:sz w:val="20"/>
          <w:szCs w:val="20"/>
          <w:color w:val="auto"/>
        </w:rPr>
      </w:pPr>
      <w:r>
        <w:rPr>
          <w:rFonts w:ascii="Arial" w:cs="Arial" w:eastAsia="Arial" w:hAnsi="Arial"/>
          <w:sz w:val="17"/>
          <w:szCs w:val="17"/>
          <w:color w:val="auto"/>
        </w:rPr>
        <w:t>PennantPark Investment Corporation, a Maryland corporation, is a closed-end, externally managed, non-diversified investment company that has elected to be treated as a business development company, or BDC, under the Investment Company Act of 1940, as amended, or the 1940 Act. Our investment objectives are to generate both current income and capital appreciation through debt and equity investments primarily in U.S. middle-market private companies in the form of senior secured loans, mezzanine debt and equity investments. We are externally managed by PennantPark Investment Advisers, LLC. PennantPark Investment Administration, LLC provides the administrative services necessary for us to operate.</w:t>
      </w:r>
    </w:p>
    <w:p>
      <w:pPr>
        <w:spacing w:after="0" w:line="64" w:lineRule="exact"/>
        <w:rPr>
          <w:sz w:val="24"/>
          <w:szCs w:val="24"/>
          <w:color w:val="auto"/>
        </w:rPr>
      </w:pPr>
    </w:p>
    <w:p>
      <w:pPr>
        <w:ind w:firstLine="456"/>
        <w:spacing w:after="0" w:line="273" w:lineRule="auto"/>
        <w:rPr>
          <w:sz w:val="20"/>
          <w:szCs w:val="20"/>
          <w:color w:val="auto"/>
        </w:rPr>
      </w:pPr>
      <w:r>
        <w:rPr>
          <w:rFonts w:ascii="Arial" w:cs="Arial" w:eastAsia="Arial" w:hAnsi="Arial"/>
          <w:sz w:val="17"/>
          <w:szCs w:val="17"/>
          <w:color w:val="auto"/>
        </w:rPr>
        <w:t xml:space="preserve">This prospectus supplement and the accompanying prospectus contain important information you should know before investing in our securities. Please read them before you invest in our securities and keep them for future reference. We file annual, quarterly and current reports, proxy statements and other information about us with the Securities and Exchange Commission, or the SEC. You may also obtain such information free of charge or make stockholder inquiries by contacting us in writing at 590 Madison Avenue, New York, NY 10022, by calling us collect at (212) 905-1000 or by visiting our website at </w:t>
      </w:r>
      <w:r>
        <w:rPr>
          <w:rFonts w:ascii="Arial" w:cs="Arial" w:eastAsia="Arial" w:hAnsi="Arial"/>
          <w:sz w:val="17"/>
          <w:szCs w:val="17"/>
          <w:i w:val="1"/>
          <w:iCs w:val="1"/>
          <w:u w:val="single" w:color="auto"/>
          <w:color w:val="auto"/>
        </w:rPr>
        <w:t>www.pennantpark.com</w:t>
      </w:r>
      <w:r>
        <w:rPr>
          <w:rFonts w:ascii="Arial" w:cs="Arial" w:eastAsia="Arial" w:hAnsi="Arial"/>
          <w:sz w:val="17"/>
          <w:szCs w:val="17"/>
          <w:color w:val="auto"/>
        </w:rPr>
        <w:t>. The information on our website is not incorporated by reference into this prospectus supplement or the accompanying prospectus.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SEC also maintains a website at </w:t>
      </w:r>
      <w:r>
        <w:rPr>
          <w:rFonts w:ascii="Arial" w:cs="Arial" w:eastAsia="Arial" w:hAnsi="Arial"/>
          <w:sz w:val="17"/>
          <w:szCs w:val="17"/>
          <w:i w:val="1"/>
          <w:iCs w:val="1"/>
          <w:u w:val="single" w:color="auto"/>
          <w:color w:val="auto"/>
        </w:rPr>
        <w:t>www.sec.gov</w:t>
      </w:r>
      <w:r>
        <w:rPr>
          <w:rFonts w:ascii="Arial" w:cs="Arial" w:eastAsia="Arial" w:hAnsi="Arial"/>
          <w:sz w:val="17"/>
          <w:szCs w:val="17"/>
          <w:color w:val="auto"/>
        </w:rPr>
        <w:t xml:space="preserve"> that contains such information free of charge.</w:t>
      </w:r>
    </w:p>
    <w:p>
      <w:pPr>
        <w:spacing w:after="0" w:line="66" w:lineRule="exact"/>
        <w:rPr>
          <w:sz w:val="24"/>
          <w:szCs w:val="24"/>
          <w:color w:val="auto"/>
        </w:rPr>
      </w:pPr>
    </w:p>
    <w:p>
      <w:pPr>
        <w:jc w:val="both"/>
        <w:ind w:right="320" w:firstLine="456"/>
        <w:spacing w:after="0" w:line="266" w:lineRule="auto"/>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securities involves a high degree of risk, including the risk of leverage. Before buying any shares of our common stock, you should read the discussion of the material risks of investing in us in “</w:t>
      </w:r>
      <w:hyperlink w:anchor="page13">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S-10 of this prospectus supplement and on page 8 of the accompanying prospectus.</w:t>
      </w:r>
    </w:p>
    <w:p>
      <w:pPr>
        <w:spacing w:after="0" w:line="68" w:lineRule="exact"/>
        <w:rPr>
          <w:sz w:val="24"/>
          <w:szCs w:val="24"/>
          <w:color w:val="auto"/>
        </w:rPr>
      </w:pPr>
    </w:p>
    <w:p>
      <w:pPr>
        <w:ind w:right="200" w:firstLine="456"/>
        <w:spacing w:after="0" w:line="266" w:lineRule="auto"/>
        <w:rPr>
          <w:sz w:val="20"/>
          <w:szCs w:val="20"/>
          <w:color w:val="auto"/>
        </w:rPr>
      </w:pPr>
      <w:r>
        <w:rPr>
          <w:rFonts w:ascii="Arial" w:cs="Arial" w:eastAsia="Arial" w:hAnsi="Arial"/>
          <w:sz w:val="18"/>
          <w:szCs w:val="18"/>
          <w:b w:val="1"/>
          <w:bCs w:val="1"/>
          <w:color w:val="auto"/>
        </w:rPr>
        <w:t>Neither the SEC nor any state securities commission, nor any other regulatory body, has approved or disapproved of these securities or determined if this prospectus supplement or the accompanying prospectus is truthful or complete. Any representation to the contrary is a criminal offense.</w:t>
      </w:r>
    </w:p>
    <w:p>
      <w:pPr>
        <w:spacing w:after="0" w:line="77"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79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8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4"/>
              </w:rPr>
              <w:t>Per Share</w:t>
            </w:r>
          </w:p>
        </w:tc>
        <w:tc>
          <w:tcPr>
            <w:tcW w:w="100" w:type="dxa"/>
            <w:vAlign w:val="bottom"/>
          </w:tcPr>
          <w:p>
            <w:pPr>
              <w:spacing w:after="0"/>
              <w:rPr>
                <w:sz w:val="14"/>
                <w:szCs w:val="14"/>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Total</w:t>
            </w:r>
          </w:p>
        </w:tc>
      </w:tr>
      <w:tr>
        <w:trPr>
          <w:trHeight w:val="210"/>
        </w:trPr>
        <w:tc>
          <w:tcPr>
            <w:tcW w:w="7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4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11.6300</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98,855,000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Underwriting discounts and commissions (sales load)</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0.3489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2,965,650</w:t>
            </w: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Proceeds to PennantPark Investment Corporation (before estimated expenses of $500,000)</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11.2811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95,889,350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154305</wp:posOffset>
            </wp:positionV>
            <wp:extent cx="1517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26" w:lineRule="exact"/>
        <w:rPr>
          <w:sz w:val="24"/>
          <w:szCs w:val="24"/>
          <w:color w:val="auto"/>
        </w:rPr>
      </w:pPr>
    </w:p>
    <w:p>
      <w:pPr>
        <w:ind w:right="80" w:firstLine="456"/>
        <w:spacing w:after="0" w:line="261" w:lineRule="auto"/>
        <w:rPr>
          <w:sz w:val="20"/>
          <w:szCs w:val="20"/>
          <w:color w:val="auto"/>
        </w:rPr>
      </w:pPr>
      <w:r>
        <w:rPr>
          <w:rFonts w:ascii="Arial" w:cs="Arial" w:eastAsia="Arial" w:hAnsi="Arial"/>
          <w:sz w:val="18"/>
          <w:szCs w:val="18"/>
          <w:b w:val="1"/>
          <w:bCs w:val="1"/>
          <w:color w:val="auto"/>
        </w:rPr>
        <w:t>The underwriters may also purchase up to an additional 1,275,000 shares from us at the public offering price, less the underwriting discounts, within 30 days from the date of this prospectus supplement. If the underwriters exercise this option in full, the total public offering price will be $113,683,250, the total underwriting discount and commissions (sales load) paid by us will be $3,410,498, and total proceeds, before estimated expenses, will be $110,272,752.</w:t>
      </w:r>
    </w:p>
    <w:p>
      <w:pPr>
        <w:spacing w:after="0" w:line="72"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The underwriters expect to deliver the shares on or about September 10, 2014.</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1600" w:type="dxa"/>
            <w:vAlign w:val="bottom"/>
          </w:tcPr>
          <w:p>
            <w:pPr>
              <w:spacing w:after="0"/>
              <w:rPr>
                <w:sz w:val="20"/>
                <w:szCs w:val="20"/>
                <w:color w:val="auto"/>
              </w:rPr>
            </w:pPr>
            <w:r>
              <w:rPr>
                <w:rFonts w:ascii="Arial" w:cs="Arial" w:eastAsia="Arial" w:hAnsi="Arial"/>
                <w:sz w:val="18"/>
                <w:szCs w:val="18"/>
                <w:b w:val="1"/>
                <w:bCs w:val="1"/>
                <w:color w:val="auto"/>
              </w:rPr>
              <w:t>Morgan Stanley</w:t>
            </w:r>
          </w:p>
        </w:tc>
        <w:tc>
          <w:tcPr>
            <w:tcW w:w="2560" w:type="dxa"/>
            <w:vAlign w:val="bottom"/>
          </w:tcPr>
          <w:p>
            <w:pPr>
              <w:ind w:left="360"/>
              <w:spacing w:after="0"/>
              <w:rPr>
                <w:sz w:val="20"/>
                <w:szCs w:val="20"/>
                <w:color w:val="auto"/>
              </w:rPr>
            </w:pPr>
            <w:r>
              <w:rPr>
                <w:rFonts w:ascii="Arial" w:cs="Arial" w:eastAsia="Arial" w:hAnsi="Arial"/>
                <w:sz w:val="18"/>
                <w:szCs w:val="18"/>
                <w:b w:val="1"/>
                <w:bCs w:val="1"/>
                <w:color w:val="auto"/>
              </w:rPr>
              <w:t>Goldman, Sachs &amp; Co.</w:t>
            </w:r>
          </w:p>
        </w:tc>
        <w:tc>
          <w:tcPr>
            <w:tcW w:w="1520" w:type="dxa"/>
            <w:vAlign w:val="bottom"/>
          </w:tcPr>
          <w:p>
            <w:pPr>
              <w:ind w:left="440"/>
              <w:spacing w:after="0"/>
              <w:rPr>
                <w:sz w:val="20"/>
                <w:szCs w:val="20"/>
                <w:color w:val="auto"/>
              </w:rPr>
            </w:pPr>
            <w:r>
              <w:rPr>
                <w:rFonts w:ascii="Arial" w:cs="Arial" w:eastAsia="Arial" w:hAnsi="Arial"/>
                <w:sz w:val="18"/>
                <w:szCs w:val="18"/>
                <w:b w:val="1"/>
                <w:bCs w:val="1"/>
                <w:color w:val="auto"/>
              </w:rPr>
              <w:t>J.P. Morgan</w:t>
            </w:r>
          </w:p>
        </w:tc>
        <w:tc>
          <w:tcPr>
            <w:tcW w:w="2260" w:type="dxa"/>
            <w:vAlign w:val="bottom"/>
          </w:tcPr>
          <w:p>
            <w:pPr>
              <w:ind w:left="520"/>
              <w:spacing w:after="0"/>
              <w:rPr>
                <w:sz w:val="20"/>
                <w:szCs w:val="20"/>
                <w:color w:val="auto"/>
              </w:rPr>
            </w:pPr>
            <w:r>
              <w:rPr>
                <w:rFonts w:ascii="Arial" w:cs="Arial" w:eastAsia="Arial" w:hAnsi="Arial"/>
                <w:sz w:val="18"/>
                <w:szCs w:val="18"/>
                <w:b w:val="1"/>
                <w:bCs w:val="1"/>
                <w:color w:val="auto"/>
                <w:w w:val="91"/>
              </w:rPr>
              <w:t>UBS Investment Bank</w:t>
            </w:r>
          </w:p>
        </w:tc>
        <w:tc>
          <w:tcPr>
            <w:tcW w:w="3480" w:type="dxa"/>
            <w:vAlign w:val="bottom"/>
          </w:tcPr>
          <w:p>
            <w:pPr>
              <w:jc w:val="right"/>
              <w:spacing w:after="0"/>
              <w:rPr>
                <w:sz w:val="20"/>
                <w:szCs w:val="20"/>
                <w:color w:val="auto"/>
              </w:rPr>
            </w:pPr>
            <w:r>
              <w:rPr>
                <w:rFonts w:ascii="Arial" w:cs="Arial" w:eastAsia="Arial" w:hAnsi="Arial"/>
                <w:sz w:val="18"/>
                <w:szCs w:val="18"/>
                <w:b w:val="1"/>
                <w:bCs w:val="1"/>
                <w:color w:val="auto"/>
              </w:rPr>
              <w:t>Keefe, Bruyette &amp; Woods</w:t>
            </w:r>
          </w:p>
        </w:tc>
      </w:tr>
      <w:tr>
        <w:trPr>
          <w:trHeight w:val="113"/>
        </w:trPr>
        <w:tc>
          <w:tcPr>
            <w:tcW w:w="1600" w:type="dxa"/>
            <w:vAlign w:val="bottom"/>
          </w:tcPr>
          <w:p>
            <w:pPr>
              <w:spacing w:after="0"/>
              <w:rPr>
                <w:sz w:val="9"/>
                <w:szCs w:val="9"/>
                <w:color w:val="auto"/>
              </w:rPr>
            </w:pPr>
          </w:p>
        </w:tc>
        <w:tc>
          <w:tcPr>
            <w:tcW w:w="25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260" w:type="dxa"/>
            <w:vAlign w:val="bottom"/>
          </w:tcPr>
          <w:p>
            <w:pPr>
              <w:spacing w:after="0"/>
              <w:rPr>
                <w:sz w:val="9"/>
                <w:szCs w:val="9"/>
                <w:color w:val="auto"/>
              </w:rPr>
            </w:pPr>
          </w:p>
        </w:tc>
        <w:tc>
          <w:tcPr>
            <w:tcW w:w="3480" w:type="dxa"/>
            <w:vAlign w:val="bottom"/>
          </w:tcPr>
          <w:p>
            <w:pPr>
              <w:jc w:val="right"/>
              <w:spacing w:after="0" w:line="113" w:lineRule="exact"/>
              <w:rPr>
                <w:sz w:val="20"/>
                <w:szCs w:val="20"/>
                <w:color w:val="auto"/>
              </w:rPr>
            </w:pPr>
            <w:r>
              <w:rPr>
                <w:rFonts w:ascii="Arial" w:cs="Arial" w:eastAsia="Arial" w:hAnsi="Arial"/>
                <w:sz w:val="11"/>
                <w:szCs w:val="11"/>
                <w:i w:val="1"/>
                <w:iCs w:val="1"/>
                <w:color w:val="auto"/>
              </w:rPr>
              <w:t>A Stifel Company</w:t>
            </w:r>
          </w:p>
        </w:tc>
      </w:tr>
      <w:tr>
        <w:trPr>
          <w:trHeight w:val="216"/>
        </w:trPr>
        <w:tc>
          <w:tcPr>
            <w:tcW w:w="4160" w:type="dxa"/>
            <w:vAlign w:val="bottom"/>
            <w:gridSpan w:val="2"/>
          </w:tcPr>
          <w:p>
            <w:pPr>
              <w:ind w:left="740"/>
              <w:spacing w:after="0"/>
              <w:rPr>
                <w:sz w:val="20"/>
                <w:szCs w:val="20"/>
                <w:color w:val="auto"/>
              </w:rPr>
            </w:pPr>
            <w:r>
              <w:rPr>
                <w:rFonts w:ascii="Arial" w:cs="Arial" w:eastAsia="Arial" w:hAnsi="Arial"/>
                <w:sz w:val="18"/>
                <w:szCs w:val="18"/>
                <w:b w:val="1"/>
                <w:bCs w:val="1"/>
                <w:color w:val="auto"/>
              </w:rPr>
              <w:t>Ladenburg Thalmann &amp; Co. Inc.</w:t>
            </w:r>
          </w:p>
        </w:tc>
        <w:tc>
          <w:tcPr>
            <w:tcW w:w="1520" w:type="dxa"/>
            <w:vAlign w:val="bottom"/>
          </w:tcPr>
          <w:p>
            <w:pPr>
              <w:spacing w:after="0"/>
              <w:rPr>
                <w:sz w:val="18"/>
                <w:szCs w:val="18"/>
                <w:color w:val="auto"/>
              </w:rPr>
            </w:pPr>
          </w:p>
        </w:tc>
        <w:tc>
          <w:tcPr>
            <w:tcW w:w="2260" w:type="dxa"/>
            <w:vAlign w:val="bottom"/>
          </w:tcPr>
          <w:p>
            <w:pPr>
              <w:ind w:left="140"/>
              <w:spacing w:after="0"/>
              <w:rPr>
                <w:sz w:val="20"/>
                <w:szCs w:val="20"/>
                <w:color w:val="auto"/>
              </w:rPr>
            </w:pPr>
            <w:r>
              <w:rPr>
                <w:rFonts w:ascii="Arial" w:cs="Arial" w:eastAsia="Arial" w:hAnsi="Arial"/>
                <w:sz w:val="18"/>
                <w:szCs w:val="18"/>
                <w:b w:val="1"/>
                <w:bCs w:val="1"/>
                <w:color w:val="auto"/>
              </w:rPr>
              <w:t>FBR</w:t>
            </w:r>
          </w:p>
        </w:tc>
        <w:tc>
          <w:tcPr>
            <w:tcW w:w="3480" w:type="dxa"/>
            <w:vAlign w:val="bottom"/>
          </w:tcPr>
          <w:p>
            <w:pPr>
              <w:jc w:val="right"/>
              <w:ind w:right="1039"/>
              <w:spacing w:after="0"/>
              <w:rPr>
                <w:sz w:val="20"/>
                <w:szCs w:val="20"/>
                <w:color w:val="auto"/>
              </w:rPr>
            </w:pPr>
            <w:r>
              <w:rPr>
                <w:rFonts w:ascii="Arial" w:cs="Arial" w:eastAsia="Arial" w:hAnsi="Arial"/>
                <w:sz w:val="18"/>
                <w:szCs w:val="18"/>
                <w:b w:val="1"/>
                <w:bCs w:val="1"/>
                <w:color w:val="auto"/>
              </w:rPr>
              <w:t>JMP Securities</w:t>
            </w:r>
          </w:p>
        </w:tc>
      </w:tr>
      <w:tr>
        <w:trPr>
          <w:trHeight w:val="234"/>
        </w:trPr>
        <w:tc>
          <w:tcPr>
            <w:tcW w:w="1600" w:type="dxa"/>
            <w:vAlign w:val="bottom"/>
          </w:tcPr>
          <w:p>
            <w:pPr>
              <w:spacing w:after="0"/>
              <w:rPr>
                <w:sz w:val="20"/>
                <w:szCs w:val="20"/>
                <w:color w:val="auto"/>
              </w:rPr>
            </w:pPr>
          </w:p>
        </w:tc>
        <w:tc>
          <w:tcPr>
            <w:tcW w:w="2560" w:type="dxa"/>
            <w:vAlign w:val="bottom"/>
          </w:tcPr>
          <w:p>
            <w:pPr>
              <w:ind w:left="1140"/>
              <w:spacing w:after="0"/>
              <w:rPr>
                <w:sz w:val="20"/>
                <w:szCs w:val="20"/>
                <w:color w:val="auto"/>
              </w:rPr>
            </w:pPr>
            <w:r>
              <w:rPr>
                <w:rFonts w:ascii="Arial" w:cs="Arial" w:eastAsia="Arial" w:hAnsi="Arial"/>
                <w:sz w:val="18"/>
                <w:szCs w:val="18"/>
                <w:b w:val="1"/>
                <w:bCs w:val="1"/>
                <w:color w:val="auto"/>
              </w:rPr>
              <w:t>ING</w:t>
            </w:r>
          </w:p>
        </w:tc>
        <w:tc>
          <w:tcPr>
            <w:tcW w:w="15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3480" w:type="dxa"/>
            <w:vAlign w:val="bottom"/>
          </w:tcPr>
          <w:p>
            <w:pPr>
              <w:jc w:val="right"/>
              <w:ind w:right="1819"/>
              <w:spacing w:after="0"/>
              <w:rPr>
                <w:sz w:val="20"/>
                <w:szCs w:val="20"/>
                <w:color w:val="auto"/>
              </w:rPr>
            </w:pPr>
            <w:r>
              <w:rPr>
                <w:rFonts w:ascii="Arial" w:cs="Arial" w:eastAsia="Arial" w:hAnsi="Arial"/>
                <w:sz w:val="18"/>
                <w:szCs w:val="18"/>
                <w:b w:val="1"/>
                <w:bCs w:val="1"/>
                <w:color w:val="auto"/>
                <w:w w:val="90"/>
              </w:rPr>
              <w:t>Comerica Securities</w:t>
            </w:r>
          </w:p>
        </w:tc>
      </w:tr>
    </w:tbl>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supplement is September 5, 2014.</w:t>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You should rely only on the information contained in this prospectus supplement and the accompanying prospectus when considering whether to purchase any securities offered by this prospectus supplement. We have not authorized anyone to provide you with additional information, or information different from that contained in this prospectus supplement and the accompanying prospectus. If anyone provides you with different or additional information, you should not rely on it. We are offering to sell, and seeking offers to buy, securities only in jurisdictions where offers are permitted. The information contained in this prospectus supplement and the accompanying prospectus is accurate only as of the date of this prospectus supplement and the accompanying prospectus. Our business, financial condition, results of operations and prospects may have changed since then. We will update these documents to reflect material changes only as required by law.</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80" w:type="dxa"/>
            <w:vAlign w:val="bottom"/>
            <w:gridSpan w:val="4"/>
          </w:tcPr>
          <w:p>
            <w:pPr>
              <w:ind w:left="520"/>
              <w:spacing w:after="0"/>
              <w:rPr>
                <w:sz w:val="20"/>
                <w:szCs w:val="20"/>
                <w:color w:val="auto"/>
              </w:rPr>
            </w:pPr>
            <w:r>
              <w:rPr>
                <w:rFonts w:ascii="Arial" w:cs="Arial" w:eastAsia="Arial" w:hAnsi="Arial"/>
                <w:sz w:val="18"/>
                <w:szCs w:val="18"/>
                <w:b w:val="1"/>
                <w:bCs w:val="1"/>
                <w:color w:val="auto"/>
              </w:rPr>
              <w:t>TABLE OF CONTENTS</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80" w:type="dxa"/>
            <w:vAlign w:val="bottom"/>
            <w:gridSpan w:val="4"/>
          </w:tcPr>
          <w:p>
            <w:pPr>
              <w:ind w:left="240"/>
              <w:spacing w:after="0"/>
              <w:rPr>
                <w:sz w:val="20"/>
                <w:szCs w:val="20"/>
                <w:color w:val="auto"/>
              </w:rPr>
            </w:pPr>
            <w:r>
              <w:rPr>
                <w:rFonts w:ascii="Arial" w:cs="Arial" w:eastAsia="Arial" w:hAnsi="Arial"/>
                <w:sz w:val="18"/>
                <w:szCs w:val="18"/>
                <w:b w:val="1"/>
                <w:bCs w:val="1"/>
                <w:color w:val="auto"/>
              </w:rPr>
              <w:t>PROSPECTUS SUPPLEMENT</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0920" w:type="dxa"/>
            <w:vAlign w:val="bottom"/>
            <w:gridSpan w:val="26"/>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SUPPLEMENTAL PROSPECTUS SUMMARY</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196"/>
        </w:trPr>
        <w:tc>
          <w:tcPr>
            <w:tcW w:w="3700" w:type="dxa"/>
            <w:vAlign w:val="bottom"/>
            <w:tcBorders>
              <w:top w:val="single" w:sz="8" w:color="0000EE"/>
            </w:tcBorders>
            <w:gridSpan w:val="19"/>
          </w:tcPr>
          <w:p>
            <w:pPr>
              <w:spacing w:after="0" w:line="196" w:lineRule="exact"/>
              <w:rPr>
                <w:rFonts w:ascii="Arial" w:cs="Arial" w:eastAsia="Arial" w:hAnsi="Arial"/>
                <w:sz w:val="18"/>
                <w:szCs w:val="18"/>
                <w:b w:val="1"/>
                <w:bCs w:val="1"/>
                <w:color w:val="0000EE"/>
              </w:rPr>
            </w:pPr>
            <w:hyperlink w:anchor="page11">
              <w:r>
                <w:rPr>
                  <w:rFonts w:ascii="Arial" w:cs="Arial" w:eastAsia="Arial" w:hAnsi="Arial"/>
                  <w:sz w:val="18"/>
                  <w:szCs w:val="18"/>
                  <w:b w:val="1"/>
                  <w:bCs w:val="1"/>
                  <w:color w:val="0000EE"/>
                </w:rPr>
                <w:t>FEES AND EXPENSES</w:t>
              </w:r>
            </w:hyperlink>
          </w:p>
        </w:tc>
        <w:tc>
          <w:tcPr>
            <w:tcW w:w="7220" w:type="dxa"/>
            <w:vAlign w:val="bottom"/>
            <w:gridSpan w:val="7"/>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S-8</w:t>
            </w:r>
          </w:p>
        </w:tc>
        <w:tc>
          <w:tcPr>
            <w:tcW w:w="0" w:type="dxa"/>
            <w:vAlign w:val="bottom"/>
          </w:tcPr>
          <w:p>
            <w:pPr>
              <w:spacing w:after="0"/>
              <w:rPr>
                <w:sz w:val="1"/>
                <w:szCs w:val="1"/>
                <w:color w:val="auto"/>
              </w:rPr>
            </w:pPr>
          </w:p>
        </w:tc>
      </w:tr>
      <w:tr>
        <w:trPr>
          <w:trHeight w:val="196"/>
        </w:trPr>
        <w:tc>
          <w:tcPr>
            <w:tcW w:w="13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b w:val="1"/>
                <w:bCs w:val="1"/>
                <w:color w:val="0000EE"/>
                <w:w w:val="97"/>
              </w:rPr>
            </w:pPr>
            <w:hyperlink w:anchor="page13">
              <w:r>
                <w:rPr>
                  <w:rFonts w:ascii="Arial" w:cs="Arial" w:eastAsia="Arial" w:hAnsi="Arial"/>
                  <w:sz w:val="18"/>
                  <w:szCs w:val="18"/>
                  <w:b w:val="1"/>
                  <w:bCs w:val="1"/>
                  <w:color w:val="0000EE"/>
                  <w:w w:val="97"/>
                </w:rPr>
                <w:t>RISK FACTORS</w:t>
              </w:r>
            </w:hyperlink>
          </w:p>
        </w:tc>
        <w:tc>
          <w:tcPr>
            <w:tcW w:w="520" w:type="dxa"/>
            <w:vAlign w:val="bottom"/>
            <w:tcBorders>
              <w:top w:val="single" w:sz="8" w:color="0000EE"/>
            </w:tcBorders>
            <w:gridSpan w:val="7"/>
          </w:tcPr>
          <w:p>
            <w:pPr>
              <w:spacing w:after="0"/>
              <w:rPr>
                <w:sz w:val="17"/>
                <w:szCs w:val="17"/>
                <w:color w:val="auto"/>
              </w:rPr>
            </w:pPr>
          </w:p>
        </w:tc>
        <w:tc>
          <w:tcPr>
            <w:tcW w:w="9060" w:type="dxa"/>
            <w:vAlign w:val="bottom"/>
            <w:gridSpan w:val="17"/>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S-10</w:t>
            </w:r>
          </w:p>
        </w:tc>
        <w:tc>
          <w:tcPr>
            <w:tcW w:w="0" w:type="dxa"/>
            <w:vAlign w:val="bottom"/>
          </w:tcPr>
          <w:p>
            <w:pPr>
              <w:spacing w:after="0"/>
              <w:rPr>
                <w:sz w:val="1"/>
                <w:szCs w:val="1"/>
                <w:color w:val="auto"/>
              </w:rPr>
            </w:pPr>
          </w:p>
        </w:tc>
      </w:tr>
      <w:tr>
        <w:trPr>
          <w:trHeight w:val="196"/>
        </w:trPr>
        <w:tc>
          <w:tcPr>
            <w:tcW w:w="10920" w:type="dxa"/>
            <w:vAlign w:val="bottom"/>
            <w:gridSpan w:val="26"/>
          </w:tcPr>
          <w:p>
            <w:pPr>
              <w:spacing w:after="0" w:line="196" w:lineRule="exact"/>
              <w:rPr>
                <w:rFonts w:ascii="Arial" w:cs="Arial" w:eastAsia="Arial" w:hAnsi="Arial"/>
                <w:sz w:val="18"/>
                <w:szCs w:val="18"/>
                <w:b w:val="1"/>
                <w:bCs w:val="1"/>
                <w:color w:val="0000EE"/>
              </w:rPr>
            </w:pPr>
            <w:hyperlink w:anchor="page15">
              <w:r>
                <w:rPr>
                  <w:rFonts w:ascii="Arial" w:cs="Arial" w:eastAsia="Arial" w:hAnsi="Arial"/>
                  <w:sz w:val="18"/>
                  <w:szCs w:val="18"/>
                  <w:b w:val="1"/>
                  <w:bCs w:val="1"/>
                  <w:color w:val="0000EE"/>
                </w:rPr>
                <w:t>FORWARD-LOOKING STATEMENTS</w:t>
              </w:r>
            </w:hyperlink>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S-12</w:t>
            </w:r>
          </w:p>
        </w:tc>
        <w:tc>
          <w:tcPr>
            <w:tcW w:w="0" w:type="dxa"/>
            <w:vAlign w:val="bottom"/>
          </w:tcPr>
          <w:p>
            <w:pPr>
              <w:spacing w:after="0"/>
              <w:rPr>
                <w:sz w:val="1"/>
                <w:szCs w:val="1"/>
                <w:color w:val="auto"/>
              </w:rPr>
            </w:pPr>
          </w:p>
        </w:tc>
      </w:tr>
      <w:tr>
        <w:trPr>
          <w:trHeight w:val="196"/>
        </w:trPr>
        <w:tc>
          <w:tcPr>
            <w:tcW w:w="16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b w:val="1"/>
                <w:bCs w:val="1"/>
                <w:color w:val="0000EE"/>
                <w:w w:val="95"/>
              </w:rPr>
            </w:pPr>
            <w:hyperlink w:anchor="page17">
              <w:r>
                <w:rPr>
                  <w:rFonts w:ascii="Arial" w:cs="Arial" w:eastAsia="Arial" w:hAnsi="Arial"/>
                  <w:sz w:val="18"/>
                  <w:szCs w:val="18"/>
                  <w:b w:val="1"/>
                  <w:bCs w:val="1"/>
                  <w:color w:val="0000EE"/>
                  <w:w w:val="95"/>
                </w:rPr>
                <w:t>USE OF PROCEEDS</w:t>
              </w:r>
            </w:hyperlink>
          </w:p>
        </w:tc>
        <w:tc>
          <w:tcPr>
            <w:tcW w:w="1440" w:type="dxa"/>
            <w:vAlign w:val="bottom"/>
            <w:tcBorders>
              <w:top w:val="single" w:sz="8" w:color="0000EE"/>
            </w:tcBorders>
            <w:gridSpan w:val="7"/>
          </w:tcPr>
          <w:p>
            <w:pPr>
              <w:spacing w:after="0"/>
              <w:rPr>
                <w:sz w:val="17"/>
                <w:szCs w:val="17"/>
                <w:color w:val="auto"/>
              </w:rPr>
            </w:pPr>
          </w:p>
        </w:tc>
        <w:tc>
          <w:tcPr>
            <w:tcW w:w="7800" w:type="dxa"/>
            <w:vAlign w:val="bottom"/>
            <w:gridSpan w:val="12"/>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S-14</w:t>
            </w:r>
          </w:p>
        </w:tc>
        <w:tc>
          <w:tcPr>
            <w:tcW w:w="0" w:type="dxa"/>
            <w:vAlign w:val="bottom"/>
          </w:tcPr>
          <w:p>
            <w:pPr>
              <w:spacing w:after="0"/>
              <w:rPr>
                <w:sz w:val="1"/>
                <w:szCs w:val="1"/>
                <w:color w:val="auto"/>
              </w:rPr>
            </w:pPr>
          </w:p>
        </w:tc>
      </w:tr>
      <w:tr>
        <w:trPr>
          <w:trHeight w:val="196"/>
        </w:trPr>
        <w:tc>
          <w:tcPr>
            <w:tcW w:w="1580" w:type="dxa"/>
            <w:vAlign w:val="bottom"/>
            <w:tcBorders>
              <w:bottom w:val="single" w:sz="8" w:color="0000EE"/>
            </w:tcBorders>
            <w:gridSpan w:val="6"/>
          </w:tcPr>
          <w:p>
            <w:pPr>
              <w:spacing w:after="0" w:line="196" w:lineRule="exact"/>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CAPITALIZATION</w:t>
              </w:r>
            </w:hyperlink>
          </w:p>
        </w:tc>
        <w:tc>
          <w:tcPr>
            <w:tcW w:w="9340" w:type="dxa"/>
            <w:vAlign w:val="bottom"/>
            <w:gridSpan w:val="20"/>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S-15</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0000EE"/>
            </w:tcBorders>
            <w:gridSpan w:val="15"/>
          </w:tcPr>
          <w:p>
            <w:pPr>
              <w:spacing w:after="0" w:line="196" w:lineRule="exact"/>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PRICE RANGE OF COMMON STOCK</w:t>
              </w:r>
            </w:hyperlink>
          </w:p>
        </w:tc>
        <w:tc>
          <w:tcPr>
            <w:tcW w:w="7760" w:type="dxa"/>
            <w:vAlign w:val="bottom"/>
            <w:gridSpan w:val="11"/>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S-16</w:t>
            </w:r>
          </w:p>
        </w:tc>
        <w:tc>
          <w:tcPr>
            <w:tcW w:w="0" w:type="dxa"/>
            <w:vAlign w:val="bottom"/>
          </w:tcPr>
          <w:p>
            <w:pPr>
              <w:spacing w:after="0"/>
              <w:rPr>
                <w:sz w:val="1"/>
                <w:szCs w:val="1"/>
                <w:color w:val="auto"/>
              </w:rPr>
            </w:pPr>
          </w:p>
        </w:tc>
      </w:tr>
      <w:tr>
        <w:trPr>
          <w:trHeight w:val="196"/>
        </w:trPr>
        <w:tc>
          <w:tcPr>
            <w:tcW w:w="10920" w:type="dxa"/>
            <w:vAlign w:val="bottom"/>
            <w:gridSpan w:val="26"/>
          </w:tcPr>
          <w:p>
            <w:pPr>
              <w:spacing w:after="0" w:line="196" w:lineRule="exact"/>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SELECTED FINANCIAL DATA</w:t>
              </w:r>
            </w:hyperlink>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S-17</w:t>
            </w:r>
          </w:p>
        </w:tc>
        <w:tc>
          <w:tcPr>
            <w:tcW w:w="0" w:type="dxa"/>
            <w:vAlign w:val="bottom"/>
          </w:tcPr>
          <w:p>
            <w:pPr>
              <w:spacing w:after="0"/>
              <w:rPr>
                <w:sz w:val="1"/>
                <w:szCs w:val="1"/>
                <w:color w:val="auto"/>
              </w:rPr>
            </w:pPr>
          </w:p>
        </w:tc>
      </w:tr>
      <w:tr>
        <w:trPr>
          <w:trHeight w:val="20"/>
        </w:trPr>
        <w:tc>
          <w:tcPr>
            <w:tcW w:w="8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320" w:type="dxa"/>
            <w:vAlign w:val="bottom"/>
            <w:tcBorders>
              <w:bottom w:val="single" w:sz="8" w:color="0000EE"/>
            </w:tcBorders>
            <w:gridSpan w:val="25"/>
          </w:tcPr>
          <w:p>
            <w:pPr>
              <w:spacing w:after="0" w:line="196" w:lineRule="exact"/>
              <w:rPr>
                <w:rFonts w:ascii="Arial" w:cs="Arial" w:eastAsia="Arial" w:hAnsi="Arial"/>
                <w:sz w:val="18"/>
                <w:szCs w:val="18"/>
                <w:b w:val="1"/>
                <w:bCs w:val="1"/>
                <w:color w:val="0000EE"/>
                <w:w w:val="99"/>
              </w:rPr>
            </w:pPr>
            <w:hyperlink w:anchor="page22">
              <w:r>
                <w:rPr>
                  <w:rFonts w:ascii="Arial" w:cs="Arial" w:eastAsia="Arial" w:hAnsi="Arial"/>
                  <w:sz w:val="18"/>
                  <w:szCs w:val="18"/>
                  <w:b w:val="1"/>
                  <w:bCs w:val="1"/>
                  <w:color w:val="0000EE"/>
                  <w:w w:val="99"/>
                </w:rPr>
                <w:t>MANAGEMENT’S DISCUSSION AND ANALYSIS OF FINANCIAL CONDITION AND RESULTS OF OPERATIONS</w:t>
              </w:r>
            </w:hyperlink>
          </w:p>
        </w:tc>
        <w:tc>
          <w:tcPr>
            <w:tcW w:w="160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S-19</w:t>
            </w:r>
          </w:p>
        </w:tc>
        <w:tc>
          <w:tcPr>
            <w:tcW w:w="0" w:type="dxa"/>
            <w:vAlign w:val="bottom"/>
          </w:tcPr>
          <w:p>
            <w:pPr>
              <w:spacing w:after="0"/>
              <w:rPr>
                <w:sz w:val="1"/>
                <w:szCs w:val="1"/>
                <w:color w:val="auto"/>
              </w:rPr>
            </w:pPr>
          </w:p>
        </w:tc>
      </w:tr>
      <w:tr>
        <w:trPr>
          <w:trHeight w:val="196"/>
        </w:trPr>
        <w:tc>
          <w:tcPr>
            <w:tcW w:w="10920" w:type="dxa"/>
            <w:vAlign w:val="bottom"/>
            <w:gridSpan w:val="26"/>
          </w:tcPr>
          <w:p>
            <w:pPr>
              <w:spacing w:after="0" w:line="196" w:lineRule="exact"/>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UNDERWRITING</w:t>
              </w:r>
            </w:hyperlink>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S-33</w:t>
            </w:r>
          </w:p>
        </w:tc>
        <w:tc>
          <w:tcPr>
            <w:tcW w:w="0" w:type="dxa"/>
            <w:vAlign w:val="bottom"/>
          </w:tcPr>
          <w:p>
            <w:pPr>
              <w:spacing w:after="0"/>
              <w:rPr>
                <w:sz w:val="1"/>
                <w:szCs w:val="1"/>
                <w:color w:val="auto"/>
              </w:rPr>
            </w:pPr>
          </w:p>
        </w:tc>
      </w:tr>
      <w:tr>
        <w:trPr>
          <w:trHeight w:val="20"/>
        </w:trPr>
        <w:tc>
          <w:tcPr>
            <w:tcW w:w="8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60" w:type="dxa"/>
            <w:vAlign w:val="bottom"/>
            <w:tcBorders>
              <w:bottom w:val="single" w:sz="8" w:color="0000EE"/>
            </w:tcBorders>
            <w:gridSpan w:val="5"/>
          </w:tcPr>
          <w:p>
            <w:pPr>
              <w:spacing w:after="0" w:line="196" w:lineRule="exact"/>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LEGAL MATTERS</w:t>
              </w:r>
            </w:hyperlink>
          </w:p>
        </w:tc>
        <w:tc>
          <w:tcPr>
            <w:tcW w:w="9360" w:type="dxa"/>
            <w:vAlign w:val="bottom"/>
            <w:gridSpan w:val="21"/>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S-37</w:t>
            </w:r>
          </w:p>
        </w:tc>
        <w:tc>
          <w:tcPr>
            <w:tcW w:w="0" w:type="dxa"/>
            <w:vAlign w:val="bottom"/>
          </w:tcPr>
          <w:p>
            <w:pPr>
              <w:spacing w:after="0"/>
              <w:rPr>
                <w:sz w:val="1"/>
                <w:szCs w:val="1"/>
                <w:color w:val="auto"/>
              </w:rPr>
            </w:pPr>
          </w:p>
        </w:tc>
      </w:tr>
      <w:tr>
        <w:trPr>
          <w:trHeight w:val="196"/>
        </w:trPr>
        <w:tc>
          <w:tcPr>
            <w:tcW w:w="10920" w:type="dxa"/>
            <w:vAlign w:val="bottom"/>
            <w:gridSpan w:val="26"/>
          </w:tcPr>
          <w:p>
            <w:pPr>
              <w:spacing w:after="0" w:line="196" w:lineRule="exact"/>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INDEX TO FINANCIAL STATEMENTS</w:t>
              </w:r>
            </w:hyperlink>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S-38</w:t>
            </w:r>
          </w:p>
        </w:tc>
        <w:tc>
          <w:tcPr>
            <w:tcW w:w="0" w:type="dxa"/>
            <w:vAlign w:val="bottom"/>
          </w:tcPr>
          <w:p>
            <w:pPr>
              <w:spacing w:after="0"/>
              <w:rPr>
                <w:sz w:val="1"/>
                <w:szCs w:val="1"/>
                <w:color w:val="auto"/>
              </w:rPr>
            </w:pPr>
          </w:p>
        </w:tc>
      </w:tr>
      <w:tr>
        <w:trPr>
          <w:trHeight w:val="561"/>
        </w:trPr>
        <w:tc>
          <w:tcPr>
            <w:tcW w:w="8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80" w:type="dxa"/>
            <w:vAlign w:val="bottom"/>
            <w:gridSpan w:val="4"/>
          </w:tcPr>
          <w:p>
            <w:pPr>
              <w:ind w:left="520"/>
              <w:spacing w:after="0"/>
              <w:rPr>
                <w:sz w:val="20"/>
                <w:szCs w:val="20"/>
                <w:color w:val="auto"/>
              </w:rPr>
            </w:pPr>
            <w:r>
              <w:rPr>
                <w:rFonts w:ascii="Arial" w:cs="Arial" w:eastAsia="Arial" w:hAnsi="Arial"/>
                <w:sz w:val="18"/>
                <w:szCs w:val="18"/>
                <w:b w:val="1"/>
                <w:bCs w:val="1"/>
                <w:color w:val="auto"/>
              </w:rPr>
              <w:t>PROSPECTUS</w:t>
            </w:r>
          </w:p>
        </w:tc>
        <w:tc>
          <w:tcPr>
            <w:tcW w:w="42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49"/>
        </w:trPr>
        <w:tc>
          <w:tcPr>
            <w:tcW w:w="2200" w:type="dxa"/>
            <w:vAlign w:val="bottom"/>
            <w:gridSpan w:val="10"/>
            <w:vMerge w:val="restart"/>
          </w:tcPr>
          <w:p>
            <w:pPr>
              <w:spacing w:after="0"/>
              <w:rPr>
                <w:rFonts w:ascii="Arial" w:cs="Arial" w:eastAsia="Arial" w:hAnsi="Arial"/>
                <w:sz w:val="18"/>
                <w:szCs w:val="18"/>
                <w:b w:val="1"/>
                <w:bCs w:val="1"/>
                <w:color w:val="0000EE"/>
                <w:w w:val="98"/>
              </w:rPr>
            </w:pPr>
            <w:hyperlink w:anchor="page77">
              <w:r>
                <w:rPr>
                  <w:rFonts w:ascii="Arial" w:cs="Arial" w:eastAsia="Arial" w:hAnsi="Arial"/>
                  <w:sz w:val="18"/>
                  <w:szCs w:val="18"/>
                  <w:b w:val="1"/>
                  <w:bCs w:val="1"/>
                  <w:color w:val="0000EE"/>
                  <w:w w:val="98"/>
                </w:rPr>
                <w:t>PROSPECTUS SUMMARY</w:t>
              </w:r>
            </w:hyperlink>
          </w:p>
        </w:tc>
        <w:tc>
          <w:tcPr>
            <w:tcW w:w="8720" w:type="dxa"/>
            <w:vAlign w:val="bottom"/>
            <w:gridSpan w:val="16"/>
            <w:vMerge w:val="restart"/>
          </w:tcPr>
          <w:p>
            <w:pPr>
              <w:spacing w:after="0"/>
              <w:rPr>
                <w:sz w:val="12"/>
                <w:szCs w:val="12"/>
                <w:color w:val="auto"/>
              </w:rPr>
            </w:pPr>
          </w:p>
        </w:tc>
        <w:tc>
          <w:tcPr>
            <w:tcW w:w="4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200" w:type="dxa"/>
            <w:vAlign w:val="bottom"/>
            <w:tcBorders>
              <w:bottom w:val="single" w:sz="8" w:color="0000EE"/>
            </w:tcBorders>
            <w:gridSpan w:val="10"/>
            <w:vMerge w:val="continue"/>
          </w:tcPr>
          <w:p>
            <w:pPr>
              <w:spacing w:after="0"/>
              <w:rPr>
                <w:sz w:val="13"/>
                <w:szCs w:val="13"/>
                <w:color w:val="auto"/>
              </w:rPr>
            </w:pPr>
          </w:p>
        </w:tc>
        <w:tc>
          <w:tcPr>
            <w:tcW w:w="8720" w:type="dxa"/>
            <w:vAlign w:val="bottom"/>
            <w:gridSpan w:val="16"/>
            <w:vMerge w:val="continue"/>
          </w:tcPr>
          <w:p>
            <w:pPr>
              <w:spacing w:after="0"/>
              <w:rPr>
                <w:sz w:val="13"/>
                <w:szCs w:val="13"/>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0920" w:type="dxa"/>
            <w:vAlign w:val="bottom"/>
            <w:gridSpan w:val="26"/>
          </w:tcPr>
          <w:p>
            <w:pPr>
              <w:spacing w:after="0"/>
              <w:rPr>
                <w:rFonts w:ascii="Arial" w:cs="Arial" w:eastAsia="Arial" w:hAnsi="Arial"/>
                <w:sz w:val="18"/>
                <w:szCs w:val="18"/>
                <w:b w:val="1"/>
                <w:bCs w:val="1"/>
                <w:color w:val="0000EE"/>
              </w:rPr>
            </w:pPr>
            <w:hyperlink w:anchor="page82">
              <w:r>
                <w:rPr>
                  <w:rFonts w:ascii="Arial" w:cs="Arial" w:eastAsia="Arial" w:hAnsi="Arial"/>
                  <w:sz w:val="18"/>
                  <w:szCs w:val="18"/>
                  <w:b w:val="1"/>
                  <w:bCs w:val="1"/>
                  <w:color w:val="0000EE"/>
                </w:rPr>
                <w:t>FEES AND EXPENSES</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3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b w:val="1"/>
                <w:bCs w:val="1"/>
                <w:color w:val="0000EE"/>
                <w:w w:val="97"/>
              </w:rPr>
            </w:pPr>
            <w:hyperlink w:anchor="page84">
              <w:r>
                <w:rPr>
                  <w:rFonts w:ascii="Arial" w:cs="Arial" w:eastAsia="Arial" w:hAnsi="Arial"/>
                  <w:sz w:val="18"/>
                  <w:szCs w:val="18"/>
                  <w:b w:val="1"/>
                  <w:bCs w:val="1"/>
                  <w:color w:val="0000EE"/>
                  <w:w w:val="97"/>
                </w:rPr>
                <w:t>RISK FACTORS</w:t>
              </w:r>
            </w:hyperlink>
          </w:p>
        </w:tc>
        <w:tc>
          <w:tcPr>
            <w:tcW w:w="520" w:type="dxa"/>
            <w:vAlign w:val="bottom"/>
            <w:tcBorders>
              <w:top w:val="single" w:sz="8" w:color="0000EE"/>
            </w:tcBorders>
            <w:gridSpan w:val="7"/>
          </w:tcPr>
          <w:p>
            <w:pPr>
              <w:spacing w:after="0"/>
              <w:rPr>
                <w:sz w:val="17"/>
                <w:szCs w:val="17"/>
                <w:color w:val="auto"/>
              </w:rPr>
            </w:pPr>
          </w:p>
        </w:tc>
        <w:tc>
          <w:tcPr>
            <w:tcW w:w="9060" w:type="dxa"/>
            <w:vAlign w:val="bottom"/>
            <w:gridSpan w:val="17"/>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10920" w:type="dxa"/>
            <w:vAlign w:val="bottom"/>
            <w:gridSpan w:val="26"/>
          </w:tcPr>
          <w:p>
            <w:pPr>
              <w:spacing w:after="0" w:line="196" w:lineRule="exact"/>
              <w:rPr>
                <w:rFonts w:ascii="Arial" w:cs="Arial" w:eastAsia="Arial" w:hAnsi="Arial"/>
                <w:sz w:val="18"/>
                <w:szCs w:val="18"/>
                <w:b w:val="1"/>
                <w:bCs w:val="1"/>
                <w:color w:val="0000EE"/>
              </w:rPr>
            </w:pPr>
            <w:hyperlink w:anchor="page112">
              <w:r>
                <w:rPr>
                  <w:rFonts w:ascii="Arial" w:cs="Arial" w:eastAsia="Arial" w:hAnsi="Arial"/>
                  <w:sz w:val="18"/>
                  <w:szCs w:val="18"/>
                  <w:b w:val="1"/>
                  <w:bCs w:val="1"/>
                  <w:color w:val="0000EE"/>
                </w:rPr>
                <w:t>FORWARD-LOOKING STATEMENTS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b w:val="1"/>
                <w:bCs w:val="1"/>
                <w:color w:val="0000EE"/>
                <w:w w:val="95"/>
              </w:rPr>
            </w:pPr>
            <w:hyperlink w:anchor="page113">
              <w:r>
                <w:rPr>
                  <w:rFonts w:ascii="Arial" w:cs="Arial" w:eastAsia="Arial" w:hAnsi="Arial"/>
                  <w:sz w:val="18"/>
                  <w:szCs w:val="18"/>
                  <w:b w:val="1"/>
                  <w:bCs w:val="1"/>
                  <w:color w:val="0000EE"/>
                  <w:w w:val="95"/>
                </w:rPr>
                <w:t>USE OF PROCEEDS</w:t>
              </w:r>
            </w:hyperlink>
          </w:p>
        </w:tc>
        <w:tc>
          <w:tcPr>
            <w:tcW w:w="1440" w:type="dxa"/>
            <w:vAlign w:val="bottom"/>
            <w:tcBorders>
              <w:top w:val="single" w:sz="8" w:color="0000EE"/>
            </w:tcBorders>
            <w:gridSpan w:val="7"/>
          </w:tcPr>
          <w:p>
            <w:pPr>
              <w:spacing w:after="0"/>
              <w:rPr>
                <w:sz w:val="17"/>
                <w:szCs w:val="17"/>
                <w:color w:val="auto"/>
              </w:rPr>
            </w:pPr>
          </w:p>
        </w:tc>
        <w:tc>
          <w:tcPr>
            <w:tcW w:w="7800" w:type="dxa"/>
            <w:vAlign w:val="bottom"/>
            <w:gridSpan w:val="1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920" w:type="dxa"/>
            <w:vAlign w:val="bottom"/>
            <w:gridSpan w:val="26"/>
          </w:tcPr>
          <w:p>
            <w:pPr>
              <w:spacing w:after="0" w:line="196" w:lineRule="exact"/>
              <w:rPr>
                <w:rFonts w:ascii="Arial" w:cs="Arial" w:eastAsia="Arial" w:hAnsi="Arial"/>
                <w:sz w:val="18"/>
                <w:szCs w:val="18"/>
                <w:b w:val="1"/>
                <w:bCs w:val="1"/>
                <w:color w:val="0000EE"/>
              </w:rPr>
            </w:pPr>
            <w:hyperlink w:anchor="page114">
              <w:r>
                <w:rPr>
                  <w:rFonts w:ascii="Arial" w:cs="Arial" w:eastAsia="Arial" w:hAnsi="Arial"/>
                  <w:sz w:val="18"/>
                  <w:szCs w:val="18"/>
                  <w:b w:val="1"/>
                  <w:bCs w:val="1"/>
                  <w:color w:val="0000EE"/>
                </w:rPr>
                <w:t>SELECTED FINANCIAL DATA</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320" w:type="dxa"/>
            <w:vAlign w:val="bottom"/>
            <w:tcBorders>
              <w:bottom w:val="single" w:sz="8" w:color="0000EE"/>
            </w:tcBorders>
            <w:gridSpan w:val="25"/>
          </w:tcPr>
          <w:p>
            <w:pPr>
              <w:spacing w:after="0" w:line="196" w:lineRule="exact"/>
              <w:rPr>
                <w:rFonts w:ascii="Arial" w:cs="Arial" w:eastAsia="Arial" w:hAnsi="Arial"/>
                <w:sz w:val="18"/>
                <w:szCs w:val="18"/>
                <w:b w:val="1"/>
                <w:bCs w:val="1"/>
                <w:color w:val="0000EE"/>
                <w:w w:val="99"/>
              </w:rPr>
            </w:pPr>
            <w:hyperlink w:anchor="page116">
              <w:r>
                <w:rPr>
                  <w:rFonts w:ascii="Arial" w:cs="Arial" w:eastAsia="Arial" w:hAnsi="Arial"/>
                  <w:sz w:val="18"/>
                  <w:szCs w:val="18"/>
                  <w:b w:val="1"/>
                  <w:bCs w:val="1"/>
                  <w:color w:val="0000EE"/>
                  <w:w w:val="99"/>
                </w:rPr>
                <w:t>MANAGEMENT’S DISCUSSION AND ANALYSIS OF FINANCIAL CONDITION AND RESULTS OF OPERATIONS</w:t>
              </w:r>
            </w:hyperlink>
          </w:p>
        </w:tc>
        <w:tc>
          <w:tcPr>
            <w:tcW w:w="16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40" w:type="dxa"/>
            <w:vAlign w:val="bottom"/>
            <w:tcBorders>
              <w:bottom w:val="single" w:sz="8" w:color="0000EE"/>
            </w:tcBorders>
            <w:gridSpan w:val="8"/>
          </w:tcPr>
          <w:p>
            <w:pPr>
              <w:spacing w:after="0" w:line="196" w:lineRule="exact"/>
              <w:rPr>
                <w:rFonts w:ascii="Arial" w:cs="Arial" w:eastAsia="Arial" w:hAnsi="Arial"/>
                <w:sz w:val="18"/>
                <w:szCs w:val="18"/>
                <w:b w:val="1"/>
                <w:bCs w:val="1"/>
                <w:color w:val="0000EE"/>
                <w:w w:val="99"/>
              </w:rPr>
            </w:pPr>
            <w:hyperlink w:anchor="page130">
              <w:r>
                <w:rPr>
                  <w:rFonts w:ascii="Arial" w:cs="Arial" w:eastAsia="Arial" w:hAnsi="Arial"/>
                  <w:sz w:val="18"/>
                  <w:szCs w:val="18"/>
                  <w:b w:val="1"/>
                  <w:bCs w:val="1"/>
                  <w:color w:val="0000EE"/>
                  <w:w w:val="99"/>
                </w:rPr>
                <w:t>SENIOR SECURITIES</w:t>
              </w:r>
            </w:hyperlink>
          </w:p>
        </w:tc>
        <w:tc>
          <w:tcPr>
            <w:tcW w:w="9080" w:type="dxa"/>
            <w:vAlign w:val="bottom"/>
            <w:gridSpan w:val="18"/>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20" w:type="dxa"/>
            <w:vAlign w:val="bottom"/>
            <w:tcBorders>
              <w:bottom w:val="single" w:sz="8" w:color="0000EE"/>
            </w:tcBorders>
            <w:gridSpan w:val="20"/>
          </w:tcPr>
          <w:p>
            <w:pPr>
              <w:spacing w:after="0" w:line="196" w:lineRule="exact"/>
              <w:rPr>
                <w:rFonts w:ascii="Arial" w:cs="Arial" w:eastAsia="Arial" w:hAnsi="Arial"/>
                <w:sz w:val="18"/>
                <w:szCs w:val="18"/>
                <w:b w:val="1"/>
                <w:bCs w:val="1"/>
                <w:color w:val="0000EE"/>
              </w:rPr>
            </w:pPr>
            <w:hyperlink w:anchor="page131">
              <w:r>
                <w:rPr>
                  <w:rFonts w:ascii="Arial" w:cs="Arial" w:eastAsia="Arial" w:hAnsi="Arial"/>
                  <w:sz w:val="18"/>
                  <w:szCs w:val="18"/>
                  <w:b w:val="1"/>
                  <w:bCs w:val="1"/>
                  <w:color w:val="0000EE"/>
                </w:rPr>
                <w:t>RATIO OF EARNINGS TO FIXED CHARGES</w:t>
              </w:r>
            </w:hyperlink>
          </w:p>
        </w:tc>
        <w:tc>
          <w:tcPr>
            <w:tcW w:w="7200" w:type="dxa"/>
            <w:vAlign w:val="bottom"/>
            <w:gridSpan w:val="6"/>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60" w:type="dxa"/>
            <w:vAlign w:val="bottom"/>
            <w:tcBorders>
              <w:bottom w:val="single" w:sz="8" w:color="0000EE"/>
            </w:tcBorders>
            <w:gridSpan w:val="15"/>
          </w:tcPr>
          <w:p>
            <w:pPr>
              <w:spacing w:after="0" w:line="196" w:lineRule="exact"/>
              <w:rPr>
                <w:rFonts w:ascii="Arial" w:cs="Arial" w:eastAsia="Arial" w:hAnsi="Arial"/>
                <w:sz w:val="18"/>
                <w:szCs w:val="18"/>
                <w:b w:val="1"/>
                <w:bCs w:val="1"/>
                <w:color w:val="0000EE"/>
              </w:rPr>
            </w:pPr>
            <w:hyperlink w:anchor="page132">
              <w:r>
                <w:rPr>
                  <w:rFonts w:ascii="Arial" w:cs="Arial" w:eastAsia="Arial" w:hAnsi="Arial"/>
                  <w:sz w:val="18"/>
                  <w:szCs w:val="18"/>
                  <w:b w:val="1"/>
                  <w:bCs w:val="1"/>
                  <w:color w:val="0000EE"/>
                </w:rPr>
                <w:t>PRICE RANGE OF COMMON STOCK</w:t>
              </w:r>
            </w:hyperlink>
          </w:p>
        </w:tc>
        <w:tc>
          <w:tcPr>
            <w:tcW w:w="7760" w:type="dxa"/>
            <w:vAlign w:val="bottom"/>
            <w:gridSpan w:val="11"/>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80" w:type="dxa"/>
            <w:vAlign w:val="bottom"/>
            <w:tcBorders>
              <w:bottom w:val="single" w:sz="8" w:color="0000EE"/>
            </w:tcBorders>
            <w:gridSpan w:val="24"/>
          </w:tcPr>
          <w:p>
            <w:pPr>
              <w:spacing w:after="0" w:line="196" w:lineRule="exact"/>
              <w:rPr>
                <w:rFonts w:ascii="Arial" w:cs="Arial" w:eastAsia="Arial" w:hAnsi="Arial"/>
                <w:sz w:val="18"/>
                <w:szCs w:val="18"/>
                <w:b w:val="1"/>
                <w:bCs w:val="1"/>
                <w:color w:val="0000EE"/>
                <w:w w:val="98"/>
              </w:rPr>
            </w:pPr>
            <w:hyperlink w:anchor="page133">
              <w:r>
                <w:rPr>
                  <w:rFonts w:ascii="Arial" w:cs="Arial" w:eastAsia="Arial" w:hAnsi="Arial"/>
                  <w:sz w:val="18"/>
                  <w:szCs w:val="18"/>
                  <w:b w:val="1"/>
                  <w:bCs w:val="1"/>
                  <w:color w:val="0000EE"/>
                  <w:w w:val="98"/>
                </w:rPr>
                <w:t>SALES OF COMMON STOCK BELOW NET ASSET VALUE</w:t>
              </w:r>
            </w:hyperlink>
          </w:p>
        </w:tc>
        <w:tc>
          <w:tcPr>
            <w:tcW w:w="6040" w:type="dxa"/>
            <w:vAlign w:val="bottom"/>
            <w:gridSpan w:val="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80" w:type="dxa"/>
            <w:vAlign w:val="bottom"/>
            <w:tcBorders>
              <w:bottom w:val="single" w:sz="8" w:color="0000EE"/>
            </w:tcBorders>
            <w:gridSpan w:val="4"/>
          </w:tcPr>
          <w:p>
            <w:pPr>
              <w:spacing w:after="0" w:line="196" w:lineRule="exact"/>
              <w:rPr>
                <w:rFonts w:ascii="Arial" w:cs="Arial" w:eastAsia="Arial" w:hAnsi="Arial"/>
                <w:sz w:val="18"/>
                <w:szCs w:val="18"/>
                <w:b w:val="1"/>
                <w:bCs w:val="1"/>
                <w:color w:val="0000EE"/>
              </w:rPr>
            </w:pPr>
            <w:hyperlink w:anchor="page139">
              <w:r>
                <w:rPr>
                  <w:rFonts w:ascii="Arial" w:cs="Arial" w:eastAsia="Arial" w:hAnsi="Arial"/>
                  <w:sz w:val="18"/>
                  <w:szCs w:val="18"/>
                  <w:b w:val="1"/>
                  <w:bCs w:val="1"/>
                  <w:color w:val="0000EE"/>
                </w:rPr>
                <w:t>DISTRIBUTIONS</w:t>
              </w:r>
            </w:hyperlink>
          </w:p>
        </w:tc>
        <w:tc>
          <w:tcPr>
            <w:tcW w:w="9440" w:type="dxa"/>
            <w:vAlign w:val="bottom"/>
            <w:gridSpan w:val="2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Borders>
              <w:bottom w:val="single" w:sz="8" w:color="0000EE"/>
            </w:tcBorders>
          </w:tcPr>
          <w:p>
            <w:pPr>
              <w:spacing w:after="0" w:line="196" w:lineRule="exact"/>
              <w:rPr>
                <w:rFonts w:ascii="Arial" w:cs="Arial" w:eastAsia="Arial" w:hAnsi="Arial"/>
                <w:sz w:val="18"/>
                <w:szCs w:val="18"/>
                <w:b w:val="1"/>
                <w:bCs w:val="1"/>
                <w:color w:val="0000EE"/>
                <w:w w:val="93"/>
              </w:rPr>
            </w:pPr>
            <w:hyperlink w:anchor="page141">
              <w:r>
                <w:rPr>
                  <w:rFonts w:ascii="Arial" w:cs="Arial" w:eastAsia="Arial" w:hAnsi="Arial"/>
                  <w:sz w:val="18"/>
                  <w:szCs w:val="18"/>
                  <w:b w:val="1"/>
                  <w:bCs w:val="1"/>
                  <w:color w:val="0000EE"/>
                  <w:w w:val="93"/>
                </w:rPr>
                <w:t>BUSINESS</w:t>
              </w:r>
            </w:hyperlink>
          </w:p>
        </w:tc>
        <w:tc>
          <w:tcPr>
            <w:tcW w:w="10040" w:type="dxa"/>
            <w:vAlign w:val="bottom"/>
            <w:gridSpan w:val="25"/>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920" w:type="dxa"/>
            <w:vAlign w:val="bottom"/>
            <w:gridSpan w:val="26"/>
          </w:tcPr>
          <w:p>
            <w:pPr>
              <w:spacing w:after="0" w:line="196" w:lineRule="exact"/>
              <w:rPr>
                <w:rFonts w:ascii="Arial" w:cs="Arial" w:eastAsia="Arial" w:hAnsi="Arial"/>
                <w:sz w:val="18"/>
                <w:szCs w:val="18"/>
                <w:b w:val="1"/>
                <w:bCs w:val="1"/>
                <w:color w:val="0000EE"/>
              </w:rPr>
            </w:pPr>
            <w:hyperlink w:anchor="page146">
              <w:r>
                <w:rPr>
                  <w:rFonts w:ascii="Arial" w:cs="Arial" w:eastAsia="Arial" w:hAnsi="Arial"/>
                  <w:sz w:val="18"/>
                  <w:szCs w:val="18"/>
                  <w:b w:val="1"/>
                  <w:bCs w:val="1"/>
                  <w:color w:val="0000EE"/>
                </w:rPr>
                <w:t>INVESTMENT OBJECTIVES AND POLICIES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2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b w:val="1"/>
                <w:bCs w:val="1"/>
                <w:color w:val="0000EE"/>
              </w:rPr>
            </w:pPr>
            <w:hyperlink w:anchor="page152">
              <w:r>
                <w:rPr>
                  <w:rFonts w:ascii="Arial" w:cs="Arial" w:eastAsia="Arial" w:hAnsi="Arial"/>
                  <w:sz w:val="18"/>
                  <w:szCs w:val="18"/>
                  <w:b w:val="1"/>
                  <w:bCs w:val="1"/>
                  <w:color w:val="0000EE"/>
                </w:rPr>
                <w:t>PORTFOLIO COMPANIES</w:t>
              </w:r>
            </w:hyperlink>
          </w:p>
        </w:tc>
        <w:tc>
          <w:tcPr>
            <w:tcW w:w="1520" w:type="dxa"/>
            <w:vAlign w:val="bottom"/>
            <w:tcBorders>
              <w:top w:val="single" w:sz="8" w:color="0000EE"/>
            </w:tcBorders>
            <w:gridSpan w:val="10"/>
          </w:tcPr>
          <w:p>
            <w:pPr>
              <w:spacing w:after="0"/>
              <w:rPr>
                <w:sz w:val="17"/>
                <w:szCs w:val="17"/>
                <w:color w:val="auto"/>
              </w:rPr>
            </w:pPr>
          </w:p>
        </w:tc>
        <w:tc>
          <w:tcPr>
            <w:tcW w:w="7180" w:type="dxa"/>
            <w:vAlign w:val="bottom"/>
            <w:gridSpan w:val="5"/>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920" w:type="dxa"/>
            <w:vAlign w:val="bottom"/>
            <w:gridSpan w:val="26"/>
          </w:tcPr>
          <w:p>
            <w:pPr>
              <w:spacing w:after="0" w:line="196" w:lineRule="exact"/>
              <w:rPr>
                <w:rFonts w:ascii="Arial" w:cs="Arial" w:eastAsia="Arial" w:hAnsi="Arial"/>
                <w:sz w:val="18"/>
                <w:szCs w:val="18"/>
                <w:b w:val="1"/>
                <w:bCs w:val="1"/>
                <w:color w:val="0000EE"/>
              </w:rPr>
            </w:pPr>
            <w:hyperlink w:anchor="page157">
              <w:r>
                <w:rPr>
                  <w:rFonts w:ascii="Arial" w:cs="Arial" w:eastAsia="Arial" w:hAnsi="Arial"/>
                  <w:sz w:val="18"/>
                  <w:szCs w:val="18"/>
                  <w:b w:val="1"/>
                  <w:bCs w:val="1"/>
                  <w:color w:val="0000EE"/>
                </w:rPr>
                <w:t>MANAGEMENT</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gridSpan w:val="3"/>
            <w:shd w:val="clear" w:color="auto" w:fill="0000EE"/>
          </w:tcPr>
          <w:p>
            <w:pPr>
              <w:spacing w:after="0" w:line="20" w:lineRule="exact"/>
              <w:rPr>
                <w:sz w:val="1"/>
                <w:szCs w:val="1"/>
                <w:color w:val="auto"/>
              </w:rPr>
            </w:pPr>
          </w:p>
        </w:tc>
        <w:tc>
          <w:tcPr>
            <w:tcW w:w="1600" w:type="dxa"/>
            <w:vAlign w:val="bottom"/>
            <w:gridSpan w:val="10"/>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1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20" w:type="dxa"/>
            <w:vAlign w:val="bottom"/>
            <w:tcBorders>
              <w:bottom w:val="single" w:sz="8" w:color="0000EE"/>
            </w:tcBorders>
            <w:gridSpan w:val="23"/>
          </w:tcPr>
          <w:p>
            <w:pPr>
              <w:spacing w:after="0" w:line="196" w:lineRule="exact"/>
              <w:rPr>
                <w:rFonts w:ascii="Arial" w:cs="Arial" w:eastAsia="Arial" w:hAnsi="Arial"/>
                <w:sz w:val="18"/>
                <w:szCs w:val="18"/>
                <w:b w:val="1"/>
                <w:bCs w:val="1"/>
                <w:color w:val="0000EE"/>
                <w:w w:val="99"/>
              </w:rPr>
            </w:pPr>
            <w:hyperlink w:anchor="page164">
              <w:r>
                <w:rPr>
                  <w:rFonts w:ascii="Arial" w:cs="Arial" w:eastAsia="Arial" w:hAnsi="Arial"/>
                  <w:sz w:val="18"/>
                  <w:szCs w:val="18"/>
                  <w:b w:val="1"/>
                  <w:bCs w:val="1"/>
                  <w:color w:val="0000EE"/>
                  <w:w w:val="99"/>
                </w:rPr>
                <w:t>CONTROL PERSONS AND PRINCIPAL STOCKHOLDERS</w:t>
              </w:r>
            </w:hyperlink>
          </w:p>
        </w:tc>
        <w:tc>
          <w:tcPr>
            <w:tcW w:w="6100" w:type="dxa"/>
            <w:vAlign w:val="bottom"/>
            <w:gridSpan w:val="3"/>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920" w:type="dxa"/>
            <w:vAlign w:val="bottom"/>
            <w:gridSpan w:val="26"/>
          </w:tcPr>
          <w:p>
            <w:pPr>
              <w:spacing w:after="0" w:line="196" w:lineRule="exact"/>
              <w:rPr>
                <w:rFonts w:ascii="Arial" w:cs="Arial" w:eastAsia="Arial" w:hAnsi="Arial"/>
                <w:sz w:val="18"/>
                <w:szCs w:val="18"/>
                <w:b w:val="1"/>
                <w:bCs w:val="1"/>
                <w:color w:val="0000EE"/>
              </w:rPr>
            </w:pPr>
            <w:hyperlink w:anchor="page166">
              <w:r>
                <w:rPr>
                  <w:rFonts w:ascii="Arial" w:cs="Arial" w:eastAsia="Arial" w:hAnsi="Arial"/>
                  <w:sz w:val="18"/>
                  <w:szCs w:val="18"/>
                  <w:b w:val="1"/>
                  <w:bCs w:val="1"/>
                  <w:color w:val="0000EE"/>
                </w:rPr>
                <w:t>CERTAIN RELATIONSHIPS AND TRANSACTIONS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90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6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b w:val="1"/>
                <w:bCs w:val="1"/>
                <w:color w:val="0000EE"/>
              </w:rPr>
            </w:pPr>
            <w:hyperlink w:anchor="page172">
              <w:r>
                <w:rPr>
                  <w:rFonts w:ascii="Arial" w:cs="Arial" w:eastAsia="Arial" w:hAnsi="Arial"/>
                  <w:sz w:val="18"/>
                  <w:szCs w:val="18"/>
                  <w:b w:val="1"/>
                  <w:bCs w:val="1"/>
                  <w:color w:val="0000EE"/>
                </w:rPr>
                <w:t>DETERMINATION OF NET ASSET VALUE</w:t>
              </w:r>
            </w:hyperlink>
          </w:p>
        </w:tc>
        <w:tc>
          <w:tcPr>
            <w:tcW w:w="680" w:type="dxa"/>
            <w:vAlign w:val="bottom"/>
            <w:tcBorders>
              <w:top w:val="single" w:sz="8" w:color="0000EE"/>
            </w:tcBorders>
            <w:gridSpan w:val="4"/>
          </w:tcPr>
          <w:p>
            <w:pPr>
              <w:spacing w:after="0"/>
              <w:rPr>
                <w:sz w:val="17"/>
                <w:szCs w:val="17"/>
                <w:color w:val="auto"/>
              </w:rPr>
            </w:pPr>
          </w:p>
        </w:tc>
        <w:tc>
          <w:tcPr>
            <w:tcW w:w="6680" w:type="dxa"/>
            <w:vAlign w:val="bottom"/>
            <w:gridSpan w:val="4"/>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96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960" w:type="dxa"/>
            <w:vAlign w:val="bottom"/>
            <w:tcBorders>
              <w:bottom w:val="single" w:sz="8" w:color="0000EE"/>
            </w:tcBorders>
            <w:gridSpan w:val="13"/>
          </w:tcPr>
          <w:p>
            <w:pPr>
              <w:spacing w:after="0" w:line="196" w:lineRule="exact"/>
              <w:rPr>
                <w:rFonts w:ascii="Arial" w:cs="Arial" w:eastAsia="Arial" w:hAnsi="Arial"/>
                <w:sz w:val="18"/>
                <w:szCs w:val="18"/>
                <w:b w:val="1"/>
                <w:bCs w:val="1"/>
                <w:color w:val="0000EE"/>
              </w:rPr>
            </w:pPr>
            <w:hyperlink w:anchor="page175">
              <w:r>
                <w:rPr>
                  <w:rFonts w:ascii="Arial" w:cs="Arial" w:eastAsia="Arial" w:hAnsi="Arial"/>
                  <w:sz w:val="18"/>
                  <w:szCs w:val="18"/>
                  <w:b w:val="1"/>
                  <w:bCs w:val="1"/>
                  <w:color w:val="0000EE"/>
                </w:rPr>
                <w:t>DIVIDEND REINVESTMENT PLAN</w:t>
              </w:r>
            </w:hyperlink>
          </w:p>
        </w:tc>
        <w:tc>
          <w:tcPr>
            <w:tcW w:w="7960" w:type="dxa"/>
            <w:vAlign w:val="bottom"/>
            <w:gridSpan w:val="13"/>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99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20" w:type="dxa"/>
            <w:vAlign w:val="bottom"/>
            <w:tcBorders>
              <w:bottom w:val="single" w:sz="8" w:color="0000EE"/>
            </w:tcBorders>
            <w:gridSpan w:val="17"/>
          </w:tcPr>
          <w:p>
            <w:pPr>
              <w:spacing w:after="0" w:line="196" w:lineRule="exact"/>
              <w:rPr>
                <w:rFonts w:ascii="Arial" w:cs="Arial" w:eastAsia="Arial" w:hAnsi="Arial"/>
                <w:sz w:val="18"/>
                <w:szCs w:val="18"/>
                <w:b w:val="1"/>
                <w:bCs w:val="1"/>
                <w:color w:val="0000EE"/>
              </w:rPr>
            </w:pPr>
            <w:hyperlink w:anchor="page177">
              <w:r>
                <w:rPr>
                  <w:rFonts w:ascii="Arial" w:cs="Arial" w:eastAsia="Arial" w:hAnsi="Arial"/>
                  <w:sz w:val="18"/>
                  <w:szCs w:val="18"/>
                  <w:b w:val="1"/>
                  <w:bCs w:val="1"/>
                  <w:color w:val="0000EE"/>
                </w:rPr>
                <w:t>DESCRIPTION OF OUR CAPITAL STOCK</w:t>
              </w:r>
            </w:hyperlink>
          </w:p>
        </w:tc>
        <w:tc>
          <w:tcPr>
            <w:tcW w:w="7400" w:type="dxa"/>
            <w:vAlign w:val="bottom"/>
            <w:gridSpan w:val="9"/>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20" w:type="dxa"/>
            <w:vAlign w:val="bottom"/>
            <w:gridSpan w:val="8"/>
            <w:vMerge w:val="restart"/>
          </w:tcPr>
          <w:p>
            <w:pPr>
              <w:spacing w:after="0"/>
              <w:rPr>
                <w:rFonts w:ascii="Arial" w:cs="Arial" w:eastAsia="Arial" w:hAnsi="Arial"/>
                <w:sz w:val="18"/>
                <w:szCs w:val="18"/>
                <w:b w:val="1"/>
                <w:bCs w:val="1"/>
                <w:color w:val="0000EE"/>
                <w:w w:val="99"/>
              </w:rPr>
            </w:pPr>
            <w:hyperlink w:anchor="page183">
              <w:r>
                <w:rPr>
                  <w:rFonts w:ascii="Arial" w:cs="Arial" w:eastAsia="Arial" w:hAnsi="Arial"/>
                  <w:sz w:val="18"/>
                  <w:szCs w:val="18"/>
                  <w:b w:val="1"/>
                  <w:bCs w:val="1"/>
                  <w:color w:val="0000EE"/>
                  <w:w w:val="99"/>
                </w:rPr>
                <w:t>DESCRIPTION OF OUR PREFERRED STOCK</w:t>
              </w:r>
            </w:hyperlink>
          </w:p>
        </w:tc>
        <w:tc>
          <w:tcPr>
            <w:tcW w:w="7180" w:type="dxa"/>
            <w:vAlign w:val="bottom"/>
            <w:gridSpan w:val="6"/>
            <w:vMerge w:val="restart"/>
          </w:tcPr>
          <w:p>
            <w:pPr>
              <w:spacing w:after="0"/>
              <w:rPr>
                <w:sz w:val="14"/>
                <w:szCs w:val="1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1"/>
        </w:trPr>
        <w:tc>
          <w:tcPr>
            <w:tcW w:w="3820" w:type="dxa"/>
            <w:vAlign w:val="bottom"/>
            <w:tcBorders>
              <w:bottom w:val="single" w:sz="8" w:color="0000EE"/>
            </w:tcBorders>
            <w:gridSpan w:val="8"/>
            <w:vMerge w:val="continue"/>
          </w:tcPr>
          <w:p>
            <w:pPr>
              <w:spacing w:after="0"/>
              <w:rPr>
                <w:sz w:val="13"/>
                <w:szCs w:val="13"/>
                <w:color w:val="auto"/>
              </w:rPr>
            </w:pPr>
          </w:p>
        </w:tc>
        <w:tc>
          <w:tcPr>
            <w:tcW w:w="7180" w:type="dxa"/>
            <w:vAlign w:val="bottom"/>
            <w:gridSpan w:val="6"/>
            <w:vMerge w:val="continue"/>
          </w:tcPr>
          <w:p>
            <w:pPr>
              <w:spacing w:after="0"/>
              <w:rPr>
                <w:sz w:val="13"/>
                <w:szCs w:val="13"/>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107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080" w:type="dxa"/>
            <w:vAlign w:val="bottom"/>
            <w:tcBorders>
              <w:bottom w:val="single" w:sz="8" w:color="0000EE"/>
            </w:tcBorders>
            <w:gridSpan w:val="5"/>
          </w:tcPr>
          <w:p>
            <w:pPr>
              <w:spacing w:after="0"/>
              <w:rPr>
                <w:rFonts w:ascii="Arial" w:cs="Arial" w:eastAsia="Arial" w:hAnsi="Arial"/>
                <w:sz w:val="18"/>
                <w:szCs w:val="18"/>
                <w:b w:val="1"/>
                <w:bCs w:val="1"/>
                <w:color w:val="0000EE"/>
                <w:w w:val="99"/>
              </w:rPr>
            </w:pPr>
            <w:hyperlink w:anchor="page184">
              <w:r>
                <w:rPr>
                  <w:rFonts w:ascii="Arial" w:cs="Arial" w:eastAsia="Arial" w:hAnsi="Arial"/>
                  <w:sz w:val="18"/>
                  <w:szCs w:val="18"/>
                  <w:b w:val="1"/>
                  <w:bCs w:val="1"/>
                  <w:color w:val="0000EE"/>
                  <w:w w:val="99"/>
                </w:rPr>
                <w:t>DESCRIPTION OF OUR WARRANTS</w:t>
              </w:r>
            </w:hyperlink>
          </w:p>
        </w:tc>
        <w:tc>
          <w:tcPr>
            <w:tcW w:w="7920" w:type="dxa"/>
            <w:vAlign w:val="bottom"/>
            <w:gridSpan w:val="9"/>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108</w:t>
            </w:r>
          </w:p>
        </w:tc>
        <w:tc>
          <w:tcPr>
            <w:tcW w:w="0" w:type="dxa"/>
            <w:vAlign w:val="bottom"/>
          </w:tcPr>
          <w:p>
            <w:pPr>
              <w:spacing w:after="0"/>
              <w:rPr>
                <w:sz w:val="1"/>
                <w:szCs w:val="1"/>
                <w:color w:val="auto"/>
              </w:rPr>
            </w:pPr>
          </w:p>
        </w:tc>
      </w:tr>
      <w:tr>
        <w:trPr>
          <w:trHeight w:val="196"/>
        </w:trPr>
        <w:tc>
          <w:tcPr>
            <w:tcW w:w="4140" w:type="dxa"/>
            <w:vAlign w:val="bottom"/>
            <w:tcBorders>
              <w:bottom w:val="single" w:sz="8" w:color="0000EE"/>
            </w:tcBorders>
            <w:gridSpan w:val="9"/>
          </w:tcPr>
          <w:p>
            <w:pPr>
              <w:spacing w:after="0" w:line="196" w:lineRule="exact"/>
              <w:rPr>
                <w:rFonts w:ascii="Arial" w:cs="Arial" w:eastAsia="Arial" w:hAnsi="Arial"/>
                <w:sz w:val="18"/>
                <w:szCs w:val="18"/>
                <w:b w:val="1"/>
                <w:bCs w:val="1"/>
                <w:color w:val="0000EE"/>
                <w:w w:val="99"/>
              </w:rPr>
            </w:pPr>
            <w:hyperlink w:anchor="page186">
              <w:r>
                <w:rPr>
                  <w:rFonts w:ascii="Arial" w:cs="Arial" w:eastAsia="Arial" w:hAnsi="Arial"/>
                  <w:sz w:val="18"/>
                  <w:szCs w:val="18"/>
                  <w:b w:val="1"/>
                  <w:bCs w:val="1"/>
                  <w:color w:val="0000EE"/>
                  <w:w w:val="99"/>
                </w:rPr>
                <w:t>DESCRIPTION OF OUR SUBSCRIPTION RIGHTS</w:t>
              </w:r>
            </w:hyperlink>
          </w:p>
        </w:tc>
        <w:tc>
          <w:tcPr>
            <w:tcW w:w="6860" w:type="dxa"/>
            <w:vAlign w:val="bottom"/>
            <w:gridSpan w:val="5"/>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110</w:t>
            </w:r>
          </w:p>
        </w:tc>
        <w:tc>
          <w:tcPr>
            <w:tcW w:w="0" w:type="dxa"/>
            <w:vAlign w:val="bottom"/>
          </w:tcPr>
          <w:p>
            <w:pPr>
              <w:spacing w:after="0"/>
              <w:rPr>
                <w:sz w:val="1"/>
                <w:szCs w:val="1"/>
                <w:color w:val="auto"/>
              </w:rPr>
            </w:pPr>
          </w:p>
        </w:tc>
      </w:tr>
      <w:tr>
        <w:trPr>
          <w:trHeight w:val="196"/>
        </w:trPr>
        <w:tc>
          <w:tcPr>
            <w:tcW w:w="11000" w:type="dxa"/>
            <w:vAlign w:val="bottom"/>
            <w:gridSpan w:val="14"/>
          </w:tcPr>
          <w:p>
            <w:pPr>
              <w:spacing w:after="0" w:line="196" w:lineRule="exact"/>
              <w:rPr>
                <w:rFonts w:ascii="Arial" w:cs="Arial" w:eastAsia="Arial" w:hAnsi="Arial"/>
                <w:sz w:val="18"/>
                <w:szCs w:val="18"/>
                <w:b w:val="1"/>
                <w:bCs w:val="1"/>
                <w:color w:val="0000EE"/>
              </w:rPr>
            </w:pPr>
            <w:hyperlink w:anchor="page188">
              <w:r>
                <w:rPr>
                  <w:rFonts w:ascii="Arial" w:cs="Arial" w:eastAsia="Arial" w:hAnsi="Arial"/>
                  <w:sz w:val="18"/>
                  <w:szCs w:val="18"/>
                  <w:b w:val="1"/>
                  <w:bCs w:val="1"/>
                  <w:color w:val="0000EE"/>
                </w:rPr>
                <w:t>DESCRIPTION OF OUR DEBT SECURITIES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112</w:t>
            </w:r>
          </w:p>
        </w:tc>
        <w:tc>
          <w:tcPr>
            <w:tcW w:w="0" w:type="dxa"/>
            <w:vAlign w:val="bottom"/>
          </w:tcPr>
          <w:p>
            <w:pPr>
              <w:spacing w:after="0"/>
              <w:rPr>
                <w:sz w:val="1"/>
                <w:szCs w:val="1"/>
                <w:color w:val="auto"/>
              </w:rPr>
            </w:pPr>
          </w:p>
        </w:tc>
      </w:tr>
      <w:tr>
        <w:trPr>
          <w:trHeight w:val="196"/>
        </w:trPr>
        <w:tc>
          <w:tcPr>
            <w:tcW w:w="26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b w:val="1"/>
                <w:bCs w:val="1"/>
                <w:color w:val="0000EE"/>
              </w:rPr>
            </w:pPr>
            <w:hyperlink w:anchor="page201">
              <w:r>
                <w:rPr>
                  <w:rFonts w:ascii="Arial" w:cs="Arial" w:eastAsia="Arial" w:hAnsi="Arial"/>
                  <w:sz w:val="18"/>
                  <w:szCs w:val="18"/>
                  <w:b w:val="1"/>
                  <w:bCs w:val="1"/>
                  <w:color w:val="0000EE"/>
                </w:rPr>
                <w:t>DESCRIPTION OF OUR UNITS</w:t>
              </w:r>
            </w:hyperlink>
          </w:p>
        </w:tc>
        <w:tc>
          <w:tcPr>
            <w:tcW w:w="1060" w:type="dxa"/>
            <w:vAlign w:val="bottom"/>
            <w:tcBorders>
              <w:top w:val="single" w:sz="8" w:color="0000EE"/>
            </w:tcBorders>
            <w:gridSpan w:val="3"/>
          </w:tcPr>
          <w:p>
            <w:pPr>
              <w:spacing w:after="0"/>
              <w:rPr>
                <w:sz w:val="17"/>
                <w:szCs w:val="17"/>
                <w:color w:val="auto"/>
              </w:rPr>
            </w:pPr>
          </w:p>
        </w:tc>
        <w:tc>
          <w:tcPr>
            <w:tcW w:w="7340" w:type="dxa"/>
            <w:vAlign w:val="bottom"/>
            <w:gridSpan w:val="7"/>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125</w:t>
            </w:r>
          </w:p>
        </w:tc>
        <w:tc>
          <w:tcPr>
            <w:tcW w:w="0" w:type="dxa"/>
            <w:vAlign w:val="bottom"/>
          </w:tcPr>
          <w:p>
            <w:pPr>
              <w:spacing w:after="0"/>
              <w:rPr>
                <w:sz w:val="1"/>
                <w:szCs w:val="1"/>
                <w:color w:val="auto"/>
              </w:rPr>
            </w:pPr>
          </w:p>
        </w:tc>
      </w:tr>
      <w:tr>
        <w:trPr>
          <w:trHeight w:val="196"/>
        </w:trPr>
        <w:tc>
          <w:tcPr>
            <w:tcW w:w="11000" w:type="dxa"/>
            <w:vAlign w:val="bottom"/>
            <w:gridSpan w:val="14"/>
          </w:tcPr>
          <w:p>
            <w:pPr>
              <w:spacing w:after="0" w:line="196" w:lineRule="exact"/>
              <w:rPr>
                <w:rFonts w:ascii="Arial" w:cs="Arial" w:eastAsia="Arial" w:hAnsi="Arial"/>
                <w:sz w:val="18"/>
                <w:szCs w:val="18"/>
                <w:b w:val="1"/>
                <w:bCs w:val="1"/>
                <w:color w:val="0000EE"/>
              </w:rPr>
            </w:pPr>
            <w:hyperlink w:anchor="page202">
              <w:r>
                <w:rPr>
                  <w:rFonts w:ascii="Arial" w:cs="Arial" w:eastAsia="Arial" w:hAnsi="Arial"/>
                  <w:sz w:val="18"/>
                  <w:szCs w:val="18"/>
                  <w:b w:val="1"/>
                  <w:bCs w:val="1"/>
                  <w:color w:val="0000EE"/>
                </w:rPr>
                <w:t>REGULATION</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126</w:t>
            </w:r>
          </w:p>
        </w:tc>
        <w:tc>
          <w:tcPr>
            <w:tcW w:w="0" w:type="dxa"/>
            <w:vAlign w:val="bottom"/>
          </w:tcPr>
          <w:p>
            <w:pPr>
              <w:spacing w:after="0"/>
              <w:rPr>
                <w:sz w:val="1"/>
                <w:szCs w:val="1"/>
                <w:color w:val="auto"/>
              </w:rPr>
            </w:pPr>
          </w:p>
        </w:tc>
      </w:tr>
      <w:tr>
        <w:trPr>
          <w:trHeight w:val="20"/>
        </w:trPr>
        <w:tc>
          <w:tcPr>
            <w:tcW w:w="12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56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60" w:type="dxa"/>
            <w:vAlign w:val="bottom"/>
            <w:tcBorders>
              <w:bottom w:val="single" w:sz="8" w:color="0000EE"/>
            </w:tcBorders>
            <w:gridSpan w:val="10"/>
          </w:tcPr>
          <w:p>
            <w:pPr>
              <w:spacing w:after="0" w:line="196" w:lineRule="exact"/>
              <w:rPr>
                <w:rFonts w:ascii="Arial" w:cs="Arial" w:eastAsia="Arial" w:hAnsi="Arial"/>
                <w:sz w:val="18"/>
                <w:szCs w:val="18"/>
                <w:b w:val="1"/>
                <w:bCs w:val="1"/>
                <w:color w:val="0000EE"/>
              </w:rPr>
            </w:pPr>
            <w:hyperlink w:anchor="page208">
              <w:r>
                <w:rPr>
                  <w:rFonts w:ascii="Arial" w:cs="Arial" w:eastAsia="Arial" w:hAnsi="Arial"/>
                  <w:sz w:val="18"/>
                  <w:szCs w:val="18"/>
                  <w:b w:val="1"/>
                  <w:bCs w:val="1"/>
                  <w:color w:val="0000EE"/>
                </w:rPr>
                <w:t>BROKERAGE ALLOCATIONS AND OTHER PRACTICES</w:t>
              </w:r>
            </w:hyperlink>
          </w:p>
        </w:tc>
        <w:tc>
          <w:tcPr>
            <w:tcW w:w="6240" w:type="dxa"/>
            <w:vAlign w:val="bottom"/>
            <w:gridSpan w:val="4"/>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132</w:t>
            </w:r>
          </w:p>
        </w:tc>
        <w:tc>
          <w:tcPr>
            <w:tcW w:w="0" w:type="dxa"/>
            <w:vAlign w:val="bottom"/>
          </w:tcPr>
          <w:p>
            <w:pPr>
              <w:spacing w:after="0"/>
              <w:rPr>
                <w:sz w:val="1"/>
                <w:szCs w:val="1"/>
                <w:color w:val="auto"/>
              </w:rPr>
            </w:pPr>
          </w:p>
        </w:tc>
      </w:tr>
      <w:tr>
        <w:trPr>
          <w:trHeight w:val="196"/>
        </w:trPr>
        <w:tc>
          <w:tcPr>
            <w:tcW w:w="11000" w:type="dxa"/>
            <w:vAlign w:val="bottom"/>
            <w:gridSpan w:val="14"/>
          </w:tcPr>
          <w:p>
            <w:pPr>
              <w:spacing w:after="0" w:line="196" w:lineRule="exact"/>
              <w:rPr>
                <w:rFonts w:ascii="Arial" w:cs="Arial" w:eastAsia="Arial" w:hAnsi="Arial"/>
                <w:sz w:val="18"/>
                <w:szCs w:val="18"/>
                <w:b w:val="1"/>
                <w:bCs w:val="1"/>
                <w:color w:val="0000EE"/>
              </w:rPr>
            </w:pPr>
            <w:hyperlink w:anchor="page209">
              <w:r>
                <w:rPr>
                  <w:rFonts w:ascii="Arial" w:cs="Arial" w:eastAsia="Arial" w:hAnsi="Arial"/>
                  <w:sz w:val="18"/>
                  <w:szCs w:val="18"/>
                  <w:b w:val="1"/>
                  <w:bCs w:val="1"/>
                  <w:color w:val="0000EE"/>
                </w:rPr>
                <w:t>MATERIAL U.S. FEDERAL INCOME TAX CONSIDERATIONS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133</w:t>
            </w:r>
          </w:p>
        </w:tc>
        <w:tc>
          <w:tcPr>
            <w:tcW w:w="0" w:type="dxa"/>
            <w:vAlign w:val="bottom"/>
          </w:tcPr>
          <w:p>
            <w:pPr>
              <w:spacing w:after="0"/>
              <w:rPr>
                <w:sz w:val="1"/>
                <w:szCs w:val="1"/>
                <w:color w:val="auto"/>
              </w:rPr>
            </w:pPr>
          </w:p>
        </w:tc>
      </w:tr>
      <w:tr>
        <w:trPr>
          <w:trHeight w:val="196"/>
        </w:trPr>
        <w:tc>
          <w:tcPr>
            <w:tcW w:w="5140" w:type="dxa"/>
            <w:vAlign w:val="bottom"/>
            <w:tcBorders>
              <w:top w:val="single" w:sz="8" w:color="0000EE"/>
            </w:tcBorders>
            <w:gridSpan w:val="12"/>
          </w:tcPr>
          <w:p>
            <w:pPr>
              <w:spacing w:after="0" w:line="196" w:lineRule="exact"/>
              <w:rPr>
                <w:rFonts w:ascii="Arial" w:cs="Arial" w:eastAsia="Arial" w:hAnsi="Arial"/>
                <w:sz w:val="18"/>
                <w:szCs w:val="18"/>
                <w:b w:val="1"/>
                <w:bCs w:val="1"/>
                <w:color w:val="0000EE"/>
              </w:rPr>
            </w:pPr>
            <w:hyperlink w:anchor="page215">
              <w:r>
                <w:rPr>
                  <w:rFonts w:ascii="Arial" w:cs="Arial" w:eastAsia="Arial" w:hAnsi="Arial"/>
                  <w:sz w:val="18"/>
                  <w:szCs w:val="18"/>
                  <w:b w:val="1"/>
                  <w:bCs w:val="1"/>
                  <w:color w:val="0000EE"/>
                </w:rPr>
                <w:t>PLAN OF DISTRIBUTION</w:t>
              </w:r>
            </w:hyperlink>
          </w:p>
        </w:tc>
        <w:tc>
          <w:tcPr>
            <w:tcW w:w="5860" w:type="dxa"/>
            <w:vAlign w:val="bottom"/>
            <w:gridSpan w:val="2"/>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139</w:t>
            </w:r>
          </w:p>
        </w:tc>
        <w:tc>
          <w:tcPr>
            <w:tcW w:w="0" w:type="dxa"/>
            <w:vAlign w:val="bottom"/>
          </w:tcPr>
          <w:p>
            <w:pPr>
              <w:spacing w:after="0"/>
              <w:rPr>
                <w:sz w:val="1"/>
                <w:szCs w:val="1"/>
                <w:color w:val="auto"/>
              </w:rPr>
            </w:pPr>
          </w:p>
        </w:tc>
      </w:tr>
      <w:tr>
        <w:trPr>
          <w:trHeight w:val="20"/>
        </w:trPr>
        <w:tc>
          <w:tcPr>
            <w:tcW w:w="156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880" w:type="dxa"/>
            <w:vAlign w:val="bottom"/>
            <w:gridSpan w:val="5"/>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0" w:type="dxa"/>
            <w:vAlign w:val="bottom"/>
            <w:gridSpan w:val="14"/>
          </w:tcPr>
          <w:p>
            <w:pPr>
              <w:spacing w:after="0" w:line="196" w:lineRule="exact"/>
              <w:rPr>
                <w:rFonts w:ascii="Arial" w:cs="Arial" w:eastAsia="Arial" w:hAnsi="Arial"/>
                <w:sz w:val="18"/>
                <w:szCs w:val="18"/>
                <w:b w:val="1"/>
                <w:bCs w:val="1"/>
                <w:color w:val="0000EE"/>
              </w:rPr>
            </w:pPr>
            <w:hyperlink w:anchor="page216">
              <w:r>
                <w:rPr>
                  <w:rFonts w:ascii="Arial" w:cs="Arial" w:eastAsia="Arial" w:hAnsi="Arial"/>
                  <w:sz w:val="18"/>
                  <w:szCs w:val="18"/>
                  <w:b w:val="1"/>
                  <w:bCs w:val="1"/>
                  <w:color w:val="0000EE"/>
                </w:rPr>
                <w:t>SUB-ADMINISTRATOR, CUSTODIAN, TRANSFER AGENT AND TRUSTEE</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140</w:t>
            </w:r>
          </w:p>
        </w:tc>
        <w:tc>
          <w:tcPr>
            <w:tcW w:w="0" w:type="dxa"/>
            <w:vAlign w:val="bottom"/>
          </w:tcPr>
          <w:p>
            <w:pPr>
              <w:spacing w:after="0"/>
              <w:rPr>
                <w:sz w:val="1"/>
                <w:szCs w:val="1"/>
                <w:color w:val="auto"/>
              </w:rPr>
            </w:pPr>
          </w:p>
        </w:tc>
      </w:tr>
      <w:tr>
        <w:trPr>
          <w:trHeight w:val="196"/>
        </w:trPr>
        <w:tc>
          <w:tcPr>
            <w:tcW w:w="15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b w:val="1"/>
                <w:bCs w:val="1"/>
                <w:color w:val="0000EE"/>
              </w:rPr>
            </w:pPr>
            <w:hyperlink w:anchor="page216">
              <w:r>
                <w:rPr>
                  <w:rFonts w:ascii="Arial" w:cs="Arial" w:eastAsia="Arial" w:hAnsi="Arial"/>
                  <w:sz w:val="18"/>
                  <w:szCs w:val="18"/>
                  <w:b w:val="1"/>
                  <w:bCs w:val="1"/>
                  <w:color w:val="0000EE"/>
                </w:rPr>
                <w:t>LEGAL MATTERS</w:t>
              </w:r>
            </w:hyperlink>
          </w:p>
        </w:tc>
        <w:tc>
          <w:tcPr>
            <w:tcW w:w="4640" w:type="dxa"/>
            <w:vAlign w:val="bottom"/>
            <w:tcBorders>
              <w:top w:val="single" w:sz="8" w:color="0000EE"/>
            </w:tcBorders>
            <w:gridSpan w:val="11"/>
          </w:tcPr>
          <w:p>
            <w:pPr>
              <w:spacing w:after="0"/>
              <w:rPr>
                <w:sz w:val="17"/>
                <w:szCs w:val="17"/>
                <w:color w:val="auto"/>
              </w:rPr>
            </w:pPr>
          </w:p>
        </w:tc>
        <w:tc>
          <w:tcPr>
            <w:tcW w:w="4800" w:type="dxa"/>
            <w:vAlign w:val="bottom"/>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140</w:t>
            </w:r>
          </w:p>
        </w:tc>
        <w:tc>
          <w:tcPr>
            <w:tcW w:w="0" w:type="dxa"/>
            <w:vAlign w:val="bottom"/>
          </w:tcPr>
          <w:p>
            <w:pPr>
              <w:spacing w:after="0"/>
              <w:rPr>
                <w:sz w:val="1"/>
                <w:szCs w:val="1"/>
                <w:color w:val="auto"/>
              </w:rPr>
            </w:pPr>
          </w:p>
        </w:tc>
      </w:tr>
      <w:tr>
        <w:trPr>
          <w:trHeight w:val="196"/>
        </w:trPr>
        <w:tc>
          <w:tcPr>
            <w:tcW w:w="11000" w:type="dxa"/>
            <w:vAlign w:val="bottom"/>
            <w:gridSpan w:val="14"/>
          </w:tcPr>
          <w:p>
            <w:pPr>
              <w:spacing w:after="0" w:line="196" w:lineRule="exact"/>
              <w:rPr>
                <w:rFonts w:ascii="Arial" w:cs="Arial" w:eastAsia="Arial" w:hAnsi="Arial"/>
                <w:sz w:val="18"/>
                <w:szCs w:val="18"/>
                <w:b w:val="1"/>
                <w:bCs w:val="1"/>
                <w:color w:val="0000EE"/>
              </w:rPr>
            </w:pPr>
            <w:hyperlink w:anchor="page216">
              <w:r>
                <w:rPr>
                  <w:rFonts w:ascii="Arial" w:cs="Arial" w:eastAsia="Arial" w:hAnsi="Arial"/>
                  <w:sz w:val="18"/>
                  <w:szCs w:val="18"/>
                  <w:b w:val="1"/>
                  <w:bCs w:val="1"/>
                  <w:color w:val="0000EE"/>
                </w:rPr>
                <w:t>INDEPENDENT REGISTERED PUBLIC ACCOUNTING FIRM</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140</w:t>
            </w:r>
          </w:p>
        </w:tc>
        <w:tc>
          <w:tcPr>
            <w:tcW w:w="0" w:type="dxa"/>
            <w:vAlign w:val="bottom"/>
          </w:tcPr>
          <w:p>
            <w:pPr>
              <w:spacing w:after="0"/>
              <w:rPr>
                <w:sz w:val="1"/>
                <w:szCs w:val="1"/>
                <w:color w:val="auto"/>
              </w:rPr>
            </w:pPr>
          </w:p>
        </w:tc>
      </w:tr>
      <w:tr>
        <w:trPr>
          <w:trHeight w:val="196"/>
        </w:trPr>
        <w:tc>
          <w:tcPr>
            <w:tcW w:w="5080" w:type="dxa"/>
            <w:vAlign w:val="bottom"/>
            <w:tcBorders>
              <w:top w:val="single" w:sz="8" w:color="0000EE"/>
            </w:tcBorders>
            <w:gridSpan w:val="11"/>
          </w:tcPr>
          <w:p>
            <w:pPr>
              <w:spacing w:after="0" w:line="196" w:lineRule="exact"/>
              <w:rPr>
                <w:rFonts w:ascii="Arial" w:cs="Arial" w:eastAsia="Arial" w:hAnsi="Arial"/>
                <w:sz w:val="18"/>
                <w:szCs w:val="18"/>
                <w:b w:val="1"/>
                <w:bCs w:val="1"/>
                <w:color w:val="0000EE"/>
              </w:rPr>
            </w:pPr>
            <w:hyperlink w:anchor="page217">
              <w:r>
                <w:rPr>
                  <w:rFonts w:ascii="Arial" w:cs="Arial" w:eastAsia="Arial" w:hAnsi="Arial"/>
                  <w:sz w:val="18"/>
                  <w:szCs w:val="18"/>
                  <w:b w:val="1"/>
                  <w:bCs w:val="1"/>
                  <w:color w:val="0000EE"/>
                </w:rPr>
                <w:t>INDEX TO FINANCIAL STATEMENTS</w:t>
              </w:r>
            </w:hyperlink>
          </w:p>
        </w:tc>
        <w:tc>
          <w:tcPr>
            <w:tcW w:w="5920" w:type="dxa"/>
            <w:vAlign w:val="bottom"/>
            <w:gridSpan w:val="3"/>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0"/>
        </w:trPr>
        <w:tc>
          <w:tcPr>
            <w:tcW w:w="1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124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6465" cy="531241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SUPPLEMENTAL PROSPECTUS SUMMARY</w:t>
      </w:r>
    </w:p>
    <w:p>
      <w:pPr>
        <w:spacing w:after="0" w:line="229" w:lineRule="exact"/>
        <w:rPr>
          <w:sz w:val="20"/>
          <w:szCs w:val="20"/>
          <w:color w:val="auto"/>
        </w:rPr>
      </w:pPr>
    </w:p>
    <w:p>
      <w:pPr>
        <w:ind w:left="200" w:firstLine="443"/>
        <w:spacing w:after="0" w:line="285" w:lineRule="auto"/>
        <w:rPr>
          <w:sz w:val="20"/>
          <w:szCs w:val="20"/>
          <w:color w:val="auto"/>
        </w:rPr>
      </w:pPr>
      <w:r>
        <w:rPr>
          <w:rFonts w:ascii="Arial" w:cs="Arial" w:eastAsia="Arial" w:hAnsi="Arial"/>
          <w:sz w:val="16"/>
          <w:szCs w:val="16"/>
          <w:i w:val="1"/>
          <w:iCs w:val="1"/>
          <w:color w:val="auto"/>
        </w:rPr>
        <w:t>This summary highlights some of the information in this prospectus supplement and the accompanying prospectus. It is not complete and may not contain all of the information that you may want to consider in making an investment decision. Some of the statements in this prospectus supplement and accompanying prospectus constitute forward-looking statements, which apply to both us and our consolidated Small Business Investment Company, or SBIC, subsidiaries and relate to future events, future performance or future financial condition. The forward-looking statements involve risks and uncertainties on a consolidated basis and actual results could differ materially from those projected in the forward-looking statements for many reasons, including those factors discussed in “Risk Factors” and elsewhere in this prospectus supplement and accompanying prospectus. You should read carefully the more detailed information set forth under “Risk Factors” and the other information included in this prospectus supplement and accompanying prospectus. In this prospectus supplement and the accompanying prospectus except where the context suggests otherwise: the terms “we,” “us,” “our” and “Company” refer to PennantPark Investment Corporation and its consolidated subsidiaries; “PennantPark Investment” refers to only PennantPark Investment Corporation; “our SBIC Funds” refers collectively to our consolidated subsidiaries, PennantPark SBIC LP, or SBIC LP, and its general partner, PennantPark SBIC GP, LLC, and PennantPark SBIC II LP, or SBIC II, and its general partner, PennantPark SBIC GP II, LLC; “PennantPark Investment Advisers” or “Investment Adviser” refers to PennantPark Investment Advisers, LLC; and “PennantPark Investment Administration” or “Administrator” refers to PennantPark Investment Administration, LLC; “SBA” refers to the Small Business Administration; “Credit Facility” refers to our multi-currency, senior secured revolving credit facility; “2025 Notes” refers to our 6.25% senior notes due 2025; “1940 Act” refers to the Investment Company Act of 1940, as amended; “Code” refers to the Internal Revenue Code of 1986, as amended; “RIC” refers to a regulated investment company under the Code; and “BDC” refers to a business development company under the 1940 Act.</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 Business of PennantPark Investment Corporation</w:t>
      </w:r>
    </w:p>
    <w:p>
      <w:pPr>
        <w:spacing w:after="0" w:line="121" w:lineRule="exact"/>
        <w:rPr>
          <w:sz w:val="20"/>
          <w:szCs w:val="20"/>
          <w:color w:val="auto"/>
        </w:rPr>
      </w:pPr>
    </w:p>
    <w:p>
      <w:pPr>
        <w:ind w:left="200" w:right="340" w:firstLine="443"/>
        <w:spacing w:after="0" w:line="342" w:lineRule="auto"/>
        <w:rPr>
          <w:sz w:val="20"/>
          <w:szCs w:val="20"/>
          <w:color w:val="auto"/>
        </w:rPr>
      </w:pPr>
      <w:r>
        <w:rPr>
          <w:rFonts w:ascii="Arial" w:cs="Arial" w:eastAsia="Arial" w:hAnsi="Arial"/>
          <w:sz w:val="16"/>
          <w:szCs w:val="16"/>
          <w:color w:val="auto"/>
        </w:rPr>
        <w:t>PennantPark Investment Corporation is a BDC whose objectives are to generate both current income and capital appreciation through debt and equity investments primarily in U.S. middle-market companies in the form of senior secured loans, mezzanine debt and equity investments.</w:t>
      </w:r>
    </w:p>
    <w:p>
      <w:pPr>
        <w:spacing w:after="0" w:line="124" w:lineRule="exact"/>
        <w:rPr>
          <w:sz w:val="20"/>
          <w:szCs w:val="20"/>
          <w:color w:val="auto"/>
        </w:rPr>
      </w:pPr>
    </w:p>
    <w:p>
      <w:pPr>
        <w:ind w:left="200" w:right="60" w:firstLine="443"/>
        <w:spacing w:after="0" w:line="271" w:lineRule="auto"/>
        <w:rPr>
          <w:sz w:val="20"/>
          <w:szCs w:val="20"/>
          <w:color w:val="auto"/>
        </w:rPr>
      </w:pPr>
      <w:r>
        <w:rPr>
          <w:rFonts w:ascii="Arial" w:cs="Arial" w:eastAsia="Arial" w:hAnsi="Arial"/>
          <w:sz w:val="17"/>
          <w:szCs w:val="17"/>
          <w:color w:val="auto"/>
        </w:rPr>
        <w:t>We believe the middle-market offers attractive risk-reward to investors due to the limited amount of capital available for such companies. We seek to create a diversified portfolio that includes senior secured loans, mezzanine debt and equity investments by investing approximately $10 million to $50 million of capital, on average, in the securities of middle-market companies. We expect this investment size to vary proportionately with the size of our capital base. We use the term “middle-market” to refer to companies with annual revenues between $50 million and $1 billion.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Our debt investments may generally range in maturity from three to ten years and are made to U.S. and to a limited extent, non-U.S. corporations, partnerships and other business entities which operate in various industries and geographic regions.</w:t>
      </w:r>
    </w:p>
    <w:p>
      <w:pPr>
        <w:spacing w:after="0" w:line="179" w:lineRule="exact"/>
        <w:rPr>
          <w:sz w:val="20"/>
          <w:szCs w:val="20"/>
          <w:color w:val="auto"/>
        </w:rPr>
      </w:pPr>
    </w:p>
    <w:p>
      <w:pPr>
        <w:ind w:left="200" w:right="20" w:firstLine="443"/>
        <w:spacing w:after="0" w:line="279" w:lineRule="auto"/>
        <w:rPr>
          <w:sz w:val="20"/>
          <w:szCs w:val="20"/>
          <w:color w:val="auto"/>
        </w:rPr>
      </w:pPr>
      <w:r>
        <w:rPr>
          <w:rFonts w:ascii="Arial" w:cs="Arial" w:eastAsia="Arial" w:hAnsi="Arial"/>
          <w:sz w:val="17"/>
          <w:szCs w:val="17"/>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or any future credit facility, SBA debentures, proceeds from the rotation of our portfolio and proceeds from public and private offerings of securities to finance our investment objectives.</w:t>
      </w:r>
    </w:p>
    <w:p>
      <w:pPr>
        <w:spacing w:after="0" w:line="28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60"/>
          </w:cols>
          <w:pgMar w:left="240" w:top="459" w:right="3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327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6465" cy="573278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Organization and Structure of PennantPark Investment Corporation</w:t>
      </w:r>
    </w:p>
    <w:p>
      <w:pPr>
        <w:spacing w:after="0" w:line="121" w:lineRule="exact"/>
        <w:rPr>
          <w:sz w:val="20"/>
          <w:szCs w:val="20"/>
          <w:color w:val="auto"/>
        </w:rPr>
      </w:pPr>
    </w:p>
    <w:p>
      <w:pPr>
        <w:ind w:left="200" w:right="60" w:firstLine="443"/>
        <w:spacing w:after="0" w:line="264" w:lineRule="auto"/>
        <w:rPr>
          <w:sz w:val="20"/>
          <w:szCs w:val="20"/>
          <w:color w:val="auto"/>
        </w:rPr>
      </w:pPr>
      <w:r>
        <w:rPr>
          <w:rFonts w:ascii="Arial" w:cs="Arial" w:eastAsia="Arial" w:hAnsi="Arial"/>
          <w:sz w:val="18"/>
          <w:szCs w:val="18"/>
          <w:color w:val="auto"/>
        </w:rPr>
        <w:t>PennantPark Investment Corporation was organized under the Maryland General Corporation Law in January 2007. We are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181" w:lineRule="exact"/>
        <w:rPr>
          <w:sz w:val="20"/>
          <w:szCs w:val="20"/>
          <w:color w:val="auto"/>
        </w:rPr>
      </w:pPr>
    </w:p>
    <w:p>
      <w:pPr>
        <w:ind w:left="200" w:right="100" w:firstLine="443"/>
        <w:spacing w:after="0" w:line="257" w:lineRule="auto"/>
        <w:rPr>
          <w:sz w:val="20"/>
          <w:szCs w:val="20"/>
          <w:color w:val="auto"/>
        </w:rPr>
      </w:pPr>
      <w:r>
        <w:rPr>
          <w:rFonts w:ascii="Arial" w:cs="Arial" w:eastAsia="Arial" w:hAnsi="Arial"/>
          <w:sz w:val="18"/>
          <w:szCs w:val="18"/>
          <w:color w:val="auto"/>
        </w:rPr>
        <w:t>Our wholly owned subsidiaries, SBIC LP and SBIC II, were organized as Delaware limited partnerships in May 2010 and July 2012, respectively. SBIC LP and SBIC II received licenses from the SBA to operate as SBICs, under Section 301(c) of the Small Business Investment Act of 1958, as amended, or the 1958 Act, in July 2010 and January 2013, respectively. Our SBIC Funds’ objectives are to generate both current income and capital appreciation through debt and equity investments generally by investing with us in SBA eligible businesses that meet the investment criteria used by PennantPark Investment.</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121" w:lineRule="exact"/>
        <w:rPr>
          <w:sz w:val="20"/>
          <w:szCs w:val="20"/>
          <w:color w:val="auto"/>
        </w:rPr>
      </w:pPr>
    </w:p>
    <w:p>
      <w:pPr>
        <w:ind w:left="200" w:right="20" w:firstLine="443"/>
        <w:spacing w:after="0" w:line="270" w:lineRule="auto"/>
        <w:rPr>
          <w:sz w:val="20"/>
          <w:szCs w:val="20"/>
          <w:color w:val="auto"/>
        </w:rPr>
      </w:pPr>
      <w:r>
        <w:rPr>
          <w:rFonts w:ascii="Arial" w:cs="Arial" w:eastAsia="Arial" w:hAnsi="Arial"/>
          <w:sz w:val="17"/>
          <w:szCs w:val="17"/>
          <w:color w:val="auto"/>
        </w:rPr>
        <w:t>We utilize the investing experience and contacts of PennantPark Investment Advisers in developing what we believe is an attractive and diversified portfolio. The senior investment professionals of the Investment Adviser have worked together for many years, and average over 25 years of experience in the mezzanine lending, leveraged finance, distressed debt and private equity businesses. In addition, our senior investment professionals have been involved in originating, structuring, negotiating, managing and monitoring investments in each of these businesses across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raised $1.9 billion in debt and equity capital and has invested approximately $3.8 billion in over 300 companies with 140 different financial sponsors through its managed funds.</w:t>
      </w:r>
    </w:p>
    <w:p>
      <w:pPr>
        <w:spacing w:after="0" w:line="182" w:lineRule="exact"/>
        <w:rPr>
          <w:sz w:val="20"/>
          <w:szCs w:val="20"/>
          <w:color w:val="auto"/>
        </w:rPr>
      </w:pPr>
    </w:p>
    <w:p>
      <w:pPr>
        <w:ind w:left="200" w:firstLine="443"/>
        <w:spacing w:after="0" w:line="291" w:lineRule="auto"/>
        <w:rPr>
          <w:sz w:val="20"/>
          <w:szCs w:val="20"/>
          <w:color w:val="auto"/>
        </w:rPr>
      </w:pPr>
      <w:r>
        <w:rPr>
          <w:rFonts w:ascii="Arial" w:cs="Arial" w:eastAsia="Arial" w:hAnsi="Arial"/>
          <w:sz w:val="16"/>
          <w:szCs w:val="16"/>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and the SBA. The Administrator assists in the determination and publication of our net asset value, or NAV, oversees the preparation and filing of our tax returns and, monitors the payment of our expenses as well as the performance of administrative and professional services rendered to us by others. Furthermore, our Administrator provides, on our behalf, managerial assistance to those portfolio companies to which we are required to offer such assistance. See “Risk Factors—Risks Relating to our Business and Structure—There are significant potential conflicts of interest which could impact our investment returns” in the accompanying prospectus for more information.</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 Opportunity</w:t>
      </w:r>
    </w:p>
    <w:p>
      <w:pPr>
        <w:spacing w:after="0" w:line="121" w:lineRule="exact"/>
        <w:rPr>
          <w:sz w:val="20"/>
          <w:szCs w:val="20"/>
          <w:color w:val="auto"/>
        </w:rPr>
      </w:pPr>
    </w:p>
    <w:p>
      <w:pPr>
        <w:ind w:left="200" w:right="280" w:firstLine="443"/>
        <w:spacing w:after="0" w:line="277" w:lineRule="auto"/>
        <w:rPr>
          <w:sz w:val="20"/>
          <w:szCs w:val="20"/>
          <w:color w:val="auto"/>
        </w:rPr>
      </w:pPr>
      <w:r>
        <w:rPr>
          <w:rFonts w:ascii="Arial" w:cs="Arial" w:eastAsia="Arial" w:hAnsi="Arial"/>
          <w:sz w:val="18"/>
          <w:szCs w:val="18"/>
          <w:color w:val="auto"/>
        </w:rPr>
        <w:t>We believe that the limited amount of capital available to the middle-market companies, coupled with the desire of these companies for flexible sources of capital, creates an attractive investment environment for us.</w:t>
      </w:r>
    </w:p>
    <w:p>
      <w:pPr>
        <w:spacing w:after="0" w:line="72" w:lineRule="exact"/>
        <w:rPr>
          <w:sz w:val="20"/>
          <w:szCs w:val="20"/>
          <w:color w:val="auto"/>
        </w:rPr>
      </w:pPr>
    </w:p>
    <w:p>
      <w:pPr>
        <w:ind w:left="1060" w:right="40" w:hanging="431"/>
        <w:spacing w:after="0" w:line="261" w:lineRule="auto"/>
        <w:tabs>
          <w:tab w:leader="none" w:pos="10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We believe middle-market companies have faced difficulty in raising debt through the capital markets. </w:t>
      </w:r>
      <w:r>
        <w:rPr>
          <w:rFonts w:ascii="Arial" w:cs="Arial" w:eastAsia="Arial" w:hAnsi="Arial"/>
          <w:sz w:val="18"/>
          <w:szCs w:val="18"/>
          <w:color w:val="auto"/>
        </w:rPr>
        <w:t>While many middle-market</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were formerly able to raise funds by issuing high-yield bonds, we believe this approach to financing may be more difficult from time to time to the extent institutional investors seek to invest in larger, more liquid offerings. We believe this has periodically made it harder for middle-market companies to raise funds by issuing high-yield debt securities.</w:t>
      </w:r>
    </w:p>
    <w:p>
      <w:pPr>
        <w:spacing w:after="0" w:line="29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260"/>
          </w:cols>
          <w:pgMar w:left="240" w:top="459" w:right="3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185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6465" cy="58185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060" w:right="140" w:hanging="431"/>
        <w:spacing w:after="0" w:line="266"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We believe middle-market companies have faced difficulty raising debt in private markets. </w:t>
      </w:r>
      <w:r>
        <w:rPr>
          <w:rFonts w:ascii="Arial" w:cs="Arial" w:eastAsia="Arial" w:hAnsi="Arial"/>
          <w:sz w:val="18"/>
          <w:szCs w:val="18"/>
          <w:color w:val="auto"/>
        </w:rPr>
        <w:t>From time to time, banks, finance</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hedge funds and collateralized loan obligation, or CLO, funds have, and may again, withdrawn capital from the middle-market, resulting in opportunities for alternative funding sources.</w:t>
      </w:r>
    </w:p>
    <w:p>
      <w:pPr>
        <w:spacing w:after="0" w:line="81" w:lineRule="exact"/>
        <w:rPr>
          <w:rFonts w:ascii="Arial" w:cs="Arial" w:eastAsia="Arial" w:hAnsi="Arial"/>
          <w:sz w:val="18"/>
          <w:szCs w:val="18"/>
          <w:color w:val="auto"/>
        </w:rPr>
      </w:pPr>
    </w:p>
    <w:p>
      <w:pPr>
        <w:ind w:left="1060" w:hanging="431"/>
        <w:spacing w:after="0" w:line="289" w:lineRule="auto"/>
        <w:tabs>
          <w:tab w:leader="none" w:pos="106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 xml:space="preserve">We believe that credit market dislocation for middle-market companies improves the risk-adjusted returns on our investments. </w:t>
      </w:r>
      <w:r>
        <w:rPr>
          <w:rFonts w:ascii="Arial" w:cs="Arial" w:eastAsia="Arial" w:hAnsi="Arial"/>
          <w:sz w:val="17"/>
          <w:szCs w:val="17"/>
          <w:color w:val="auto"/>
        </w:rPr>
        <w:t>From</w:t>
      </w:r>
      <w:r>
        <w:rPr>
          <w:rFonts w:ascii="Arial" w:cs="Arial" w:eastAsia="Arial" w:hAnsi="Arial"/>
          <w:sz w:val="17"/>
          <w:szCs w:val="17"/>
          <w:b w:val="1"/>
          <w:bCs w:val="1"/>
          <w:color w:val="auto"/>
        </w:rPr>
        <w:t xml:space="preserve"> </w:t>
      </w:r>
      <w:r>
        <w:rPr>
          <w:rFonts w:ascii="Arial" w:cs="Arial" w:eastAsia="Arial" w:hAnsi="Arial"/>
          <w:sz w:val="17"/>
          <w:szCs w:val="17"/>
          <w:color w:val="auto"/>
        </w:rPr>
        <w:t>time to time, market participants have reduced lending to middle-market and non-investment grade borrowers. As a result, there is less competition in our market, more conservative capital structures, higher yields and stronger covenants.</w:t>
      </w:r>
    </w:p>
    <w:p>
      <w:pPr>
        <w:spacing w:after="0" w:line="63" w:lineRule="exact"/>
        <w:rPr>
          <w:rFonts w:ascii="Arial" w:cs="Arial" w:eastAsia="Arial" w:hAnsi="Arial"/>
          <w:sz w:val="17"/>
          <w:szCs w:val="17"/>
          <w:color w:val="auto"/>
        </w:rPr>
      </w:pPr>
    </w:p>
    <w:p>
      <w:pPr>
        <w:ind w:left="1060" w:hanging="431"/>
        <w:spacing w:after="0" w:line="298" w:lineRule="auto"/>
        <w:tabs>
          <w:tab w:leader="none" w:pos="106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there is a large pool of uninvested private equity capital likely to seek to combine their capital with sources of debt capital to complete private investments. </w:t>
      </w:r>
      <w:r>
        <w:rPr>
          <w:rFonts w:ascii="Arial" w:cs="Arial" w:eastAsia="Arial" w:hAnsi="Arial"/>
          <w:sz w:val="16"/>
          <w:szCs w:val="16"/>
          <w:color w:val="auto"/>
        </w:rPr>
        <w:t>We expect that private equity firms will continue to be active investors in middle-market companies.</w:t>
      </w:r>
      <w:r>
        <w:rPr>
          <w:rFonts w:ascii="Arial" w:cs="Arial" w:eastAsia="Arial" w:hAnsi="Arial"/>
          <w:sz w:val="16"/>
          <w:szCs w:val="16"/>
          <w:b w:val="1"/>
          <w:bCs w:val="1"/>
          <w:color w:val="auto"/>
        </w:rPr>
        <w:t xml:space="preserve"> </w:t>
      </w:r>
      <w:r>
        <w:rPr>
          <w:rFonts w:ascii="Arial" w:cs="Arial" w:eastAsia="Arial" w:hAnsi="Arial"/>
          <w:sz w:val="16"/>
          <w:szCs w:val="16"/>
          <w:color w:val="auto"/>
        </w:rPr>
        <w:t>These private equity funds generally seek to leverage their investments by combining their capital with senior secured loans and/or mezzanine debt provided by other sources, and we believe that our capital is well-positioned to partner with such equity investors. We expect such activity to be funded by the substantial amounts of private equity capital that have been raised in recent years.</w:t>
      </w:r>
    </w:p>
    <w:p>
      <w:pPr>
        <w:spacing w:after="0" w:line="59" w:lineRule="exact"/>
        <w:rPr>
          <w:rFonts w:ascii="Arial" w:cs="Arial" w:eastAsia="Arial" w:hAnsi="Arial"/>
          <w:sz w:val="16"/>
          <w:szCs w:val="16"/>
          <w:color w:val="auto"/>
        </w:rPr>
      </w:pPr>
    </w:p>
    <w:p>
      <w:pPr>
        <w:ind w:left="1060" w:right="60" w:hanging="431"/>
        <w:spacing w:after="0" w:line="256"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We believe there is substantial supply of opportunities resulting from maturing loans that seek refinancing. </w:t>
      </w:r>
      <w:r>
        <w:rPr>
          <w:rFonts w:ascii="Arial" w:cs="Arial" w:eastAsia="Arial" w:hAnsi="Arial"/>
          <w:sz w:val="18"/>
          <w:szCs w:val="18"/>
          <w:color w:val="auto"/>
        </w:rPr>
        <w:t>A high volume of</w:t>
      </w:r>
      <w:r>
        <w:rPr>
          <w:rFonts w:ascii="Arial" w:cs="Arial" w:eastAsia="Arial" w:hAnsi="Arial"/>
          <w:sz w:val="18"/>
          <w:szCs w:val="18"/>
          <w:b w:val="1"/>
          <w:bCs w:val="1"/>
          <w:color w:val="auto"/>
        </w:rPr>
        <w:t xml:space="preserve"> </w:t>
      </w:r>
      <w:r>
        <w:rPr>
          <w:rFonts w:ascii="Arial" w:cs="Arial" w:eastAsia="Arial" w:hAnsi="Arial"/>
          <w:sz w:val="18"/>
          <w:szCs w:val="18"/>
          <w:color w:val="auto"/>
        </w:rPr>
        <w:t>financings will come due in the next few years. Additionally, we believe that demand for debt financing from middle-market companies will remain strong because these companies will continue to require credit to refinance existing debt, to support growth initiatives and to finance acquisitions. We believe the combination of strong demand by middle-market companies and the reduced supply of credit described above should increase lending opportunities for us. We believe this supply of opportunities coupled with lack of demand offers attractive risk-adjusted returns to investors.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Competitive Advantages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believe that we have the following competitive advantages over other capital providers in middle-market companies:</w:t>
      </w:r>
    </w:p>
    <w:p>
      <w:pPr>
        <w:spacing w:after="0" w:line="33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 Experienced Management Team</w:t>
      </w:r>
    </w:p>
    <w:p>
      <w:pPr>
        <w:spacing w:after="0" w:line="117" w:lineRule="exact"/>
        <w:rPr>
          <w:sz w:val="20"/>
          <w:szCs w:val="20"/>
          <w:color w:val="auto"/>
        </w:rPr>
      </w:pPr>
    </w:p>
    <w:p>
      <w:pPr>
        <w:ind w:left="200" w:right="80" w:firstLine="443"/>
        <w:spacing w:after="0" w:line="259" w:lineRule="auto"/>
        <w:rPr>
          <w:sz w:val="20"/>
          <w:szCs w:val="20"/>
          <w:color w:val="auto"/>
        </w:rPr>
      </w:pPr>
      <w:r>
        <w:rPr>
          <w:rFonts w:ascii="Arial" w:cs="Arial" w:eastAsia="Arial" w:hAnsi="Arial"/>
          <w:sz w:val="18"/>
          <w:szCs w:val="18"/>
          <w:color w:val="auto"/>
        </w:rPr>
        <w:t>The senior professionals of our Investment Adviser have worked together for many years and average over 25 years of experience in mezzanine lending, leveraged finance, distressed debt and private equity businesses. These senior professionals have been involved in originating, structuring, negotiating, managing and monitoring investments in each of these businesses across economic and market cycles. We believe this extensive experience and history has resulted in a strong reputation across the capital markets.</w:t>
      </w:r>
    </w:p>
    <w:p>
      <w:pPr>
        <w:spacing w:after="0" w:line="187" w:lineRule="exact"/>
        <w:rPr>
          <w:sz w:val="20"/>
          <w:szCs w:val="20"/>
          <w:color w:val="auto"/>
        </w:rPr>
      </w:pPr>
    </w:p>
    <w:p>
      <w:pPr>
        <w:ind w:left="200" w:right="100" w:firstLine="443"/>
        <w:spacing w:after="0" w:line="259" w:lineRule="auto"/>
        <w:rPr>
          <w:sz w:val="20"/>
          <w:szCs w:val="20"/>
          <w:color w:val="auto"/>
        </w:rPr>
      </w:pPr>
      <w:r>
        <w:rPr>
          <w:rFonts w:ascii="Arial" w:cs="Arial" w:eastAsia="Arial" w:hAnsi="Arial"/>
          <w:sz w:val="18"/>
          <w:szCs w:val="18"/>
          <w:color w:val="auto"/>
        </w:rPr>
        <w:t>Lending to middle-market companies requires deep diligence, credit expertise, restructuring experience and active portfolio management. For example, lending to middle-market companies in the United States is generally more labor intensive than lending to larger companies due to the smaller size of each investment and the fragmented nature of the information available with respect to such companies. Specialized due diligence and underwriting capabilities, and more extensive ongoing monitoring are required by the lender.</w:t>
      </w:r>
    </w:p>
    <w:p>
      <w:pPr>
        <w:spacing w:after="0" w:line="29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b. Disciplined Investment Approach with Strong Value Orientation</w:t>
      </w:r>
    </w:p>
    <w:p>
      <w:pPr>
        <w:spacing w:after="0" w:line="117" w:lineRule="exact"/>
        <w:rPr>
          <w:sz w:val="20"/>
          <w:szCs w:val="20"/>
          <w:color w:val="auto"/>
        </w:rPr>
      </w:pPr>
    </w:p>
    <w:p>
      <w:pPr>
        <w:jc w:val="both"/>
        <w:ind w:left="200" w:right="60" w:firstLine="443"/>
        <w:spacing w:after="0" w:line="264" w:lineRule="auto"/>
        <w:rPr>
          <w:sz w:val="20"/>
          <w:szCs w:val="20"/>
          <w:color w:val="auto"/>
        </w:rPr>
      </w:pPr>
      <w:r>
        <w:rPr>
          <w:rFonts w:ascii="Arial" w:cs="Arial" w:eastAsia="Arial" w:hAnsi="Arial"/>
          <w:sz w:val="18"/>
          <w:szCs w:val="18"/>
          <w:color w:val="auto"/>
        </w:rPr>
        <w:t>We employ a disciplined approach in selecting investments that meet the long-standing, consistent value-oriented investment criteria employed by our Investment Adviser. Our value-oriented investment philosophy focuses on preserving capital and ensuring that our investments have an appropriate return profile in relation to</w:t>
      </w:r>
    </w:p>
    <w:p>
      <w:pPr>
        <w:spacing w:after="0" w:line="28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240"/>
          </w:cols>
          <w:pgMar w:left="240" w:top="459" w:right="4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728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6465" cy="59728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140"/>
        <w:spacing w:after="0" w:line="308" w:lineRule="auto"/>
        <w:rPr>
          <w:sz w:val="20"/>
          <w:szCs w:val="20"/>
          <w:color w:val="auto"/>
        </w:rPr>
      </w:pPr>
      <w:r>
        <w:rPr>
          <w:rFonts w:ascii="Arial" w:cs="Arial" w:eastAsia="Arial" w:hAnsi="Arial"/>
          <w:sz w:val="17"/>
          <w:szCs w:val="17"/>
          <w:color w:val="auto"/>
        </w:rPr>
        <w:t>risk. When market conditions make it difficult for us to invest according to our criteria, we are highly selective in deploying our capital. We believe this approach continues to enable us to build an attractive investment portfolio that meets our return and value criteria over the long-term.</w:t>
      </w:r>
    </w:p>
    <w:p>
      <w:pPr>
        <w:spacing w:after="0" w:line="147" w:lineRule="exact"/>
        <w:rPr>
          <w:sz w:val="20"/>
          <w:szCs w:val="20"/>
          <w:color w:val="auto"/>
        </w:rPr>
      </w:pPr>
    </w:p>
    <w:p>
      <w:pPr>
        <w:ind w:left="200" w:firstLine="443"/>
        <w:spacing w:after="0" w:line="279" w:lineRule="auto"/>
        <w:rPr>
          <w:sz w:val="20"/>
          <w:szCs w:val="20"/>
          <w:color w:val="auto"/>
        </w:rPr>
      </w:pPr>
      <w:r>
        <w:rPr>
          <w:rFonts w:ascii="Arial" w:cs="Arial" w:eastAsia="Arial" w:hAnsi="Arial"/>
          <w:sz w:val="17"/>
          <w:szCs w:val="17"/>
          <w:color w:val="auto"/>
        </w:rPr>
        <w:t>We believe it is critical to conduct extensive due diligence on investment targets. In evaluating new investments we, through our Investment Adviser, conduct a rigorous due diligence process that draws from our Investment Adviser’s experience, industry expertise and network of contacts. Among other things, our due diligence is designed to ensure that each prospective portfolio company will be able to meet its debt service obligations. See “Investment Objectives and Policies—Investment Selection Criteria” in the accompanying prospectus for more information.</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addition to engaging in extensive due diligence, our Investment Adviser seeks to reduce risk by focusing on businesses with:</w:t>
      </w:r>
    </w:p>
    <w:p>
      <w:pPr>
        <w:spacing w:after="0" w:line="131" w:lineRule="exact"/>
        <w:rPr>
          <w:sz w:val="20"/>
          <w:szCs w:val="20"/>
          <w:color w:val="auto"/>
        </w:rPr>
      </w:pPr>
    </w:p>
    <w:p>
      <w:pPr>
        <w:ind w:left="840" w:hanging="211"/>
        <w:spacing w:after="0"/>
        <w:tabs>
          <w:tab w:leader="none" w:pos="840" w:val="left"/>
        </w:tabs>
        <w:numPr>
          <w:ilvl w:val="1"/>
          <w:numId w:val="3"/>
        </w:numPr>
        <w:rPr>
          <w:rFonts w:ascii="Arial" w:cs="Arial" w:eastAsia="Arial" w:hAnsi="Arial"/>
          <w:sz w:val="18"/>
          <w:szCs w:val="18"/>
          <w:color w:val="auto"/>
        </w:rPr>
      </w:pPr>
      <w:r>
        <w:rPr>
          <w:rFonts w:ascii="Arial" w:cs="Arial" w:eastAsia="Arial" w:hAnsi="Arial"/>
          <w:sz w:val="18"/>
          <w:szCs w:val="18"/>
          <w:color w:val="auto"/>
        </w:rPr>
        <w:t>strong competitive positions;</w:t>
      </w:r>
    </w:p>
    <w:p>
      <w:pPr>
        <w:spacing w:after="0" w:line="130" w:lineRule="exact"/>
        <w:rPr>
          <w:rFonts w:ascii="Arial" w:cs="Arial" w:eastAsia="Arial" w:hAnsi="Arial"/>
          <w:sz w:val="18"/>
          <w:szCs w:val="18"/>
          <w:color w:val="auto"/>
        </w:rPr>
      </w:pPr>
    </w:p>
    <w:p>
      <w:pPr>
        <w:ind w:left="840" w:hanging="211"/>
        <w:spacing w:after="0"/>
        <w:tabs>
          <w:tab w:leader="none" w:pos="8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positive cash flow that is steady and stable;</w:t>
      </w:r>
    </w:p>
    <w:p>
      <w:pPr>
        <w:spacing w:after="0" w:line="130" w:lineRule="exact"/>
        <w:rPr>
          <w:rFonts w:ascii="Arial" w:cs="Arial" w:eastAsia="Arial" w:hAnsi="Arial"/>
          <w:sz w:val="18"/>
          <w:szCs w:val="18"/>
          <w:color w:val="auto"/>
        </w:rPr>
      </w:pPr>
    </w:p>
    <w:p>
      <w:pPr>
        <w:ind w:left="840" w:hanging="211"/>
        <w:spacing w:after="0"/>
        <w:tabs>
          <w:tab w:leader="none" w:pos="840" w:val="left"/>
        </w:tabs>
        <w:numPr>
          <w:ilvl w:val="1"/>
          <w:numId w:val="3"/>
        </w:numPr>
        <w:rPr>
          <w:rFonts w:ascii="Arial" w:cs="Arial" w:eastAsia="Arial" w:hAnsi="Arial"/>
          <w:sz w:val="18"/>
          <w:szCs w:val="18"/>
          <w:color w:val="auto"/>
        </w:rPr>
      </w:pPr>
      <w:r>
        <w:rPr>
          <w:rFonts w:ascii="Arial" w:cs="Arial" w:eastAsia="Arial" w:hAnsi="Arial"/>
          <w:sz w:val="18"/>
          <w:szCs w:val="18"/>
          <w:color w:val="auto"/>
        </w:rPr>
        <w:t>experienced management teams with strong track records;</w:t>
      </w:r>
    </w:p>
    <w:p>
      <w:pPr>
        <w:spacing w:after="0" w:line="130" w:lineRule="exact"/>
        <w:rPr>
          <w:rFonts w:ascii="Arial" w:cs="Arial" w:eastAsia="Arial" w:hAnsi="Arial"/>
          <w:sz w:val="18"/>
          <w:szCs w:val="18"/>
          <w:color w:val="auto"/>
        </w:rPr>
      </w:pPr>
    </w:p>
    <w:p>
      <w:pPr>
        <w:ind w:left="840" w:hanging="211"/>
        <w:spacing w:after="0"/>
        <w:tabs>
          <w:tab w:leader="none" w:pos="8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potential for growth and viable exit strategies; and</w:t>
      </w:r>
    </w:p>
    <w:p>
      <w:pPr>
        <w:spacing w:after="0" w:line="130" w:lineRule="exact"/>
        <w:rPr>
          <w:rFonts w:ascii="Arial" w:cs="Arial" w:eastAsia="Arial" w:hAnsi="Arial"/>
          <w:sz w:val="18"/>
          <w:szCs w:val="18"/>
          <w:color w:val="auto"/>
        </w:rPr>
      </w:pPr>
    </w:p>
    <w:p>
      <w:pPr>
        <w:ind w:left="840" w:hanging="211"/>
        <w:spacing w:after="0"/>
        <w:tabs>
          <w:tab w:leader="none" w:pos="840" w:val="left"/>
        </w:tabs>
        <w:numPr>
          <w:ilvl w:val="1"/>
          <w:numId w:val="3"/>
        </w:numPr>
        <w:rPr>
          <w:rFonts w:ascii="Arial" w:cs="Arial" w:eastAsia="Arial" w:hAnsi="Arial"/>
          <w:sz w:val="18"/>
          <w:szCs w:val="18"/>
          <w:color w:val="auto"/>
        </w:rPr>
      </w:pPr>
      <w:r>
        <w:rPr>
          <w:rFonts w:ascii="Arial" w:cs="Arial" w:eastAsia="Arial" w:hAnsi="Arial"/>
          <w:sz w:val="18"/>
          <w:szCs w:val="18"/>
          <w:color w:val="auto"/>
        </w:rPr>
        <w:t>capital structures offering appropriate risk-adjusted terms and covenants.</w:t>
      </w:r>
    </w:p>
    <w:p>
      <w:pPr>
        <w:spacing w:after="0" w:line="333" w:lineRule="exact"/>
        <w:rPr>
          <w:rFonts w:ascii="Arial" w:cs="Arial" w:eastAsia="Arial" w:hAnsi="Arial"/>
          <w:sz w:val="18"/>
          <w:szCs w:val="18"/>
          <w:color w:val="auto"/>
        </w:rPr>
      </w:pPr>
    </w:p>
    <w:p>
      <w:pPr>
        <w:ind w:left="420"/>
        <w:spacing w:after="0"/>
        <w:rPr>
          <w:rFonts w:ascii="Arial" w:cs="Arial" w:eastAsia="Arial" w:hAnsi="Arial"/>
          <w:sz w:val="18"/>
          <w:szCs w:val="18"/>
          <w:color w:val="auto"/>
        </w:rPr>
      </w:pPr>
      <w:r>
        <w:rPr>
          <w:rFonts w:ascii="Arial" w:cs="Arial" w:eastAsia="Arial" w:hAnsi="Arial"/>
          <w:sz w:val="17"/>
          <w:szCs w:val="17"/>
          <w:b w:val="1"/>
          <w:bCs w:val="1"/>
          <w:i w:val="1"/>
          <w:iCs w:val="1"/>
          <w:color w:val="auto"/>
        </w:rPr>
        <w:t>c. Ability to Source and Evaluate Transactions through our Investment Adviser’s Research Capability and Established Network</w:t>
      </w:r>
    </w:p>
    <w:p>
      <w:pPr>
        <w:spacing w:after="0" w:line="128"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6"/>
          <w:szCs w:val="16"/>
          <w:color w:val="auto"/>
        </w:rPr>
        <w:t>The management team of the Investment Adviser has long-term relationships with financial sponsors, management consultants and management</w:t>
      </w:r>
    </w:p>
    <w:p>
      <w:pPr>
        <w:spacing w:after="0" w:line="46" w:lineRule="exact"/>
        <w:rPr>
          <w:sz w:val="20"/>
          <w:szCs w:val="20"/>
          <w:color w:val="auto"/>
        </w:rPr>
      </w:pPr>
    </w:p>
    <w:p>
      <w:pPr>
        <w:ind w:left="200" w:right="40"/>
        <w:spacing w:after="0" w:line="254" w:lineRule="auto"/>
        <w:rPr>
          <w:sz w:val="20"/>
          <w:szCs w:val="20"/>
          <w:color w:val="auto"/>
        </w:rPr>
      </w:pPr>
      <w:r>
        <w:rPr>
          <w:rFonts w:ascii="Arial" w:cs="Arial" w:eastAsia="Arial" w:hAnsi="Arial"/>
          <w:sz w:val="18"/>
          <w:szCs w:val="18"/>
          <w:color w:val="auto"/>
        </w:rPr>
        <w:t>teams that we believe enable us to evaluate investment opportunities effectively in numerous industries, as well as provide us access to substantial information concerning those industries. We identify potential investments both through active origination and through dialogue with numerous financial sponsors, management teams, members of the financial community and corporate partners with whom the professionals of our Investment Adviser have long-term relationships.</w:t>
      </w:r>
    </w:p>
    <w:p>
      <w:pPr>
        <w:spacing w:after="0" w:line="29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 Flexible Transaction Structuring</w:t>
      </w:r>
    </w:p>
    <w:p>
      <w:pPr>
        <w:spacing w:after="0" w:line="117" w:lineRule="exact"/>
        <w:rPr>
          <w:sz w:val="20"/>
          <w:szCs w:val="20"/>
          <w:color w:val="auto"/>
        </w:rPr>
      </w:pPr>
    </w:p>
    <w:p>
      <w:pPr>
        <w:ind w:left="200" w:right="140" w:firstLine="443"/>
        <w:spacing w:after="0" w:line="264" w:lineRule="auto"/>
        <w:rPr>
          <w:sz w:val="20"/>
          <w:szCs w:val="20"/>
          <w:color w:val="auto"/>
        </w:rPr>
      </w:pPr>
      <w:r>
        <w:rPr>
          <w:rFonts w:ascii="Arial" w:cs="Arial" w:eastAsia="Arial" w:hAnsi="Arial"/>
          <w:sz w:val="18"/>
          <w:szCs w:val="18"/>
          <w:color w:val="auto"/>
        </w:rPr>
        <w:t>We are flexible in structuring investments and tailor investments to meet the needs of a portfolio company while also generating attractive risk-adjusted returns. We can invest in any part of a capital structure, and our Investment Adviser has extensive experience in a wide variety of securities for leveraged companies throughout economic and market cycles.</w:t>
      </w:r>
    </w:p>
    <w:p>
      <w:pPr>
        <w:spacing w:after="0" w:line="181" w:lineRule="exact"/>
        <w:rPr>
          <w:sz w:val="20"/>
          <w:szCs w:val="20"/>
          <w:color w:val="auto"/>
        </w:rPr>
      </w:pPr>
    </w:p>
    <w:p>
      <w:pPr>
        <w:ind w:left="200" w:right="520" w:firstLine="443"/>
        <w:spacing w:after="0" w:line="277" w:lineRule="auto"/>
        <w:rPr>
          <w:sz w:val="20"/>
          <w:szCs w:val="20"/>
          <w:color w:val="auto"/>
        </w:rPr>
      </w:pPr>
      <w:r>
        <w:rPr>
          <w:rFonts w:ascii="Arial" w:cs="Arial" w:eastAsia="Arial" w:hAnsi="Arial"/>
          <w:sz w:val="18"/>
          <w:szCs w:val="18"/>
          <w:color w:val="auto"/>
        </w:rPr>
        <w:t>Our Investment Adviser seeks to minimize the risk of capital loss without foregoing potential for capital appreciation. In making investment decisions, we seek to invest in companies that we believe can generate positive risk-adjusted returns.</w:t>
      </w:r>
    </w:p>
    <w:p>
      <w:pPr>
        <w:spacing w:after="0" w:line="170" w:lineRule="exact"/>
        <w:rPr>
          <w:sz w:val="20"/>
          <w:szCs w:val="20"/>
          <w:color w:val="auto"/>
        </w:rPr>
      </w:pPr>
    </w:p>
    <w:p>
      <w:pPr>
        <w:ind w:left="200" w:right="20" w:firstLine="443"/>
        <w:spacing w:after="0" w:line="277" w:lineRule="auto"/>
        <w:rPr>
          <w:sz w:val="20"/>
          <w:szCs w:val="20"/>
          <w:color w:val="auto"/>
        </w:rPr>
      </w:pPr>
      <w:r>
        <w:rPr>
          <w:rFonts w:ascii="Arial" w:cs="Arial" w:eastAsia="Arial" w:hAnsi="Arial"/>
          <w:sz w:val="18"/>
          <w:szCs w:val="18"/>
          <w:color w:val="auto"/>
        </w:rPr>
        <w:t>We believe that the in-depth coverage and experience of our Investment Adviser will enable us to invest throughout various stages of the economic and market cycles and to provide us with ongoing market insights in addition to a significant investment sourcing engine.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200" w:right="140" w:firstLine="443"/>
        <w:spacing w:after="0" w:line="277" w:lineRule="auto"/>
        <w:rPr>
          <w:sz w:val="20"/>
          <w:szCs w:val="20"/>
          <w:color w:val="auto"/>
        </w:rPr>
      </w:pPr>
      <w:r>
        <w:rPr>
          <w:rFonts w:ascii="Arial" w:cs="Arial" w:eastAsia="Arial" w:hAnsi="Arial"/>
          <w:sz w:val="18"/>
          <w:szCs w:val="18"/>
          <w:color w:val="auto"/>
        </w:rPr>
        <w:t>Our primary competitors provide financing to middle-market companies and include other BDCs, commercial and investment banks, commercial finance companies, CLO funds and, to the extent they provide an</w:t>
      </w:r>
    </w:p>
    <w:p>
      <w:pPr>
        <w:spacing w:after="0" w:line="2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260"/>
          </w:cols>
          <w:pgMar w:left="240" w:top="459" w:right="3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4495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6465" cy="544957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alternative form of financing, private equity funds. Additionally, alternative investment vehicles, such as hedge funds, frequently invest in middle-market companies. As a result, competition for investment opportunities in middle-market companies can be intense. However, we believe that from time to time there has been a reduction in the amount of debt capital available to middle-market companies. We believe this has resulted in a less competitive environment for making new investments.</w:t>
      </w:r>
    </w:p>
    <w:p>
      <w:pPr>
        <w:spacing w:after="0" w:line="187" w:lineRule="exact"/>
        <w:rPr>
          <w:sz w:val="20"/>
          <w:szCs w:val="20"/>
          <w:color w:val="auto"/>
        </w:rPr>
      </w:pPr>
    </w:p>
    <w:p>
      <w:pPr>
        <w:ind w:left="200" w:firstLine="443"/>
        <w:spacing w:after="0" w:line="255" w:lineRule="auto"/>
        <w:rPr>
          <w:sz w:val="20"/>
          <w:szCs w:val="20"/>
          <w:color w:val="auto"/>
        </w:rPr>
      </w:pPr>
      <w:r>
        <w:rPr>
          <w:rFonts w:ascii="Arial" w:cs="Arial" w:eastAsia="Arial" w:hAnsi="Arial"/>
          <w:sz w:val="18"/>
          <w:szCs w:val="18"/>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See “Risk Factors—Risks Relating to our Business and Structure—We operate in a highly competitive market for investment opportunities” in the accompanying prospectus for more information.</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Leverage</w:t>
      </w:r>
    </w:p>
    <w:p>
      <w:pPr>
        <w:spacing w:after="0" w:line="121" w:lineRule="exact"/>
        <w:rPr>
          <w:sz w:val="20"/>
          <w:szCs w:val="20"/>
          <w:color w:val="auto"/>
        </w:rPr>
      </w:pPr>
    </w:p>
    <w:p>
      <w:pPr>
        <w:ind w:left="200" w:right="140" w:firstLine="443"/>
        <w:spacing w:after="0" w:line="271" w:lineRule="auto"/>
        <w:rPr>
          <w:sz w:val="20"/>
          <w:szCs w:val="20"/>
          <w:color w:val="auto"/>
        </w:rPr>
      </w:pPr>
      <w:r>
        <w:rPr>
          <w:rFonts w:ascii="Arial" w:cs="Arial" w:eastAsia="Arial" w:hAnsi="Arial"/>
          <w:sz w:val="17"/>
          <w:szCs w:val="17"/>
          <w:color w:val="auto"/>
        </w:rPr>
        <w:t>We maintain a multi-currency $545.0 million Credit Facility which matures in June 2019 and is secured by substantially all of our investment portfolio assets (excluding the assets of our SBIC Funds), under which we had $255.9 million and $145.5 million (including a $28.0 million temporary draw) in outstanding borrowings with a weighted average interest rate of 2.52% and 3.33% as of June 30, 2014 and September 30, 2013, respectively. Pricing of borrowings under our Credit Facility was set at 225 basis points over the London Interbank Offered Rate, or LIBOR, as of June 30, 2014 and at 275 basis points over LIBOR as of September 30, 2013. As of June 30, 2014 and September 30, 2013, we had $289.1 million and $284.5 million, respectively, available to us under our Credit Facility. We believe that our capital resources will provide us with the flexibility to take advantage of market opportunities when they arise. Our use of leverage, as calculated under the asset coverage requirements of the 1940 Act, may generally range between 60% to 80% of our net assets.</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As of June 30, 2014 and September 30, 2013, our SBIC Funds had $225.0 million and $150.0 million in debt commitments, respectively, and</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$150.0 million was drawn for each period, with a weighted average interest rate of 3.70%. As of June 30, 2014 and September 30, 2013, we had $75.0</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million and no remaining borrowing capacity, respectively, under our SBIC debt commitments. SBA debentures offer competitive terms such as being</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non-recourse to us, semi-annual interest payments, not requiring principal payments prior to maturity and may be prepaid at any time without penalty.</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SBA debentures are secured by all the investment portfolio assets of SBIC LP and have a priority claim over such assets. See “Regulation” in the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accompanying prospectus for more information.</w:t>
      </w:r>
    </w:p>
    <w:p>
      <w:pPr>
        <w:spacing w:after="0" w:line="211" w:lineRule="exact"/>
        <w:rPr>
          <w:sz w:val="20"/>
          <w:szCs w:val="20"/>
          <w:color w:val="auto"/>
        </w:rPr>
      </w:pPr>
    </w:p>
    <w:p>
      <w:pPr>
        <w:ind w:left="200" w:right="340" w:firstLine="443"/>
        <w:spacing w:after="0" w:line="276" w:lineRule="auto"/>
        <w:rPr>
          <w:sz w:val="20"/>
          <w:szCs w:val="20"/>
          <w:color w:val="auto"/>
        </w:rPr>
      </w:pPr>
      <w:r>
        <w:rPr>
          <w:rFonts w:ascii="Arial" w:cs="Arial" w:eastAsia="Arial" w:hAnsi="Arial"/>
          <w:sz w:val="17"/>
          <w:szCs w:val="17"/>
          <w:color w:val="auto"/>
        </w:rPr>
        <w:t>As of June 30, 2014 and September 30, 2013, we had $71.3 million in aggregate principal amount of 2025 Notes. Interest on the 2025 Notes is paid quarterly on February 1, May 1, August 1 and November 1, at a rate of 6.25% per year. The 2025 Notes mature on February 1, 2025. We may redeem the 2025 Notes in whole or in part at any time or from time to time on or after February 1, 2016. The 2025 Notes are general, unsecured obligations and rank equal in right of payment with all of our existing and future senior unsecured indebtedness. The 2025 Notes are structurally subordinated to our SBA debentures and the assets pledged or secured under our Credit Facility.</w:t>
      </w:r>
    </w:p>
    <w:p>
      <w:pPr>
        <w:spacing w:after="0" w:line="173" w:lineRule="exact"/>
        <w:rPr>
          <w:sz w:val="20"/>
          <w:szCs w:val="20"/>
          <w:color w:val="auto"/>
        </w:rPr>
      </w:pPr>
    </w:p>
    <w:p>
      <w:pPr>
        <w:ind w:left="200" w:right="700" w:firstLine="443"/>
        <w:spacing w:after="0" w:line="277" w:lineRule="auto"/>
        <w:rPr>
          <w:sz w:val="20"/>
          <w:szCs w:val="20"/>
          <w:color w:val="auto"/>
        </w:rPr>
      </w:pPr>
      <w:r>
        <w:rPr>
          <w:rFonts w:ascii="Arial" w:cs="Arial" w:eastAsia="Arial" w:hAnsi="Arial"/>
          <w:sz w:val="18"/>
          <w:szCs w:val="18"/>
          <w:color w:val="auto"/>
        </w:rPr>
        <w:t>See “Management’s Discussion and Analysis of Financial Condition and Results of Operations—Liquidity and Capital Resources” in this prospectus supplement and in the accompanying prospectus for more information.</w:t>
      </w:r>
    </w:p>
    <w:p>
      <w:pPr>
        <w:spacing w:after="0" w:line="2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260"/>
          </w:cols>
          <w:pgMar w:left="240" w:top="459" w:right="3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809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6465" cy="53809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Operating and Regulatory Structure</w:t>
      </w:r>
    </w:p>
    <w:p>
      <w:pPr>
        <w:spacing w:after="0" w:line="121" w:lineRule="exact"/>
        <w:rPr>
          <w:sz w:val="20"/>
          <w:szCs w:val="20"/>
          <w:color w:val="auto"/>
        </w:rPr>
      </w:pPr>
    </w:p>
    <w:p>
      <w:pPr>
        <w:ind w:left="200" w:right="20" w:firstLine="443"/>
        <w:spacing w:after="0" w:line="302" w:lineRule="auto"/>
        <w:rPr>
          <w:sz w:val="20"/>
          <w:szCs w:val="20"/>
          <w:color w:val="auto"/>
        </w:rPr>
      </w:pPr>
      <w:r>
        <w:rPr>
          <w:rFonts w:ascii="Arial" w:cs="Arial" w:eastAsia="Arial" w:hAnsi="Arial"/>
          <w:sz w:val="16"/>
          <w:szCs w:val="16"/>
          <w:color w:val="auto"/>
        </w:rPr>
        <w:t>Our investment activities are managed by PennantPark Investment Advisers and are supervised by our board of directors, a majority of whom are independent of us. Under our investment management agreement, or the Investment Management Agreement, we have agreed to pay our Investment Adviser an annual base management fee based on our average adjusted gross assets as well as an incentive fee based on our investment performance. See “Certain Relationships and Transactions—Investment Management Agreement” in the accompanying prospectus for more information.</w:t>
      </w:r>
    </w:p>
    <w:p>
      <w:pPr>
        <w:spacing w:after="0" w:line="154" w:lineRule="exact"/>
        <w:rPr>
          <w:sz w:val="20"/>
          <w:szCs w:val="20"/>
          <w:color w:val="auto"/>
        </w:rPr>
      </w:pPr>
    </w:p>
    <w:p>
      <w:pPr>
        <w:ind w:left="200" w:right="300" w:firstLine="443"/>
        <w:spacing w:after="0" w:line="257" w:lineRule="auto"/>
        <w:rPr>
          <w:sz w:val="20"/>
          <w:szCs w:val="20"/>
          <w:color w:val="auto"/>
        </w:rPr>
      </w:pPr>
      <w:r>
        <w:rPr>
          <w:rFonts w:ascii="Arial" w:cs="Arial" w:eastAsia="Arial" w:hAnsi="Arial"/>
          <w:sz w:val="18"/>
          <w:szCs w:val="18"/>
          <w:color w:val="auto"/>
        </w:rPr>
        <w:t>We have also entered into an administration agreement, or the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See “Certain Relationships and Transactions— Administration Agreement” in the accompanying prospectus for more information.</w:t>
      </w:r>
    </w:p>
    <w:p>
      <w:pPr>
        <w:spacing w:after="0" w:line="188" w:lineRule="exact"/>
        <w:rPr>
          <w:sz w:val="20"/>
          <w:szCs w:val="20"/>
          <w:color w:val="auto"/>
        </w:rPr>
      </w:pPr>
    </w:p>
    <w:p>
      <w:pPr>
        <w:ind w:left="200" w:right="20" w:firstLine="443"/>
        <w:spacing w:after="0" w:line="259" w:lineRule="auto"/>
        <w:rPr>
          <w:sz w:val="20"/>
          <w:szCs w:val="20"/>
          <w:color w:val="auto"/>
        </w:rPr>
      </w:pPr>
      <w:r>
        <w:rPr>
          <w:rFonts w:ascii="Arial" w:cs="Arial" w:eastAsia="Arial" w:hAnsi="Arial"/>
          <w:sz w:val="18"/>
          <w:szCs w:val="18"/>
          <w:color w:val="auto"/>
        </w:rPr>
        <w:t>As a BDC, we are required to comply with certain regulatory requirements. Also, while we are permitted to finance investments using debt, our ability to use debt is limited in certain significant respects. See “Regulation” in the accompanying prospectus for more information. We have elected, and intend to qualify annually, to be treated for federal income tax purposes under the Code as a RIC. See “Material U.S. Federal Income Tax Considerations” in the accompanying prospectus for more information.</w:t>
      </w:r>
    </w:p>
    <w:p>
      <w:pPr>
        <w:spacing w:after="0" w:line="187" w:lineRule="exact"/>
        <w:rPr>
          <w:sz w:val="20"/>
          <w:szCs w:val="20"/>
          <w:color w:val="auto"/>
        </w:rPr>
      </w:pPr>
    </w:p>
    <w:p>
      <w:pPr>
        <w:ind w:left="200" w:right="140" w:firstLine="443"/>
        <w:spacing w:after="0" w:line="286" w:lineRule="auto"/>
        <w:rPr>
          <w:sz w:val="20"/>
          <w:szCs w:val="20"/>
          <w:color w:val="auto"/>
        </w:rPr>
      </w:pPr>
      <w:r>
        <w:rPr>
          <w:rFonts w:ascii="Arial" w:cs="Arial" w:eastAsia="Arial" w:hAnsi="Arial"/>
          <w:sz w:val="17"/>
          <w:szCs w:val="17"/>
          <w:color w:val="auto"/>
        </w:rPr>
        <w:t>Our wholly-owned SBIC Funds received licenses from the SBA to operate as SBICs under Section 301(c) of the 1958 Act and is regulated by the SBA. The SBA regulates, among other matters, investing activities and periodically examines our SBIC Funds operations. We serve as the investment adviser and administrator to our SBIC Funds. See “Regulation” in the accompanying prospectus for more information.</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left="200" w:right="140" w:firstLine="443"/>
        <w:spacing w:after="0" w:line="279" w:lineRule="auto"/>
        <w:rPr>
          <w:sz w:val="20"/>
          <w:szCs w:val="20"/>
          <w:color w:val="auto"/>
        </w:rPr>
      </w:pPr>
      <w:r>
        <w:rPr>
          <w:rFonts w:ascii="Arial" w:cs="Arial" w:eastAsia="Arial" w:hAnsi="Arial"/>
          <w:sz w:val="17"/>
          <w:szCs w:val="17"/>
          <w:color w:val="auto"/>
        </w:rPr>
        <w:t>We may use the net proceeds from selling securities pursuant to this prospectus supplement to reduce outstanding obligations under our Credit Facility, to invest in new or existing portfolio companies, or for other general corporate or strategic purposes. See “Use of Proceeds” in this prospectus supplement for information regarding our outstanding borrowings as of June 30, 2014, the corresponding interest rate charged on such borrowings as of that date and the length of time that it may take us to invest any proceeds in new or existing portfolio companies.</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200" w:firstLine="443"/>
        <w:spacing w:after="0" w:line="264" w:lineRule="auto"/>
        <w:rPr>
          <w:sz w:val="20"/>
          <w:szCs w:val="20"/>
          <w:color w:val="auto"/>
        </w:rPr>
      </w:pPr>
      <w:r>
        <w:rPr>
          <w:rFonts w:ascii="Arial" w:cs="Arial" w:eastAsia="Arial" w:hAnsi="Arial"/>
          <w:sz w:val="18"/>
          <w:szCs w:val="18"/>
          <w:color w:val="auto"/>
        </w:rPr>
        <w:t>Since June 30, 2014 through August 31, 2014, we invested $217.6 million in three new and eight existing portfolio companies with a weighted average yield on debt investments of 13.2%. Sales and repayments of investments for the same period totaled $35.9 million. As of August 31, 2014, there was $452.2 million in outstanding borrowings under our Credit Facility.</w:t>
      </w:r>
    </w:p>
    <w:p>
      <w:pPr>
        <w:spacing w:after="0" w:line="181" w:lineRule="exact"/>
        <w:rPr>
          <w:sz w:val="20"/>
          <w:szCs w:val="20"/>
          <w:color w:val="auto"/>
        </w:rPr>
      </w:pPr>
    </w:p>
    <w:p>
      <w:pPr>
        <w:ind w:left="200" w:right="40" w:firstLine="443"/>
        <w:spacing w:after="0" w:line="312" w:lineRule="auto"/>
        <w:rPr>
          <w:sz w:val="20"/>
          <w:szCs w:val="20"/>
          <w:color w:val="auto"/>
        </w:rPr>
      </w:pPr>
      <w:r>
        <w:rPr>
          <w:rFonts w:ascii="Arial" w:cs="Arial" w:eastAsia="Arial" w:hAnsi="Arial"/>
          <w:sz w:val="16"/>
          <w:szCs w:val="16"/>
          <w:color w:val="auto"/>
        </w:rPr>
        <w:t>On September 3, 2014, we announced that we have asked J.P. Morgan, Morgan Stanley, Goldman, Sachs &amp; Co. and SunTrust Robinson Humphrey to organize a series of fixed income investor meetings from September 8, 2014 through September 10, 2014. A debt capital markets transaction may follow, subject to market conditions. We cannot assure you of the timing of such a debt capital markets transaction, or that such a transaction will occur.</w:t>
      </w:r>
    </w:p>
    <w:p>
      <w:pPr>
        <w:spacing w:after="0" w:line="25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260"/>
          </w:cols>
          <w:pgMar w:left="240" w:top="459" w:right="3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4208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6465" cy="442087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Sales of Common Stock Below NAV</w:t>
      </w:r>
    </w:p>
    <w:p>
      <w:pPr>
        <w:spacing w:after="0" w:line="121" w:lineRule="exact"/>
        <w:rPr>
          <w:sz w:val="20"/>
          <w:szCs w:val="20"/>
          <w:color w:val="auto"/>
        </w:rPr>
      </w:pPr>
    </w:p>
    <w:p>
      <w:pPr>
        <w:ind w:left="200" w:firstLine="443"/>
        <w:spacing w:after="0" w:line="276" w:lineRule="auto"/>
        <w:rPr>
          <w:sz w:val="20"/>
          <w:szCs w:val="20"/>
          <w:color w:val="auto"/>
        </w:rPr>
      </w:pPr>
      <w:r>
        <w:rPr>
          <w:rFonts w:ascii="Arial" w:cs="Arial" w:eastAsia="Arial" w:hAnsi="Arial"/>
          <w:sz w:val="17"/>
          <w:szCs w:val="17"/>
          <w:color w:val="auto"/>
        </w:rPr>
        <w:t>We may offer and have in the past offered shares of our common stock at a discount from our most recently determined NAV per share pursuant to authority granted by our stockholders on February 4, 2014. Our board of directors has in the past determined that it would be in our and our stockholders’ best interests to issue shares of our common stock below NAV. See “Risk Factors” on page 8 of the accompanying prospectus, “Management’s Discussion and Analysis—Update to Determination of NAV—Determinations In Connection With Offerings” in this prospectus supplement and “Sales of Common Stock Below Net Asset Value” on page 57 of the accompanying prospectus.</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Distributions on Common Stock</w:t>
      </w:r>
    </w:p>
    <w:p>
      <w:pPr>
        <w:spacing w:after="0" w:line="121" w:lineRule="exact"/>
        <w:rPr>
          <w:sz w:val="20"/>
          <w:szCs w:val="20"/>
          <w:color w:val="auto"/>
        </w:rPr>
      </w:pPr>
    </w:p>
    <w:p>
      <w:pPr>
        <w:ind w:left="200" w:right="80" w:firstLine="443"/>
        <w:spacing w:after="0" w:line="277" w:lineRule="auto"/>
        <w:rPr>
          <w:sz w:val="20"/>
          <w:szCs w:val="20"/>
          <w:color w:val="auto"/>
        </w:rPr>
      </w:pPr>
      <w:r>
        <w:rPr>
          <w:rFonts w:ascii="Arial" w:cs="Arial" w:eastAsia="Arial" w:hAnsi="Arial"/>
          <w:sz w:val="18"/>
          <w:szCs w:val="18"/>
          <w:color w:val="auto"/>
        </w:rPr>
        <w:t>We intend to continue making quarterly distributions to our common stockholders. Our quarterly distributions, if any, are determined by our board of directors. See “Distributions” in the accompanying prospectus for more information.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 Reinvestment Plan</w:t>
      </w:r>
    </w:p>
    <w:p>
      <w:pPr>
        <w:spacing w:after="0" w:line="121" w:lineRule="exact"/>
        <w:rPr>
          <w:sz w:val="20"/>
          <w:szCs w:val="20"/>
          <w:color w:val="auto"/>
        </w:rPr>
      </w:pPr>
    </w:p>
    <w:p>
      <w:pPr>
        <w:ind w:left="200" w:right="40" w:firstLine="443"/>
        <w:spacing w:after="0" w:line="276" w:lineRule="auto"/>
        <w:rPr>
          <w:sz w:val="20"/>
          <w:szCs w:val="20"/>
          <w:color w:val="auto"/>
        </w:rPr>
      </w:pPr>
      <w:r>
        <w:rPr>
          <w:rFonts w:ascii="Arial" w:cs="Arial" w:eastAsia="Arial" w:hAnsi="Arial"/>
          <w:sz w:val="17"/>
          <w:szCs w:val="17"/>
          <w:color w:val="auto"/>
        </w:rPr>
        <w:t>We have adopted an “opt-out” dividend reinvestment plan that provides for reinvestment of our distributions on behalf of our stockholders unless a stockholder elects to receive cash. As a result, if our board of directors authorizes, and we declare, a cash distribution, then our stockholders who have not ‘opted out’ of our dividend reinvestment plan will have their cash distribution automatically reinvested in additional shares of our common stock rather than receiving the cash distribution. Registered stockholders must notify our transfer agent in writing if they wish to ‘opt-out’ of the dividend reinvestment plan. See “Dividend Reinvestment Plan” in the accompanying prospectus for more information.</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Corporate Information</w:t>
      </w:r>
    </w:p>
    <w:p>
      <w:pPr>
        <w:spacing w:after="0" w:line="121" w:lineRule="exact"/>
        <w:rPr>
          <w:sz w:val="20"/>
          <w:szCs w:val="20"/>
          <w:color w:val="auto"/>
        </w:rPr>
      </w:pPr>
    </w:p>
    <w:p>
      <w:pPr>
        <w:ind w:left="200" w:right="80" w:firstLine="443"/>
        <w:spacing w:after="0" w:line="290" w:lineRule="auto"/>
        <w:rPr>
          <w:sz w:val="20"/>
          <w:szCs w:val="20"/>
          <w:color w:val="auto"/>
        </w:rPr>
      </w:pPr>
      <w:r>
        <w:rPr>
          <w:rFonts w:ascii="Arial" w:cs="Arial" w:eastAsia="Arial" w:hAnsi="Arial"/>
          <w:sz w:val="16"/>
          <w:szCs w:val="16"/>
          <w:color w:val="auto"/>
        </w:rPr>
        <w:t xml:space="preserve">Our administrative and principal executive offices are located at 590 Madison Avenue, 15th Floor, New York, NY 10022. Our common stock is quoted on the NASDAQ Global Select Market under the symbol “PNNT.” Our phone number is (212) 905-1000, and our Internet website address is </w:t>
      </w:r>
      <w:r>
        <w:rPr>
          <w:rFonts w:ascii="Arial" w:cs="Arial" w:eastAsia="Arial" w:hAnsi="Arial"/>
          <w:sz w:val="16"/>
          <w:szCs w:val="16"/>
          <w:i w:val="1"/>
          <w:iCs w:val="1"/>
          <w:u w:val="single" w:color="auto"/>
          <w:color w:val="auto"/>
        </w:rPr>
        <w:t>www.pennantpark.com</w:t>
      </w:r>
      <w:r>
        <w:rPr>
          <w:rFonts w:ascii="Arial" w:cs="Arial" w:eastAsia="Arial" w:hAnsi="Arial"/>
          <w:sz w:val="16"/>
          <w:szCs w:val="16"/>
          <w:color w:val="auto"/>
        </w:rPr>
        <w:t>. Information contained on our website is not incorporated by reference into this prospectus supplement or the accompanying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prospectus, and you should not consider information contained on our website to be part of this prospectus supplement or accompanying prospectus. We file periodic reports, proxy statements and other information with the SEC and make such reports available on our website free of charge as soon as reasonably practicable. You may read and copy the materials that we file with the SEC at the SEC’s Public Reference Room at 100 F Street, N.E., Washington, D.C. 20549. You may obtain information on the operation of the Public Reference Room by calling the SEC at 1-800-SEC-0330. In addition, the SEC maintains an internet site at </w:t>
      </w:r>
      <w:r>
        <w:rPr>
          <w:rFonts w:ascii="Arial" w:cs="Arial" w:eastAsia="Arial" w:hAnsi="Arial"/>
          <w:sz w:val="16"/>
          <w:szCs w:val="16"/>
          <w:i w:val="1"/>
          <w:iCs w:val="1"/>
          <w:u w:val="single" w:color="auto"/>
          <w:color w:val="auto"/>
        </w:rPr>
        <w:t>www.sec.gov</w:t>
      </w:r>
      <w:r>
        <w:rPr>
          <w:rFonts w:ascii="Arial" w:cs="Arial" w:eastAsia="Arial" w:hAnsi="Arial"/>
          <w:sz w:val="16"/>
          <w:szCs w:val="16"/>
          <w:color w:val="auto"/>
        </w:rPr>
        <w:t xml:space="preserve"> that contains material that we file with the SEC on the EDGAR Database.</w:t>
      </w:r>
    </w:p>
    <w:p>
      <w:pPr>
        <w:spacing w:after="0" w:line="27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260"/>
          </w:cols>
          <w:pgMar w:left="240" w:top="459" w:right="3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FEES AND EXPENSES</w:t>
      </w:r>
    </w:p>
    <w:p>
      <w:pPr>
        <w:spacing w:after="0" w:line="229"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The following table will assist you in understanding the various costs and expenses that an investor in shares of our common stock will bear directly or indirectly. However, we caution you that some of the percentages indicated in the table below are estimates and may vary from actual results. The following table should not be considered a representation of our future expenses. Actual expenses may be greater or less than shown. Except where the context suggests otherwise, whenever this prospectus contains a reference to fees or expenses paid by “you” or “us” or that “we” will pay, stockholders will indirectly bear such fees or expenses as investors in us.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 transaction expenses (as a percentage of offering price)</w:t>
            </w: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40" w:type="dxa"/>
            <w:vAlign w:val="bottom"/>
          </w:tcPr>
          <w:p>
            <w:pPr>
              <w:spacing w:after="0"/>
              <w:rPr>
                <w:sz w:val="20"/>
                <w:szCs w:val="20"/>
                <w:color w:val="auto"/>
              </w:rPr>
            </w:pPr>
            <w:r>
              <w:rPr>
                <w:rFonts w:ascii="Arial" w:cs="Arial" w:eastAsia="Arial" w:hAnsi="Arial"/>
                <w:sz w:val="18"/>
                <w:szCs w:val="18"/>
                <w:color w:val="auto"/>
              </w:rPr>
              <w:t>Sales load</w:t>
            </w:r>
          </w:p>
        </w:tc>
        <w:tc>
          <w:tcPr>
            <w:tcW w:w="760" w:type="dxa"/>
            <w:vAlign w:val="bottom"/>
            <w:gridSpan w:val="2"/>
          </w:tcPr>
          <w:p>
            <w:pPr>
              <w:ind w:left="60"/>
              <w:spacing w:after="0"/>
              <w:rPr>
                <w:sz w:val="20"/>
                <w:szCs w:val="20"/>
                <w:color w:val="auto"/>
              </w:rPr>
            </w:pPr>
            <w:r>
              <w:rPr>
                <w:rFonts w:ascii="Arial" w:cs="Arial" w:eastAsia="Arial" w:hAnsi="Arial"/>
                <w:sz w:val="18"/>
                <w:szCs w:val="18"/>
                <w:color w:val="auto"/>
                <w:w w:val="97"/>
              </w:rPr>
              <w:t>3.00%</w:t>
            </w:r>
            <w:r>
              <w:rPr>
                <w:rFonts w:ascii="Arial" w:cs="Arial" w:eastAsia="Arial" w:hAnsi="Arial"/>
                <w:sz w:val="15"/>
                <w:szCs w:val="15"/>
                <w:color w:val="auto"/>
                <w:w w:val="97"/>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Offering expenses</w:t>
            </w:r>
          </w:p>
        </w:tc>
        <w:tc>
          <w:tcPr>
            <w:tcW w:w="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7"/>
              </w:rPr>
              <w:t>0.51%</w:t>
            </w:r>
            <w:r>
              <w:rPr>
                <w:rFonts w:ascii="Arial" w:cs="Arial" w:eastAsia="Arial" w:hAnsi="Arial"/>
                <w:sz w:val="15"/>
                <w:szCs w:val="15"/>
                <w:color w:val="auto"/>
                <w:w w:val="97"/>
              </w:rPr>
              <w:t>(2)</w:t>
            </w:r>
          </w:p>
        </w:tc>
        <w:tc>
          <w:tcPr>
            <w:tcW w:w="0" w:type="dxa"/>
            <w:vAlign w:val="bottom"/>
          </w:tcPr>
          <w:p>
            <w:pPr>
              <w:spacing w:after="0"/>
              <w:rPr>
                <w:sz w:val="1"/>
                <w:szCs w:val="1"/>
                <w:color w:val="auto"/>
              </w:rPr>
            </w:pPr>
          </w:p>
        </w:tc>
      </w:tr>
      <w:tr>
        <w:trPr>
          <w:trHeight w:val="20"/>
        </w:trPr>
        <w:tc>
          <w:tcPr>
            <w:tcW w:w="10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stockholder expenses</w:t>
            </w:r>
          </w:p>
        </w:tc>
        <w:tc>
          <w:tcPr>
            <w:tcW w:w="3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0660" w:type="dxa"/>
            <w:vAlign w:val="bottom"/>
            <w:gridSpan w:val="2"/>
            <w:vMerge w:val="continue"/>
          </w:tcPr>
          <w:p>
            <w:pPr>
              <w:spacing w:after="0"/>
              <w:rPr>
                <w:sz w:val="19"/>
                <w:szCs w:val="19"/>
                <w:color w:val="auto"/>
              </w:rPr>
            </w:pPr>
          </w:p>
        </w:tc>
        <w:tc>
          <w:tcPr>
            <w:tcW w:w="760" w:type="dxa"/>
            <w:vAlign w:val="bottom"/>
            <w:gridSpan w:val="2"/>
          </w:tcPr>
          <w:p>
            <w:pPr>
              <w:ind w:left="6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06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Estimated annual expenses (as a percentage of average net assets attributable to common shares)</w:t>
            </w:r>
            <w:r>
              <w:rPr>
                <w:rFonts w:ascii="Arial" w:cs="Arial" w:eastAsia="Arial" w:hAnsi="Arial"/>
                <w:sz w:val="15"/>
                <w:szCs w:val="15"/>
                <w:color w:val="auto"/>
              </w:rPr>
              <w:t>(3)</w:t>
            </w: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40" w:type="dxa"/>
            <w:vAlign w:val="bottom"/>
          </w:tcPr>
          <w:p>
            <w:pPr>
              <w:spacing w:after="0"/>
              <w:rPr>
                <w:sz w:val="20"/>
                <w:szCs w:val="20"/>
                <w:color w:val="auto"/>
              </w:rPr>
            </w:pPr>
            <w:r>
              <w:rPr>
                <w:rFonts w:ascii="Arial" w:cs="Arial" w:eastAsia="Arial" w:hAnsi="Arial"/>
                <w:sz w:val="18"/>
                <w:szCs w:val="18"/>
                <w:color w:val="auto"/>
              </w:rPr>
              <w:t>Management fees</w:t>
            </w:r>
          </w:p>
        </w:tc>
        <w:tc>
          <w:tcPr>
            <w:tcW w:w="760" w:type="dxa"/>
            <w:vAlign w:val="bottom"/>
            <w:gridSpan w:val="2"/>
          </w:tcPr>
          <w:p>
            <w:pPr>
              <w:ind w:left="60"/>
              <w:spacing w:after="0"/>
              <w:rPr>
                <w:sz w:val="20"/>
                <w:szCs w:val="20"/>
                <w:color w:val="auto"/>
              </w:rPr>
            </w:pPr>
            <w:r>
              <w:rPr>
                <w:rFonts w:ascii="Arial" w:cs="Arial" w:eastAsia="Arial" w:hAnsi="Arial"/>
                <w:sz w:val="18"/>
                <w:szCs w:val="18"/>
                <w:color w:val="auto"/>
                <w:w w:val="97"/>
              </w:rPr>
              <w:t>3.08%</w:t>
            </w:r>
            <w:r>
              <w:rPr>
                <w:rFonts w:ascii="Arial" w:cs="Arial" w:eastAsia="Arial" w:hAnsi="Arial"/>
                <w:sz w:val="15"/>
                <w:szCs w:val="15"/>
                <w:color w:val="auto"/>
                <w:w w:val="97"/>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Incentive fees</w:t>
            </w:r>
          </w:p>
        </w:tc>
        <w:tc>
          <w:tcPr>
            <w:tcW w:w="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7"/>
              </w:rPr>
              <w:t>2.70%</w:t>
            </w:r>
            <w:r>
              <w:rPr>
                <w:rFonts w:ascii="Arial" w:cs="Arial" w:eastAsia="Arial" w:hAnsi="Arial"/>
                <w:sz w:val="15"/>
                <w:szCs w:val="15"/>
                <w:color w:val="auto"/>
                <w:w w:val="97"/>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40" w:type="dxa"/>
            <w:vAlign w:val="bottom"/>
          </w:tcPr>
          <w:p>
            <w:pPr>
              <w:spacing w:after="0"/>
              <w:rPr>
                <w:sz w:val="20"/>
                <w:szCs w:val="20"/>
                <w:color w:val="auto"/>
              </w:rPr>
            </w:pPr>
            <w:r>
              <w:rPr>
                <w:rFonts w:ascii="Arial" w:cs="Arial" w:eastAsia="Arial" w:hAnsi="Arial"/>
                <w:sz w:val="18"/>
                <w:szCs w:val="18"/>
                <w:color w:val="auto"/>
              </w:rPr>
              <w:t>Interest on borrowed funds</w:t>
            </w:r>
          </w:p>
        </w:tc>
        <w:tc>
          <w:tcPr>
            <w:tcW w:w="760" w:type="dxa"/>
            <w:vAlign w:val="bottom"/>
            <w:gridSpan w:val="2"/>
          </w:tcPr>
          <w:p>
            <w:pPr>
              <w:ind w:left="60"/>
              <w:spacing w:after="0"/>
              <w:rPr>
                <w:sz w:val="20"/>
                <w:szCs w:val="20"/>
                <w:color w:val="auto"/>
              </w:rPr>
            </w:pPr>
            <w:r>
              <w:rPr>
                <w:rFonts w:ascii="Arial" w:cs="Arial" w:eastAsia="Arial" w:hAnsi="Arial"/>
                <w:sz w:val="18"/>
                <w:szCs w:val="18"/>
                <w:color w:val="auto"/>
                <w:w w:val="97"/>
              </w:rPr>
              <w:t>3.02%</w:t>
            </w:r>
            <w:r>
              <w:rPr>
                <w:rFonts w:ascii="Arial" w:cs="Arial" w:eastAsia="Arial" w:hAnsi="Arial"/>
                <w:sz w:val="15"/>
                <w:szCs w:val="15"/>
                <w:color w:val="auto"/>
                <w:w w:val="97"/>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7"/>
              </w:rPr>
              <w:t>0.95%</w:t>
            </w:r>
            <w:r>
              <w:rPr>
                <w:rFonts w:ascii="Arial" w:cs="Arial" w:eastAsia="Arial" w:hAnsi="Arial"/>
                <w:sz w:val="15"/>
                <w:szCs w:val="15"/>
                <w:color w:val="auto"/>
                <w:w w:val="97"/>
              </w:rPr>
              <w:t>(7)</w:t>
            </w:r>
          </w:p>
        </w:tc>
        <w:tc>
          <w:tcPr>
            <w:tcW w:w="0" w:type="dxa"/>
            <w:vAlign w:val="bottom"/>
          </w:tcPr>
          <w:p>
            <w:pPr>
              <w:spacing w:after="0"/>
              <w:rPr>
                <w:sz w:val="1"/>
                <w:szCs w:val="1"/>
                <w:color w:val="auto"/>
              </w:rPr>
            </w:pPr>
          </w:p>
        </w:tc>
      </w:tr>
      <w:tr>
        <w:trPr>
          <w:trHeight w:val="20"/>
        </w:trPr>
        <w:tc>
          <w:tcPr>
            <w:tcW w:w="10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estimated annual expenses</w:t>
            </w:r>
          </w:p>
        </w:tc>
        <w:tc>
          <w:tcPr>
            <w:tcW w:w="3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0660" w:type="dxa"/>
            <w:vAlign w:val="bottom"/>
            <w:gridSpan w:val="2"/>
            <w:vMerge w:val="continue"/>
          </w:tcPr>
          <w:p>
            <w:pPr>
              <w:spacing w:after="0"/>
              <w:rPr>
                <w:sz w:val="19"/>
                <w:szCs w:val="19"/>
                <w:color w:val="auto"/>
              </w:rPr>
            </w:pPr>
          </w:p>
        </w:tc>
        <w:tc>
          <w:tcPr>
            <w:tcW w:w="760" w:type="dxa"/>
            <w:vAlign w:val="bottom"/>
            <w:gridSpan w:val="2"/>
          </w:tcPr>
          <w:p>
            <w:pPr>
              <w:ind w:left="60"/>
              <w:spacing w:after="0"/>
              <w:rPr>
                <w:sz w:val="20"/>
                <w:szCs w:val="20"/>
                <w:color w:val="auto"/>
              </w:rPr>
            </w:pPr>
            <w:r>
              <w:rPr>
                <w:rFonts w:ascii="Arial" w:cs="Arial" w:eastAsia="Arial" w:hAnsi="Arial"/>
                <w:sz w:val="18"/>
                <w:szCs w:val="18"/>
                <w:color w:val="auto"/>
                <w:w w:val="97"/>
              </w:rPr>
              <w:t>9.75%</w:t>
            </w:r>
            <w:r>
              <w:rPr>
                <w:rFonts w:ascii="Arial" w:cs="Arial" w:eastAsia="Arial" w:hAnsi="Arial"/>
                <w:sz w:val="15"/>
                <w:szCs w:val="15"/>
                <w:color w:val="auto"/>
                <w:w w:val="97"/>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89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4" w:lineRule="exact"/>
        <w:rPr>
          <w:sz w:val="20"/>
          <w:szCs w:val="20"/>
          <w:color w:val="auto"/>
        </w:rPr>
      </w:pPr>
    </w:p>
    <w:p>
      <w:pPr>
        <w:ind w:left="460" w:right="480" w:hanging="452"/>
        <w:spacing w:after="0" w:line="258"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underwriting discounts and commissions with respect to the shares sold in this offering, which is a one-time fee, is the only sales load paid in connection with this offering.</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Amount reflects the estimated offering costs of $500,000 and is based on the offering of 8,500,000 shares at the offering price of $11.63 per share.</w:t>
      </w:r>
    </w:p>
    <w:p>
      <w:pPr>
        <w:spacing w:after="0" w:line="32" w:lineRule="exact"/>
        <w:rPr>
          <w:rFonts w:ascii="Arial" w:cs="Arial" w:eastAsia="Arial" w:hAnsi="Arial"/>
          <w:sz w:val="16"/>
          <w:szCs w:val="16"/>
          <w:color w:val="auto"/>
        </w:rPr>
      </w:pPr>
    </w:p>
    <w:p>
      <w:pPr>
        <w:ind w:left="460" w:right="52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assets attributable to common shares equals average net assets as of June 30, 2014, plus net proceeds from the anticipated proceeds from this offering.</w:t>
      </w:r>
    </w:p>
    <w:p>
      <w:pPr>
        <w:ind w:left="460" w:right="42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contractual management fee is calculated at an annual rate of 2.00% of our average adjusted gross total assets. See “Certain Relationships and Transactions—Investment Management Agreement” in the accompanying prospectus for more information.</w:t>
      </w:r>
    </w:p>
    <w:p>
      <w:pPr>
        <w:ind w:left="460" w:right="20" w:hanging="452"/>
        <w:spacing w:after="0" w:line="265" w:lineRule="auto"/>
        <w:tabs>
          <w:tab w:leader="none" w:pos="4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portion of incentive fees paid with respect to net investment income is based on actual amounts incurred and payable during the three months ended June 30, 2014, annualized for a full year. Such incentive fees are based on performance, vary from year to year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the three months ended June 30, 2014, our unrealized capital gains exceeded our cumulative realized and unrealized capital losses and we accrued a capital gains incentive fee of $1.7 million in accordance with U.S. generally accepted accounting principles, or GAAP, which are not payable to the Investment Adviser. As we cannot predict our future net investment income or capital gains, the incentive fee paid in future years, if any, may be substantially different than the fee earned during the three months ended June 30, 2014. See “Certain Relationships and Transactions—Investment Management Agreement” in the accompanying prospectus for more information.</w:t>
      </w:r>
    </w:p>
    <w:p>
      <w:pPr>
        <w:spacing w:after="0" w:line="2" w:lineRule="exact"/>
        <w:rPr>
          <w:rFonts w:ascii="Arial" w:cs="Arial" w:eastAsia="Arial" w:hAnsi="Arial"/>
          <w:sz w:val="17"/>
          <w:szCs w:val="17"/>
          <w:color w:val="auto"/>
        </w:rPr>
      </w:pPr>
    </w:p>
    <w:p>
      <w:pPr>
        <w:ind w:left="460" w:right="140" w:hanging="452"/>
        <w:spacing w:after="0" w:line="253"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of June 30, 2014, we had $289.1 million unused borrowing capacity, subject to maintenance of the applicable total assets to debt ratio, under the 1940 Act, and $255.9 million in borrowings outstanding under our $545.0 million Credit Facility and had $71.3 million in aggregate principal of 2025 Notes at an annual interest rate of 6.25%. As of June 30, 2014, our SBIC Funds had a debenture commitments from the SBA in the amount of $225.0 million, had $150.0 million outstanding with a weighted average interest rate of 3.70%, exclusive of the 3.43% of upfront fees, and had $75.0 million remaining unused borrowing capacity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00"/>
        <w:spacing w:after="0" w:line="253" w:lineRule="auto"/>
        <w:rPr>
          <w:sz w:val="20"/>
          <w:szCs w:val="20"/>
          <w:color w:val="auto"/>
        </w:rPr>
      </w:pPr>
      <w:r>
        <w:rPr>
          <w:rFonts w:ascii="Arial" w:cs="Arial" w:eastAsia="Arial" w:hAnsi="Arial"/>
          <w:sz w:val="18"/>
          <w:szCs w:val="18"/>
          <w:color w:val="auto"/>
        </w:rPr>
        <w:t>subject to customary regulatory requirements. We may use the net proceeds of an offering of securities under this prospectus supplement to repay outstanding obligations under our Credit Facility. After completing this offering, we may continue to borrow under our Credit Facility to finance our investment objectives. We have estimated the annual interest expense on borrowed funds and caution you that our actual interest expense will depend on prevailing interest rates and our rate of borrowing, which may be substantially higher than the estimate provided in this table. See “Risk Factors— Risks Relating To Our Business and Structure—We currently use borrowed funds to make investments and are exposed to the typical risks associated with leverage” in the accompanying prospectus.</w:t>
      </w:r>
    </w:p>
    <w:p>
      <w:pPr>
        <w:spacing w:after="0" w:line="2" w:lineRule="exact"/>
        <w:rPr>
          <w:sz w:val="20"/>
          <w:szCs w:val="20"/>
          <w:color w:val="auto"/>
        </w:rPr>
      </w:pPr>
    </w:p>
    <w:p>
      <w:pPr>
        <w:ind w:left="460" w:right="8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expenses” includes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actual other expenses for the three months ended June 30, 2014 annualized for a full year. See the Consolidated Statement of Operations in our Consolidated Financial Statements in this prospectus supplement and in the accompanying prospectus for more information.</w:t>
      </w:r>
    </w:p>
    <w:p>
      <w:pPr>
        <w:spacing w:after="0" w:line="2" w:lineRule="exact"/>
        <w:rPr>
          <w:rFonts w:ascii="Arial" w:cs="Arial" w:eastAsia="Arial" w:hAnsi="Arial"/>
          <w:sz w:val="18"/>
          <w:szCs w:val="18"/>
          <w:color w:val="auto"/>
        </w:rPr>
      </w:pPr>
    </w:p>
    <w:p>
      <w:pPr>
        <w:ind w:left="460" w:right="20" w:hanging="452"/>
        <w:spacing w:after="0" w:line="295"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“Total annual expenses” as a percentage of average net assets attributable to common shares, to the extent we borrow money to make investments, are higher than the total annual expenses percentage would be for a company that is not leveraged. We may borrow money to leverage our net assets and increase our total assets. The SEC requires that the “total annual expenses” percentage be calculated as a percentage of net assets (defined as total assets less indebtedness) rather than total assets, which include assets that have been funded with borrowed money.</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w:t>
      </w:r>
    </w:p>
    <w:p>
      <w:pPr>
        <w:spacing w:after="0" w:line="12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following example illustrates the projected dollar amount of total cumulative expenses that you would pay on a $1,000 hypothetical investment in common shares, assuming (1) a 3.00% sales load (underwriting discounts and commissions) (see note 1 above) and including offering expenses totaling 0.51%, (2) total net estimated annual expenses of 7.05% of average net assets attributable to common shares as set forth in the table above (other than performance-based incentive fees) and (3) a 5% annual return:</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48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You would pay the following expenses on a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1,000 common stock investment</w:t>
            </w:r>
          </w:p>
        </w:tc>
        <w:tc>
          <w:tcPr>
            <w:tcW w:w="720" w:type="dxa"/>
            <w:vAlign w:val="bottom"/>
            <w:gridSpan w:val="3"/>
          </w:tcPr>
          <w:p>
            <w:pPr>
              <w:ind w:left="20"/>
              <w:spacing w:after="0"/>
              <w:rPr>
                <w:sz w:val="20"/>
                <w:szCs w:val="20"/>
                <w:color w:val="auto"/>
              </w:rPr>
            </w:pPr>
            <w:r>
              <w:rPr>
                <w:rFonts w:ascii="Arial" w:cs="Arial" w:eastAsia="Arial" w:hAnsi="Arial"/>
                <w:sz w:val="14"/>
                <w:szCs w:val="14"/>
                <w:b w:val="1"/>
                <w:bCs w:val="1"/>
                <w:color w:val="auto"/>
              </w:rPr>
              <w:t>1 Year</w:t>
            </w: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3 Years</w:t>
            </w: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rPr>
              <w:t>5 Years</w:t>
            </w:r>
          </w:p>
        </w:tc>
        <w:tc>
          <w:tcPr>
            <w:tcW w:w="560" w:type="dxa"/>
            <w:vAlign w:val="bottom"/>
            <w:gridSpan w:val="3"/>
          </w:tcPr>
          <w:p>
            <w:pPr>
              <w:spacing w:after="0"/>
              <w:rPr>
                <w:sz w:val="20"/>
                <w:szCs w:val="20"/>
                <w:color w:val="auto"/>
              </w:rPr>
            </w:pPr>
            <w:r>
              <w:rPr>
                <w:rFonts w:ascii="Arial" w:cs="Arial" w:eastAsia="Arial" w:hAnsi="Arial"/>
                <w:sz w:val="14"/>
                <w:szCs w:val="14"/>
                <w:b w:val="1"/>
                <w:bCs w:val="1"/>
                <w:color w:val="auto"/>
                <w:w w:val="93"/>
              </w:rPr>
              <w:t>10 Years</w:t>
            </w:r>
          </w:p>
        </w:tc>
      </w:tr>
      <w:tr>
        <w:trPr>
          <w:trHeight w:val="129"/>
        </w:trPr>
        <w:tc>
          <w:tcPr>
            <w:tcW w:w="47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4"/>
                <w:szCs w:val="14"/>
                <w:color w:val="auto"/>
              </w:rPr>
              <w:t>Assuming a 5% annual return</w:t>
            </w:r>
          </w:p>
        </w:tc>
        <w:tc>
          <w:tcPr>
            <w:tcW w:w="37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r>
      <w:tr>
        <w:trPr>
          <w:trHeight w:val="149"/>
        </w:trPr>
        <w:tc>
          <w:tcPr>
            <w:tcW w:w="84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(assumes no return from net realized capital gains or net unrealized capital appreciation)</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102</w:t>
            </w: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233</w:t>
            </w: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358</w:t>
            </w:r>
          </w:p>
        </w:tc>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650</w:t>
            </w:r>
          </w:p>
        </w:tc>
        <w:tc>
          <w:tcPr>
            <w:tcW w:w="40" w:type="dxa"/>
            <w:vAlign w:val="bottom"/>
          </w:tcPr>
          <w:p>
            <w:pPr>
              <w:spacing w:after="0"/>
              <w:rPr>
                <w:sz w:val="12"/>
                <w:szCs w:val="12"/>
                <w:color w:val="auto"/>
              </w:rPr>
            </w:pPr>
          </w:p>
        </w:tc>
      </w:tr>
      <w:tr>
        <w:trPr>
          <w:trHeight w:val="149"/>
        </w:trPr>
        <w:tc>
          <w:tcPr>
            <w:tcW w:w="8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Assuming a 5% annual return</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82"/>
        </w:trPr>
        <w:tc>
          <w:tcPr>
            <w:tcW w:w="8480" w:type="dxa"/>
            <w:vAlign w:val="bottom"/>
            <w:gridSpan w:val="2"/>
          </w:tcPr>
          <w:p>
            <w:pPr>
              <w:ind w:left="160"/>
              <w:spacing w:after="0"/>
              <w:rPr>
                <w:sz w:val="20"/>
                <w:szCs w:val="20"/>
                <w:color w:val="auto"/>
              </w:rPr>
            </w:pPr>
            <w:r>
              <w:rPr>
                <w:rFonts w:ascii="Arial" w:cs="Arial" w:eastAsia="Arial" w:hAnsi="Arial"/>
                <w:sz w:val="14"/>
                <w:szCs w:val="14"/>
                <w:color w:val="auto"/>
              </w:rPr>
              <w:t>(assumes return from only realized capital gains and thus subject to the capital gains incentive fee)</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320"/>
              <w:spacing w:after="0"/>
              <w:rPr>
                <w:sz w:val="20"/>
                <w:szCs w:val="20"/>
                <w:color w:val="auto"/>
              </w:rPr>
            </w:pPr>
            <w:r>
              <w:rPr>
                <w:rFonts w:ascii="Arial" w:cs="Arial" w:eastAsia="Arial" w:hAnsi="Arial"/>
                <w:sz w:val="14"/>
                <w:szCs w:val="14"/>
                <w:color w:val="auto"/>
              </w:rPr>
              <w:t>112</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360"/>
              <w:spacing w:after="0"/>
              <w:rPr>
                <w:sz w:val="20"/>
                <w:szCs w:val="20"/>
                <w:color w:val="auto"/>
              </w:rPr>
            </w:pPr>
            <w:r>
              <w:rPr>
                <w:rFonts w:ascii="Arial" w:cs="Arial" w:eastAsia="Arial" w:hAnsi="Arial"/>
                <w:sz w:val="14"/>
                <w:szCs w:val="14"/>
                <w:color w:val="auto"/>
              </w:rPr>
              <w:t>258</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380"/>
              <w:spacing w:after="0"/>
              <w:rPr>
                <w:sz w:val="20"/>
                <w:szCs w:val="20"/>
                <w:color w:val="auto"/>
              </w:rPr>
            </w:pPr>
            <w:r>
              <w:rPr>
                <w:rFonts w:ascii="Arial" w:cs="Arial" w:eastAsia="Arial" w:hAnsi="Arial"/>
                <w:sz w:val="14"/>
                <w:szCs w:val="14"/>
                <w:color w:val="auto"/>
              </w:rPr>
              <w:t>395</w:t>
            </w: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703</w:t>
            </w:r>
          </w:p>
        </w:tc>
        <w:tc>
          <w:tcPr>
            <w:tcW w:w="40" w:type="dxa"/>
            <w:vAlign w:val="bottom"/>
          </w:tcPr>
          <w:p>
            <w:pPr>
              <w:spacing w:after="0"/>
              <w:rPr>
                <w:sz w:val="15"/>
                <w:szCs w:val="15"/>
                <w:color w:val="auto"/>
              </w:rPr>
            </w:pPr>
          </w:p>
        </w:tc>
      </w:tr>
    </w:tbl>
    <w:p>
      <w:pPr>
        <w:spacing w:after="0" w:line="168"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This example and the expenses in the table above should not be considered a representation of our future expenses. Actual expenses may be greater or less than those assumed. The table above is to assist you in understanding the various costs and expenses that an investor in our common stock will bear directly or indirectly. While the example assumes, as required by the SEC, a 5% annual return, our performance will vary and may result in a return greater or less than 5%. Assuming a 5% annual return, the incentive fee under our Investment Management Agreement would not be earned or payable and is not included in the example. If we achieve sufficient returns on our investments, including through the realization of capital gains, to trigger an incentive fee of a material amount, our expenses, and returns to our investors, would be higher. The example assumes that all dividends and distributions are reinvested at NAV. Depending upon the market value of our common stock, reinvestment of dividends and distributions under our dividend reinvestment plan may occur at a price per share that differs from, and which could be lower than, NAV. See “Distributions” and additional information regarding our dividend reinvestment plan in the accompanying prospectus for more information.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i w:val="1"/>
          <w:iCs w:val="1"/>
          <w:color w:val="auto"/>
        </w:rPr>
        <w:t>Before you invest in our common stock, you should be aware of various risks, including those described below. You should carefully consider these risk factors and the risk factors beginning on page 8 of the accompanying prospectus, together with all of the other information included in this prospectus supplement and the accompanying prospectus, before you decide whether to make an investment in our common stock. The risks set out below are not the only risks we face. Additional risks and uncertainties not currently known to us or that we currently deem to be immaterial also may have a material adverse effect on our business, financial condition and/or operating results. If any of the following events occur, our business, financial condition and results of operations could be materially adversely affected. In such case, our NAV, the trading price of our common stock and 2025 Notes, or any securities we may issue, may decline.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STRUCTURE</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Regulations governing our operation as a business development company will affect our ability to, and the way in which we, raise additional capital.</w:t>
      </w:r>
    </w:p>
    <w:p>
      <w:pPr>
        <w:spacing w:after="0" w:line="140"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Our business requires a substantial amount of capital. We may acquire additional capital from the issuance of additional senior securities or other indebtedness, the issuance of additional shares of our common stock, the issuance of warrants or subscription rights to purchase certain of our securities, or from securitization transactions or through SBA debentures. However, we may not be able to raise additional capital in the future on favorable terms or at all. We may issue additional debt securities or preferred securities, which we refer to collectively as “senior securities,” and we may borrow money from banks, through the SBA debenture program or other financial institutions, up to the maximum amount permitted by the 1940 Act. The 1940 Act permits us to issue senior securities or incur indebtedness only in amounts permissible under the asset coverage definition in the 1940 Act, exclusive of the SBA debentures pursuant to our SEC exemptive relief. Our ability to pay distributions or issue additional senior securities would be restricted if our asset coverage requirements were not met. If the value of our assets declines, we may be unable to satisfy this test. If that happens, we may be required to liquidate a portion of our investments and repay a portion of our indebtedness at a time when such sales may be disadvantageous, which could materially damage our business.</w:t>
      </w:r>
    </w:p>
    <w:p>
      <w:pPr>
        <w:spacing w:after="0" w:line="72" w:lineRule="exact"/>
        <w:rPr>
          <w:sz w:val="20"/>
          <w:szCs w:val="20"/>
          <w:color w:val="auto"/>
        </w:rPr>
      </w:pPr>
    </w:p>
    <w:p>
      <w:pPr>
        <w:ind w:left="900" w:hanging="325"/>
        <w:spacing w:after="0" w:line="273" w:lineRule="auto"/>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Senior Securities. </w:t>
      </w:r>
      <w:r>
        <w:rPr>
          <w:rFonts w:ascii="Arial" w:cs="Arial" w:eastAsia="Arial" w:hAnsi="Arial"/>
          <w:sz w:val="17"/>
          <w:szCs w:val="17"/>
          <w:color w:val="auto"/>
        </w:rPr>
        <w:t>As a result of issuing senior securities, we are exposed to typical risks associated with leverage, including an increased risk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loss. If we issue preferred securities, they would rank “senior” to common stock in our capital structure. Preferred stockholders would have separate voting rights and may have rights, preferences or privileges more favorable than those of holders of our common stock. Furthermore, the issuance of preferred securities could have the adverse effect of delaying, deferring or preventing a transaction or a change of control that might involve a premium price for our common stockholders or otherwise be in your best interest. Our senior securities may include conversion features that cause them to bear risks more closely associated with an investment in our common stock.</w:t>
      </w:r>
    </w:p>
    <w:p>
      <w:pPr>
        <w:spacing w:after="0" w:line="83" w:lineRule="exact"/>
        <w:rPr>
          <w:rFonts w:ascii="Arial" w:cs="Arial" w:eastAsia="Arial" w:hAnsi="Arial"/>
          <w:sz w:val="17"/>
          <w:szCs w:val="17"/>
          <w:color w:val="auto"/>
        </w:rPr>
      </w:pPr>
    </w:p>
    <w:p>
      <w:pPr>
        <w:ind w:left="900" w:right="60" w:hanging="325"/>
        <w:spacing w:after="0" w:line="288"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Additional Common Stock. </w:t>
      </w:r>
      <w:r>
        <w:rPr>
          <w:rFonts w:ascii="Arial" w:cs="Arial" w:eastAsia="Arial" w:hAnsi="Arial"/>
          <w:sz w:val="16"/>
          <w:szCs w:val="16"/>
          <w:color w:val="auto"/>
        </w:rPr>
        <w:t>Our board of directors may decide to issue common stock to finance our operations rather than issuing debt or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senior securities. As a BDC, we are generally not able to issue our common stock at a price below NAV per share without first obtaining certain approvals from our stockholders and our board of directors. Also, subject to the requirements of the 1940 Act, we may issue rights to acquire our common stock at a price below the current NAV per share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However, when required to be undertaken, the procedures used by the board of directors to determine the NAV per share of our common stock within 48 hours of each offering of our common stock may differ materially from and will necessarily be more abbreviated than the procedures used by the board of directors to determine the NAV per share of our common stock at the end of each quarter. Such procedures may yield a NAV that is less precise than the NAV determined at the end of each quarter. See “Determination of Net Asset Value” in the accompanying</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line="271" w:lineRule="auto"/>
        <w:rPr>
          <w:sz w:val="20"/>
          <w:szCs w:val="20"/>
          <w:color w:val="auto"/>
        </w:rPr>
      </w:pPr>
      <w:r>
        <w:rPr>
          <w:rFonts w:ascii="Arial" w:cs="Arial" w:eastAsia="Arial" w:hAnsi="Arial"/>
          <w:sz w:val="17"/>
          <w:szCs w:val="17"/>
          <w:color w:val="auto"/>
        </w:rPr>
        <w:t>prospectus.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such rights represents no more than one-third of our outstanding common stock at the time such rights are issued. In addition, we note that for us to file a post-effective amendment to a registration statement on Form N-2, we must then be qualified to register our securities under the requirements of Form S-3. We may actually issue shares above or below a future NAV. If we raise additional funds by issuing more common stock or warrants or senior securities convertible into, or exchangeable for, our common stock, the percentage ownership of our common stockholders at that time would decrease, and our common stockholders would experience voting dilution.</w:t>
      </w:r>
    </w:p>
    <w:p>
      <w:pPr>
        <w:spacing w:after="0" w:line="84" w:lineRule="exact"/>
        <w:rPr>
          <w:sz w:val="20"/>
          <w:szCs w:val="20"/>
          <w:color w:val="auto"/>
        </w:rPr>
      </w:pPr>
    </w:p>
    <w:p>
      <w:pPr>
        <w:ind w:left="900" w:right="20" w:hanging="325"/>
        <w:spacing w:after="0" w:line="285"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Securitization. </w:t>
      </w:r>
      <w:r>
        <w:rPr>
          <w:rFonts w:ascii="Arial" w:cs="Arial" w:eastAsia="Arial" w:hAnsi="Arial"/>
          <w:sz w:val="16"/>
          <w:szCs w:val="16"/>
          <w:color w:val="auto"/>
        </w:rPr>
        <w:t>In addition to issuing securities to raise capital as described above, we anticipate that in the future, as market conditions permit,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may securitize our loans to generate cash for funding new investments. To securitize loans, we may create a wholly-owned subsidiary, contribute a pool of loans to the subsidiary and have the subsidiary issue primarily investment grade debt securities to purchasers who we would expect to be willing to accept a substantially lower interest rate than the loans earn. Even though we expect the pool of loans that we contribute to any such securitization vehicle to be rated below investment grade, because the securitization vehicle’s portfolio of loans would secure all of the debt issued by such vehicle, a portion of such debt may be rated investment grade, subject in each case to market conditions that may require such portion of the debt to be over collateralized and various other restrictions. If applicable accounting pronouncements or SEC staff guidance require us to consolidate the securitization vehicle’s financial statements with our financial statements, any debt issued by it would be generally treated as if it were issued by us for purposes of the asset coverage ratio applicable to us. In such case, we would expect to retain all or a portion of the equity and/or subordinated notes in the securitization vehicle. Our retained equity would be exposed to any losses on the portfolio of loans before any of the debt securities would be exposed to such losses. Accordingly, if the pool of loans experienced a low level of losses due to defaults, we would earn an incremental amount of income on our retained equity but we would be exposed, up to the amount of equity we retained, to that proportion of any losses we would have experienced if we had continued to hold the loans in our portfolio. We may hold subordinated debentures in any such securitization vehicle and, if so, we would not consider such securities to be senior securities. An inability to successfully securitize our loan portfolio could limit our ability to grow our business and fully execute our business strategy and adversely affect our earnings, if any. Moreover, the successful securitization of a portion of our loan portfolio might expose us to losses as the residual loans in which we do not sell interests will tend to be those that are riskier and less liquid.</w:t>
      </w:r>
    </w:p>
    <w:p>
      <w:pPr>
        <w:spacing w:after="0" w:line="80" w:lineRule="exact"/>
        <w:rPr>
          <w:rFonts w:ascii="Arial" w:cs="Arial" w:eastAsia="Arial" w:hAnsi="Arial"/>
          <w:sz w:val="16"/>
          <w:szCs w:val="16"/>
          <w:color w:val="auto"/>
        </w:rPr>
      </w:pPr>
    </w:p>
    <w:p>
      <w:pPr>
        <w:ind w:left="900" w:right="40" w:hanging="325"/>
        <w:spacing w:after="0" w:line="25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SBA Debentures. </w:t>
      </w:r>
      <w:r>
        <w:rPr>
          <w:rFonts w:ascii="Arial" w:cs="Arial" w:eastAsia="Arial" w:hAnsi="Arial"/>
          <w:sz w:val="18"/>
          <w:szCs w:val="18"/>
          <w:color w:val="auto"/>
        </w:rPr>
        <w:t>In addition to issuing securities and using securitizations to raise capital as described above, we have issued and may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future issue, as permitted under SBA regulations and through our wholly owned subsidiaries, SBIC LP, SBIC II and any future SBIC subsidiary, SBA debentures to generate cash for funding new investments. To issue SBA debentures, we may request commitments for debt capital from the SBA. SBIC LP is and in the future SBIC II or any future SBIC subsidiary would be exposed to any losses on its portfolio of loans, however, such debentures are non-recourse to us.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This prospectus supplement contains statements that constitute forward-looking statements, which relate to us and our consolidated subsidiaries regarding future events or our future performance or our future financial condition. These forward-looking statements are not historical facts, but rather are based on current expectations, estimates and projections about our Company, our industry, our beliefs and our assumptions. The forward-looking statements contained in this prospectus supplement involve risks and uncertainties, including statements as to:</w:t>
      </w:r>
    </w:p>
    <w:p>
      <w:pPr>
        <w:spacing w:after="0" w:line="77"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business prospects and the prospectus of our prospective portfolio companies;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fluctuations in interest and foreign exchange rates on our business and our portfolio companies;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of our Investment Adviser to locate suitable investments for us and to monitor and administer our investments;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future legislation and regulation on our business and our portfolio companies;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European sovereign debt issues.</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use words such as “anticipates,” “believes,” “expects,” “intends,” “seeks,” “plans,” “estimates” and similar expressions to identify forward-looking statements. You should not place undue influence on the forward-looking statements as our actual results could differ materially from those projected in the forward-looking statements for any reason, including the factors set forth in this prospectus supplement and elsewhere in the accompanying prospectus entitled “Risk Factors.”</w:t>
      </w:r>
    </w:p>
    <w:p>
      <w:pPr>
        <w:spacing w:after="0" w:line="18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prospectus supplement should not be regarded as a representation by us that our plans and objectives will be achieved.</w:t>
      </w:r>
    </w:p>
    <w:p>
      <w:pPr>
        <w:spacing w:after="0" w:line="188"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We have based the forward-looking statements included in this prospectus supplement on information available to us on the date of this prospectus supplement, and we assume no obligation to update any such forward-looking statements. Although we undertake no obligation to revise or update any forward-looking</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360"/>
          </w:cols>
          <w:pgMar w:left="240" w:top="459" w:right="2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statements in this prospectus supplement, whether as a result of new information, future events or otherwise, you are advised to consult any additional disclosures that we may make directly to you or through reports that we in the future that we may file with SEC including annual and quarterly reports on Form 10-K/Q and current reports on Form 8-K.</w:t>
      </w:r>
    </w:p>
    <w:p>
      <w:pPr>
        <w:spacing w:after="0" w:line="181"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You should understand that under Section 27A(b)(2)(B) of the Securities Act of 1933, as amended, or the Securities Act, and Section 21E(b)(2)(B) of the Exchange Act, the “safe harbor” provisions of the Private Securities Litigation Reform Act of 1995, do not apply to forward-looking statements made in connection with any offering of securities pursuant to this prospectus supplement or in periodic reports we file under the Exchange Act.</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260"/>
          </w:cols>
          <w:pgMar w:left="240" w:top="459" w:right="3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We estimate that net proceeds we will receive from the sale of 8,500,000 shares of our common stock in this offering will be approximately $95.4 million (or approximately $109.8 million if the underwriters fully exercise their option to purchase additional shares), in each case based on a public offering price of $11.63 per share, after deducting underwriting discounts and commissions of approximately $3.0 million (or approximately $3.4 million if the underwriters fully exercise their option to purchase additional shares) and estimated offering expenses of $500,000 payable by us.</w:t>
      </w:r>
    </w:p>
    <w:p>
      <w:pPr>
        <w:spacing w:after="0" w:line="17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expect to use the net proceeds from selling securities pursuant to this prospectus supplement to reduce outstanding obligations under our Credit Facility, to invest in new or existing portfolio companies or for other general corporate or strategic purposes. Affiliates of certain of the underwriters serve as lenders under our Credit Facility and thereby may receive proceeds from this offering that are used to reduce our outstanding obligations under our Credit Facility.</w:t>
      </w:r>
    </w:p>
    <w:p>
      <w:pPr>
        <w:spacing w:after="0" w:line="18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As of June 30, 2014, we had $289.1 million of unused borrowing capacity, subject to maintenance of the applicable total assets to debt ratio, as set forth in the 1940 Act, and $255.9 million in outstanding borrowings under our $545.0 million Credit Facility. Borrowings under our Credit Facility bear interest at an annual rate equal to LIBOR plus 225 basis points per annum. At June 30, 2014, the weighted average interest rate on the Credit Facility was 2.52%. The Credit Facility is a revolving facility with a stated maturity date of June 25, 2019 and is secured by substantially all of the assets in our investment portfolio, excluding assets of our SBIC Funds. Amounts repaid under our Credit Facility remain available for future borrowings. See “Management’s Discussion and Analysis of Financial Condition and Results of Operations” in this prospectus supplement and the accompanying prospectus for more information.</w:t>
      </w:r>
    </w:p>
    <w:p>
      <w:pPr>
        <w:spacing w:after="0" w:line="165"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We may invest the proceeds from an offering of securities in new or existing portfolio companies, and such investments may take up to a year from the closing of such offering, in part because privately negotiated investments in illiquid securities or private middle-market companies require substantial due diligence and structuring. During this period, we may use the net proceeds from our offering to reduce then-outstanding obligations under our Credit Facility, which may dilute our NAV per share,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non-temporary investments. As a result, any distributions we make during this investment period may be lower than the distributions that we would expect to pay when such proceeds are fully invested in non-temporary investments. See “Regulation—Temporary Investments” in the accompanying prospectus for more information.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following table sets forth our cash and capitalization on June 30, 2014 (1) on an actual basis and (2) on an as-adjusted basis to reflect the effects of the sale of 8,500,000 shares of common stock based on the public offering price of $11.63 per share ($11.28 per share net of the sales load) and estimated offering expenses of $500,000 payable by us. The as-adjusted information is illustrative only; our capitalization following the completion of this offering is subject to further adjustments. You should read this table together with “Use of Proceeds” set forth in this prospectus supplement and in the accompanying prospectus for more information. You should also read this table with our Consolidated Financial Statements and related notes thereto, in conjunction with “Management’s Discussion and Analysis of Financial Condition and Results of Operations” in this prospectus supplement and in the accompanying prospectus for more information.</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40" w:type="dxa"/>
            <w:vAlign w:val="bottom"/>
            <w:gridSpan w:val="6"/>
          </w:tcPr>
          <w:p>
            <w:pPr>
              <w:jc w:val="right"/>
              <w:ind w:right="1020"/>
              <w:spacing w:after="0"/>
              <w:rPr>
                <w:sz w:val="20"/>
                <w:szCs w:val="20"/>
                <w:color w:val="auto"/>
              </w:rPr>
            </w:pPr>
            <w:r>
              <w:rPr>
                <w:rFonts w:ascii="Arial" w:cs="Arial" w:eastAsia="Arial" w:hAnsi="Arial"/>
                <w:sz w:val="14"/>
                <w:szCs w:val="14"/>
                <w:b w:val="1"/>
                <w:bCs w:val="1"/>
                <w:color w:val="auto"/>
              </w:rPr>
              <w:t>As of June 30, 2014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(unaudited)</w:t>
            </w:r>
          </w:p>
        </w:tc>
        <w:tc>
          <w:tcPr>
            <w:tcW w:w="11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0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Actual</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jc w:val="right"/>
              <w:ind w:right="73"/>
              <w:spacing w:after="0" w:line="119" w:lineRule="exact"/>
              <w:rPr>
                <w:sz w:val="20"/>
                <w:szCs w:val="20"/>
                <w:color w:val="auto"/>
              </w:rPr>
            </w:pPr>
            <w:r>
              <w:rPr>
                <w:rFonts w:ascii="Arial" w:cs="Arial" w:eastAsia="Arial" w:hAnsi="Arial"/>
                <w:sz w:val="13"/>
                <w:szCs w:val="13"/>
                <w:b w:val="1"/>
                <w:bCs w:val="1"/>
                <w:color w:val="auto"/>
                <w:w w:val="97"/>
              </w:rPr>
              <w:t>As adjusted for</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5"/>
              </w:rPr>
              <w:t>the offering</w:t>
            </w:r>
            <w:r>
              <w:rPr>
                <w:rFonts w:ascii="Arial" w:cs="Arial" w:eastAsia="Arial" w:hAnsi="Arial"/>
                <w:sz w:val="12"/>
                <w:szCs w:val="12"/>
                <w:b w:val="1"/>
                <w:bCs w:val="1"/>
                <w:color w:val="auto"/>
                <w:w w:val="95"/>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(cost—$64,349,609 and $159,738,959)</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w w:val="86"/>
              </w:rPr>
              <w:t>64,390,787</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159,780,137</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Total assets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1,290,174,604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1,385,563,954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Borrowings under the Credit Facility (cost—$255,898,700)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257,187,294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257,187,294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Borrowings under SBA debentures (cost—$150,000,000)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150,000,000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150,000,000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2025 Notes (cost—$71,250,000)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72,532,500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72,532,500</w:t>
            </w:r>
          </w:p>
        </w:tc>
        <w:tc>
          <w:tcPr>
            <w:tcW w:w="0" w:type="dxa"/>
            <w:vAlign w:val="bottom"/>
          </w:tcPr>
          <w:p>
            <w:pPr>
              <w:spacing w:after="0"/>
              <w:rPr>
                <w:sz w:val="1"/>
                <w:szCs w:val="1"/>
                <w:color w:val="auto"/>
              </w:rPr>
            </w:pPr>
          </w:p>
        </w:tc>
      </w:tr>
      <w:tr>
        <w:trPr>
          <w:trHeight w:val="324"/>
        </w:trPr>
        <w:tc>
          <w:tcPr>
            <w:tcW w:w="8080" w:type="dxa"/>
            <w:vAlign w:val="bottom"/>
            <w:gridSpan w:val="2"/>
          </w:tcPr>
          <w:p>
            <w:pPr>
              <w:spacing w:after="0"/>
              <w:rPr>
                <w:sz w:val="20"/>
                <w:szCs w:val="20"/>
                <w:color w:val="auto"/>
              </w:rPr>
            </w:pPr>
            <w:r>
              <w:rPr>
                <w:rFonts w:ascii="Arial" w:cs="Arial" w:eastAsia="Arial" w:hAnsi="Arial"/>
                <w:sz w:val="18"/>
                <w:szCs w:val="18"/>
                <w:b w:val="1"/>
                <w:bCs w:val="1"/>
                <w:color w:val="auto"/>
              </w:rPr>
              <w:t>Net Assets</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w w:val="91"/>
              </w:rPr>
              <w:t>Common stock, 66,569,036 and 75,069,036 shares, as-adjusted, are issued and outstanding, respectively. Par</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value is $0.001 per share and 100,000,000 shares are authorized.</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66,569</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Paid in capital in excess of par value</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756,809,951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852,190,801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Distributions in excess of net investment income</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(9,406,519)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(9,406,519)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Accumulated net realized loss on investments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(14,454,032)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(14,454,032)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appreciation on investments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24,027,916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24,027,916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Net unrealized appreciation on debt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(2,571,092)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(2,571,092)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Total net assets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754,472,793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849,862,143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Total capitalization</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1,234,192,587</w:t>
            </w:r>
          </w:p>
        </w:tc>
        <w:tc>
          <w:tcPr>
            <w:tcW w:w="3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1,329,581,937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right="120" w:hanging="452"/>
        <w:spacing w:after="0" w:line="277"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Does not include the underwriters’ option to purchase additional shares in connection with this offering and any shares issued pursuant to our dividend reinvestment plan. Assumes the net proceeds from this offering are invested in Cash and Cash equivalents.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 RANGE OF COMMON STOCK</w:t>
      </w:r>
    </w:p>
    <w:p>
      <w:pPr>
        <w:spacing w:after="0" w:line="229"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Our common stock is traded on the NASDAQ Global Select Market under the symbol “PNNT.” The following table lists the high and low closing sale price for our common stock, the closing sale price as a premium or (discount) to our NAV and quarterly distributions per share since September 30, 2012. On September 4, 2014, the last reported closing price of our common stock was $11.86 per share.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3"/>
              </w:rPr>
              <w:t>Premium</w:t>
            </w: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Premium</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20" w:type="dxa"/>
            <w:vAlign w:val="bottom"/>
            <w:gridSpan w:val="5"/>
            <w:vMerge w:val="restart"/>
          </w:tcPr>
          <w:p>
            <w:pPr>
              <w:ind w:left="180"/>
              <w:spacing w:after="0"/>
              <w:rPr>
                <w:sz w:val="20"/>
                <w:szCs w:val="20"/>
                <w:color w:val="auto"/>
              </w:rPr>
            </w:pPr>
            <w:r>
              <w:rPr>
                <w:rFonts w:ascii="Arial" w:cs="Arial" w:eastAsia="Arial" w:hAnsi="Arial"/>
                <w:sz w:val="14"/>
                <w:szCs w:val="14"/>
                <w:b w:val="1"/>
                <w:bCs w:val="1"/>
                <w:color w:val="auto"/>
              </w:rPr>
              <w:t>Closing Sales Price</w:t>
            </w:r>
          </w:p>
        </w:tc>
        <w:tc>
          <w:tcPr>
            <w:tcW w:w="14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2"/>
              </w:rPr>
              <w:t>(Discount) of</w:t>
            </w:r>
          </w:p>
        </w:tc>
        <w:tc>
          <w:tcPr>
            <w:tcW w:w="11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(Discount) of</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33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20" w:type="dxa"/>
            <w:vAlign w:val="bottom"/>
            <w:gridSpan w:val="5"/>
            <w:vMerge w:val="continue"/>
          </w:tcPr>
          <w:p>
            <w:pPr>
              <w:spacing w:after="0"/>
              <w:rPr>
                <w:sz w:val="6"/>
                <w:szCs w:val="6"/>
                <w:color w:val="auto"/>
              </w:rPr>
            </w:pPr>
          </w:p>
        </w:tc>
        <w:tc>
          <w:tcPr>
            <w:tcW w:w="1420" w:type="dxa"/>
            <w:vAlign w:val="bottom"/>
            <w:gridSpan w:val="2"/>
            <w:vMerge w:val="restart"/>
          </w:tcPr>
          <w:p>
            <w:pPr>
              <w:jc w:val="center"/>
              <w:ind w:right="620"/>
              <w:spacing w:after="0" w:line="149" w:lineRule="exact"/>
              <w:rPr>
                <w:sz w:val="20"/>
                <w:szCs w:val="20"/>
                <w:color w:val="auto"/>
              </w:rPr>
            </w:pPr>
            <w:r>
              <w:rPr>
                <w:rFonts w:ascii="Arial" w:cs="Arial" w:eastAsia="Arial" w:hAnsi="Arial"/>
                <w:sz w:val="14"/>
                <w:szCs w:val="14"/>
                <w:b w:val="1"/>
                <w:bCs w:val="1"/>
                <w:color w:val="auto"/>
                <w:w w:val="89"/>
              </w:rPr>
              <w:t>High Sales</w:t>
            </w:r>
          </w:p>
        </w:tc>
        <w:tc>
          <w:tcPr>
            <w:tcW w:w="1180" w:type="dxa"/>
            <w:vAlign w:val="bottom"/>
            <w:gridSpan w:val="2"/>
            <w:vMerge w:val="restart"/>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Low Sales</w:t>
            </w: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330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52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500" w:type="dxa"/>
            <w:vAlign w:val="bottom"/>
          </w:tcPr>
          <w:p>
            <w:pPr>
              <w:spacing w:after="0"/>
              <w:rPr>
                <w:sz w:val="4"/>
                <w:szCs w:val="4"/>
                <w:color w:val="auto"/>
              </w:rPr>
            </w:pPr>
          </w:p>
        </w:tc>
        <w:tc>
          <w:tcPr>
            <w:tcW w:w="1420" w:type="dxa"/>
            <w:vAlign w:val="bottom"/>
            <w:gridSpan w:val="2"/>
            <w:vMerge w:val="continue"/>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Distributions</w:t>
            </w:r>
          </w:p>
        </w:tc>
        <w:tc>
          <w:tcPr>
            <w:tcW w:w="0" w:type="dxa"/>
            <w:vAlign w:val="bottom"/>
          </w:tcPr>
          <w:p>
            <w:pPr>
              <w:spacing w:after="0"/>
              <w:rPr>
                <w:sz w:val="1"/>
                <w:szCs w:val="1"/>
                <w:color w:val="auto"/>
              </w:rPr>
            </w:pPr>
          </w:p>
        </w:tc>
      </w:tr>
      <w:tr>
        <w:trPr>
          <w:trHeight w:val="149"/>
        </w:trPr>
        <w:tc>
          <w:tcPr>
            <w:tcW w:w="3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w:t>
            </w:r>
          </w:p>
        </w:tc>
        <w:tc>
          <w:tcPr>
            <w:tcW w:w="780" w:type="dxa"/>
            <w:vAlign w:val="bottom"/>
          </w:tcPr>
          <w:p>
            <w:pPr>
              <w:spacing w:after="0"/>
              <w:rPr>
                <w:sz w:val="12"/>
                <w:szCs w:val="12"/>
                <w:color w:val="auto"/>
              </w:rPr>
            </w:pPr>
          </w:p>
        </w:tc>
        <w:tc>
          <w:tcPr>
            <w:tcW w:w="102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NAV</w:t>
            </w:r>
            <w:r>
              <w:rPr>
                <w:rFonts w:ascii="Arial" w:cs="Arial" w:eastAsia="Arial" w:hAnsi="Arial"/>
                <w:sz w:val="12"/>
                <w:szCs w:val="12"/>
                <w:b w:val="1"/>
                <w:bCs w:val="1"/>
                <w:color w:val="auto"/>
              </w:rPr>
              <w:t>(1)</w:t>
            </w:r>
          </w:p>
        </w:tc>
        <w:tc>
          <w:tcPr>
            <w:tcW w:w="7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High</w:t>
            </w:r>
          </w:p>
        </w:tc>
        <w:tc>
          <w:tcPr>
            <w:tcW w:w="260" w:type="dxa"/>
            <w:vAlign w:val="bottom"/>
          </w:tcPr>
          <w:p>
            <w:pPr>
              <w:spacing w:after="0"/>
              <w:rPr>
                <w:sz w:val="12"/>
                <w:szCs w:val="12"/>
                <w:color w:val="auto"/>
              </w:rPr>
            </w:pPr>
          </w:p>
        </w:tc>
        <w:tc>
          <w:tcPr>
            <w:tcW w:w="10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Low</w:t>
            </w:r>
          </w:p>
        </w:tc>
        <w:tc>
          <w:tcPr>
            <w:tcW w:w="14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3"/>
              </w:rPr>
              <w:t>Price to</w:t>
            </w:r>
          </w:p>
        </w:tc>
        <w:tc>
          <w:tcPr>
            <w:tcW w:w="11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Price to</w:t>
            </w:r>
          </w:p>
        </w:tc>
        <w:tc>
          <w:tcPr>
            <w:tcW w:w="24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20" w:type="dxa"/>
            <w:vAlign w:val="bottom"/>
            <w:gridSpan w:val="3"/>
            <w:vMerge w:val="continue"/>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9"/>
              </w:rPr>
              <w:t>NAV</w:t>
            </w:r>
            <w:r>
              <w:rPr>
                <w:rFonts w:ascii="Arial" w:cs="Arial" w:eastAsia="Arial" w:hAnsi="Arial"/>
                <w:sz w:val="12"/>
                <w:szCs w:val="12"/>
                <w:b w:val="1"/>
                <w:bCs w:val="1"/>
                <w:color w:val="auto"/>
                <w:w w:val="99"/>
              </w:rPr>
              <w:t>(2)</w:t>
            </w: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9"/>
              </w:rPr>
              <w:t>NAV</w:t>
            </w:r>
            <w:r>
              <w:rPr>
                <w:rFonts w:ascii="Arial" w:cs="Arial" w:eastAsia="Arial" w:hAnsi="Arial"/>
                <w:sz w:val="12"/>
                <w:szCs w:val="12"/>
                <w:b w:val="1"/>
                <w:bCs w:val="1"/>
                <w:color w:val="auto"/>
                <w:w w:val="99"/>
              </w:rPr>
              <w:t>(2)</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Declared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74"/>
              </w:rPr>
              <w:t>Fiscal</w:t>
            </w:r>
          </w:p>
        </w:tc>
        <w:tc>
          <w:tcPr>
            <w:tcW w:w="3300" w:type="dxa"/>
            <w:vAlign w:val="bottom"/>
            <w:tcBorders>
              <w:top w:val="single" w:sz="8" w:color="CCEEFF"/>
            </w:tcBorders>
            <w:shd w:val="clear" w:color="auto" w:fill="CCEEFF"/>
          </w:tcPr>
          <w:p>
            <w:pPr>
              <w:ind w:left="80"/>
              <w:spacing w:after="0" w:line="196" w:lineRule="exact"/>
              <w:rPr>
                <w:sz w:val="20"/>
                <w:szCs w:val="20"/>
                <w:color w:val="auto"/>
              </w:rPr>
            </w:pPr>
            <w:r>
              <w:rPr>
                <w:rFonts w:ascii="Arial" w:cs="Arial" w:eastAsia="Arial" w:hAnsi="Arial"/>
                <w:sz w:val="18"/>
                <w:szCs w:val="18"/>
                <w:b w:val="1"/>
                <w:bCs w:val="1"/>
                <w:color w:val="auto"/>
              </w:rPr>
              <w:t>year ending September 30, 2014</w:t>
            </w:r>
          </w:p>
        </w:tc>
        <w:tc>
          <w:tcPr>
            <w:tcW w:w="7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tcPr>
          <w:p>
            <w:pPr>
              <w:spacing w:after="0"/>
              <w:rPr>
                <w:sz w:val="20"/>
                <w:szCs w:val="20"/>
                <w:color w:val="auto"/>
              </w:rPr>
            </w:pPr>
            <w:r>
              <w:rPr>
                <w:rFonts w:ascii="Arial" w:cs="Arial" w:eastAsia="Arial" w:hAnsi="Arial"/>
                <w:sz w:val="18"/>
                <w:szCs w:val="18"/>
                <w:color w:val="auto"/>
              </w:rPr>
              <w:t>Fourth quarter (as of September 4, 2014)</w:t>
            </w:r>
          </w:p>
        </w:tc>
        <w:tc>
          <w:tcPr>
            <w:tcW w:w="1800" w:type="dxa"/>
            <w:vAlign w:val="bottom"/>
            <w:gridSpan w:val="3"/>
          </w:tcPr>
          <w:p>
            <w:pPr>
              <w:jc w:val="right"/>
              <w:ind w:right="520"/>
              <w:spacing w:after="0"/>
              <w:rPr>
                <w:sz w:val="20"/>
                <w:szCs w:val="20"/>
                <w:color w:val="auto"/>
              </w:rPr>
            </w:pPr>
            <w:r>
              <w:rPr>
                <w:rFonts w:ascii="Arial" w:cs="Arial" w:eastAsia="Arial" w:hAnsi="Arial"/>
                <w:sz w:val="18"/>
                <w:szCs w:val="18"/>
                <w:color w:val="auto"/>
              </w:rPr>
              <w:t>$ N/A</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$11.91</w:t>
            </w:r>
          </w:p>
        </w:tc>
        <w:tc>
          <w:tcPr>
            <w:tcW w:w="1260" w:type="dxa"/>
            <w:vAlign w:val="bottom"/>
            <w:gridSpan w:val="3"/>
          </w:tcPr>
          <w:p>
            <w:pPr>
              <w:jc w:val="right"/>
              <w:ind w:right="500"/>
              <w:spacing w:after="0"/>
              <w:rPr>
                <w:sz w:val="20"/>
                <w:szCs w:val="20"/>
                <w:color w:val="auto"/>
              </w:rPr>
            </w:pPr>
            <w:r>
              <w:rPr>
                <w:rFonts w:ascii="Arial" w:cs="Arial" w:eastAsia="Arial" w:hAnsi="Arial"/>
                <w:sz w:val="18"/>
                <w:szCs w:val="18"/>
                <w:color w:val="auto"/>
              </w:rPr>
              <w:t>$11.04</w:t>
            </w: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N/A%</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N/A%</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ind w:left="380"/>
              <w:spacing w:after="0"/>
              <w:rPr>
                <w:sz w:val="20"/>
                <w:szCs w:val="20"/>
                <w:color w:val="auto"/>
              </w:rPr>
            </w:pPr>
            <w:r>
              <w:rPr>
                <w:rFonts w:ascii="Arial" w:cs="Arial" w:eastAsia="Arial" w:hAnsi="Arial"/>
                <w:sz w:val="18"/>
                <w:szCs w:val="18"/>
                <w:color w:val="auto"/>
                <w:w w:val="97"/>
              </w:rPr>
              <w:t>0.28</w:t>
            </w:r>
            <w:r>
              <w:rPr>
                <w:rFonts w:ascii="Arial" w:cs="Arial" w:eastAsia="Arial" w:hAnsi="Arial"/>
                <w:sz w:val="15"/>
                <w:szCs w:val="15"/>
                <w:color w:val="auto"/>
                <w:w w:val="97"/>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8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11.33</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11.49</w:t>
            </w:r>
          </w:p>
        </w:tc>
        <w:tc>
          <w:tcPr>
            <w:tcW w:w="12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10.46</w:t>
            </w: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1800" w:type="dxa"/>
            <w:vAlign w:val="bottom"/>
            <w:gridSpan w:val="3"/>
          </w:tcPr>
          <w:p>
            <w:pPr>
              <w:jc w:val="right"/>
              <w:ind w:right="520"/>
              <w:spacing w:after="0"/>
              <w:rPr>
                <w:sz w:val="20"/>
                <w:szCs w:val="20"/>
                <w:color w:val="auto"/>
              </w:rPr>
            </w:pPr>
            <w:r>
              <w:rPr>
                <w:rFonts w:ascii="Arial" w:cs="Arial" w:eastAsia="Arial" w:hAnsi="Arial"/>
                <w:sz w:val="18"/>
                <w:szCs w:val="18"/>
                <w:color w:val="auto"/>
              </w:rPr>
              <w:t>11.13</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11.65</w:t>
            </w:r>
          </w:p>
        </w:tc>
        <w:tc>
          <w:tcPr>
            <w:tcW w:w="1260" w:type="dxa"/>
            <w:vAlign w:val="bottom"/>
            <w:gridSpan w:val="3"/>
          </w:tcPr>
          <w:p>
            <w:pPr>
              <w:jc w:val="right"/>
              <w:ind w:right="500"/>
              <w:spacing w:after="0"/>
              <w:rPr>
                <w:sz w:val="20"/>
                <w:szCs w:val="20"/>
                <w:color w:val="auto"/>
              </w:rPr>
            </w:pPr>
            <w:r>
              <w:rPr>
                <w:rFonts w:ascii="Arial" w:cs="Arial" w:eastAsia="Arial" w:hAnsi="Arial"/>
                <w:sz w:val="18"/>
                <w:szCs w:val="18"/>
                <w:color w:val="auto"/>
              </w:rPr>
              <w:t>10.89</w:t>
            </w: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rPr>
              <w:t>5</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38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8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10.80</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12.17</w:t>
            </w:r>
          </w:p>
        </w:tc>
        <w:tc>
          <w:tcPr>
            <w:tcW w:w="12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10.83</w:t>
            </w: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13</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324"/>
        </w:trPr>
        <w:tc>
          <w:tcPr>
            <w:tcW w:w="3720" w:type="dxa"/>
            <w:vAlign w:val="bottom"/>
            <w:gridSpan w:val="3"/>
          </w:tcPr>
          <w:p>
            <w:pPr>
              <w:spacing w:after="0"/>
              <w:rPr>
                <w:sz w:val="20"/>
                <w:szCs w:val="20"/>
                <w:color w:val="auto"/>
              </w:rPr>
            </w:pPr>
            <w:r>
              <w:rPr>
                <w:rFonts w:ascii="Arial" w:cs="Arial" w:eastAsia="Arial" w:hAnsi="Arial"/>
                <w:sz w:val="18"/>
                <w:szCs w:val="18"/>
                <w:b w:val="1"/>
                <w:bCs w:val="1"/>
                <w:color w:val="auto"/>
              </w:rPr>
              <w:t>Fiscal year ended September 30, 2013</w:t>
            </w: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18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10.49</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11.83</w:t>
            </w:r>
          </w:p>
        </w:tc>
        <w:tc>
          <w:tcPr>
            <w:tcW w:w="12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10.97</w:t>
            </w: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13</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1800" w:type="dxa"/>
            <w:vAlign w:val="bottom"/>
            <w:gridSpan w:val="3"/>
          </w:tcPr>
          <w:p>
            <w:pPr>
              <w:jc w:val="right"/>
              <w:ind w:right="520"/>
              <w:spacing w:after="0"/>
              <w:rPr>
                <w:sz w:val="20"/>
                <w:szCs w:val="20"/>
                <w:color w:val="auto"/>
              </w:rPr>
            </w:pPr>
            <w:r>
              <w:rPr>
                <w:rFonts w:ascii="Arial" w:cs="Arial" w:eastAsia="Arial" w:hAnsi="Arial"/>
                <w:sz w:val="18"/>
                <w:szCs w:val="18"/>
                <w:color w:val="auto"/>
              </w:rPr>
              <w:t>10.43</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11.83</w:t>
            </w:r>
          </w:p>
        </w:tc>
        <w:tc>
          <w:tcPr>
            <w:tcW w:w="1260" w:type="dxa"/>
            <w:vAlign w:val="bottom"/>
            <w:gridSpan w:val="3"/>
          </w:tcPr>
          <w:p>
            <w:pPr>
              <w:jc w:val="right"/>
              <w:ind w:right="500"/>
              <w:spacing w:after="0"/>
              <w:rPr>
                <w:sz w:val="20"/>
                <w:szCs w:val="20"/>
                <w:color w:val="auto"/>
              </w:rPr>
            </w:pPr>
            <w:r>
              <w:rPr>
                <w:rFonts w:ascii="Arial" w:cs="Arial" w:eastAsia="Arial" w:hAnsi="Arial"/>
                <w:sz w:val="18"/>
                <w:szCs w:val="18"/>
                <w:color w:val="auto"/>
              </w:rPr>
              <w:t>10.45</w:t>
            </w: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rPr>
              <w:t>13</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38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18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10.50</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12.18</w:t>
            </w:r>
          </w:p>
        </w:tc>
        <w:tc>
          <w:tcPr>
            <w:tcW w:w="12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11.01</w:t>
            </w: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16</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1800" w:type="dxa"/>
            <w:vAlign w:val="bottom"/>
            <w:gridSpan w:val="3"/>
          </w:tcPr>
          <w:p>
            <w:pPr>
              <w:jc w:val="right"/>
              <w:ind w:right="520"/>
              <w:spacing w:after="0"/>
              <w:rPr>
                <w:sz w:val="20"/>
                <w:szCs w:val="20"/>
                <w:color w:val="auto"/>
              </w:rPr>
            </w:pPr>
            <w:r>
              <w:rPr>
                <w:rFonts w:ascii="Arial" w:cs="Arial" w:eastAsia="Arial" w:hAnsi="Arial"/>
                <w:sz w:val="18"/>
                <w:szCs w:val="18"/>
                <w:color w:val="auto"/>
              </w:rPr>
              <w:t>10.38</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11.10</w:t>
            </w:r>
          </w:p>
        </w:tc>
        <w:tc>
          <w:tcPr>
            <w:tcW w:w="1260" w:type="dxa"/>
            <w:vAlign w:val="bottom"/>
            <w:gridSpan w:val="3"/>
          </w:tcPr>
          <w:p>
            <w:pPr>
              <w:jc w:val="right"/>
              <w:ind w:right="500"/>
              <w:spacing w:after="0"/>
              <w:rPr>
                <w:sz w:val="20"/>
                <w:szCs w:val="20"/>
                <w:color w:val="auto"/>
              </w:rPr>
            </w:pPr>
            <w:r>
              <w:rPr>
                <w:rFonts w:ascii="Arial" w:cs="Arial" w:eastAsia="Arial" w:hAnsi="Arial"/>
                <w:sz w:val="18"/>
                <w:szCs w:val="18"/>
                <w:color w:val="auto"/>
              </w:rPr>
              <w:t>10.07</w:t>
            </w: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rPr>
              <w:t>7</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ind w:left="38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400" w:type="dxa"/>
            <w:vAlign w:val="bottom"/>
          </w:tcPr>
          <w:p>
            <w:pPr>
              <w:spacing w:after="0"/>
              <w:rPr>
                <w:sz w:val="8"/>
                <w:szCs w:val="8"/>
                <w:color w:val="auto"/>
              </w:rPr>
            </w:pPr>
          </w:p>
        </w:tc>
        <w:tc>
          <w:tcPr>
            <w:tcW w:w="3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2012</w:t>
            </w: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1800" w:type="dxa"/>
            <w:vAlign w:val="bottom"/>
            <w:gridSpan w:val="3"/>
          </w:tcPr>
          <w:p>
            <w:pPr>
              <w:jc w:val="right"/>
              <w:ind w:right="520"/>
              <w:spacing w:after="0"/>
              <w:rPr>
                <w:sz w:val="20"/>
                <w:szCs w:val="20"/>
                <w:color w:val="auto"/>
              </w:rPr>
            </w:pPr>
            <w:r>
              <w:rPr>
                <w:rFonts w:ascii="Arial" w:cs="Arial" w:eastAsia="Arial" w:hAnsi="Arial"/>
                <w:sz w:val="18"/>
                <w:szCs w:val="18"/>
                <w:color w:val="auto"/>
              </w:rPr>
              <w:t>10.22</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11.44</w:t>
            </w:r>
          </w:p>
        </w:tc>
        <w:tc>
          <w:tcPr>
            <w:tcW w:w="1260" w:type="dxa"/>
            <w:vAlign w:val="bottom"/>
            <w:gridSpan w:val="3"/>
          </w:tcPr>
          <w:p>
            <w:pPr>
              <w:jc w:val="right"/>
              <w:ind w:right="500"/>
              <w:spacing w:after="0"/>
              <w:rPr>
                <w:sz w:val="20"/>
                <w:szCs w:val="20"/>
                <w:color w:val="auto"/>
              </w:rPr>
            </w:pPr>
            <w:r>
              <w:rPr>
                <w:rFonts w:ascii="Arial" w:cs="Arial" w:eastAsia="Arial" w:hAnsi="Arial"/>
                <w:sz w:val="18"/>
                <w:szCs w:val="18"/>
                <w:color w:val="auto"/>
              </w:rPr>
              <w:t>10.36</w:t>
            </w: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rPr>
              <w:t>12</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38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8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10.16</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10.70</w:t>
            </w:r>
          </w:p>
        </w:tc>
        <w:tc>
          <w:tcPr>
            <w:tcW w:w="12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9.27</w:t>
            </w: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1800" w:type="dxa"/>
            <w:vAlign w:val="bottom"/>
            <w:gridSpan w:val="3"/>
          </w:tcPr>
          <w:p>
            <w:pPr>
              <w:jc w:val="right"/>
              <w:ind w:right="520"/>
              <w:spacing w:after="0"/>
              <w:rPr>
                <w:sz w:val="20"/>
                <w:szCs w:val="20"/>
                <w:color w:val="auto"/>
              </w:rPr>
            </w:pPr>
            <w:r>
              <w:rPr>
                <w:rFonts w:ascii="Arial" w:cs="Arial" w:eastAsia="Arial" w:hAnsi="Arial"/>
                <w:sz w:val="18"/>
                <w:szCs w:val="18"/>
                <w:color w:val="auto"/>
              </w:rPr>
              <w:t>10.38</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11.23</w:t>
            </w:r>
          </w:p>
        </w:tc>
        <w:tc>
          <w:tcPr>
            <w:tcW w:w="1260" w:type="dxa"/>
            <w:vAlign w:val="bottom"/>
            <w:gridSpan w:val="3"/>
          </w:tcPr>
          <w:p>
            <w:pPr>
              <w:jc w:val="right"/>
              <w:ind w:right="500"/>
              <w:spacing w:after="0"/>
              <w:rPr>
                <w:sz w:val="20"/>
                <w:szCs w:val="20"/>
                <w:color w:val="auto"/>
              </w:rPr>
            </w:pPr>
            <w:r>
              <w:rPr>
                <w:rFonts w:ascii="Arial" w:cs="Arial" w:eastAsia="Arial" w:hAnsi="Arial"/>
                <w:sz w:val="18"/>
                <w:szCs w:val="18"/>
                <w:color w:val="auto"/>
              </w:rPr>
              <w:t>10.31</w:t>
            </w: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rPr>
              <w:t>8</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38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8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10.19</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11.02</w:t>
            </w:r>
          </w:p>
        </w:tc>
        <w:tc>
          <w:tcPr>
            <w:tcW w:w="12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8.57</w:t>
            </w: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100" w:hanging="452"/>
        <w:spacing w:after="0" w:line="256"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NAV per share is determined as of the last day in the relevant quarter and therefore may not reflect the NAV per share on the date of the high and low sales prices. The NAVs shown are based on outstanding shares at the end of each period. See “Determination of Net Asset Value” in the accompanying prospectus for more information.</w:t>
      </w: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Calculated as of the respective high or low closing sales price divided by the quarter-end NAV.</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Distribution payable October 1, 2014 to stockholders of record September 26, 2014.</w:t>
      </w:r>
    </w:p>
    <w:p>
      <w:pPr>
        <w:spacing w:after="0" w:line="21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Shares of BDCs may trade at a market price that is less than the NAV that is attributable to those shares. Our shares have traded above and below our NAV. Our shares traded on the NASDAQ Global Select Market at $11.46 and $11.28 as of June 30, 2014 and September 30, 2013, respectively. Our NAV per share was $11.33 and $10.49, as of June 30, 2014 and September 30, 2013, respectively.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NAV in the future.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22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have derived the financial information below from our audited and unaudited financial data and, in the opinion of management, such information reflects all adjustments (consisting of normal recurring adjustments) that are necessary to present fairly the results of such years. The Consolidated Statement of Operations data, Per share data and Consolidated Statement of Assets and Liabilities data for the nine months ended June 30, 2014 are derived from our Consolidated Financial Statements which have been reviewed by McGladrey LLP, an independent registered public accounting firm. The Consolidated Statement of Operations data, Per share data and Consolidated Statement of Assets and Liabilities data for the prior five fiscal years are derived from our Consolidated Financial Statements which have been audited by KPMG LLP, an independent registered public accounting firm for those periods. These selected financial data should be read in conjunction with our Consolidated Financial Statements and related notes thereto and “Management’s Discussion and Analysis of Financial Condition and Results of Operations” in this prospectus supplement and the accompanying prospectus.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1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4"/>
              </w:rPr>
              <w:t>For the Nine Months</w:t>
            </w: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920" w:type="dxa"/>
            <w:vAlign w:val="bottom"/>
            <w:gridSpan w:val="8"/>
            <w:vMerge w:val="restart"/>
          </w:tcPr>
          <w:p>
            <w:pPr>
              <w:jc w:val="right"/>
              <w:ind w:right="560"/>
              <w:spacing w:after="0"/>
              <w:rPr>
                <w:sz w:val="20"/>
                <w:szCs w:val="20"/>
                <w:color w:val="auto"/>
              </w:rPr>
            </w:pPr>
            <w:r>
              <w:rPr>
                <w:rFonts w:ascii="Arial" w:cs="Arial" w:eastAsia="Arial" w:hAnsi="Arial"/>
                <w:sz w:val="14"/>
                <w:szCs w:val="14"/>
                <w:b w:val="1"/>
                <w:bCs w:val="1"/>
                <w:color w:val="auto"/>
                <w:w w:val="99"/>
              </w:rPr>
              <w:t>For the Years Ended September 30,</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1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1"/>
              </w:rPr>
              <w:t>Ended June 30,</w:t>
            </w: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920" w:type="dxa"/>
            <w:vAlign w:val="bottom"/>
            <w:gridSpan w:val="8"/>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980" w:type="dxa"/>
            <w:vAlign w:val="bottom"/>
            <w:tcBorders>
              <w:top w:val="single" w:sz="8" w:color="auto"/>
            </w:tcBorders>
          </w:tcPr>
          <w:p>
            <w:pPr>
              <w:jc w:val="right"/>
              <w:ind w:right="380"/>
              <w:spacing w:after="0" w:line="142" w:lineRule="exact"/>
              <w:rPr>
                <w:sz w:val="20"/>
                <w:szCs w:val="20"/>
                <w:color w:val="auto"/>
              </w:rPr>
            </w:pPr>
            <w:r>
              <w:rPr>
                <w:rFonts w:ascii="Arial" w:cs="Arial" w:eastAsia="Arial" w:hAnsi="Arial"/>
                <w:sz w:val="14"/>
                <w:szCs w:val="14"/>
                <w:b w:val="1"/>
                <w:bCs w:val="1"/>
                <w:color w:val="auto"/>
              </w:rPr>
              <w:t>2014</w:t>
            </w:r>
          </w:p>
        </w:tc>
        <w:tc>
          <w:tcPr>
            <w:tcW w:w="840" w:type="dxa"/>
            <w:vAlign w:val="bottom"/>
            <w:tcBorders>
              <w:top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2013</w:t>
            </w:r>
          </w:p>
        </w:tc>
        <w:tc>
          <w:tcPr>
            <w:tcW w:w="340" w:type="dxa"/>
            <w:vAlign w:val="bottom"/>
          </w:tcPr>
          <w:p>
            <w:pPr>
              <w:spacing w:after="0"/>
              <w:rPr>
                <w:sz w:val="12"/>
                <w:szCs w:val="12"/>
                <w:color w:val="auto"/>
              </w:rPr>
            </w:pPr>
          </w:p>
        </w:tc>
        <w:tc>
          <w:tcPr>
            <w:tcW w:w="740" w:type="dxa"/>
            <w:vAlign w:val="bottom"/>
            <w:tcBorders>
              <w:top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2013</w:t>
            </w:r>
          </w:p>
        </w:tc>
        <w:tc>
          <w:tcPr>
            <w:tcW w:w="3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40"/>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2010</w:t>
            </w: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1820" w:type="dxa"/>
            <w:vAlign w:val="bottom"/>
            <w:tcBorders>
              <w:top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4"/>
              </w:rPr>
              <w:t>(unaudited)</w:t>
            </w:r>
          </w:p>
        </w:tc>
        <w:tc>
          <w:tcPr>
            <w:tcW w:w="34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(Dollar amounts in thousands, except per share data)</w:t>
            </w:r>
          </w:p>
        </w:tc>
        <w:tc>
          <w:tcPr>
            <w:tcW w:w="9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tcPr>
          <w:p>
            <w:pPr>
              <w:spacing w:after="0"/>
              <w:rPr>
                <w:sz w:val="20"/>
                <w:szCs w:val="20"/>
                <w:color w:val="auto"/>
              </w:rPr>
            </w:pPr>
            <w:r>
              <w:rPr>
                <w:rFonts w:ascii="Arial" w:cs="Arial" w:eastAsia="Arial" w:hAnsi="Arial"/>
                <w:sz w:val="16"/>
                <w:szCs w:val="16"/>
                <w:b w:val="1"/>
                <w:bCs w:val="1"/>
                <w:color w:val="auto"/>
              </w:rPr>
              <w:t>Consolidated Statement of Operations data:</w:t>
            </w:r>
          </w:p>
        </w:tc>
        <w:tc>
          <w:tcPr>
            <w:tcW w:w="9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6"/>
                <w:szCs w:val="16"/>
                <w:color w:val="auto"/>
              </w:rPr>
              <w:t>Total investment income</w:t>
            </w:r>
          </w:p>
        </w:tc>
        <w:tc>
          <w:tcPr>
            <w:tcW w:w="98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w w:val="95"/>
              </w:rPr>
              <w:t>$  107,793</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97,740</w:t>
            </w: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  129,187</w:t>
            </w:r>
          </w:p>
        </w:tc>
        <w:tc>
          <w:tcPr>
            <w:tcW w:w="3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95"/>
              </w:rPr>
              <w:t>$  113,392</w:t>
            </w: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$ 91,738</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$ 60,140</w:t>
            </w:r>
          </w:p>
        </w:tc>
        <w:tc>
          <w:tcPr>
            <w:tcW w:w="22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$ 45,119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tcPr>
          <w:p>
            <w:pPr>
              <w:spacing w:after="0"/>
              <w:rPr>
                <w:sz w:val="20"/>
                <w:szCs w:val="20"/>
                <w:color w:val="auto"/>
              </w:rPr>
            </w:pPr>
            <w:r>
              <w:rPr>
                <w:rFonts w:ascii="Arial" w:cs="Arial" w:eastAsia="Arial" w:hAnsi="Arial"/>
                <w:sz w:val="16"/>
                <w:szCs w:val="16"/>
                <w:color w:val="auto"/>
              </w:rPr>
              <w:t>Total expenses</w:t>
            </w:r>
          </w:p>
        </w:tc>
        <w:tc>
          <w:tcPr>
            <w:tcW w:w="980" w:type="dxa"/>
            <w:vAlign w:val="bottom"/>
          </w:tcPr>
          <w:p>
            <w:pPr>
              <w:jc w:val="right"/>
              <w:ind w:right="160"/>
              <w:spacing w:after="0"/>
              <w:rPr>
                <w:sz w:val="20"/>
                <w:szCs w:val="20"/>
                <w:color w:val="auto"/>
              </w:rPr>
            </w:pPr>
            <w:r>
              <w:rPr>
                <w:rFonts w:ascii="Arial" w:cs="Arial" w:eastAsia="Arial" w:hAnsi="Arial"/>
                <w:sz w:val="16"/>
                <w:szCs w:val="16"/>
                <w:color w:val="auto"/>
              </w:rPr>
              <w:t>56,612</w:t>
            </w:r>
          </w:p>
        </w:tc>
        <w:tc>
          <w:tcPr>
            <w:tcW w:w="840" w:type="dxa"/>
            <w:vAlign w:val="bottom"/>
          </w:tcPr>
          <w:p>
            <w:pPr>
              <w:jc w:val="right"/>
              <w:spacing w:after="0"/>
              <w:rPr>
                <w:sz w:val="20"/>
                <w:szCs w:val="20"/>
                <w:color w:val="auto"/>
              </w:rPr>
            </w:pPr>
            <w:r>
              <w:rPr>
                <w:rFonts w:ascii="Arial" w:cs="Arial" w:eastAsia="Arial" w:hAnsi="Arial"/>
                <w:sz w:val="16"/>
                <w:szCs w:val="16"/>
                <w:color w:val="auto"/>
              </w:rPr>
              <w:t>47,841</w:t>
            </w:r>
          </w:p>
        </w:tc>
        <w:tc>
          <w:tcPr>
            <w:tcW w:w="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62,189</w:t>
            </w:r>
          </w:p>
        </w:tc>
        <w:tc>
          <w:tcPr>
            <w:tcW w:w="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56,323</w:t>
            </w:r>
          </w:p>
        </w:tc>
        <w:tc>
          <w:tcPr>
            <w:tcW w:w="240" w:type="dxa"/>
            <w:vAlign w:val="bottom"/>
          </w:tcPr>
          <w:p>
            <w:pPr>
              <w:spacing w:after="0"/>
              <w:rPr>
                <w:sz w:val="17"/>
                <w:szCs w:val="17"/>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6"/>
                <w:szCs w:val="16"/>
                <w:color w:val="auto"/>
              </w:rPr>
              <w:t>39,093</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28,065</w:t>
            </w:r>
          </w:p>
        </w:tc>
        <w:tc>
          <w:tcPr>
            <w:tcW w:w="220" w:type="dxa"/>
            <w:vAlign w:val="bottom"/>
          </w:tcPr>
          <w:p>
            <w:pPr>
              <w:spacing w:after="0"/>
              <w:rPr>
                <w:sz w:val="17"/>
                <w:szCs w:val="17"/>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6"/>
                <w:szCs w:val="16"/>
                <w:color w:val="auto"/>
              </w:rPr>
              <w:t>22,400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6"/>
                <w:szCs w:val="16"/>
                <w:color w:val="auto"/>
              </w:rPr>
              <w:t>Net investment income</w:t>
            </w:r>
          </w:p>
        </w:tc>
        <w:tc>
          <w:tcPr>
            <w:tcW w:w="98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51,180</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49,899</w:t>
            </w: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66,998</w:t>
            </w: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57,069</w:t>
            </w:r>
          </w:p>
        </w:tc>
        <w:tc>
          <w:tcPr>
            <w:tcW w:w="24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52,645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32,075</w:t>
            </w:r>
          </w:p>
        </w:tc>
        <w:tc>
          <w:tcPr>
            <w:tcW w:w="22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22,719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tcPr>
          <w:p>
            <w:pPr>
              <w:spacing w:after="0"/>
              <w:rPr>
                <w:sz w:val="20"/>
                <w:szCs w:val="20"/>
                <w:color w:val="auto"/>
              </w:rPr>
            </w:pPr>
            <w:r>
              <w:rPr>
                <w:rFonts w:ascii="Arial" w:cs="Arial" w:eastAsia="Arial" w:hAnsi="Arial"/>
                <w:sz w:val="16"/>
                <w:szCs w:val="16"/>
                <w:color w:val="auto"/>
              </w:rPr>
              <w:t>Net realized and unrealized gain (loss)</w:t>
            </w:r>
          </w:p>
        </w:tc>
        <w:tc>
          <w:tcPr>
            <w:tcW w:w="980" w:type="dxa"/>
            <w:vAlign w:val="bottom"/>
          </w:tcPr>
          <w:p>
            <w:pPr>
              <w:jc w:val="right"/>
              <w:ind w:right="160"/>
              <w:spacing w:after="0"/>
              <w:rPr>
                <w:sz w:val="20"/>
                <w:szCs w:val="20"/>
                <w:color w:val="auto"/>
              </w:rPr>
            </w:pPr>
            <w:r>
              <w:rPr>
                <w:rFonts w:ascii="Arial" w:cs="Arial" w:eastAsia="Arial" w:hAnsi="Arial"/>
                <w:sz w:val="16"/>
                <w:szCs w:val="16"/>
                <w:color w:val="auto"/>
              </w:rPr>
              <w:t>60,905</w:t>
            </w:r>
          </w:p>
        </w:tc>
        <w:tc>
          <w:tcPr>
            <w:tcW w:w="840" w:type="dxa"/>
            <w:vAlign w:val="bottom"/>
          </w:tcPr>
          <w:p>
            <w:pPr>
              <w:jc w:val="right"/>
              <w:spacing w:after="0"/>
              <w:rPr>
                <w:sz w:val="20"/>
                <w:szCs w:val="20"/>
                <w:color w:val="auto"/>
              </w:rPr>
            </w:pPr>
            <w:r>
              <w:rPr>
                <w:rFonts w:ascii="Arial" w:cs="Arial" w:eastAsia="Arial" w:hAnsi="Arial"/>
                <w:sz w:val="16"/>
                <w:szCs w:val="16"/>
                <w:color w:val="auto"/>
              </w:rPr>
              <w:t>19,400</w:t>
            </w:r>
          </w:p>
        </w:tc>
        <w:tc>
          <w:tcPr>
            <w:tcW w:w="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24,780</w:t>
            </w:r>
          </w:p>
        </w:tc>
        <w:tc>
          <w:tcPr>
            <w:tcW w:w="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6,284</w:t>
            </w:r>
          </w:p>
        </w:tc>
        <w:tc>
          <w:tcPr>
            <w:tcW w:w="240" w:type="dxa"/>
            <w:vAlign w:val="bottom"/>
          </w:tcPr>
          <w:p>
            <w:pPr>
              <w:spacing w:after="0"/>
              <w:rPr>
                <w:sz w:val="17"/>
                <w:szCs w:val="17"/>
                <w:color w:val="auto"/>
              </w:rPr>
            </w:pPr>
          </w:p>
        </w:tc>
        <w:tc>
          <w:tcPr>
            <w:tcW w:w="1020" w:type="dxa"/>
            <w:vAlign w:val="bottom"/>
            <w:gridSpan w:val="3"/>
          </w:tcPr>
          <w:p>
            <w:pPr>
              <w:jc w:val="right"/>
              <w:ind w:right="260"/>
              <w:spacing w:after="0"/>
              <w:rPr>
                <w:sz w:val="20"/>
                <w:szCs w:val="20"/>
                <w:color w:val="auto"/>
              </w:rPr>
            </w:pPr>
            <w:r>
              <w:rPr>
                <w:rFonts w:ascii="Arial" w:cs="Arial" w:eastAsia="Arial" w:hAnsi="Arial"/>
                <w:sz w:val="16"/>
                <w:szCs w:val="16"/>
                <w:color w:val="auto"/>
              </w:rPr>
              <w:t>(42,382)</w:t>
            </w:r>
          </w:p>
        </w:tc>
        <w:tc>
          <w:tcPr>
            <w:tcW w:w="920" w:type="dxa"/>
            <w:vAlign w:val="bottom"/>
            <w:gridSpan w:val="3"/>
          </w:tcPr>
          <w:p>
            <w:pPr>
              <w:jc w:val="right"/>
              <w:ind w:right="160"/>
              <w:spacing w:after="0"/>
              <w:rPr>
                <w:sz w:val="20"/>
                <w:szCs w:val="20"/>
                <w:color w:val="auto"/>
              </w:rPr>
            </w:pPr>
            <w:r>
              <w:rPr>
                <w:rFonts w:ascii="Arial" w:cs="Arial" w:eastAsia="Arial" w:hAnsi="Arial"/>
                <w:sz w:val="16"/>
                <w:szCs w:val="16"/>
                <w:color w:val="auto"/>
              </w:rPr>
              <w:t>(15,539)</w:t>
            </w:r>
          </w:p>
        </w:tc>
        <w:tc>
          <w:tcPr>
            <w:tcW w:w="880" w:type="dxa"/>
            <w:vAlign w:val="bottom"/>
            <w:gridSpan w:val="3"/>
          </w:tcPr>
          <w:p>
            <w:pPr>
              <w:jc w:val="right"/>
              <w:ind w:right="180"/>
              <w:spacing w:after="0"/>
              <w:rPr>
                <w:sz w:val="20"/>
                <w:szCs w:val="20"/>
                <w:color w:val="auto"/>
              </w:rPr>
            </w:pPr>
            <w:r>
              <w:rPr>
                <w:rFonts w:ascii="Arial" w:cs="Arial" w:eastAsia="Arial" w:hAnsi="Arial"/>
                <w:sz w:val="16"/>
                <w:szCs w:val="16"/>
                <w:color w:val="auto"/>
              </w:rPr>
              <w:t>13,083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6"/>
                <w:szCs w:val="16"/>
                <w:color w:val="auto"/>
              </w:rPr>
              <w:t>Net increase in net assets resulting from operations</w:t>
            </w:r>
          </w:p>
        </w:tc>
        <w:tc>
          <w:tcPr>
            <w:tcW w:w="98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112,085</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69,299</w:t>
            </w: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91,778</w:t>
            </w: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63,353</w:t>
            </w:r>
          </w:p>
        </w:tc>
        <w:tc>
          <w:tcPr>
            <w:tcW w:w="24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10,263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16,535</w:t>
            </w:r>
          </w:p>
        </w:tc>
        <w:tc>
          <w:tcPr>
            <w:tcW w:w="22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35,802</w:t>
            </w:r>
          </w:p>
        </w:tc>
        <w:tc>
          <w:tcPr>
            <w:tcW w:w="0" w:type="dxa"/>
            <w:vAlign w:val="bottom"/>
          </w:tcPr>
          <w:p>
            <w:pPr>
              <w:spacing w:after="0"/>
              <w:rPr>
                <w:sz w:val="1"/>
                <w:szCs w:val="1"/>
                <w:color w:val="auto"/>
              </w:rPr>
            </w:pPr>
          </w:p>
        </w:tc>
      </w:tr>
      <w:tr>
        <w:trPr>
          <w:trHeight w:val="305"/>
        </w:trPr>
        <w:tc>
          <w:tcPr>
            <w:tcW w:w="4380" w:type="dxa"/>
            <w:vAlign w:val="bottom"/>
            <w:gridSpan w:val="2"/>
          </w:tcPr>
          <w:p>
            <w:pPr>
              <w:spacing w:after="0"/>
              <w:rPr>
                <w:sz w:val="20"/>
                <w:szCs w:val="20"/>
                <w:color w:val="auto"/>
              </w:rPr>
            </w:pPr>
            <w:r>
              <w:rPr>
                <w:rFonts w:ascii="Arial" w:cs="Arial" w:eastAsia="Arial" w:hAnsi="Arial"/>
                <w:sz w:val="16"/>
                <w:szCs w:val="16"/>
                <w:b w:val="1"/>
                <w:bCs w:val="1"/>
                <w:color w:val="auto"/>
              </w:rPr>
              <w:t>Per share data:</w:t>
            </w: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6"/>
                <w:szCs w:val="16"/>
                <w:color w:val="auto"/>
              </w:rPr>
              <w:t>NAV (at period end)</w:t>
            </w:r>
          </w:p>
        </w:tc>
        <w:tc>
          <w:tcPr>
            <w:tcW w:w="98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11.33</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10.43</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10.49</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10.22</w:t>
            </w:r>
          </w:p>
        </w:tc>
        <w:tc>
          <w:tcPr>
            <w:tcW w:w="2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10.13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10.69</w:t>
            </w:r>
          </w:p>
        </w:tc>
        <w:tc>
          <w:tcPr>
            <w:tcW w:w="2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11.85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tcPr>
          <w:p>
            <w:pPr>
              <w:spacing w:after="0" w:line="202" w:lineRule="exact"/>
              <w:rPr>
                <w:sz w:val="20"/>
                <w:szCs w:val="20"/>
                <w:color w:val="auto"/>
              </w:rPr>
            </w:pPr>
            <w:r>
              <w:rPr>
                <w:rFonts w:ascii="Arial" w:cs="Arial" w:eastAsia="Arial" w:hAnsi="Arial"/>
                <w:sz w:val="14"/>
                <w:szCs w:val="14"/>
                <w:color w:val="auto"/>
              </w:rPr>
              <w:t>Net investment income</w:t>
            </w:r>
            <w:r>
              <w:rPr>
                <w:rFonts w:ascii="Arial" w:cs="Arial" w:eastAsia="Arial" w:hAnsi="Arial"/>
                <w:sz w:val="23"/>
                <w:szCs w:val="23"/>
                <w:color w:val="auto"/>
                <w:vertAlign w:val="superscript"/>
              </w:rPr>
              <w:t>(1)</w:t>
            </w:r>
          </w:p>
        </w:tc>
        <w:tc>
          <w:tcPr>
            <w:tcW w:w="980" w:type="dxa"/>
            <w:vAlign w:val="bottom"/>
          </w:tcPr>
          <w:p>
            <w:pPr>
              <w:jc w:val="right"/>
              <w:ind w:right="160"/>
              <w:spacing w:after="0"/>
              <w:rPr>
                <w:sz w:val="20"/>
                <w:szCs w:val="20"/>
                <w:color w:val="auto"/>
              </w:rPr>
            </w:pPr>
            <w:r>
              <w:rPr>
                <w:rFonts w:ascii="Arial" w:cs="Arial" w:eastAsia="Arial" w:hAnsi="Arial"/>
                <w:sz w:val="16"/>
                <w:szCs w:val="16"/>
                <w:color w:val="auto"/>
              </w:rPr>
              <w:t>0.77</w:t>
            </w:r>
          </w:p>
        </w:tc>
        <w:tc>
          <w:tcPr>
            <w:tcW w:w="840" w:type="dxa"/>
            <w:vAlign w:val="bottom"/>
          </w:tcPr>
          <w:p>
            <w:pPr>
              <w:jc w:val="right"/>
              <w:spacing w:after="0"/>
              <w:rPr>
                <w:sz w:val="20"/>
                <w:szCs w:val="20"/>
                <w:color w:val="auto"/>
              </w:rPr>
            </w:pPr>
            <w:r>
              <w:rPr>
                <w:rFonts w:ascii="Arial" w:cs="Arial" w:eastAsia="Arial" w:hAnsi="Arial"/>
                <w:sz w:val="16"/>
                <w:szCs w:val="16"/>
                <w:color w:val="auto"/>
              </w:rPr>
              <w:t>0.76</w:t>
            </w:r>
          </w:p>
        </w:tc>
        <w:tc>
          <w:tcPr>
            <w:tcW w:w="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1.01</w:t>
            </w:r>
          </w:p>
        </w:tc>
        <w:tc>
          <w:tcPr>
            <w:tcW w:w="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1.08</w:t>
            </w:r>
          </w:p>
        </w:tc>
        <w:tc>
          <w:tcPr>
            <w:tcW w:w="240" w:type="dxa"/>
            <w:vAlign w:val="bottom"/>
          </w:tcPr>
          <w:p>
            <w:pPr>
              <w:spacing w:after="0"/>
              <w:rPr>
                <w:sz w:val="17"/>
                <w:szCs w:val="17"/>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6"/>
                <w:szCs w:val="16"/>
                <w:color w:val="auto"/>
              </w:rPr>
              <w:t>1.25</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1.09</w:t>
            </w:r>
          </w:p>
        </w:tc>
        <w:tc>
          <w:tcPr>
            <w:tcW w:w="220" w:type="dxa"/>
            <w:vAlign w:val="bottom"/>
          </w:tcPr>
          <w:p>
            <w:pPr>
              <w:spacing w:after="0"/>
              <w:rPr>
                <w:sz w:val="17"/>
                <w:szCs w:val="17"/>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Net realized and unrealized gain (loss)</w:t>
            </w:r>
            <w:r>
              <w:rPr>
                <w:rFonts w:ascii="Arial" w:cs="Arial" w:eastAsia="Arial" w:hAnsi="Arial"/>
                <w:sz w:val="23"/>
                <w:szCs w:val="23"/>
                <w:color w:val="auto"/>
                <w:vertAlign w:val="superscript"/>
              </w:rPr>
              <w:t>(1)</w:t>
            </w:r>
          </w:p>
        </w:tc>
        <w:tc>
          <w:tcPr>
            <w:tcW w:w="98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0.91</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0.29</w:t>
            </w: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0.38</w:t>
            </w: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0.12</w:t>
            </w:r>
          </w:p>
        </w:tc>
        <w:tc>
          <w:tcPr>
            <w:tcW w:w="24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(1.01)</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(0.53)</w:t>
            </w: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0.62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tcPr>
          <w:p>
            <w:pPr>
              <w:spacing w:after="0" w:line="202" w:lineRule="exact"/>
              <w:rPr>
                <w:sz w:val="20"/>
                <w:szCs w:val="20"/>
                <w:color w:val="auto"/>
              </w:rPr>
            </w:pPr>
            <w:r>
              <w:rPr>
                <w:rFonts w:ascii="Arial" w:cs="Arial" w:eastAsia="Arial" w:hAnsi="Arial"/>
                <w:sz w:val="14"/>
                <w:szCs w:val="14"/>
                <w:color w:val="auto"/>
              </w:rPr>
              <w:t>Net increase in net assets resulting from operations</w:t>
            </w:r>
            <w:r>
              <w:rPr>
                <w:rFonts w:ascii="Arial" w:cs="Arial" w:eastAsia="Arial" w:hAnsi="Arial"/>
                <w:sz w:val="23"/>
                <w:szCs w:val="23"/>
                <w:color w:val="auto"/>
                <w:vertAlign w:val="superscript"/>
              </w:rPr>
              <w:t>(1)</w:t>
            </w:r>
          </w:p>
        </w:tc>
        <w:tc>
          <w:tcPr>
            <w:tcW w:w="980" w:type="dxa"/>
            <w:vAlign w:val="bottom"/>
          </w:tcPr>
          <w:p>
            <w:pPr>
              <w:jc w:val="right"/>
              <w:ind w:right="160"/>
              <w:spacing w:after="0"/>
              <w:rPr>
                <w:sz w:val="20"/>
                <w:szCs w:val="20"/>
                <w:color w:val="auto"/>
              </w:rPr>
            </w:pPr>
            <w:r>
              <w:rPr>
                <w:rFonts w:ascii="Arial" w:cs="Arial" w:eastAsia="Arial" w:hAnsi="Arial"/>
                <w:sz w:val="16"/>
                <w:szCs w:val="16"/>
                <w:color w:val="auto"/>
              </w:rPr>
              <w:t>1.68</w:t>
            </w:r>
          </w:p>
        </w:tc>
        <w:tc>
          <w:tcPr>
            <w:tcW w:w="840" w:type="dxa"/>
            <w:vAlign w:val="bottom"/>
          </w:tcPr>
          <w:p>
            <w:pPr>
              <w:jc w:val="right"/>
              <w:spacing w:after="0"/>
              <w:rPr>
                <w:sz w:val="20"/>
                <w:szCs w:val="20"/>
                <w:color w:val="auto"/>
              </w:rPr>
            </w:pPr>
            <w:r>
              <w:rPr>
                <w:rFonts w:ascii="Arial" w:cs="Arial" w:eastAsia="Arial" w:hAnsi="Arial"/>
                <w:sz w:val="16"/>
                <w:szCs w:val="16"/>
                <w:color w:val="auto"/>
              </w:rPr>
              <w:t>1.05</w:t>
            </w:r>
          </w:p>
        </w:tc>
        <w:tc>
          <w:tcPr>
            <w:tcW w:w="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1.39</w:t>
            </w:r>
          </w:p>
        </w:tc>
        <w:tc>
          <w:tcPr>
            <w:tcW w:w="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1.20</w:t>
            </w:r>
          </w:p>
        </w:tc>
        <w:tc>
          <w:tcPr>
            <w:tcW w:w="240" w:type="dxa"/>
            <w:vAlign w:val="bottom"/>
          </w:tcPr>
          <w:p>
            <w:pPr>
              <w:spacing w:after="0"/>
              <w:rPr>
                <w:sz w:val="17"/>
                <w:szCs w:val="17"/>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6"/>
                <w:szCs w:val="16"/>
                <w:color w:val="auto"/>
              </w:rPr>
              <w:t>0.24</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0.56</w:t>
            </w:r>
          </w:p>
        </w:tc>
        <w:tc>
          <w:tcPr>
            <w:tcW w:w="220" w:type="dxa"/>
            <w:vAlign w:val="bottom"/>
          </w:tcPr>
          <w:p>
            <w:pPr>
              <w:spacing w:after="0"/>
              <w:rPr>
                <w:sz w:val="17"/>
                <w:szCs w:val="17"/>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Distributions declared</w:t>
            </w:r>
            <w:r>
              <w:rPr>
                <w:rFonts w:ascii="Arial" w:cs="Arial" w:eastAsia="Arial" w:hAnsi="Arial"/>
                <w:sz w:val="23"/>
                <w:szCs w:val="23"/>
                <w:color w:val="auto"/>
                <w:vertAlign w:val="superscript"/>
              </w:rPr>
              <w:t>(1),(2)</w:t>
            </w:r>
          </w:p>
        </w:tc>
        <w:tc>
          <w:tcPr>
            <w:tcW w:w="98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0.84</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0.84</w:t>
            </w: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24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1.10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22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0.96</w:t>
            </w:r>
          </w:p>
        </w:tc>
        <w:tc>
          <w:tcPr>
            <w:tcW w:w="0" w:type="dxa"/>
            <w:vAlign w:val="bottom"/>
          </w:tcPr>
          <w:p>
            <w:pPr>
              <w:spacing w:after="0"/>
              <w:rPr>
                <w:sz w:val="1"/>
                <w:szCs w:val="1"/>
                <w:color w:val="auto"/>
              </w:rPr>
            </w:pPr>
          </w:p>
        </w:tc>
      </w:tr>
      <w:tr>
        <w:trPr>
          <w:trHeight w:val="305"/>
        </w:trPr>
        <w:tc>
          <w:tcPr>
            <w:tcW w:w="4380" w:type="dxa"/>
            <w:vAlign w:val="bottom"/>
            <w:gridSpan w:val="2"/>
          </w:tcPr>
          <w:p>
            <w:pPr>
              <w:spacing w:after="0"/>
              <w:rPr>
                <w:sz w:val="20"/>
                <w:szCs w:val="20"/>
                <w:color w:val="auto"/>
              </w:rPr>
            </w:pPr>
            <w:r>
              <w:rPr>
                <w:rFonts w:ascii="Arial" w:cs="Arial" w:eastAsia="Arial" w:hAnsi="Arial"/>
                <w:sz w:val="16"/>
                <w:szCs w:val="16"/>
                <w:b w:val="1"/>
                <w:bCs w:val="1"/>
                <w:color w:val="auto"/>
              </w:rPr>
              <w:t>Consolidated Statement of Assets and Liabilities data:</w:t>
            </w: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6"/>
                <w:szCs w:val="16"/>
                <w:color w:val="auto"/>
              </w:rPr>
              <w:t>Total assets</w:t>
            </w:r>
          </w:p>
        </w:tc>
        <w:tc>
          <w:tcPr>
            <w:tcW w:w="98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1,290,175</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1,101,994</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1,153,327</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1,018,968</w:t>
            </w:r>
          </w:p>
        </w:tc>
        <w:tc>
          <w:tcPr>
            <w:tcW w:w="2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928,738</w:t>
            </w: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711,494</w:t>
            </w: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512,381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tcPr>
          <w:p>
            <w:pPr>
              <w:spacing w:after="0"/>
              <w:rPr>
                <w:sz w:val="20"/>
                <w:szCs w:val="20"/>
                <w:color w:val="auto"/>
              </w:rPr>
            </w:pPr>
            <w:r>
              <w:rPr>
                <w:rFonts w:ascii="Arial" w:cs="Arial" w:eastAsia="Arial" w:hAnsi="Arial"/>
                <w:sz w:val="16"/>
                <w:szCs w:val="16"/>
                <w:color w:val="auto"/>
              </w:rPr>
              <w:t>Total investment portfolio</w:t>
            </w:r>
          </w:p>
        </w:tc>
        <w:tc>
          <w:tcPr>
            <w:tcW w:w="980" w:type="dxa"/>
            <w:vAlign w:val="bottom"/>
          </w:tcPr>
          <w:p>
            <w:pPr>
              <w:jc w:val="right"/>
              <w:ind w:right="160"/>
              <w:spacing w:after="0"/>
              <w:rPr>
                <w:sz w:val="20"/>
                <w:szCs w:val="20"/>
                <w:color w:val="auto"/>
              </w:rPr>
            </w:pPr>
            <w:r>
              <w:rPr>
                <w:rFonts w:ascii="Arial" w:cs="Arial" w:eastAsia="Arial" w:hAnsi="Arial"/>
                <w:sz w:val="16"/>
                <w:szCs w:val="16"/>
                <w:color w:val="auto"/>
              </w:rPr>
              <w:t>1,198,408</w:t>
            </w:r>
          </w:p>
        </w:tc>
        <w:tc>
          <w:tcPr>
            <w:tcW w:w="840" w:type="dxa"/>
            <w:vAlign w:val="bottom"/>
          </w:tcPr>
          <w:p>
            <w:pPr>
              <w:jc w:val="right"/>
              <w:spacing w:after="0"/>
              <w:rPr>
                <w:sz w:val="20"/>
                <w:szCs w:val="20"/>
                <w:color w:val="auto"/>
              </w:rPr>
            </w:pPr>
            <w:r>
              <w:rPr>
                <w:rFonts w:ascii="Arial" w:cs="Arial" w:eastAsia="Arial" w:hAnsi="Arial"/>
                <w:sz w:val="16"/>
                <w:szCs w:val="16"/>
                <w:color w:val="auto"/>
              </w:rPr>
              <w:t>1,066,265</w:t>
            </w:r>
          </w:p>
        </w:tc>
        <w:tc>
          <w:tcPr>
            <w:tcW w:w="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1,078,176</w:t>
            </w:r>
          </w:p>
        </w:tc>
        <w:tc>
          <w:tcPr>
            <w:tcW w:w="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990,480</w:t>
            </w:r>
          </w:p>
        </w:tc>
        <w:tc>
          <w:tcPr>
            <w:tcW w:w="240" w:type="dxa"/>
            <w:vAlign w:val="bottom"/>
          </w:tcPr>
          <w:p>
            <w:pPr>
              <w:spacing w:after="0"/>
              <w:rPr>
                <w:sz w:val="17"/>
                <w:szCs w:val="17"/>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6"/>
                <w:szCs w:val="16"/>
                <w:color w:val="auto"/>
              </w:rPr>
              <w:t>827,549</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664,724</w:t>
            </w:r>
          </w:p>
        </w:tc>
        <w:tc>
          <w:tcPr>
            <w:tcW w:w="220" w:type="dxa"/>
            <w:vAlign w:val="bottom"/>
          </w:tcPr>
          <w:p>
            <w:pPr>
              <w:spacing w:after="0"/>
              <w:rPr>
                <w:sz w:val="17"/>
                <w:szCs w:val="17"/>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6"/>
                <w:szCs w:val="16"/>
                <w:color w:val="auto"/>
              </w:rPr>
              <w:t>469,760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Borrowings outstanding</w:t>
            </w:r>
            <w:r>
              <w:rPr>
                <w:rFonts w:ascii="Arial" w:cs="Arial" w:eastAsia="Arial" w:hAnsi="Arial"/>
                <w:sz w:val="23"/>
                <w:szCs w:val="23"/>
                <w:color w:val="auto"/>
                <w:vertAlign w:val="superscript"/>
              </w:rPr>
              <w:t>(3)</w:t>
            </w:r>
          </w:p>
        </w:tc>
        <w:tc>
          <w:tcPr>
            <w:tcW w:w="98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479,720</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335,750</w:t>
            </w: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363,900</w:t>
            </w: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294,452</w:t>
            </w:r>
          </w:p>
        </w:tc>
        <w:tc>
          <w:tcPr>
            <w:tcW w:w="24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388,792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233,641</w:t>
            </w:r>
          </w:p>
        </w:tc>
        <w:tc>
          <w:tcPr>
            <w:tcW w:w="22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175,475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360" w:type="dxa"/>
            <w:vAlign w:val="bottom"/>
          </w:tcPr>
          <w:p>
            <w:pPr>
              <w:spacing w:after="0"/>
              <w:rPr>
                <w:sz w:val="20"/>
                <w:szCs w:val="20"/>
                <w:color w:val="auto"/>
              </w:rPr>
            </w:pPr>
            <w:r>
              <w:rPr>
                <w:rFonts w:ascii="Arial" w:cs="Arial" w:eastAsia="Arial" w:hAnsi="Arial"/>
                <w:sz w:val="16"/>
                <w:szCs w:val="16"/>
                <w:color w:val="auto"/>
              </w:rPr>
              <w:t>Total NAV</w:t>
            </w:r>
          </w:p>
        </w:tc>
        <w:tc>
          <w:tcPr>
            <w:tcW w:w="980" w:type="dxa"/>
            <w:vAlign w:val="bottom"/>
          </w:tcPr>
          <w:p>
            <w:pPr>
              <w:jc w:val="right"/>
              <w:ind w:right="160"/>
              <w:spacing w:after="0"/>
              <w:rPr>
                <w:sz w:val="20"/>
                <w:szCs w:val="20"/>
                <w:color w:val="auto"/>
              </w:rPr>
            </w:pPr>
            <w:r>
              <w:rPr>
                <w:rFonts w:ascii="Arial" w:cs="Arial" w:eastAsia="Arial" w:hAnsi="Arial"/>
                <w:sz w:val="16"/>
                <w:szCs w:val="16"/>
                <w:color w:val="auto"/>
              </w:rPr>
              <w:t>754,473</w:t>
            </w:r>
          </w:p>
        </w:tc>
        <w:tc>
          <w:tcPr>
            <w:tcW w:w="840" w:type="dxa"/>
            <w:vAlign w:val="bottom"/>
          </w:tcPr>
          <w:p>
            <w:pPr>
              <w:jc w:val="right"/>
              <w:spacing w:after="0"/>
              <w:rPr>
                <w:sz w:val="20"/>
                <w:szCs w:val="20"/>
                <w:color w:val="auto"/>
              </w:rPr>
            </w:pPr>
            <w:r>
              <w:rPr>
                <w:rFonts w:ascii="Arial" w:cs="Arial" w:eastAsia="Arial" w:hAnsi="Arial"/>
                <w:sz w:val="16"/>
                <w:szCs w:val="16"/>
                <w:color w:val="auto"/>
              </w:rPr>
              <w:t>693,103</w:t>
            </w:r>
          </w:p>
        </w:tc>
        <w:tc>
          <w:tcPr>
            <w:tcW w:w="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697,506</w:t>
            </w:r>
          </w:p>
        </w:tc>
        <w:tc>
          <w:tcPr>
            <w:tcW w:w="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669,717</w:t>
            </w:r>
          </w:p>
        </w:tc>
        <w:tc>
          <w:tcPr>
            <w:tcW w:w="240" w:type="dxa"/>
            <w:vAlign w:val="bottom"/>
          </w:tcPr>
          <w:p>
            <w:pPr>
              <w:spacing w:after="0"/>
              <w:rPr>
                <w:sz w:val="17"/>
                <w:szCs w:val="17"/>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6"/>
                <w:szCs w:val="16"/>
                <w:color w:val="auto"/>
              </w:rPr>
              <w:t>462,657</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386,575</w:t>
            </w:r>
          </w:p>
        </w:tc>
        <w:tc>
          <w:tcPr>
            <w:tcW w:w="220" w:type="dxa"/>
            <w:vAlign w:val="bottom"/>
          </w:tcPr>
          <w:p>
            <w:pPr>
              <w:spacing w:after="0"/>
              <w:rPr>
                <w:sz w:val="17"/>
                <w:szCs w:val="17"/>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6"/>
                <w:szCs w:val="16"/>
                <w:color w:val="auto"/>
              </w:rPr>
              <w:t>300,580</w:t>
            </w:r>
          </w:p>
        </w:tc>
        <w:tc>
          <w:tcPr>
            <w:tcW w:w="0" w:type="dxa"/>
            <w:vAlign w:val="bottom"/>
          </w:tcPr>
          <w:p>
            <w:pPr>
              <w:spacing w:after="0"/>
              <w:rPr>
                <w:sz w:val="1"/>
                <w:szCs w:val="1"/>
                <w:color w:val="auto"/>
              </w:rPr>
            </w:pPr>
          </w:p>
        </w:tc>
      </w:tr>
      <w:tr>
        <w:trPr>
          <w:trHeight w:val="104"/>
        </w:trPr>
        <w:tc>
          <w:tcPr>
            <w:tcW w:w="20" w:type="dxa"/>
            <w:vAlign w:val="bottom"/>
            <w:vMerge w:val="restart"/>
          </w:tcPr>
          <w:p>
            <w:pPr>
              <w:spacing w:after="0"/>
              <w:rPr>
                <w:sz w:val="9"/>
                <w:szCs w:val="9"/>
                <w:color w:val="auto"/>
              </w:rPr>
            </w:pPr>
          </w:p>
        </w:tc>
        <w:tc>
          <w:tcPr>
            <w:tcW w:w="4360" w:type="dxa"/>
            <w:vAlign w:val="bottom"/>
          </w:tcPr>
          <w:p>
            <w:pPr>
              <w:spacing w:after="0"/>
              <w:rPr>
                <w:sz w:val="9"/>
                <w:szCs w:val="9"/>
                <w:color w:val="auto"/>
              </w:rPr>
            </w:pPr>
          </w:p>
        </w:tc>
        <w:tc>
          <w:tcPr>
            <w:tcW w:w="980" w:type="dxa"/>
            <w:vAlign w:val="bottom"/>
          </w:tcPr>
          <w:p>
            <w:pPr>
              <w:spacing w:after="0"/>
              <w:rPr>
                <w:sz w:val="9"/>
                <w:szCs w:val="9"/>
                <w:color w:val="auto"/>
              </w:rPr>
            </w:pPr>
          </w:p>
        </w:tc>
        <w:tc>
          <w:tcPr>
            <w:tcW w:w="8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Other data:</w:t>
            </w:r>
          </w:p>
        </w:tc>
        <w:tc>
          <w:tcPr>
            <w:tcW w:w="9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tcPr>
          <w:p>
            <w:pPr>
              <w:spacing w:after="0" w:line="202" w:lineRule="exact"/>
              <w:rPr>
                <w:sz w:val="20"/>
                <w:szCs w:val="20"/>
                <w:color w:val="auto"/>
              </w:rPr>
            </w:pPr>
            <w:r>
              <w:rPr>
                <w:rFonts w:ascii="Arial" w:cs="Arial" w:eastAsia="Arial" w:hAnsi="Arial"/>
                <w:sz w:val="14"/>
                <w:szCs w:val="14"/>
                <w:color w:val="auto"/>
              </w:rPr>
              <w:t>Total return</w:t>
            </w:r>
            <w:r>
              <w:rPr>
                <w:rFonts w:ascii="Arial" w:cs="Arial" w:eastAsia="Arial" w:hAnsi="Arial"/>
                <w:sz w:val="23"/>
                <w:szCs w:val="23"/>
                <w:color w:val="auto"/>
                <w:vertAlign w:val="superscript"/>
              </w:rPr>
              <w:t>(4)</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9.30%</w:t>
            </w: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12.20%</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17.37%</w:t>
            </w: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28.71%</w:t>
            </w:r>
          </w:p>
        </w:tc>
        <w:tc>
          <w:tcPr>
            <w:tcW w:w="1020" w:type="dxa"/>
            <w:vAlign w:val="bottom"/>
            <w:gridSpan w:val="3"/>
          </w:tcPr>
          <w:p>
            <w:pPr>
              <w:jc w:val="right"/>
              <w:ind w:right="120"/>
              <w:spacing w:after="0"/>
              <w:rPr>
                <w:sz w:val="20"/>
                <w:szCs w:val="20"/>
                <w:color w:val="auto"/>
              </w:rPr>
            </w:pPr>
            <w:r>
              <w:rPr>
                <w:rFonts w:ascii="Arial" w:cs="Arial" w:eastAsia="Arial" w:hAnsi="Arial"/>
                <w:sz w:val="16"/>
                <w:szCs w:val="16"/>
                <w:color w:val="auto"/>
              </w:rPr>
              <w:t>(7.37)%</w:t>
            </w:r>
          </w:p>
        </w:tc>
        <w:tc>
          <w:tcPr>
            <w:tcW w:w="920" w:type="dxa"/>
            <w:vAlign w:val="bottom"/>
            <w:gridSpan w:val="3"/>
          </w:tcPr>
          <w:p>
            <w:pPr>
              <w:jc w:val="right"/>
              <w:ind w:right="80"/>
              <w:spacing w:after="0"/>
              <w:rPr>
                <w:sz w:val="20"/>
                <w:szCs w:val="20"/>
                <w:color w:val="auto"/>
              </w:rPr>
            </w:pPr>
            <w:r>
              <w:rPr>
                <w:rFonts w:ascii="Arial" w:cs="Arial" w:eastAsia="Arial" w:hAnsi="Arial"/>
                <w:sz w:val="16"/>
                <w:szCs w:val="16"/>
                <w:color w:val="auto"/>
              </w:rPr>
              <w:t>44.79%</w:t>
            </w:r>
          </w:p>
        </w:tc>
        <w:tc>
          <w:tcPr>
            <w:tcW w:w="880" w:type="dxa"/>
            <w:vAlign w:val="bottom"/>
            <w:gridSpan w:val="3"/>
          </w:tcPr>
          <w:p>
            <w:pPr>
              <w:jc w:val="right"/>
              <w:ind w:right="40"/>
              <w:spacing w:after="0"/>
              <w:rPr>
                <w:sz w:val="20"/>
                <w:szCs w:val="20"/>
                <w:color w:val="auto"/>
              </w:rPr>
            </w:pPr>
            <w:r>
              <w:rPr>
                <w:rFonts w:ascii="Arial" w:cs="Arial" w:eastAsia="Arial" w:hAnsi="Arial"/>
                <w:sz w:val="16"/>
                <w:szCs w:val="16"/>
                <w:color w:val="auto"/>
              </w:rPr>
              <w:t>30.39%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Number of portfolio companies</w:t>
            </w:r>
            <w:r>
              <w:rPr>
                <w:rFonts w:ascii="Arial" w:cs="Arial" w:eastAsia="Arial" w:hAnsi="Arial"/>
                <w:sz w:val="23"/>
                <w:szCs w:val="23"/>
                <w:color w:val="auto"/>
                <w:vertAlign w:val="superscript"/>
              </w:rPr>
              <w:t>(5)</w:t>
            </w:r>
          </w:p>
        </w:tc>
        <w:tc>
          <w:tcPr>
            <w:tcW w:w="98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66</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24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48</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22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4360" w:type="dxa"/>
            <w:vAlign w:val="bottom"/>
          </w:tcPr>
          <w:p>
            <w:pPr>
              <w:spacing w:after="0"/>
              <w:rPr>
                <w:sz w:val="20"/>
                <w:szCs w:val="20"/>
                <w:color w:val="auto"/>
              </w:rPr>
            </w:pPr>
            <w:r>
              <w:rPr>
                <w:rFonts w:ascii="Arial" w:cs="Arial" w:eastAsia="Arial" w:hAnsi="Arial"/>
                <w:sz w:val="16"/>
                <w:szCs w:val="16"/>
                <w:color w:val="auto"/>
              </w:rPr>
              <w:t>Yield on debt portfolio</w:t>
            </w:r>
            <w:r>
              <w:rPr>
                <w:rFonts w:ascii="Arial" w:cs="Arial" w:eastAsia="Arial" w:hAnsi="Arial"/>
                <w:sz w:val="27"/>
                <w:szCs w:val="27"/>
                <w:color w:val="auto"/>
                <w:vertAlign w:val="superscript"/>
              </w:rPr>
              <w:t>(5)</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12.3%</w:t>
            </w: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13.1%</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13.0%</w:t>
            </w: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13.2%</w:t>
            </w:r>
          </w:p>
        </w:tc>
        <w:tc>
          <w:tcPr>
            <w:tcW w:w="1020" w:type="dxa"/>
            <w:vAlign w:val="bottom"/>
            <w:gridSpan w:val="3"/>
          </w:tcPr>
          <w:p>
            <w:pPr>
              <w:jc w:val="right"/>
              <w:ind w:right="180"/>
              <w:spacing w:after="0"/>
              <w:rPr>
                <w:sz w:val="20"/>
                <w:szCs w:val="20"/>
                <w:color w:val="auto"/>
              </w:rPr>
            </w:pPr>
            <w:r>
              <w:rPr>
                <w:rFonts w:ascii="Arial" w:cs="Arial" w:eastAsia="Arial" w:hAnsi="Arial"/>
                <w:sz w:val="16"/>
                <w:szCs w:val="16"/>
                <w:color w:val="auto"/>
              </w:rPr>
              <w:t>13.3%</w:t>
            </w:r>
          </w:p>
        </w:tc>
        <w:tc>
          <w:tcPr>
            <w:tcW w:w="920" w:type="dxa"/>
            <w:vAlign w:val="bottom"/>
            <w:gridSpan w:val="3"/>
          </w:tcPr>
          <w:p>
            <w:pPr>
              <w:jc w:val="right"/>
              <w:ind w:right="80"/>
              <w:spacing w:after="0"/>
              <w:rPr>
                <w:sz w:val="20"/>
                <w:szCs w:val="20"/>
                <w:color w:val="auto"/>
              </w:rPr>
            </w:pPr>
            <w:r>
              <w:rPr>
                <w:rFonts w:ascii="Arial" w:cs="Arial" w:eastAsia="Arial" w:hAnsi="Arial"/>
                <w:sz w:val="16"/>
                <w:szCs w:val="16"/>
                <w:color w:val="auto"/>
              </w:rPr>
              <w:t>12.7%</w:t>
            </w:r>
          </w:p>
        </w:tc>
        <w:tc>
          <w:tcPr>
            <w:tcW w:w="880" w:type="dxa"/>
            <w:vAlign w:val="bottom"/>
            <w:gridSpan w:val="3"/>
          </w:tcPr>
          <w:p>
            <w:pPr>
              <w:jc w:val="right"/>
              <w:ind w:right="40"/>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289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the weighted average shares outstanding for the respective years.</w:t>
      </w:r>
    </w:p>
    <w:p>
      <w:pPr>
        <w:spacing w:after="0" w:line="22" w:lineRule="exact"/>
        <w:rPr>
          <w:rFonts w:ascii="Arial" w:cs="Arial" w:eastAsia="Arial" w:hAnsi="Arial"/>
          <w:sz w:val="16"/>
          <w:szCs w:val="16"/>
          <w:color w:val="auto"/>
        </w:rPr>
      </w:pPr>
    </w:p>
    <w:p>
      <w:pPr>
        <w:ind w:left="340" w:hanging="332"/>
        <w:spacing w:after="0"/>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taxable income calculated in accordance with income tax regulations, which may differ from amounts determined under GAAP.</w:t>
      </w:r>
    </w:p>
    <w:p>
      <w:pPr>
        <w:spacing w:after="0" w:line="18" w:lineRule="exact"/>
        <w:rPr>
          <w:rFonts w:ascii="Arial" w:cs="Arial" w:eastAsia="Arial" w:hAnsi="Arial"/>
          <w:sz w:val="16"/>
          <w:szCs w:val="16"/>
          <w:color w:val="auto"/>
        </w:rPr>
      </w:pPr>
    </w:p>
    <w:p>
      <w:pPr>
        <w:ind w:left="340" w:hanging="332"/>
        <w:spacing w:after="0"/>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At fair value.</w:t>
      </w:r>
    </w:p>
    <w:p>
      <w:pPr>
        <w:spacing w:after="0" w:line="18" w:lineRule="exact"/>
        <w:rPr>
          <w:rFonts w:ascii="Arial" w:cs="Arial" w:eastAsia="Arial" w:hAnsi="Arial"/>
          <w:sz w:val="16"/>
          <w:szCs w:val="16"/>
          <w:color w:val="auto"/>
        </w:rPr>
      </w:pPr>
    </w:p>
    <w:p>
      <w:pPr>
        <w:ind w:left="340" w:right="340" w:hanging="332"/>
        <w:spacing w:after="0" w:line="264"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the change in market price per share during the periods and takes into account distributions, if any, reinvested in accordance with our dividend reinvestment plan.</w:t>
      </w:r>
    </w:p>
    <w:p>
      <w:pPr>
        <w:ind w:left="340" w:hanging="332"/>
        <w:spacing w:after="0"/>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Unaudited.</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Quarterly Data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89"/>
              </w:rPr>
              <w:t>2014</w:t>
            </w: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69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rPr>
              <w:t>Q3</w:t>
            </w:r>
          </w:p>
        </w:tc>
        <w:tc>
          <w:tcPr>
            <w:tcW w:w="100" w:type="dxa"/>
            <w:vAlign w:val="bottom"/>
          </w:tcPr>
          <w:p>
            <w:pPr>
              <w:spacing w:after="0"/>
              <w:rPr>
                <w:sz w:val="12"/>
                <w:szCs w:val="12"/>
                <w:color w:val="auto"/>
              </w:rPr>
            </w:pPr>
          </w:p>
        </w:tc>
        <w:tc>
          <w:tcPr>
            <w:tcW w:w="780" w:type="dxa"/>
            <w:vAlign w:val="bottom"/>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rPr>
              <w:t>Q2</w:t>
            </w:r>
          </w:p>
        </w:tc>
        <w:tc>
          <w:tcPr>
            <w:tcW w:w="80" w:type="dxa"/>
            <w:vAlign w:val="bottom"/>
          </w:tcPr>
          <w:p>
            <w:pPr>
              <w:spacing w:after="0"/>
              <w:rPr>
                <w:sz w:val="12"/>
                <w:szCs w:val="12"/>
                <w:color w:val="auto"/>
              </w:rPr>
            </w:pPr>
          </w:p>
        </w:tc>
        <w:tc>
          <w:tcPr>
            <w:tcW w:w="50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Q1</w:t>
            </w:r>
          </w:p>
        </w:tc>
        <w:tc>
          <w:tcPr>
            <w:tcW w:w="60" w:type="dxa"/>
            <w:vAlign w:val="bottom"/>
          </w:tcPr>
          <w:p>
            <w:pPr>
              <w:spacing w:after="0"/>
              <w:rPr>
                <w:sz w:val="12"/>
                <w:szCs w:val="12"/>
                <w:color w:val="auto"/>
              </w:rPr>
            </w:pPr>
          </w:p>
        </w:tc>
      </w:tr>
      <w:tr>
        <w:trPr>
          <w:trHeight w:val="210"/>
        </w:trPr>
        <w:tc>
          <w:tcPr>
            <w:tcW w:w="6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0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35,475</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37,879</w:t>
            </w: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34,439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Net investment income</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13,196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20,029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17,955</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18,753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20,652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21,500</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31,949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40,681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39,455</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 per common share</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0.48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0.61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0.59</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NAV per share at the end of the quarter</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11.33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11.13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10.80</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11.46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11.05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11.60</w:t>
            </w:r>
          </w:p>
        </w:tc>
      </w:tr>
      <w:tr>
        <w:trPr>
          <w:trHeight w:val="365"/>
        </w:trPr>
        <w:tc>
          <w:tcPr>
            <w:tcW w:w="6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69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rPr>
              <w:t>Q4</w:t>
            </w:r>
          </w:p>
        </w:tc>
        <w:tc>
          <w:tcPr>
            <w:tcW w:w="100" w:type="dxa"/>
            <w:vAlign w:val="bottom"/>
          </w:tcPr>
          <w:p>
            <w:pPr>
              <w:spacing w:after="0"/>
              <w:rPr>
                <w:sz w:val="12"/>
                <w:szCs w:val="12"/>
                <w:color w:val="auto"/>
              </w:rPr>
            </w:pPr>
          </w:p>
        </w:tc>
        <w:tc>
          <w:tcPr>
            <w:tcW w:w="860" w:type="dxa"/>
            <w:vAlign w:val="bottom"/>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rPr>
              <w:t>Q3</w:t>
            </w:r>
          </w:p>
        </w:tc>
        <w:tc>
          <w:tcPr>
            <w:tcW w:w="100" w:type="dxa"/>
            <w:vAlign w:val="bottom"/>
          </w:tcPr>
          <w:p>
            <w:pPr>
              <w:spacing w:after="0"/>
              <w:rPr>
                <w:sz w:val="12"/>
                <w:szCs w:val="12"/>
                <w:color w:val="auto"/>
              </w:rPr>
            </w:pPr>
          </w:p>
        </w:tc>
        <w:tc>
          <w:tcPr>
            <w:tcW w:w="780" w:type="dxa"/>
            <w:vAlign w:val="bottom"/>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rPr>
              <w:t>Q2</w:t>
            </w:r>
          </w:p>
        </w:tc>
        <w:tc>
          <w:tcPr>
            <w:tcW w:w="80" w:type="dxa"/>
            <w:vAlign w:val="bottom"/>
          </w:tcPr>
          <w:p>
            <w:pPr>
              <w:spacing w:after="0"/>
              <w:rPr>
                <w:sz w:val="12"/>
                <w:szCs w:val="12"/>
                <w:color w:val="auto"/>
              </w:rPr>
            </w:pPr>
          </w:p>
        </w:tc>
        <w:tc>
          <w:tcPr>
            <w:tcW w:w="50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Q1</w:t>
            </w:r>
          </w:p>
        </w:tc>
        <w:tc>
          <w:tcPr>
            <w:tcW w:w="60" w:type="dxa"/>
            <w:vAlign w:val="bottom"/>
          </w:tcPr>
          <w:p>
            <w:pPr>
              <w:spacing w:after="0"/>
              <w:rPr>
                <w:sz w:val="12"/>
                <w:szCs w:val="12"/>
                <w:color w:val="auto"/>
              </w:rPr>
            </w:pPr>
          </w:p>
        </w:tc>
      </w:tr>
      <w:tr>
        <w:trPr>
          <w:trHeight w:val="210"/>
        </w:trPr>
        <w:tc>
          <w:tcPr>
            <w:tcW w:w="6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0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31,447</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33,725</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31,057</w:t>
            </w: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32,958</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Net investment income</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17,099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17,655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14,063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18,181</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5,379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(3,869)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12,910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10,360</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22,479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13,786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26,972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28,541</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 per common share</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0.21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0.41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0.44</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NAV per share at the end of the quarter</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10.49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10.43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10.50</w:t>
            </w: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10.38</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11.28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11.05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11.30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11.00</w:t>
            </w:r>
          </w:p>
        </w:tc>
      </w:tr>
      <w:tr>
        <w:trPr>
          <w:trHeight w:val="365"/>
        </w:trPr>
        <w:tc>
          <w:tcPr>
            <w:tcW w:w="6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69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rPr>
              <w:t>Q4</w:t>
            </w:r>
          </w:p>
        </w:tc>
        <w:tc>
          <w:tcPr>
            <w:tcW w:w="100" w:type="dxa"/>
            <w:vAlign w:val="bottom"/>
          </w:tcPr>
          <w:p>
            <w:pPr>
              <w:spacing w:after="0"/>
              <w:rPr>
                <w:sz w:val="12"/>
                <w:szCs w:val="12"/>
                <w:color w:val="auto"/>
              </w:rPr>
            </w:pPr>
          </w:p>
        </w:tc>
        <w:tc>
          <w:tcPr>
            <w:tcW w:w="860" w:type="dxa"/>
            <w:vAlign w:val="bottom"/>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rPr>
              <w:t>Q3</w:t>
            </w:r>
          </w:p>
        </w:tc>
        <w:tc>
          <w:tcPr>
            <w:tcW w:w="100" w:type="dxa"/>
            <w:vAlign w:val="bottom"/>
          </w:tcPr>
          <w:p>
            <w:pPr>
              <w:spacing w:after="0"/>
              <w:rPr>
                <w:sz w:val="12"/>
                <w:szCs w:val="12"/>
                <w:color w:val="auto"/>
              </w:rPr>
            </w:pPr>
          </w:p>
        </w:tc>
        <w:tc>
          <w:tcPr>
            <w:tcW w:w="780" w:type="dxa"/>
            <w:vAlign w:val="bottom"/>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rPr>
              <w:t>Q2</w:t>
            </w:r>
          </w:p>
        </w:tc>
        <w:tc>
          <w:tcPr>
            <w:tcW w:w="80" w:type="dxa"/>
            <w:vAlign w:val="bottom"/>
          </w:tcPr>
          <w:p>
            <w:pPr>
              <w:spacing w:after="0"/>
              <w:rPr>
                <w:sz w:val="12"/>
                <w:szCs w:val="12"/>
                <w:color w:val="auto"/>
              </w:rPr>
            </w:pPr>
          </w:p>
        </w:tc>
        <w:tc>
          <w:tcPr>
            <w:tcW w:w="50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Q1</w:t>
            </w:r>
          </w:p>
        </w:tc>
        <w:tc>
          <w:tcPr>
            <w:tcW w:w="60" w:type="dxa"/>
            <w:vAlign w:val="bottom"/>
          </w:tcPr>
          <w:p>
            <w:pPr>
              <w:spacing w:after="0"/>
              <w:rPr>
                <w:sz w:val="12"/>
                <w:szCs w:val="12"/>
                <w:color w:val="auto"/>
              </w:rPr>
            </w:pPr>
          </w:p>
        </w:tc>
      </w:tr>
      <w:tr>
        <w:trPr>
          <w:trHeight w:val="210"/>
        </w:trPr>
        <w:tc>
          <w:tcPr>
            <w:tcW w:w="6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0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30,806</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29,385</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26,362</w:t>
            </w: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26,839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Net investment income</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16,742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15,571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9,759</w:t>
            </w: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14,997</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948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(12,151)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16,638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849</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17,690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3,420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26,397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15,846</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 per common share</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0.50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0.34</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NAV per share at the end of the quarter</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10.22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10.16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10.38</w:t>
            </w: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10.19</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10.61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10.35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10.09</w:t>
            </w:r>
          </w:p>
        </w:tc>
      </w:tr>
      <w:tr>
        <w:trPr>
          <w:trHeight w:val="365"/>
        </w:trPr>
        <w:tc>
          <w:tcPr>
            <w:tcW w:w="6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69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rPr>
              <w:t>Q4</w:t>
            </w:r>
          </w:p>
        </w:tc>
        <w:tc>
          <w:tcPr>
            <w:tcW w:w="100" w:type="dxa"/>
            <w:vAlign w:val="bottom"/>
          </w:tcPr>
          <w:p>
            <w:pPr>
              <w:spacing w:after="0"/>
              <w:rPr>
                <w:sz w:val="12"/>
                <w:szCs w:val="12"/>
                <w:color w:val="auto"/>
              </w:rPr>
            </w:pPr>
          </w:p>
        </w:tc>
        <w:tc>
          <w:tcPr>
            <w:tcW w:w="860" w:type="dxa"/>
            <w:vAlign w:val="bottom"/>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rPr>
              <w:t>Q3</w:t>
            </w:r>
          </w:p>
        </w:tc>
        <w:tc>
          <w:tcPr>
            <w:tcW w:w="100" w:type="dxa"/>
            <w:vAlign w:val="bottom"/>
          </w:tcPr>
          <w:p>
            <w:pPr>
              <w:spacing w:after="0"/>
              <w:rPr>
                <w:sz w:val="12"/>
                <w:szCs w:val="12"/>
                <w:color w:val="auto"/>
              </w:rPr>
            </w:pPr>
          </w:p>
        </w:tc>
        <w:tc>
          <w:tcPr>
            <w:tcW w:w="780" w:type="dxa"/>
            <w:vAlign w:val="bottom"/>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rPr>
              <w:t>Q2</w:t>
            </w:r>
          </w:p>
        </w:tc>
        <w:tc>
          <w:tcPr>
            <w:tcW w:w="80" w:type="dxa"/>
            <w:vAlign w:val="bottom"/>
          </w:tcPr>
          <w:p>
            <w:pPr>
              <w:spacing w:after="0"/>
              <w:rPr>
                <w:sz w:val="12"/>
                <w:szCs w:val="12"/>
                <w:color w:val="auto"/>
              </w:rPr>
            </w:pPr>
          </w:p>
        </w:tc>
        <w:tc>
          <w:tcPr>
            <w:tcW w:w="50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Q1</w:t>
            </w:r>
          </w:p>
        </w:tc>
        <w:tc>
          <w:tcPr>
            <w:tcW w:w="60" w:type="dxa"/>
            <w:vAlign w:val="bottom"/>
          </w:tcPr>
          <w:p>
            <w:pPr>
              <w:spacing w:after="0"/>
              <w:rPr>
                <w:sz w:val="12"/>
                <w:szCs w:val="12"/>
                <w:color w:val="auto"/>
              </w:rPr>
            </w:pPr>
          </w:p>
        </w:tc>
      </w:tr>
      <w:tr>
        <w:trPr>
          <w:trHeight w:val="210"/>
        </w:trPr>
        <w:tc>
          <w:tcPr>
            <w:tcW w:w="6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0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26,139</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22,908</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22,712</w:t>
            </w: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19,979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Net investment income</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15,095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13,220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13,159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11,171</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(loss) gain</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(46,260)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(10,901)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14,351</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Net (decrease) increase in net assets resulting from operations</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(31,165)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2,319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13,587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25,522</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net assets resulting from operations per common share</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(0.68)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0.71</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NAV per share at the end of the quarter</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10.13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11.08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11.30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11.14</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11.21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11.92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12.25</w:t>
            </w:r>
          </w:p>
        </w:tc>
      </w:tr>
      <w:tr>
        <w:trPr>
          <w:trHeight w:val="365"/>
        </w:trPr>
        <w:tc>
          <w:tcPr>
            <w:tcW w:w="6940" w:type="dxa"/>
            <w:vAlign w:val="bottom"/>
          </w:tcPr>
          <w:p>
            <w:pPr>
              <w:ind w:left="5540"/>
              <w:spacing w:after="0"/>
              <w:rPr>
                <w:sz w:val="20"/>
                <w:szCs w:val="20"/>
                <w:color w:val="auto"/>
              </w:rPr>
            </w:pPr>
            <w:r>
              <w:rPr>
                <w:rFonts w:ascii="Arial" w:cs="Arial" w:eastAsia="Arial" w:hAnsi="Arial"/>
                <w:sz w:val="18"/>
                <w:szCs w:val="18"/>
                <w:color w:val="auto"/>
              </w:rPr>
              <w:t>S-18</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color w:val="auto"/>
        </w:rPr>
        <w:t>PennantPark Investment Corporation is a BDC whose objectives are to generate both current income and capital appreciation through debt and equity investments primarily in U.S. middle-market companies in the form of senior secured loans, mezzanine debt and equity investments.</w:t>
      </w:r>
    </w:p>
    <w:p>
      <w:pPr>
        <w:spacing w:after="0" w:line="14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We believe middle-market companies offer attractive risk-reward to investors due to the limited amount of capital available for such companies. We seek to create a diversified portfolio that includes senior secured loans, mezzanine debt and equity investments by investing approximately $10 million to $50 million of capital, on average, in the securities of middle-market companies. We expect this investment size to vary proportionately with the size of our capital base. We use the term “middle-market” to refer to companies with annual revenues between $50 million and $1 billion.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7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SBA debentures, proceeds from the rotation of our portfolio and proceeds from public and private offerings of securities to finance our investment objectives.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Structure of PennantPark Investment Corporation</w:t>
      </w:r>
    </w:p>
    <w:p>
      <w:pPr>
        <w:spacing w:after="0" w:line="121"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PennantPark Investment Corporation, a Maryland corporation organized in January 2007,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181" w:lineRule="exact"/>
        <w:rPr>
          <w:sz w:val="20"/>
          <w:szCs w:val="20"/>
          <w:color w:val="auto"/>
        </w:rPr>
      </w:pPr>
    </w:p>
    <w:p>
      <w:pPr>
        <w:ind w:right="400" w:firstLine="456"/>
        <w:spacing w:after="0" w:line="279" w:lineRule="auto"/>
        <w:rPr>
          <w:sz w:val="20"/>
          <w:szCs w:val="20"/>
          <w:color w:val="auto"/>
        </w:rPr>
      </w:pPr>
      <w:r>
        <w:rPr>
          <w:rFonts w:ascii="Arial" w:cs="Arial" w:eastAsia="Arial" w:hAnsi="Arial"/>
          <w:sz w:val="17"/>
          <w:szCs w:val="17"/>
          <w:color w:val="auto"/>
        </w:rPr>
        <w:t>Our wholly owned subsidiaries, SBIC LP and SBIC II, were organized as Delaware limited partnerships in May 2010 and July 2012, respectively. SBIC LP and SBIC II received licenses from the SBA to operate as SBICs, under Section 301(c) of the 1958 Act, in July 2010 and January 2013, respectively. Our SBIC Funds’ objectives are to generate both current income and capital appreciation through debt and equity investments generally by investing with us in SBA eligible businesses that meet the investment criteria used by PennantPark Investment.</w:t>
      </w:r>
    </w:p>
    <w:p>
      <w:pPr>
        <w:spacing w:after="0" w:line="17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Our investment activities are managed by the Investment Adviser. Under our Investment Management Agreement, we have agreed to pay our Investment Adviser an annual base management fee based on our average adjusted gross assets as well as an incentive fee based on our investment performance. PennantPark Investment, through the Investment Adviser, provides similar services to our SBIC Funds under their investment management agreements. Our SBIC Funds’ investment management agreements do not affect the management and incentive fees on a consolidated basis. 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PennantPark Investment, through the Administrator, provides similar services to our SBIC Funds under their</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administration agreements with us. Our board of directors, a majority of whom are independent of us, supervises our activities, and the Investment Adviser manages our day-to-day activities.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generate revenue in the form of interest income on the debt securities we hold and capital gains and distributions, if any, on investment securities that we may acquire in portfolio companies. Our debt investments, whether in the form of senior secured loans or mezzanine debt, typically have terms of three to ten years and bear interest at a fixed or a floating rate. Interest on debt securities is generally payable quarterly or semiannually. In some cases, some of our investments provide for deferred interest payments and payment-in-kind, or PIK, interest. The principal amount of the debt securities and any accrued but unpaid interest generally becomes due at the maturity date. In addition, we may generate revenue in the form of amendment, commitment, origination, structuring or diligence fees, fees for providing managerial assistance and possibly consulting fees. Loan origination fees, original issue discount, or OID, and market discount or premium are capitalized, and we accrete or amortize such amounts as income. We record prepayment penalties on loans and debt securities as income. Dividend income, if any, is recognized on an accrual basis on the ex-dividend date to the extent that we expect to collect such amounts.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121" w:lineRule="exact"/>
        <w:rPr>
          <w:sz w:val="20"/>
          <w:szCs w:val="20"/>
          <w:color w:val="auto"/>
        </w:rPr>
      </w:pPr>
    </w:p>
    <w:p>
      <w:pPr>
        <w:ind w:right="340" w:firstLine="456"/>
        <w:spacing w:after="0" w:line="257" w:lineRule="auto"/>
        <w:rPr>
          <w:sz w:val="20"/>
          <w:szCs w:val="20"/>
          <w:color w:val="auto"/>
        </w:rPr>
      </w:pPr>
      <w:r>
        <w:rPr>
          <w:rFonts w:ascii="Arial" w:cs="Arial" w:eastAsia="Arial" w:hAnsi="Arial"/>
          <w:sz w:val="18"/>
          <w:szCs w:val="18"/>
          <w:color w:val="auto"/>
        </w:rPr>
        <w:t>Our primary operating expenses include the payment of a base management fee to our Investment Adviser, the payment of an incentive fee to our Investment Adviser, if any,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and unused commitment fees under our various debt facilities. We bear all other direct or indirect costs and expenses of our operations and transactions, including:</w:t>
      </w:r>
    </w:p>
    <w:p>
      <w:pPr>
        <w:spacing w:after="0" w:line="94"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 of calculating our NAV, including the cost of any third-party valuation services;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 of effecting sales and repurchases of shares of our common stock and other securities;</w:t>
      </w:r>
    </w:p>
    <w:p>
      <w:pPr>
        <w:spacing w:after="0" w:line="130" w:lineRule="exact"/>
        <w:rPr>
          <w:rFonts w:ascii="Arial" w:cs="Arial" w:eastAsia="Arial" w:hAnsi="Arial"/>
          <w:sz w:val="18"/>
          <w:szCs w:val="18"/>
          <w:color w:val="auto"/>
        </w:rPr>
      </w:pPr>
    </w:p>
    <w:p>
      <w:pPr>
        <w:ind w:left="900" w:right="420" w:hanging="325"/>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fees payable to third parties relating to, or associated with, making investments, including fees and expenses associated with performing due diligence and reviews of prospective investments or complimentary businesses;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expenses incurred by the Investment Adviser in performing due diligence and reviews of investments;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Federal, state and foreign registration fees and any exchange listing fees;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federal, state, local and foreign taxes;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fidelity bond, directors and officers, errors and omissions liability insurance and other insurance premiums;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direct costs such as printing, mailing, long distance telephone and staff;</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w:t>
      </w:r>
    </w:p>
    <w:p>
      <w:pPr>
        <w:spacing w:after="0" w:line="130"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associated with our reporting and compliance obligations under the 1940 Act, the 1958 Act and applicable federal and state securities laws;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line="259"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8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Generally, 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121"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As of June 30, 2014, our portfolio totaled $1,198.4 million and consisted of $310.2 million of senior secured loans, $486.1 million of second lien secured debt, $282.4 million of subordinated debt and $119.7 million of preferred and common equity investments. Our debt portfolio consisted of 39% fixed-rate and 61% variable-rate investments (including 53% with a LIBOR or prime floor). Our overall portfolio consisted of 66 companies with an average investment size of $18.2 million, had a weighted average yield on debt investments of 12.3% and was invested 26% in senior secured loans, 40% in second lien secured debt, 24% in subordinated debt and 10% in preferred and common equity investments.</w:t>
      </w:r>
    </w:p>
    <w:p>
      <w:pPr>
        <w:spacing w:after="0" w:line="173"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As of September 30, 2013, our portfolio totaled $1,078.2 million and consisted of $299.5 million of senior secured loans, $357.5 million of second lien secured debt, $302.5 million of subordinated debt and $118.7 million of preferred and common equity investments. Our debt portfolio consisted of 52% fixed-rate and 48% variable-rate investments (including 44% with a LIBOR or prime floor). Our overall portfolio consisted of 61 companies with an average investment size of $17.7 million, had a weighted average yield on debt investments of 13.0% and was invested 28% in senior secured loans, 33% in second lien secured debt, 28% in subordinated debt and 11% in preferred and common equity investments.</w:t>
      </w:r>
    </w:p>
    <w:p>
      <w:pPr>
        <w:spacing w:after="0" w:line="173"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For the three months ended June 30, 2014, we invested $191.8 million in three new and nine existing portfolio companies with a weighted average yield on debt investments of 11.7%. Sales and repayments of investments for the three months ended June 30, 2014 totaled $273.6 million. For the nine months ended June 30, 2014, we invested $561.8 million in 16 new and 22 existing portfolio companies with a weighted average yield on debt investments of 12.1%. Sales and repayments of investments for the nine months ended June 30, 2014 totaled $534.4 million.</w:t>
      </w:r>
    </w:p>
    <w:p>
      <w:pPr>
        <w:spacing w:after="0" w:line="171"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For the three months ended June 30, 2013, we invested $73.3 million in two new and five existing portfolio companies with a weighted average yield on debt investments of 12.9%. Sales and repayments of investments for the three months ended June 30, 2013 totaled $117.8 million. For the nine months ended June 30, 2013, we invested $317.2 million in eight new and 19 existing portfolio companies with a weighted average yield on debt investments of 12.9%. Sales and repayments of investments for the nine months ended June 30, 2013 totaled $271.2 million.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preparation of our Consolidated Financial Statements in conformity with GAAP requires management to make estimates and assumptions that affect the reported amount of our assets and liabilities at the date of the Consolidated Financial Statements and the reported amounts of income and expenses during the reported periods. Actual results could differ from these estimates due to changes in the economic and regulatory environment, financial markets and any other parameters used in determining such estimates and assumptions. We reclassified certain prior period amounts to conform to the current period presentation. We have eliminated all intercompany</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balances and transactions. References to the Accounting Standards Codification, or ASC, serve as a single source of accounting literature. Subsequent events are evaluated and disclosed as appropriate for events occurring through the date the Consolidated Financial Statements are issued. In addition to the discussion below, we describe our critical accounting policies in the notes to our Consolidated Financial Statements.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Portfolio Investments</w:t>
      </w:r>
    </w:p>
    <w:p>
      <w:pPr>
        <w:spacing w:after="0" w:line="121"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described in this prospectus supplement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differ from our valuation and the differences could be material.</w:t>
      </w:r>
    </w:p>
    <w:p>
      <w:pPr>
        <w:spacing w:after="0" w:line="182"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76" w:lineRule="exact"/>
        <w:rPr>
          <w:sz w:val="20"/>
          <w:szCs w:val="20"/>
          <w:color w:val="auto"/>
        </w:rPr>
      </w:pPr>
    </w:p>
    <w:p>
      <w:pPr>
        <w:ind w:left="900" w:right="200" w:hanging="446"/>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130"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an investment. The independent valuation firms review management’s preliminary valuations in light of its own independent assessment and also in light of any market quotations obtained from an independent pricing service, broker, dealer or market maker;</w:t>
      </w:r>
    </w:p>
    <w:p>
      <w:pPr>
        <w:spacing w:after="0" w:line="92" w:lineRule="exact"/>
        <w:rPr>
          <w:rFonts w:ascii="Arial" w:cs="Arial" w:eastAsia="Arial" w:hAnsi="Arial"/>
          <w:sz w:val="18"/>
          <w:szCs w:val="18"/>
          <w:color w:val="auto"/>
        </w:rPr>
      </w:pPr>
    </w:p>
    <w:p>
      <w:pPr>
        <w:ind w:left="900" w:right="260" w:hanging="446"/>
        <w:spacing w:after="0" w:line="286" w:lineRule="auto"/>
        <w:tabs>
          <w:tab w:leader="none" w:pos="9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70" w:lineRule="exact"/>
        <w:rPr>
          <w:rFonts w:ascii="Arial" w:cs="Arial" w:eastAsia="Arial" w:hAnsi="Arial"/>
          <w:sz w:val="17"/>
          <w:szCs w:val="17"/>
          <w:color w:val="auto"/>
        </w:rPr>
      </w:pPr>
    </w:p>
    <w:p>
      <w:pPr>
        <w:ind w:left="900" w:right="100" w:hanging="446"/>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board of directors discusses the valuations and determines the fair value of each investment in our portfolio in good faith, based on the input of our Investment Adviser, the independent valuation firms and the audit committee.</w:t>
      </w:r>
    </w:p>
    <w:p>
      <w:pPr>
        <w:spacing w:after="0" w:line="170"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Our investments generally consist of illiquid securities, including debt and equity investments. Our board of directors generally uses market quotations to assess the value of our investments for which market quotations are readily available. We obtain these market values from independent pricing services or at the bid prices obtained from at least two brokers/dealers, if available, or otherwise by a principal market maker or a primary market dealer. The Investment Adviser assesses the source and reliability of bids from brokers or dealers. If our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13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Inputs that are quoted prices (unadjusted) in active markets for identical assets or liabilities, accessible by us at the measurement date.</w:t>
      </w:r>
    </w:p>
    <w:p>
      <w:pPr>
        <w:spacing w:after="0" w:line="117" w:lineRule="exact"/>
        <w:rPr>
          <w:sz w:val="20"/>
          <w:szCs w:val="20"/>
          <w:color w:val="auto"/>
        </w:rPr>
      </w:pPr>
    </w:p>
    <w:p>
      <w:pPr>
        <w:ind w:left="1160" w:hanging="1147"/>
        <w:spacing w:after="0" w:line="264" w:lineRule="auto"/>
        <w:tabs>
          <w:tab w:leader="none" w:pos="114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73" w:lineRule="exact"/>
        <w:rPr>
          <w:sz w:val="20"/>
          <w:szCs w:val="20"/>
          <w:color w:val="auto"/>
        </w:rPr>
      </w:pPr>
    </w:p>
    <w:p>
      <w:pPr>
        <w:ind w:left="1160" w:right="320" w:hanging="1147"/>
        <w:spacing w:after="0" w:line="277" w:lineRule="auto"/>
        <w:tabs>
          <w:tab w:leader="none" w:pos="114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Inputs that are unobservable for an asset or liability because they are based on our own assumptions about how market participants would price the asset or liability.</w:t>
      </w:r>
    </w:p>
    <w:p>
      <w:pPr>
        <w:spacing w:after="0" w:line="17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8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In addition to using the above inputs in cash equivalents, investments, the 2025 Notes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181"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The carrying value of our consolidated financial liabilities approximates fair value. We adopted ASC 825-10, which provides companies with an option to report selected financial assets and liabilities at fair value and made an irrevocable election to apply ASC 825-10 to our Credit Facility and our 2025 Notes. We elected to use the fair value option for the Credit Facility and 2025 Notes to align the measurement attributes of both our assets and liabilities while mitigating volatility in earnings from using different measurement attributes. Due to that election and in accordance with GAAP, we incurred non-recurring expenses of $3.9 million relating to debt issuance costs on the Credit Facility for the three and nine months ended June 30, 2014.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 of Assets and Liabilities and changes in fair value of the Credit Facility and 2025 Notes are reported in our Consolidated Statement of Operations. We elected not to apply ASC 825-10 to any other financial assets or liabilities, including the SBA debentures. For the three and nine months ended June 30, 2014, our Credit Facility and 2025 Notes had a net change in unrealized appreciation of $3.4 million and $5.4 million, respectively. For the three and nine months ended June 30, 2013, our Credit Facility and 2025 Notes had a net change in unrealized depreciation (appreciation) of $0.4 million and $(0.5) million, respectively. As of June 30, 2014 and September 30, 2013, net unrealized (appreciation) depreciation on our Credit Facility and 2025 Notes totaled $(2.6) million and $2.9 million, respectively. We use a nationally recognized independent valuation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service to fair value our Credit Facility in a manner consistent with the valuation process that the board of directors approves to value investments. Our 2025 Notes trade on the New York Stock Exchange, or NYSE, and we use the closing price on the exchange to determine their fair value.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We record interest income on an accrual basis to the extent that we expect to collect such amounts. For loans and debt investments with contractual PIK interest which represents contractual interest accrued and added to the loan balance that generally becomes due at maturity, we will generally not accrue PIK interest if the portfolio company valuation indicates that such PIK interest is not collectible. We do not accrue as a receivable interest on loans and debt investments if we determine that it is probable that we will not be able to collect such interest. Loan origination fees, OID, market discount or premium and deferred financing costs are capitalized and we then accrete or amortize such amounts as interest income or expense, as applicable, using the effective interest method. We record contractual prepayment penalties on loans and debt investments as income. Dividend income, if any, is recognized on an accrual basis on the ex-dividend date to the extent that we expect to collect such amounts.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Realized Gains or Losses and Net Change in Unrealized Appreciation or Depreciation</w:t>
      </w:r>
    </w:p>
    <w:p>
      <w:pPr>
        <w:spacing w:after="0" w:line="121"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values during the reporting period, including any reversal of previously recorded unrealized appreciation or depreciation, when gains or losses are realized.</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books and records are maintained in U.S. dollars. Any foreign currency amounts are translated into U.S. dollars on the following basis:</w:t>
      </w:r>
    </w:p>
    <w:p>
      <w:pPr>
        <w:spacing w:after="0" w:line="142" w:lineRule="exact"/>
        <w:rPr>
          <w:sz w:val="20"/>
          <w:szCs w:val="20"/>
          <w:color w:val="auto"/>
        </w:rPr>
      </w:pPr>
    </w:p>
    <w:p>
      <w:pPr>
        <w:ind w:left="1480" w:hanging="567"/>
        <w:spacing w:after="0"/>
        <w:tabs>
          <w:tab w:leader="none" w:pos="14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Fair value of investment securities, other assets and liabilities – at the exchange rates prevailing at the end of the applicable period; and</w:t>
      </w:r>
    </w:p>
    <w:p>
      <w:pPr>
        <w:spacing w:after="0" w:line="153" w:lineRule="exact"/>
        <w:rPr>
          <w:rFonts w:ascii="Arial" w:cs="Arial" w:eastAsia="Arial" w:hAnsi="Arial"/>
          <w:sz w:val="16"/>
          <w:szCs w:val="16"/>
          <w:color w:val="auto"/>
        </w:rPr>
      </w:pPr>
    </w:p>
    <w:p>
      <w:pPr>
        <w:ind w:left="1480" w:right="420" w:hanging="567"/>
        <w:spacing w:after="0" w:line="277" w:lineRule="auto"/>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Purchases and sales of investment securities, income and expenses – at the exchange rates prevailing on the respective dates of such transactions.</w:t>
      </w:r>
    </w:p>
    <w:p>
      <w:pPr>
        <w:spacing w:after="0" w:line="170"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Although net assets and fair values are presented based on the applicable foreign exchange rates described above, we do not isolate that portion of the results of operations due to changes in foreign exchange rates on investments and debt from the fluctuations arising from changes in fair values of investments and liabilities held. Such fluctuations are included with the net realized and unrealized gain or loss from investments and liabilities.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Payment-in-Kind Interest, or PIK</w:t>
      </w:r>
    </w:p>
    <w:p>
      <w:pPr>
        <w:spacing w:after="0" w:line="12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We have investments in our portfolio which contain a PIK interest provision. PIK interest is added to the principal balance of the investment and is recorded as income. For us to maintain our status as a RIC, substantially all of this income must be paid out to stockholders in the form of distributions, even though we have not collected any cash with respect to PIK securities.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Taxes</w:t>
      </w:r>
    </w:p>
    <w:p>
      <w:pPr>
        <w:spacing w:after="0" w:line="12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We have elected to be taxed, and intend to qualify annually to maintain our election to be taxed, as a RIC under Subchapter M of the Code. To maintain our RIC tax election, we must, among other requirements, meet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certain source-of-income and quarterly asset diversification requirements. We also must annually distribute at least 90% of the sum of our net ordinary income and realized net short-term capital gains in excess of realized net long-term capital losses, if any, out of the assets legally available for distribution. Although not required for us to maintain our RIC tax status, in order to preclude the imposition of a 4% nondeductible federal excise tax imposed on RICs, we must distribute during each calendar year an amount at least equal to the sum of (1) 98% of our net ordinary income for the calendar year, (2) 98.2% of the sum of our net capital gains income (i.e. the excess, if any, of our capital gains over capital losses) for the one-year period ending on October 31 of the calendar year and (3) the sum of any net ordinary income plus net capital gain income for preceding years that were not distributed during such years. In addition, although we may distribute realized net capital gains (i.e., net long-term capital gains in excess of short-term capital losses), if any, at least annually, out of the assets legally available for such distributions in the manner described above, we have retained and may continue to retain such net capital gains or net ordinary income to provide us with additional liquidity.</w:t>
      </w:r>
    </w:p>
    <w:p>
      <w:pPr>
        <w:spacing w:after="0" w:line="18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200" w:firstLine="456"/>
        <w:spacing w:after="0" w:line="297" w:lineRule="auto"/>
        <w:rPr>
          <w:sz w:val="20"/>
          <w:szCs w:val="20"/>
          <w:color w:val="auto"/>
        </w:rPr>
      </w:pPr>
      <w:r>
        <w:rPr>
          <w:rFonts w:ascii="Arial" w:cs="Arial" w:eastAsia="Arial" w:hAnsi="Arial"/>
          <w:sz w:val="16"/>
          <w:szCs w:val="16"/>
          <w:color w:val="auto"/>
        </w:rPr>
        <w:t>In June 2013, the Financial Accounting Standards Board (“FASB”) issued Accounting Standards Update 2013-08, Financial Services—Investment Companies (Topic 946): Amendments to the Scope, Measurement, and Disclosure Requirements (“ASU 2013-08”). ASU 2013-08 provides an approach to assess whether a company is an investment company, clarifies the characteristics of an investment company, and provides new measurement and disclosure requirements. ASU 2013-08 is effective for interim and annual reporting periods in fiscal years that begin after December 15, 2013. Earlier application is prohibited. We are currently evaluating ASU 2013-08 to determine the effect, if any, on our Consolidated Financial Statements and disclosures.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Set forth below are the results of operations for the three and nine months ended June 30, 2014 and 2013.</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Investment income for the three and nine months ended June 30, 2014 was $35.5 million and $107.8 million, respectively, and was attributable to $9.8 million and $30.0 million from senior secured loans, $13.3 million and $39.9 million from second lien secured debt investments, $11.6 million and $35.7 million from subordinated debt investments, and $0.8 million and $2.2 million from equity investments, respectively. This compares to investment income for the three and nine months ended June 30, 2013, which was $33.7 million and $97.7 million, respectively, and was attributable to $11.6 million and $29.6 million from senior secured loans, $7.9 million and $22.9 million from second lien secured debt investments, $14.2 million and $43.9 million from subordinated debt investments, and zero and $1.3 million from equity investments, respectively. The increase in investment income compared with the same period in the prior year was primarily due to the growth of our portfolio.</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Expenses for the three and nine months ended June 30, 2014 totaled $22.3 million and $56.6 million, respectively. Base management fee for the same periods totaled $6.1 million and $17.9 million, incentive fees totaled $5.4 million and $14.9 million (including $1.7 million on net realized gains accrued but not payable), debt related interest and expenses totaled $8.9 million and $18.6 million (including $3.9 million of Credit Facility debt issuance costs) and general and administrative expenses totaled $1.9 million and $5.2 million, respectively.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This compares to expenses for the three and nine months ended June 30, 2013, which totaled $16.1 million and $47.8 million, respectively. Base management fee for the same periods totaled $5.4 million and $15.9 million, incentive fees totaled $4.4 million and $12.5 million, debt related interest and expenses (including the $0.3 million and $2.7 million of debt issuance costs associated with our 2025 Notes, respectively) totaled $4.6 million and $14.0 million and general and administrative expenses and excise tax totaled $1.7 million and $5.4 million, respectively. The increase in expenses was primarily due to both growing our portfolio and expanding our borrowing capacity under our Credit Facility.</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Net investment income totaled $13.2 million and $51.2 million, or $0.20 and $0.77 per share, for the three and nine months ended June 30, 2014, respectively. Net investment income totaled $17.7 million and $49.9 million, or $0.27 and $0.76 per share, for the three and nine months ended June 30, 2013, respectively. The decrease in net investment income for the three months ended June 30, 2014 compared to the same period in the prior year was due to debt issuance costs that were not incurred in the comparable period. The increase in net investment income for the nine months ended June 30, 2014 was due to the growth of our portfolio offset by higher financing costs and debt issuance costs.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Gains or Losses</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Sales and repayments of investments for the three and nine months ended June 30, 2014 totaled $273.6 million and $534.4 million, respectively, and realized gains totaled $23.3 million and $29.0 million, respectively. Sales and repayments of investments for the three and nine months ended June 30, 2013 totaled $117.8 million and $271.2 million, respectively, and realized gains totaled $15.7 million and $14.7 million, respectively. The increase in realized gains was driven by exits of portfolio companies.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Unrealized Appreciation or Depreciation on Investments, Credit Facility and 2025 Notes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three and nine months ended June 30, 2014, we reported net unrealized (depreciation) appreciation on investments of $(1.1) million and $37.4</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million, respectively. For the three and nine months ended June 30, 2013, we reported a net unrealized (depreciation) appreciation on investments of $(20.0)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and $5.2 million, respectively. As of June 30, 2014 and September 30, 2013, our net unrealized appreciation (depreciation) on investments totaled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$24.0 million and $(13.3) million, respectively. Net change in unrealized (depreciation) appreciation on investments was a result of the overall variation in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leveraged finance markets as well as the relevant unobservable inputs used in deriving our valuations.</w:t>
      </w:r>
    </w:p>
    <w:p>
      <w:pPr>
        <w:spacing w:after="0" w:line="21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For the three and nine months ended June 30, 2014, we reported net unrealized (appreciation) on our Credit Facility and 2025 Notes of $(3.4) million and $(5.4) million, respectively. For the three and nine months ended June 30, 2013, we reported a net unrealized depreciation (appreciation) on our Credit Facility and 2025 Notes of $0.4 million and $(0.5) million, respectively. Net change in unrealized appreciation on the Credit Facility and 2025 Notes over the prior year was due to changes in the capital markets.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Increase in Net Assets Resulting from Operations</w:t>
      </w:r>
    </w:p>
    <w:p>
      <w:pPr>
        <w:spacing w:after="0" w:line="1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Net increase in net assets resulting from operations totaled $31.9 million and $112.1 million, or $0.48 and $1.68 per share, for the three and nine months ended June 30, 2014, respectively. This compares to a net increase in net assets resulting from operations of $13.8 million and $69.3 million, or $0.21 and $1.05 per share, for the three and nine months ended June 30, 2013, respectively. The increase compared to the prior year was due to realized gains, the continued growth of our portfolio and appreciation of our investments.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liquidity and capital resources are derived primarily from proceeds of securities offerings, debt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debt and proceeds from the rotation of our portfolio and proceeds from public and private offerings of securities to finance our investment objectives.</w:t>
      </w:r>
    </w:p>
    <w:p>
      <w:pPr>
        <w:spacing w:after="0" w:line="18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On June 25, 2014, we amended and restated our multi-currency Credit Facility to increase the amount available for borrowing from $445.0 million to $545.0 million, reduce the interest rate spread above LIBOR from 2.75% to 2.25%, reduce the undrawn commitment fee from 0.50% to 0.375% and extend the maturity date from February 21, 2016 to June 25, 2019. This multi-currency Credit Facility is with certain lenders and SunTrust Bank, acting as administrative agent, and JPMorgan Chase Bank, N.A., acting as syndication agent for the lenders. As of June 30, 2014 and September 30, 2013, there was $255.9 million and $145.5 million (including a temporary draw of $28.0 million), respectively, in outstanding borrowings under the Credit Facility, with a weighted average interest rate at the time of 2.52% and 3.33%, exclusive of the fee on undrawn commitments of 0.375% and 0.50%, respectively. The Credit Facility is a five-year revolving facility with a stated maturity date of June 25, 2019, a one-year term-out period following its fourth year and pricing set at 225 basis points over LIBOR. The Credit Facility is secured by substantially all of our assets excluding assets held by our SBIC Funds.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documents governing the Credit Facility contain affirmative and restrictive covenants, including: (a) periodic financial reporting requirements,</w:t>
      </w:r>
    </w:p>
    <w:p>
      <w:pPr>
        <w:spacing w:after="0" w:line="35" w:lineRule="exact"/>
        <w:rPr>
          <w:sz w:val="20"/>
          <w:szCs w:val="20"/>
          <w:color w:val="auto"/>
        </w:rPr>
      </w:pPr>
    </w:p>
    <w:p>
      <w:pPr>
        <w:jc w:val="both"/>
        <w:ind w:right="140" w:firstLine="8"/>
        <w:spacing w:after="0" w:line="281" w:lineRule="auto"/>
        <w:tabs>
          <w:tab w:leader="none" w:pos="255" w:val="left"/>
        </w:tabs>
        <w:numPr>
          <w:ilvl w:val="0"/>
          <w:numId w:val="16"/>
        </w:numPr>
        <w:rPr>
          <w:rFonts w:ascii="Arial" w:cs="Arial" w:eastAsia="Arial" w:hAnsi="Arial"/>
          <w:sz w:val="16"/>
          <w:szCs w:val="16"/>
          <w:color w:val="auto"/>
        </w:rPr>
      </w:pPr>
      <w:r>
        <w:rPr>
          <w:rFonts w:ascii="Arial" w:cs="Arial" w:eastAsia="Arial" w:hAnsi="Arial"/>
          <w:sz w:val="16"/>
          <w:szCs w:val="16"/>
          <w:color w:val="auto"/>
        </w:rPr>
        <w:t>maintenance of a minimum stockholders’ equity of the sum of (1) $245.2 million plus (2) 25% of the net proceeds from the sale of equity interests in the Company and its subsidiaries after the effective date (other than proceeds from the sale of equity interests by and among the Company and its subsidiaries),</w:t>
      </w:r>
    </w:p>
    <w:p>
      <w:pPr>
        <w:spacing w:after="0" w:line="1" w:lineRule="exact"/>
        <w:rPr>
          <w:rFonts w:ascii="Arial" w:cs="Arial" w:eastAsia="Arial" w:hAnsi="Arial"/>
          <w:sz w:val="16"/>
          <w:szCs w:val="16"/>
          <w:color w:val="auto"/>
        </w:rPr>
      </w:pPr>
    </w:p>
    <w:p>
      <w:pPr>
        <w:ind w:firstLine="8"/>
        <w:spacing w:after="0" w:line="287" w:lineRule="auto"/>
        <w:tabs>
          <w:tab w:leader="none" w:pos="245" w:val="left"/>
        </w:tabs>
        <w:numPr>
          <w:ilvl w:val="0"/>
          <w:numId w:val="16"/>
        </w:numPr>
        <w:rPr>
          <w:rFonts w:ascii="Arial" w:cs="Arial" w:eastAsia="Arial" w:hAnsi="Arial"/>
          <w:sz w:val="16"/>
          <w:szCs w:val="16"/>
          <w:color w:val="auto"/>
        </w:rPr>
      </w:pPr>
      <w:r>
        <w:rPr>
          <w:rFonts w:ascii="Arial" w:cs="Arial" w:eastAsia="Arial" w:hAnsi="Arial"/>
          <w:sz w:val="16"/>
          <w:szCs w:val="16"/>
          <w:color w:val="auto"/>
        </w:rPr>
        <w:t>maintenance of an asset coverage ratio of not less than 2.0:1.0, (d) maintenance of minimum liquidity standards, (e) limitations on the incurrence of additional indebtedness, (f) limitations on liens, (g) limitations on fundamental corporate changes, (h) limitations on investments, (i) limitations on payments and distributions, (j) limitations on transactions with affiliates, (k) limitations on engaging in business not contemplated by the Company’s investment objectives, (l) limitations on the creation or existence of agreements that prohibit liens on properties of the Company and its subsidiaries and (m) limitations on the ability to modify long-term indebtedness. In addition to the asset coverage ratio described in clause (c) of the preceding sentence, borrowings under the Credit Facility (and the incurrence of certain other permitted debt) will be subject to compliance with a borrowing base that will apply different advance rates to different types of assets in the Company’s portfolio. The Credit Facility also includes certain customary events of default, including the failure to make timely payments of principal and interest, the occurrence of a change in control and the failure by the Company to materially perform under the operative agreements governing the Credit Facility, which would permit the lenders to accelerate repayment under the Credit Facility.</w:t>
      </w:r>
    </w:p>
    <w:p>
      <w:pPr>
        <w:spacing w:after="0" w:line="16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January 2013, we issued $71.3 million in aggregate principal amount of 2025 Notes, after exercise of the over-allotment option, for net proceeds of $68.8 million after underwriting discounts and offering costs. Interest on the 2025 Notes is paid quarterly on February 1, May 1, August 1 and November 1, at a rate of 6.25% per year. The 2025 Notes mature on February 1, 2025. We may redeem the 2025 Notes in whole or in part at any time or from time to time on or after February 1, 2016. The 2025 Notes are general, unsecured obligations and rank equal in right of payment with all of our existing and future senior unsecured indebtedness. The 2025 Notes are structurally subordinated to our SBA debentures and the assets pledged or secured under our Credit Facility. Our 2025 Notes trade on the NYSE under the symbol “PNTA.”</w:t>
      </w:r>
    </w:p>
    <w:p>
      <w:pPr>
        <w:spacing w:after="0" w:line="193"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We may raise additional equity or debt capital through both registered offerings off our shelf registration statement and private offerings of securities, by securitizing a portion of our investments or borrowing from the SBA, among other sources. Any future additional debt capital we incur, to the extent it is available, may be issued at a higher cost and on less favorable terms and conditions than our current Credit Facility, SBA debentures or 2025 Notes. Furthermore, our Credit Facility availability depends on various covenants and</w:t>
      </w:r>
    </w:p>
    <w:p>
      <w:pPr>
        <w:spacing w:after="0" w:line="11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restrictions. The primary use of existing funds and any funds raised in the future is expected to be for repayment of indebtedness, investments in portfolio companies, cash distributions to our stockholders or for other general corporate or strategic purposes. For the nine months ended June 30, 2014, we did not issue shares of common stock in connection with an equity offering. Any decision to sell shares below the then current NAV per share of our common stock is subject to stockholder approval and a determination by our board of directors that such issuance and sale is in our and our stockholders’ best interests. Any sale or other issuance of shares of our common stock at a price below NAV per share results in immediate dilution to our stockholders’ interests in our common stock and a reduction in our NAV per share.</w:t>
      </w:r>
    </w:p>
    <w:p>
      <w:pPr>
        <w:spacing w:after="0" w:line="193"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Our SBIC Funds are able to borrow funds from the SBA against regulatory capital (which approximates equity capital) that is paid-in and is subject to customary regulatory requirements including an examination by the SBA. We have funded SBIC LP with $75.0 million of equity capital and it had SBA debentures outstanding of $150.0 million as of June 30, 2014. We have funded SBIC II with $37.5 million of equity capital and we received a commitment from the SBA to allow SBIC II to access $75.0 million in SBA debentures. SBA debentures are non-recourse to us and may be prepaid at any time without penalty. The interest rate of SBA debentures is fixed at the time of issuance, often referred to as pooling, at a market-driven spread over 10-year U.S. Treasury Notes. Under current SBA regulations, a SBIC may individually borrow to a maximum of $150.0 million, which is up to twice its potential regulatory capital, and as part of a group of SBICs under common control may borrow a maximum of $225.0 million in the aggregate.</w:t>
      </w:r>
    </w:p>
    <w:p>
      <w:pPr>
        <w:spacing w:after="0" w:line="178" w:lineRule="exact"/>
        <w:rPr>
          <w:sz w:val="20"/>
          <w:szCs w:val="20"/>
          <w:color w:val="auto"/>
        </w:rPr>
      </w:pPr>
    </w:p>
    <w:p>
      <w:pPr>
        <w:jc w:val="both"/>
        <w:ind w:right="220" w:firstLine="456"/>
        <w:spacing w:after="0" w:line="312" w:lineRule="auto"/>
        <w:rPr>
          <w:sz w:val="20"/>
          <w:szCs w:val="20"/>
          <w:color w:val="auto"/>
        </w:rPr>
      </w:pPr>
      <w:r>
        <w:rPr>
          <w:rFonts w:ascii="Arial" w:cs="Arial" w:eastAsia="Arial" w:hAnsi="Arial"/>
          <w:sz w:val="16"/>
          <w:szCs w:val="16"/>
          <w:color w:val="auto"/>
        </w:rPr>
        <w:t>As of June 30, 2014 and September 30, 2013, our SBIC Funds had $225.0 million and $150.0 million in debt commitments, respectively, and $150.0 million was drawn for each period. The SBA debentures’ upfront fees of 3.43% consist of a commitment fee of 1.00% and an issuance discount of 2.43%. Both fees will be amortized over the lives of the loans. Our fixed-rate SBA debentures as of June 30, 2014 and September 30, 2013 were as follows:</w:t>
      </w:r>
    </w:p>
    <w:p>
      <w:pPr>
        <w:spacing w:after="0" w:line="15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920" w:type="dxa"/>
            <w:vAlign w:val="bottom"/>
            <w:vMerge w:val="restart"/>
          </w:tcPr>
          <w:p>
            <w:pPr>
              <w:spacing w:after="0"/>
              <w:rPr>
                <w:sz w:val="20"/>
                <w:szCs w:val="20"/>
                <w:color w:val="auto"/>
              </w:rPr>
            </w:pPr>
            <w:r>
              <w:rPr>
                <w:rFonts w:ascii="Arial" w:cs="Arial" w:eastAsia="Arial" w:hAnsi="Arial"/>
                <w:sz w:val="14"/>
                <w:szCs w:val="14"/>
                <w:b w:val="1"/>
                <w:bCs w:val="1"/>
                <w:color w:val="auto"/>
                <w:w w:val="88"/>
              </w:rPr>
              <w:t>Issuance Dates</w:t>
            </w:r>
          </w:p>
        </w:tc>
        <w:tc>
          <w:tcPr>
            <w:tcW w:w="3800" w:type="dxa"/>
            <w:vAlign w:val="bottom"/>
            <w:vMerge w:val="restart"/>
          </w:tcPr>
          <w:p>
            <w:pPr>
              <w:spacing w:after="0"/>
              <w:rPr>
                <w:sz w:val="14"/>
                <w:szCs w:val="14"/>
                <w:color w:val="auto"/>
              </w:rPr>
            </w:pPr>
          </w:p>
        </w:tc>
        <w:tc>
          <w:tcPr>
            <w:tcW w:w="136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Maturity</w:t>
            </w:r>
          </w:p>
        </w:tc>
        <w:tc>
          <w:tcPr>
            <w:tcW w:w="740" w:type="dxa"/>
            <w:vAlign w:val="bottom"/>
            <w:vMerge w:val="restart"/>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Fixed All-In</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Principal</w:t>
            </w: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tcBorders>
            <w:vMerge w:val="continue"/>
          </w:tcPr>
          <w:p>
            <w:pPr>
              <w:spacing w:after="0"/>
              <w:rPr>
                <w:sz w:val="14"/>
                <w:szCs w:val="14"/>
                <w:color w:val="auto"/>
              </w:rPr>
            </w:pPr>
          </w:p>
        </w:tc>
        <w:tc>
          <w:tcPr>
            <w:tcW w:w="3800" w:type="dxa"/>
            <w:vAlign w:val="bottom"/>
            <w:tcBorders>
              <w:bottom w:val="single" w:sz="8" w:color="CCEEFF"/>
            </w:tcBorders>
            <w:vMerge w:val="continue"/>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CCEEFF"/>
            </w:tcBorders>
            <w:vMerge w:val="continue"/>
          </w:tcPr>
          <w:p>
            <w:pPr>
              <w:spacing w:after="0"/>
              <w:rPr>
                <w:sz w:val="14"/>
                <w:szCs w:val="14"/>
                <w:color w:val="auto"/>
              </w:rPr>
            </w:pPr>
          </w:p>
        </w:tc>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Coupon Rate</w:t>
            </w:r>
          </w:p>
        </w:tc>
        <w:tc>
          <w:tcPr>
            <w:tcW w:w="50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Balance</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22, 2010</w:t>
            </w: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w w:val="87"/>
              </w:rPr>
              <w:t>September 1, 2020</w:t>
            </w:r>
          </w:p>
        </w:tc>
        <w:tc>
          <w:tcPr>
            <w:tcW w:w="7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3.50%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March 29, 2011</w:t>
            </w:r>
          </w:p>
        </w:tc>
        <w:tc>
          <w:tcPr>
            <w:tcW w:w="2100" w:type="dxa"/>
            <w:vAlign w:val="bottom"/>
            <w:gridSpan w:val="2"/>
          </w:tcPr>
          <w:p>
            <w:pPr>
              <w:spacing w:after="0"/>
              <w:rPr>
                <w:sz w:val="20"/>
                <w:szCs w:val="20"/>
                <w:color w:val="auto"/>
              </w:rPr>
            </w:pPr>
            <w:r>
              <w:rPr>
                <w:rFonts w:ascii="Arial" w:cs="Arial" w:eastAsia="Arial" w:hAnsi="Arial"/>
                <w:sz w:val="18"/>
                <w:szCs w:val="18"/>
                <w:color w:val="auto"/>
              </w:rPr>
              <w:t>March 1, 2021</w:t>
            </w:r>
          </w:p>
        </w:tc>
        <w:tc>
          <w:tcPr>
            <w:tcW w:w="1320" w:type="dxa"/>
            <w:vAlign w:val="bottom"/>
            <w:gridSpan w:val="2"/>
          </w:tcPr>
          <w:p>
            <w:pPr>
              <w:ind w:left="500"/>
              <w:spacing w:after="0"/>
              <w:rPr>
                <w:sz w:val="20"/>
                <w:szCs w:val="20"/>
                <w:color w:val="auto"/>
              </w:rPr>
            </w:pPr>
            <w:r>
              <w:rPr>
                <w:rFonts w:ascii="Arial" w:cs="Arial" w:eastAsia="Arial" w:hAnsi="Arial"/>
                <w:sz w:val="18"/>
                <w:szCs w:val="18"/>
                <w:color w:val="auto"/>
              </w:rPr>
              <w:t>4.46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44,500,000</w:t>
            </w: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21, 2011</w:t>
            </w:r>
          </w:p>
        </w:tc>
        <w:tc>
          <w:tcPr>
            <w:tcW w:w="2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1, 2021</w:t>
            </w:r>
          </w:p>
        </w:tc>
        <w:tc>
          <w:tcPr>
            <w:tcW w:w="82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w w:val="85"/>
              </w:rPr>
              <w:t>3.38</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105,000,000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20" w:type="dxa"/>
            <w:vAlign w:val="bottom"/>
            <w:gridSpan w:val="2"/>
          </w:tcPr>
          <w:p>
            <w:pPr>
              <w:spacing w:after="0"/>
              <w:rPr>
                <w:sz w:val="20"/>
                <w:szCs w:val="20"/>
                <w:color w:val="auto"/>
              </w:rPr>
            </w:pPr>
            <w:r>
              <w:rPr>
                <w:rFonts w:ascii="Arial" w:cs="Arial" w:eastAsia="Arial" w:hAnsi="Arial"/>
                <w:sz w:val="18"/>
                <w:szCs w:val="18"/>
                <w:color w:val="auto"/>
              </w:rPr>
              <w:t>Weighted Average Rate/Total</w:t>
            </w:r>
          </w:p>
        </w:tc>
        <w:tc>
          <w:tcPr>
            <w:tcW w:w="1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20" w:type="dxa"/>
            <w:vAlign w:val="bottom"/>
            <w:gridSpan w:val="2"/>
          </w:tcPr>
          <w:p>
            <w:pPr>
              <w:ind w:left="500"/>
              <w:spacing w:after="0"/>
              <w:rPr>
                <w:sz w:val="20"/>
                <w:szCs w:val="20"/>
                <w:color w:val="auto"/>
              </w:rPr>
            </w:pPr>
            <w:r>
              <w:rPr>
                <w:rFonts w:ascii="Arial" w:cs="Arial" w:eastAsia="Arial" w:hAnsi="Arial"/>
                <w:sz w:val="18"/>
                <w:szCs w:val="18"/>
                <w:color w:val="auto"/>
              </w:rPr>
              <w:t>3.70%</w:t>
            </w:r>
          </w:p>
        </w:tc>
        <w:tc>
          <w:tcPr>
            <w:tcW w:w="3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150,000,000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The SBIC program is designed to stimulate the flow of capital into eligible businesses. Under SBA regulations, our SBIC Funds are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investment in certain industries and requiring capitalization thresholds that limit distributions to us, and are subject to periodic audits and examinations of their financial statements that are prepared on a basis of accounting other than GAAP (for example, fair value, as defined under ASC 820, is not required to be used for assets or liabilities for such compliance reporting). As of June 30, 2014, our SBIC Funds were in compliance with their regulatory requirements.</w:t>
      </w:r>
    </w:p>
    <w:p>
      <w:pPr>
        <w:spacing w:after="0" w:line="178"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In accordance with the 1940 Act, with certain limited exceptions, PennantPark Investment is only allowed to borrow amounts such that our asset coverage ratio is met after such borrowing. As of June 30, 2014 and September 30, 2013, we excluded the principal amounts of our SBA debentures from our asset coverage ratio pursuant to SEC exemptive relief. In June 2011, we received exemptive relief from the SEC allowing us to modify the asset coverage ratio requirement to exclude the SBA debentures from the calculation. Accordingly, our ratio of total assets on a consolidated basis to outstanding indebtedness may be less than 200% which, while providing increased investment flexibility, also increases our exposure to risks associated with leverage.</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308" w:lineRule="auto"/>
        <w:rPr>
          <w:sz w:val="20"/>
          <w:szCs w:val="20"/>
          <w:color w:val="auto"/>
        </w:rPr>
      </w:pPr>
      <w:r>
        <w:rPr>
          <w:rFonts w:ascii="Arial" w:cs="Arial" w:eastAsia="Arial" w:hAnsi="Arial"/>
          <w:sz w:val="17"/>
          <w:szCs w:val="17"/>
          <w:color w:val="auto"/>
        </w:rPr>
        <w:t>On June 30, 2014 and September 30, 2013, we had cash and cash equivalents of $64.4 million and $58.4 million, respectively, available for investing and general corporate purposes. We believe our liquidity and capital resources are sufficient to take advantage of market opportunities.</w:t>
      </w:r>
    </w:p>
    <w:p>
      <w:pPr>
        <w:spacing w:after="0" w:line="14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Our operating activities used cash of $48.4 million for the nine months ended June 30, 2014, primarily for net purchases of investments. Our financing activities provided cash of $54.5 million for the same period, primarily from net borrowings under our Credit Facility.</w:t>
      </w:r>
    </w:p>
    <w:p>
      <w:pPr>
        <w:spacing w:after="0" w:line="170" w:lineRule="exact"/>
        <w:rPr>
          <w:sz w:val="20"/>
          <w:szCs w:val="20"/>
          <w:color w:val="auto"/>
        </w:rPr>
      </w:pPr>
    </w:p>
    <w:p>
      <w:pPr>
        <w:ind w:right="480" w:firstLine="456"/>
        <w:spacing w:after="0" w:line="308" w:lineRule="auto"/>
        <w:rPr>
          <w:sz w:val="20"/>
          <w:szCs w:val="20"/>
          <w:color w:val="auto"/>
        </w:rPr>
      </w:pPr>
      <w:r>
        <w:rPr>
          <w:rFonts w:ascii="Arial" w:cs="Arial" w:eastAsia="Arial" w:hAnsi="Arial"/>
          <w:sz w:val="17"/>
          <w:szCs w:val="17"/>
          <w:color w:val="auto"/>
        </w:rPr>
        <w:t>Our operating activities provided cash of $11.1 million for the nine months ended June 30, 2013, primarily from operating income. Our financing activities used cash of $2.4 million for the same period, primarily to repay certain amounts outstanding under our Credit Facility.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A summary of our significant contractual payment obligations as of June 30, 2014, including borrowings under our various debt facilities and other contractual obligations, is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7"/>
          </w:tcPr>
          <w:p>
            <w:pPr>
              <w:ind w:left="80"/>
              <w:spacing w:after="0"/>
              <w:rPr>
                <w:sz w:val="20"/>
                <w:szCs w:val="20"/>
                <w:color w:val="auto"/>
              </w:rPr>
            </w:pPr>
            <w:r>
              <w:rPr>
                <w:rFonts w:ascii="Arial" w:cs="Arial" w:eastAsia="Arial" w:hAnsi="Arial"/>
                <w:sz w:val="14"/>
                <w:szCs w:val="14"/>
                <w:b w:val="1"/>
                <w:bCs w:val="1"/>
                <w:color w:val="auto"/>
              </w:rPr>
              <w:t>Payments due by period (in millions)</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160" w:type="dxa"/>
            <w:vAlign w:val="bottom"/>
          </w:tcPr>
          <w:p>
            <w:pPr>
              <w:spacing w:after="0"/>
              <w:rPr>
                <w:sz w:val="10"/>
                <w:szCs w:val="10"/>
                <w:color w:val="auto"/>
              </w:rPr>
            </w:pPr>
          </w:p>
        </w:tc>
        <w:tc>
          <w:tcPr>
            <w:tcW w:w="5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Total</w:t>
            </w:r>
          </w:p>
        </w:tc>
        <w:tc>
          <w:tcPr>
            <w:tcW w:w="480" w:type="dxa"/>
            <w:vAlign w:val="bottom"/>
          </w:tcPr>
          <w:p>
            <w:pPr>
              <w:spacing w:after="0"/>
              <w:rPr>
                <w:sz w:val="10"/>
                <w:szCs w:val="10"/>
                <w:color w:val="auto"/>
              </w:rPr>
            </w:pPr>
          </w:p>
        </w:tc>
        <w:tc>
          <w:tcPr>
            <w:tcW w:w="11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Less than</w:t>
            </w:r>
          </w:p>
        </w:tc>
        <w:tc>
          <w:tcPr>
            <w:tcW w:w="36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1-3</w:t>
            </w: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jc w:val="right"/>
              <w:ind w:right="53"/>
              <w:spacing w:after="0" w:line="119" w:lineRule="exact"/>
              <w:rPr>
                <w:sz w:val="20"/>
                <w:szCs w:val="20"/>
                <w:color w:val="auto"/>
              </w:rPr>
            </w:pPr>
            <w:r>
              <w:rPr>
                <w:rFonts w:ascii="Arial" w:cs="Arial" w:eastAsia="Arial" w:hAnsi="Arial"/>
                <w:sz w:val="13"/>
                <w:szCs w:val="13"/>
                <w:b w:val="1"/>
                <w:bCs w:val="1"/>
                <w:color w:val="auto"/>
              </w:rPr>
              <w:t>3-5</w:t>
            </w:r>
          </w:p>
        </w:tc>
        <w:tc>
          <w:tcPr>
            <w:tcW w:w="500" w:type="dxa"/>
            <w:vAlign w:val="bottom"/>
          </w:tcPr>
          <w:p>
            <w:pPr>
              <w:spacing w:after="0"/>
              <w:rPr>
                <w:sz w:val="10"/>
                <w:szCs w:val="10"/>
                <w:color w:val="auto"/>
              </w:rPr>
            </w:pPr>
          </w:p>
        </w:tc>
        <w:tc>
          <w:tcPr>
            <w:tcW w:w="66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9"/>
              </w:rPr>
              <w:t>More than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1 year</w:t>
            </w:r>
          </w:p>
        </w:tc>
        <w:tc>
          <w:tcPr>
            <w:tcW w:w="8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7"/>
              </w:rPr>
              <w:t>years</w:t>
            </w:r>
          </w:p>
        </w:tc>
        <w:tc>
          <w:tcPr>
            <w:tcW w:w="100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years</w:t>
            </w:r>
          </w:p>
        </w:tc>
        <w:tc>
          <w:tcPr>
            <w:tcW w:w="10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1"/>
              </w:rPr>
              <w:t>5 years</w:t>
            </w:r>
          </w:p>
        </w:tc>
        <w:tc>
          <w:tcPr>
            <w:tcW w:w="0" w:type="dxa"/>
            <w:vAlign w:val="bottom"/>
          </w:tcPr>
          <w:p>
            <w:pPr>
              <w:spacing w:after="0"/>
              <w:rPr>
                <w:sz w:val="1"/>
                <w:szCs w:val="1"/>
                <w:color w:val="auto"/>
              </w:rPr>
            </w:pPr>
          </w:p>
        </w:tc>
      </w:tr>
      <w:tr>
        <w:trPr>
          <w:trHeight w:val="210"/>
        </w:trPr>
        <w:tc>
          <w:tcPr>
            <w:tcW w:w="67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Credit Facility</w:t>
            </w:r>
            <w:r>
              <w:rPr>
                <w:rFonts w:ascii="Arial" w:cs="Arial" w:eastAsia="Arial" w:hAnsi="Arial"/>
                <w:sz w:val="15"/>
                <w:szCs w:val="15"/>
                <w:color w:val="auto"/>
              </w:rPr>
              <w:t>(1)</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$255.9</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255.9</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spacing w:after="0"/>
              <w:rPr>
                <w:sz w:val="20"/>
                <w:szCs w:val="20"/>
                <w:color w:val="auto"/>
              </w:rPr>
            </w:pPr>
            <w:r>
              <w:rPr>
                <w:rFonts w:ascii="Arial" w:cs="Arial" w:eastAsia="Arial" w:hAnsi="Arial"/>
                <w:sz w:val="18"/>
                <w:szCs w:val="18"/>
                <w:color w:val="auto"/>
              </w:rPr>
              <w:t>SBA debentures</w:t>
            </w: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150.0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2025 Notes</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71.3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16"/>
        </w:trPr>
        <w:tc>
          <w:tcPr>
            <w:tcW w:w="6700" w:type="dxa"/>
            <w:vAlign w:val="bottom"/>
            <w:gridSpan w:val="2"/>
          </w:tcPr>
          <w:p>
            <w:pPr>
              <w:spacing w:after="0"/>
              <w:rPr>
                <w:sz w:val="20"/>
                <w:szCs w:val="20"/>
                <w:color w:val="auto"/>
              </w:rPr>
            </w:pPr>
            <w:r>
              <w:rPr>
                <w:rFonts w:ascii="Arial" w:cs="Arial" w:eastAsia="Arial" w:hAnsi="Arial"/>
                <w:sz w:val="18"/>
                <w:szCs w:val="18"/>
                <w:color w:val="auto"/>
              </w:rPr>
              <w:t>Total debt outstanding</w:t>
            </w:r>
            <w:r>
              <w:rPr>
                <w:rFonts w:ascii="Arial" w:cs="Arial" w:eastAsia="Arial" w:hAnsi="Arial"/>
                <w:sz w:val="15"/>
                <w:szCs w:val="15"/>
                <w:color w:val="auto"/>
              </w:rPr>
              <w:t>(2)</w:t>
            </w: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477.2</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8"/>
                <w:szCs w:val="18"/>
                <w:color w:val="auto"/>
                <w:w w:val="84"/>
              </w:rPr>
              <w:t>255.9</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Unfunded investments</w:t>
            </w:r>
            <w:r>
              <w:rPr>
                <w:rFonts w:ascii="Arial" w:cs="Arial" w:eastAsia="Arial" w:hAnsi="Arial"/>
                <w:sz w:val="15"/>
                <w:szCs w:val="15"/>
                <w:color w:val="auto"/>
              </w:rPr>
              <w:t>(3)</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1.9</w:t>
            </w:r>
          </w:p>
        </w:tc>
        <w:tc>
          <w:tcPr>
            <w:tcW w:w="8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00" w:type="dxa"/>
            <w:vAlign w:val="bottom"/>
            <w:gridSpan w:val="2"/>
          </w:tcPr>
          <w:p>
            <w:pPr>
              <w:spacing w:after="0"/>
              <w:rPr>
                <w:sz w:val="20"/>
                <w:szCs w:val="20"/>
                <w:color w:val="auto"/>
              </w:rPr>
            </w:pPr>
            <w:r>
              <w:rPr>
                <w:rFonts w:ascii="Arial" w:cs="Arial" w:eastAsia="Arial" w:hAnsi="Arial"/>
                <w:sz w:val="18"/>
                <w:szCs w:val="18"/>
                <w:color w:val="auto"/>
              </w:rPr>
              <w:t>Total contractual obligations</w:t>
            </w: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497.6</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w w:val="79"/>
              </w:rPr>
              <w:t>1.</w:t>
            </w:r>
            <w:r>
              <w:rPr>
                <w:rFonts w:ascii="Arial" w:cs="Arial" w:eastAsia="Arial" w:hAnsi="Arial"/>
                <w:sz w:val="18"/>
                <w:szCs w:val="18"/>
                <w:u w:val="single" w:color="auto"/>
                <w:color w:val="auto"/>
                <w:w w:val="79"/>
              </w:rPr>
              <w:t>9</w:t>
            </w:r>
          </w:p>
        </w:tc>
        <w:tc>
          <w:tcPr>
            <w:tcW w:w="5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$ 8.5</w:t>
            </w: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160" w:type="dxa"/>
            <w:vAlign w:val="bottom"/>
            <w:tcBorders>
              <w:bottom w:val="single" w:sz="8" w:color="auto"/>
            </w:tcBorders>
          </w:tcPr>
          <w:p>
            <w:pPr>
              <w:spacing w:after="0"/>
              <w:rPr>
                <w:sz w:val="11"/>
                <w:szCs w:val="11"/>
                <w:color w:val="auto"/>
              </w:rPr>
            </w:pPr>
          </w:p>
        </w:tc>
        <w:tc>
          <w:tcPr>
            <w:tcW w:w="5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borrowings denominated in British Pounds of £34.0 million, as of June 30, 2014.</w:t>
      </w:r>
    </w:p>
    <w:p>
      <w:pPr>
        <w:spacing w:after="0" w:line="23" w:lineRule="exact"/>
        <w:rPr>
          <w:rFonts w:ascii="Arial" w:cs="Arial" w:eastAsia="Arial" w:hAnsi="Arial"/>
          <w:sz w:val="18"/>
          <w:szCs w:val="18"/>
          <w:color w:val="auto"/>
        </w:rPr>
      </w:pPr>
    </w:p>
    <w:p>
      <w:pPr>
        <w:ind w:left="460" w:right="540" w:hanging="452"/>
        <w:spacing w:after="0" w:line="250"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annualized weighted average cost of debt as of June 30, 2014, excluding debt issuance costs, was 3.94% inclusive of the fee on the undrawn commitment of 0.375% on the Credit Facility and 3.43% of upfront fees on SBA debentures.</w:t>
      </w:r>
    </w:p>
    <w:p>
      <w:pPr>
        <w:ind w:left="460" w:right="720" w:hanging="452"/>
        <w:spacing w:after="0" w:line="261"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Unfunded debt and equity investments described in the Consolidated Statement of Assets and Liabilities represent unfunded delayed draws on investments and/or revolving lines of credit.</w:t>
      </w:r>
    </w:p>
    <w:p>
      <w:pPr>
        <w:spacing w:after="0" w:line="184"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have entered into certain contracts under which we have material future commitments. Under our Investment Management Agreement, which was most recently reapproved by our board of directors, including a majority of our directors who are not interested persons of us or the Investment Adviser, in February 2014, PennantPark Investment Advisers serves as our Investment Adviser in accordance with the terms of that Investment Management Agreement. PennantPark Investment, through the Investment Adviser, provides similar services to our SBIC Funds under their investment management agreements with us. Our SBIC Funds’ investment management agreements do not affect the management or incentive fees that we pay to the Investment Adviser on a consolidated basis. Payments under our Investment Management Agreement in each reporting period are equal to (1) a base management fee equal to a percentage of the value of our average adjusted gross assets and (2) an incentive fee based on our performance.</w:t>
      </w:r>
    </w:p>
    <w:p>
      <w:pPr>
        <w:spacing w:after="0" w:line="16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Under our Administration Agreement, which was most recently reapproved by our board of directors, including a majority of our directors who are not interested persons of us, in February 2014, PennantPark Investment Administration furnishes us with office facilities and administrative services necessary to conduct our day-to-day operations. PennantPark Investment, through the Administrator, provides similar services to our SBIC Funds under their administration agreements, which are intended to have no effect on the consolidated administration fee. If requested to provide managerial assistance to our portfolio companies, PennantPark Investment Advisers or</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PennantPark Investment Administration will be paid an additional amount based on the services provided, which amount will not in any case exceed the amount we receive from the portfolio companies for such services. Payment under our Administration Agreement is based upon our allocable portion of the Administrator’s overhead in performing its obligations under our Administration Agreement, including rent, technology systems, insurance and our allocable portion of the costs of our Chief Compliance Officer, Chief Financial Officer and their respective staffs. For the three and nine months ended June 30, 2014, the Investment Adviser was reimbursed $0.6 million and $2.7 million, respectively, from us, including expenses incurred on behalf of the Administrator, for the services described above. For the three and nine months ended June 30, 2013, the Investment Adviser was reimbursed $0.5 million and $2.5 million, respectively, from us, including expenses incurred on behalf of the Administrator, for the services described above.</w:t>
      </w:r>
    </w:p>
    <w:p>
      <w:pPr>
        <w:spacing w:after="0" w:line="167" w:lineRule="exact"/>
        <w:rPr>
          <w:sz w:val="20"/>
          <w:szCs w:val="20"/>
          <w:color w:val="auto"/>
        </w:rPr>
      </w:pPr>
    </w:p>
    <w:p>
      <w:pPr>
        <w:jc w:val="both"/>
        <w:ind w:right="220" w:firstLine="456"/>
        <w:spacing w:after="0" w:line="312" w:lineRule="auto"/>
        <w:rPr>
          <w:sz w:val="20"/>
          <w:szCs w:val="20"/>
          <w:color w:val="auto"/>
        </w:rPr>
      </w:pPr>
      <w:r>
        <w:rPr>
          <w:rFonts w:ascii="Arial" w:cs="Arial" w:eastAsia="Arial" w:hAnsi="Arial"/>
          <w:sz w:val="16"/>
          <w:szCs w:val="16"/>
          <w:color w:val="auto"/>
        </w:rPr>
        <w:t>If any of our contractual obligations discussed above is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147"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We, in the ordinary course of business, have guaranteed certain obligations of our controlled affiliate SuttonPark Holdings, Inc. and its subsidiaries, or SPH. The guaranties are only triggered if there were administrative errors in acquiring assets which SPH subsequently sold or securitized. As of June 30, 2014 and September 30, 2013, our maximum guaranty was $11.3 million and $13.0 million, respectively. Based on SPH’s and the industry’s historical loss rates we believe the risk of loss is remote, thus, we have not recorded a liability associated with the guaranties. The current guaranties will decline over time.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Off-Balance-Sheet Arrangements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currently engage in no off-balance-sheet arrangements, including any risk management of commodity pricing or other hedging practices.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117" w:lineRule="exact"/>
        <w:rPr>
          <w:sz w:val="20"/>
          <w:szCs w:val="20"/>
          <w:color w:val="auto"/>
        </w:rPr>
      </w:pPr>
    </w:p>
    <w:p>
      <w:pPr>
        <w:ind w:right="60" w:firstLine="456"/>
        <w:spacing w:after="0" w:line="285" w:lineRule="auto"/>
        <w:rPr>
          <w:sz w:val="20"/>
          <w:szCs w:val="20"/>
          <w:color w:val="auto"/>
        </w:rPr>
      </w:pPr>
      <w:r>
        <w:rPr>
          <w:rFonts w:ascii="Arial" w:cs="Arial" w:eastAsia="Arial" w:hAnsi="Arial"/>
          <w:sz w:val="16"/>
          <w:szCs w:val="16"/>
          <w:color w:val="auto"/>
        </w:rPr>
        <w:t>In order to qualify as a RIC and to not be subject to corporate-level tax on income, we are required, under Subchapter M of the Code, to distribute annually at least 90% of the sum of our net ordinary income and realized net short-term capital gains in excess of realized net long-term capital losses, if any, out of the assets legally available for distribution. Although not required for us to maintain our RIC tax status, in order to preclude the imposition of a 4% nondeductible federal excise tax imposed on RICs, we must distribute during each calendar year an amount at least equal to the sum of (1) 98% of our net ordinary income for the calendar year, (2) 98.2% of our realized net capital gains for the one-year period ending on October 31 of the calendar year and</w:t>
      </w:r>
    </w:p>
    <w:p>
      <w:pPr>
        <w:spacing w:after="0" w:line="2" w:lineRule="exact"/>
        <w:rPr>
          <w:sz w:val="20"/>
          <w:szCs w:val="20"/>
          <w:color w:val="auto"/>
        </w:rPr>
      </w:pPr>
    </w:p>
    <w:p>
      <w:pPr>
        <w:ind w:right="20" w:firstLine="8"/>
        <w:spacing w:after="0" w:line="254" w:lineRule="auto"/>
        <w:tabs>
          <w:tab w:leader="none" w:pos="2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net ordinary income and net capital gains for preceding years that were not distributed during such years. In addition, although we may distribute realized net capital gains (i.e., net long-term capital gains in excess of short-term capital losses), if any, at least annually, out of the assets legally available for such distributions, we may retain such net capital gains or ordinary income to provide us with additional liquidity. As a RIC, we are generally not subject to tax on income and have elected to retain a portion of our calendar year income.</w:t>
      </w:r>
    </w:p>
    <w:p>
      <w:pPr>
        <w:spacing w:after="0" w:line="19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During the three and nine months ended June 30, 2014, we declared to stockholders distributions of $0.28 and $0.84 per share, respectively, for total distributions of $18.6 million and $55.9 million, respectively. For the same periods in the prior year, we declared distributions of $0.28 and $0.84 per share, respectively, for total distributions of $18.6 million and $55.8 million, respectively. We monitor available net investment income to determine if a return of capital for taxation purposes may occur for the fiscal year. To the extent our taxable earnings fall below the total amount of our distributions for any given fiscal year, a portion of those distributions may be deemed to be a return of capital to our common stockholders. Tax characteristics of all distributions will be reported to stockholders on Form 1099-DIV after the end of the calendar year and in our periodic reports filed with the SEC.</w:t>
      </w:r>
    </w:p>
    <w:p>
      <w:pPr>
        <w:spacing w:after="0" w:line="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S-30</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intend to continue to make quarterly distributions to our stockholders. Our quarterly distributions, if any, are determined by our board of directors.</w:t>
      </w:r>
    </w:p>
    <w:p>
      <w:pPr>
        <w:spacing w:after="0" w:line="248"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distribution, then stockholders’ cash distributions will be automatically reinvested in additional shares of our common stock, unless they specifically “opt out” of the dividend reinvestment plan so as to receive cash distributions.</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applicable to us as a BDC under the 1940 Act and/or due to provisions in future credit facilities. If we do not distribute a certain percentage of our income annually, we will suffer adverse tax consequences, including possible loss of RIC status. We cannot assure stockholders that they will receive any distributions at a particular level.</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17"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Since June 30, 2014 through August 31, 2014, we invested $217.6 million in three new and eight existing portfolio companies with a weighted average yield on debt investments of 13.2%. Sales and repayments of investments for the same period totaled $35.9 million. As of August 31, 2014, there was $452.2 million in outstanding borrowings under our Credit Facility.</w:t>
      </w:r>
    </w:p>
    <w:p>
      <w:pPr>
        <w:spacing w:after="0" w:line="181"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On September 3, 2014, we announced that we have asked J.P. Morgan, Morgan Stanley, Goldman, Sachs &amp; Co. and SunTrust Robinson Humphrey to organize a series of fixed income investor meetings from September 8, 2014 through September 10, 2014. A debt capital markets transaction may follow, subject to market conditions. We cannot assure you of the timing of such a debt capital markets transaction, or that such a transaction will occur.</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Update to Determination of NAV—Determinations In Connection With Offerings</w:t>
      </w:r>
    </w:p>
    <w:p>
      <w:pPr>
        <w:spacing w:after="0" w:line="117" w:lineRule="exact"/>
        <w:rPr>
          <w:sz w:val="20"/>
          <w:szCs w:val="20"/>
          <w:color w:val="auto"/>
        </w:rPr>
      </w:pPr>
    </w:p>
    <w:p>
      <w:pPr>
        <w:jc w:val="center"/>
        <w:ind w:right="180"/>
        <w:spacing w:after="0" w:line="342" w:lineRule="auto"/>
        <w:rPr>
          <w:sz w:val="20"/>
          <w:szCs w:val="20"/>
          <w:color w:val="auto"/>
        </w:rPr>
      </w:pPr>
      <w:r>
        <w:rPr>
          <w:rFonts w:ascii="Arial" w:cs="Arial" w:eastAsia="Arial" w:hAnsi="Arial"/>
          <w:sz w:val="16"/>
          <w:szCs w:val="16"/>
          <w:color w:val="auto"/>
        </w:rPr>
        <w:t>We may offer shares of our common stock at a discount from our most recently determined NAV per share pursuant to authority granted by our stockholders on February 4, 2014. In addition, we may sell shares of our common stock at a price below NAV per share if the following conditions are met:</w:t>
      </w:r>
    </w:p>
    <w:p>
      <w:pPr>
        <w:spacing w:after="0" w:line="29"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majority of our independent directors who have no financial interest in the sale must have approved the sale; and</w:t>
      </w:r>
    </w:p>
    <w:p>
      <w:pPr>
        <w:spacing w:after="0" w:line="13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majority of such directors, in consultation with the underwriters of the offering, must have determined in good faith, and as of a time immediately prior to the first solicitation by us or on our behalf of firm commitments to purchase such shares or immediately prior to the issuance of such shares, that the price at which such shares are to be sold is not less than a price which closely approximates the market value of those shares, less any underwriting commission or discount.</w:t>
      </w:r>
    </w:p>
    <w:p>
      <w:pPr>
        <w:spacing w:after="0" w:line="18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Our board of directors may determine that it would be in our and our stockholders’ best interests to issue shares of our common stock below NAV. Sales of common stock at prices below NAV per share dilute the interests of existing stockholders, have the effect of reducing our NAV per share and may reduce our market price per share. See “Risk Factors” on page 8 of the accompanying prospectus and “Sales of Common Stock Below Net Asset Value” on page 37 of the accompanying prospectus.</w:t>
      </w:r>
    </w:p>
    <w:p>
      <w:pPr>
        <w:spacing w:after="0" w:line="187"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determination of NAV in connection with an offering of shares of common stock will involve the determination by our board of directors or a committee thereof that we are not selling shares of our common stock at a price below the then current NAV of our common stock at the time at which the sale is made or otherwise in violation of the 1940 Act unless we received the consent of the majority of our common stockholders to do so and the board decides such offering is in the best interests of our common stockholders.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Whenever we do not have current shareholder approval to issue shares of our common stock at a price per share below our then current NAV per share, the offering price per share (exclusive of any distributing commission or discount) will equal or exceed NAV per share, based on the value of our portfolio securities and other assets determined in good faith by our board of directors as of a time within 48 hours (excluding Sundays and holidays) of the sale. See “Sales of Common Stock below Net Asset Value” in the accompanying prospectus for more information.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Quantitative And Qualitative Disclosures About Market Risk</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We are subject to financial market risks, including changes in interest rates. As of June 30, 2014, our debt portfolio consisted of 39% fixed-rate investments and 61% variable-rate investments (including 53% with a LIBOR or prime floor). The variable-rate loans are usually based on a LIBOR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w:t>
      </w:r>
    </w:p>
    <w:p>
      <w:pPr>
        <w:spacing w:after="0" w:line="178"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Assuming that the most recent statement of assets and liabilities was to remain constant, and no actions were taken to alter the interest rate sensitivity, the following table shows the annualized impact of hypothetical base rate changes in interest rates:</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 In Interest</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40" w:type="dxa"/>
            <w:vAlign w:val="bottom"/>
            <w:vMerge w:val="restart"/>
          </w:tcPr>
          <w:p>
            <w:pPr>
              <w:spacing w:after="0"/>
              <w:rPr>
                <w:sz w:val="20"/>
                <w:szCs w:val="20"/>
                <w:color w:val="auto"/>
              </w:rPr>
            </w:pPr>
            <w:r>
              <w:rPr>
                <w:rFonts w:ascii="Arial" w:cs="Arial" w:eastAsia="Arial" w:hAnsi="Arial"/>
                <w:sz w:val="14"/>
                <w:szCs w:val="14"/>
                <w:b w:val="1"/>
                <w:bCs w:val="1"/>
                <w:color w:val="auto"/>
                <w:w w:val="92"/>
              </w:rPr>
              <w:t>Change In Interest Rates</w:t>
            </w:r>
          </w:p>
        </w:tc>
        <w:tc>
          <w:tcPr>
            <w:tcW w:w="3740" w:type="dxa"/>
            <w:vAlign w:val="bottom"/>
          </w:tcPr>
          <w:p>
            <w:pPr>
              <w:spacing w:after="0"/>
              <w:rPr>
                <w:sz w:val="12"/>
                <w:szCs w:val="12"/>
                <w:color w:val="auto"/>
              </w:rPr>
            </w:pPr>
          </w:p>
        </w:tc>
        <w:tc>
          <w:tcPr>
            <w:tcW w:w="21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Income, Net Of Interest</w:t>
            </w:r>
          </w:p>
        </w:tc>
        <w:tc>
          <w:tcPr>
            <w:tcW w:w="1300" w:type="dxa"/>
            <w:vAlign w:val="bottom"/>
            <w:gridSpan w:val="4"/>
            <w:vMerge w:val="restart"/>
          </w:tcPr>
          <w:p>
            <w:pPr>
              <w:ind w:left="580"/>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171"/>
        </w:trPr>
        <w:tc>
          <w:tcPr>
            <w:tcW w:w="1540" w:type="dxa"/>
            <w:vAlign w:val="bottom"/>
            <w:vMerge w:val="continue"/>
          </w:tcPr>
          <w:p>
            <w:pPr>
              <w:spacing w:after="0"/>
              <w:rPr>
                <w:sz w:val="14"/>
                <w:szCs w:val="14"/>
                <w:color w:val="auto"/>
              </w:rPr>
            </w:pPr>
          </w:p>
        </w:tc>
        <w:tc>
          <w:tcPr>
            <w:tcW w:w="5840" w:type="dxa"/>
            <w:vAlign w:val="bottom"/>
            <w:gridSpan w:val="4"/>
          </w:tcPr>
          <w:p>
            <w:pPr>
              <w:ind w:left="3740"/>
              <w:spacing w:after="0"/>
              <w:rPr>
                <w:sz w:val="20"/>
                <w:szCs w:val="20"/>
                <w:color w:val="auto"/>
              </w:rPr>
            </w:pPr>
            <w:r>
              <w:rPr>
                <w:rFonts w:ascii="Arial" w:cs="Arial" w:eastAsia="Arial" w:hAnsi="Arial"/>
                <w:sz w:val="14"/>
                <w:szCs w:val="14"/>
                <w:b w:val="1"/>
                <w:bCs w:val="1"/>
                <w:color w:val="auto"/>
              </w:rPr>
              <w:t>Expense (In Thousands)</w:t>
            </w:r>
          </w:p>
        </w:tc>
        <w:tc>
          <w:tcPr>
            <w:tcW w:w="13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Up 1%</w:t>
            </w:r>
          </w:p>
        </w:tc>
        <w:tc>
          <w:tcPr>
            <w:tcW w:w="37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6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(0.02)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Up 2%</w:t>
            </w:r>
          </w:p>
        </w:tc>
        <w:tc>
          <w:tcPr>
            <w:tcW w:w="3860" w:type="dxa"/>
            <w:vAlign w:val="bottom"/>
            <w:gridSpan w:val="2"/>
          </w:tcPr>
          <w:p>
            <w:pPr>
              <w:ind w:left="374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2,797</w:t>
            </w:r>
          </w:p>
        </w:tc>
        <w:tc>
          <w:tcPr>
            <w:tcW w:w="600" w:type="dxa"/>
            <w:vAlign w:val="bottom"/>
          </w:tcPr>
          <w:p>
            <w:pPr>
              <w:spacing w:after="0"/>
              <w:rPr>
                <w:sz w:val="18"/>
                <w:szCs w:val="18"/>
                <w:color w:val="auto"/>
              </w:rPr>
            </w:pPr>
          </w:p>
        </w:tc>
        <w:tc>
          <w:tcPr>
            <w:tcW w:w="7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Up 3%</w:t>
            </w:r>
          </w:p>
        </w:tc>
        <w:tc>
          <w:tcPr>
            <w:tcW w:w="3860" w:type="dxa"/>
            <w:vAlign w:val="bottom"/>
            <w:gridSpan w:val="2"/>
            <w:shd w:val="clear" w:color="auto" w:fill="CCEEFF"/>
          </w:tcPr>
          <w:p>
            <w:pPr>
              <w:ind w:left="374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6,646</w:t>
            </w:r>
          </w:p>
        </w:tc>
        <w:tc>
          <w:tcPr>
            <w:tcW w:w="6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40" w:type="dxa"/>
            <w:vAlign w:val="bottom"/>
          </w:tcPr>
          <w:p>
            <w:pPr>
              <w:spacing w:after="0"/>
              <w:rPr>
                <w:sz w:val="20"/>
                <w:szCs w:val="20"/>
                <w:color w:val="auto"/>
              </w:rPr>
            </w:pPr>
            <w:r>
              <w:rPr>
                <w:rFonts w:ascii="Arial" w:cs="Arial" w:eastAsia="Arial" w:hAnsi="Arial"/>
                <w:sz w:val="18"/>
                <w:szCs w:val="18"/>
                <w:color w:val="auto"/>
              </w:rPr>
              <w:t>Up 4%</w:t>
            </w:r>
          </w:p>
        </w:tc>
        <w:tc>
          <w:tcPr>
            <w:tcW w:w="3860" w:type="dxa"/>
            <w:vAlign w:val="bottom"/>
            <w:gridSpan w:val="2"/>
          </w:tcPr>
          <w:p>
            <w:pPr>
              <w:ind w:left="374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10,494</w:t>
            </w:r>
          </w:p>
        </w:tc>
        <w:tc>
          <w:tcPr>
            <w:tcW w:w="600" w:type="dxa"/>
            <w:vAlign w:val="bottom"/>
          </w:tcPr>
          <w:p>
            <w:pPr>
              <w:spacing w:after="0"/>
              <w:rPr>
                <w:sz w:val="20"/>
                <w:szCs w:val="20"/>
                <w:color w:val="auto"/>
              </w:rPr>
            </w:pPr>
          </w:p>
        </w:tc>
        <w:tc>
          <w:tcPr>
            <w:tcW w:w="7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0.16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Although management believes that this measure is indicative of our sensitivity to interest rate changes, it does not adjust for potential changes in the credit market, credit quality, size and composition of the assets on the Consolidated Statement of Assets and Liabilities and other business developments that could affect net increase in net assets resulting from operations, or net investment income. Accordingly, no assurances can be given that actual results would not differ materially from those shown above.</w:t>
      </w:r>
    </w:p>
    <w:p>
      <w:pPr>
        <w:spacing w:after="0" w:line="187"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181"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We may hedge against interest rate fluctuations by using standard hedging instruments such as futures, options and forward contracts subject to the requirements of the 1940 Act and applicable commodities laws. While hedging activities may insulate us against adverse changes in interest rates, they may also limit our ability to participate in benefits of lower interest rates with respect to our portfolio of investments with fixed interest rates. During the periods covered by this prospectus supplement, we did not engage in interest rate hedging activities.</w:t>
      </w:r>
    </w:p>
    <w:p>
      <w:pPr>
        <w:spacing w:after="0" w:line="1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S-32</w:t>
      </w:r>
    </w:p>
    <w:p>
      <w:pPr>
        <w:sectPr>
          <w:pgSz w:w="11900" w:h="16838" w:orient="portrait"/>
          <w:cols w:equalWidth="0" w:num="1">
            <w:col w:w="11340"/>
          </w:cols>
          <w:pgMar w:left="240" w:top="459" w:right="3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right="220" w:firstLine="456"/>
        <w:spacing w:after="0" w:line="279" w:lineRule="auto"/>
        <w:rPr>
          <w:sz w:val="20"/>
          <w:szCs w:val="20"/>
          <w:color w:val="auto"/>
        </w:rPr>
      </w:pPr>
      <w:r>
        <w:rPr>
          <w:rFonts w:ascii="Arial" w:cs="Arial" w:eastAsia="Arial" w:hAnsi="Arial"/>
          <w:sz w:val="17"/>
          <w:szCs w:val="17"/>
          <w:color w:val="auto"/>
        </w:rPr>
        <w:t>We intend to offer the shares through the underwriters named in the table below. Morgan Stanley &amp; Co. LLC, Goldman, Sachs &amp; Co., J.P. Morgan Securities LLC, UBS Securities LLC and Keefe, Bruyette &amp; Woods, Inc. are acting as joint bookrunners and representatives of the several underwriters. Subject to the terms and conditions described in an underwriting agreement among us and the underwriters, we have agreed to sell to the underwriters, and each underwriter has severally agreed to purchase from us, the number of shares set forth opposite the underwriter’s name.</w:t>
      </w:r>
    </w:p>
    <w:p>
      <w:pPr>
        <w:spacing w:after="0" w:line="17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Underwriter Names</w:t>
            </w: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71"/>
        </w:trPr>
        <w:tc>
          <w:tcPr>
            <w:tcW w:w="6740" w:type="dxa"/>
            <w:vAlign w:val="bottom"/>
            <w:gridSpan w:val="3"/>
            <w:vMerge w:val="continue"/>
          </w:tcPr>
          <w:p>
            <w:pPr>
              <w:spacing w:after="0"/>
              <w:rPr>
                <w:sz w:val="14"/>
                <w:szCs w:val="14"/>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3"/>
              </w:rPr>
              <w:t>Morgan Stanley</w:t>
            </w:r>
          </w:p>
        </w:tc>
        <w:tc>
          <w:tcPr>
            <w:tcW w:w="5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&amp; Co. LLC</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3,400,000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Goldman, Sachs &amp; Co.</w:t>
            </w:r>
          </w:p>
        </w:tc>
        <w:tc>
          <w:tcPr>
            <w:tcW w:w="900" w:type="dxa"/>
            <w:vAlign w:val="bottom"/>
          </w:tcPr>
          <w:p>
            <w:pPr>
              <w:jc w:val="right"/>
              <w:spacing w:after="0"/>
              <w:rPr>
                <w:sz w:val="20"/>
                <w:szCs w:val="20"/>
                <w:color w:val="auto"/>
              </w:rPr>
            </w:pPr>
            <w:r>
              <w:rPr>
                <w:rFonts w:ascii="Arial" w:cs="Arial" w:eastAsia="Arial" w:hAnsi="Arial"/>
                <w:sz w:val="18"/>
                <w:szCs w:val="18"/>
                <w:color w:val="auto"/>
              </w:rPr>
              <w:t>1,190,000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 Morgan Securities LLC</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UBS Securities LLC</w:t>
            </w:r>
          </w:p>
        </w:tc>
        <w:tc>
          <w:tcPr>
            <w:tcW w:w="900" w:type="dxa"/>
            <w:vAlign w:val="bottom"/>
          </w:tcPr>
          <w:p>
            <w:pPr>
              <w:jc w:val="right"/>
              <w:spacing w:after="0"/>
              <w:rPr>
                <w:sz w:val="20"/>
                <w:szCs w:val="20"/>
                <w:color w:val="auto"/>
              </w:rPr>
            </w:pPr>
            <w:r>
              <w:rPr>
                <w:rFonts w:ascii="Arial" w:cs="Arial" w:eastAsia="Arial" w:hAnsi="Arial"/>
                <w:sz w:val="18"/>
                <w:szCs w:val="18"/>
                <w:color w:val="auto"/>
              </w:rPr>
              <w:t>850,000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Keefe, Bruyette &amp; Woods, Inc.</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722,500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Ladenburg Thalmann &amp; Co. Inc.</w:t>
            </w:r>
          </w:p>
        </w:tc>
        <w:tc>
          <w:tcPr>
            <w:tcW w:w="900" w:type="dxa"/>
            <w:vAlign w:val="bottom"/>
          </w:tcPr>
          <w:p>
            <w:pPr>
              <w:jc w:val="right"/>
              <w:spacing w:after="0"/>
              <w:rPr>
                <w:sz w:val="20"/>
                <w:szCs w:val="20"/>
                <w:color w:val="auto"/>
              </w:rPr>
            </w:pPr>
            <w:r>
              <w:rPr>
                <w:rFonts w:ascii="Arial" w:cs="Arial" w:eastAsia="Arial" w:hAnsi="Arial"/>
                <w:sz w:val="18"/>
                <w:szCs w:val="18"/>
                <w:color w:val="auto"/>
              </w:rPr>
              <w:t>382,500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FBR Capital Markets &amp; Co.</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212,500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JMP Securities LLC</w:t>
            </w:r>
          </w:p>
        </w:tc>
        <w:tc>
          <w:tcPr>
            <w:tcW w:w="900" w:type="dxa"/>
            <w:vAlign w:val="bottom"/>
          </w:tcPr>
          <w:p>
            <w:pPr>
              <w:jc w:val="right"/>
              <w:spacing w:after="0"/>
              <w:rPr>
                <w:sz w:val="20"/>
                <w:szCs w:val="20"/>
                <w:color w:val="auto"/>
              </w:rPr>
            </w:pPr>
            <w:r>
              <w:rPr>
                <w:rFonts w:ascii="Arial" w:cs="Arial" w:eastAsia="Arial" w:hAnsi="Arial"/>
                <w:sz w:val="18"/>
                <w:szCs w:val="18"/>
                <w:color w:val="auto"/>
              </w:rPr>
              <w:t>212,500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ING Financial Markets LLC</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Comerica Securities, Inc.</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underwriting agreement provides that the obligations of the underwriters to purchase the shares included in this offering are subject to certain conditions precedent, including the absence of any material adverse change in our business and the receipt of certain certificates, opinions and letters from us, our counsel and our independent registered public accounting firm. The underwriters are committed to purchase all shares included in this offering, other than those shares covered by the option to purchase additional shares described below, if they purchase any of the shares. The underwriters reserve the right to withdraw, cancel or modify offers to the public and to reject orders in whole or in part.</w:t>
      </w:r>
    </w:p>
    <w:p>
      <w:pPr>
        <w:spacing w:after="0" w:line="173"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We have agreed to indemnify the several underwriters against certain liabilities, including liabilities under the Securities Act, or to contribute to payments the underwriters may be required to make in respect of those liabilities.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underwriters have advised us that they propose initially to offer the shares to the public at the public offering price on the cover page of this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prospectus supplement and to certain other Financial Industry Regulatory Authority (FINRA) members at that price less a concession not in excess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$0.20934 per share. After the public offering, the public offering price, concession and discount may be changed. No such change shall change the amount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proceeds to be received by us as set forth on the cover page of this prospectus supplement.</w:t>
      </w:r>
    </w:p>
    <w:p>
      <w:pPr>
        <w:spacing w:after="0" w:line="21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following table shows the per share and total underwriting discounts and commissions we will pay to the underwriters assuming both no exercise and full exercise of the underwriters’ option to purchase up to an additional 1,275,000 shares.</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3"/>
          </w:tcPr>
          <w:p>
            <w:pPr>
              <w:ind w:left="40"/>
              <w:spacing w:after="0"/>
              <w:rPr>
                <w:sz w:val="20"/>
                <w:szCs w:val="20"/>
                <w:color w:val="auto"/>
              </w:rPr>
            </w:pPr>
            <w:r>
              <w:rPr>
                <w:rFonts w:ascii="Arial" w:cs="Arial" w:eastAsia="Arial" w:hAnsi="Arial"/>
                <w:sz w:val="14"/>
                <w:szCs w:val="14"/>
                <w:b w:val="1"/>
                <w:bCs w:val="1"/>
                <w:color w:val="auto"/>
              </w:rPr>
              <w:t>Per Share</w:t>
            </w: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Without Option</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With Option</w:t>
            </w:r>
          </w:p>
        </w:tc>
      </w:tr>
      <w:tr>
        <w:trPr>
          <w:trHeight w:val="210"/>
        </w:trPr>
        <w:tc>
          <w:tcPr>
            <w:tcW w:w="5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11.6300</w:t>
            </w:r>
          </w:p>
        </w:tc>
        <w:tc>
          <w:tcPr>
            <w:tcW w:w="4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98,855,000</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113,683,250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Underwriting discount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0.3489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2,965,650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3,410,498</w:t>
            </w:r>
          </w:p>
        </w:tc>
      </w:tr>
      <w:tr>
        <w:trPr>
          <w:trHeight w:val="202"/>
        </w:trPr>
        <w:tc>
          <w:tcPr>
            <w:tcW w:w="5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Proceeds to PennantPark Investment Corporation (before offering expenses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 $500,000)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11.2811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95,889,350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110,272,752</w:t>
            </w:r>
          </w:p>
        </w:tc>
      </w:tr>
      <w:tr>
        <w:trPr>
          <w:trHeight w:val="365"/>
        </w:trPr>
        <w:tc>
          <w:tcPr>
            <w:tcW w:w="5640" w:type="dxa"/>
            <w:vAlign w:val="bottom"/>
          </w:tcPr>
          <w:p>
            <w:pPr>
              <w:ind w:left="4620"/>
              <w:spacing w:after="0"/>
              <w:rPr>
                <w:sz w:val="20"/>
                <w:szCs w:val="20"/>
                <w:color w:val="auto"/>
              </w:rPr>
            </w:pPr>
            <w:r>
              <w:rPr>
                <w:rFonts w:ascii="Arial" w:cs="Arial" w:eastAsia="Arial" w:hAnsi="Arial"/>
                <w:sz w:val="18"/>
                <w:szCs w:val="18"/>
                <w:color w:val="auto"/>
              </w:rPr>
              <w:t>S-33</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to Purchase Additional Shares</w:t>
      </w:r>
    </w:p>
    <w:p>
      <w:pPr>
        <w:spacing w:after="0" w:line="12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have granted an option to the underwriters to purchase up to 1,275,000 additional shares at the public offering price less the underwriting discount. The underwriters may exercise this option for 30 days from the date of this prospectus supplement. If the underwriters exercise this option, each will be obligated, subject to conditions contained in the underwriting agreement, to purchase the additional shares approximately proportionate to that underwriter’s initial purchase commitment.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Sales of Similar Securities</w:t>
      </w:r>
    </w:p>
    <w:p>
      <w:pPr>
        <w:spacing w:after="0" w:line="12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We have agreed, with exceptions, not to sell or transfer any shares for 90 days after the date of this prospectus supplement without first obtaining the written consent of Morgan Stanley &amp; Co. LLC.</w:t>
      </w:r>
    </w:p>
    <w:p>
      <w:pPr>
        <w:spacing w:after="0" w:line="170" w:lineRule="exact"/>
        <w:rPr>
          <w:sz w:val="20"/>
          <w:szCs w:val="20"/>
          <w:color w:val="auto"/>
        </w:rPr>
      </w:pPr>
    </w:p>
    <w:p>
      <w:pPr>
        <w:jc w:val="both"/>
        <w:ind w:right="320" w:firstLine="456"/>
        <w:spacing w:after="0" w:line="286" w:lineRule="auto"/>
        <w:rPr>
          <w:sz w:val="20"/>
          <w:szCs w:val="20"/>
          <w:color w:val="auto"/>
        </w:rPr>
      </w:pPr>
      <w:r>
        <w:rPr>
          <w:rFonts w:ascii="Arial" w:cs="Arial" w:eastAsia="Arial" w:hAnsi="Arial"/>
          <w:sz w:val="17"/>
          <w:szCs w:val="17"/>
          <w:color w:val="auto"/>
        </w:rPr>
        <w:t>Our executive officers and directors, PennantPark Investment Advisers, LLC, and Pennant Park Investment Administration, LLC have agreed, with exceptions, not to sell or transfer any common stock for 90 days after the date of this prospectus supplement without first obtaining the written consent of Morgan Stanley &amp; Co. LLC. Specifically, we and these other individuals and entities have agreed not to directly or indirectly:</w:t>
      </w:r>
    </w:p>
    <w:p>
      <w:pPr>
        <w:spacing w:after="0" w:line="71"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offer, pledge, sell or contract to sell any common stock;</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sell any option or contract to purchase any common stock;</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purchase any option or contract to sell any common stock;</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grant any option, right or warrant for the sale of any common stock;</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lend or otherwise dispose of or transfer any common stock;</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request or demand that we file a registration statement related to the common stock; or</w:t>
      </w:r>
    </w:p>
    <w:p>
      <w:pPr>
        <w:spacing w:after="0" w:line="130"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enter into any swap or other agreement that transfers, in whole or in part, the economic consequence of ownership of any common stock whether any such swap or transaction is to be settled by delivery of common stock or other securities, in cash or otherwise.</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This lockup provision applies to common stock and to securities convertible into or exchangeable or exercisable for or repayable with common stock. It also applies to common stock owned now or acquired later by the person executing the agreement or for which the person executing the agreement later acquires the power of disposition.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Quotation on the NASDAQ Global Select Market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is quoted on the NASDAQ Global Select Market under the symbol “PNNT.”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and Short Positions</w:t>
      </w:r>
    </w:p>
    <w:p>
      <w:pPr>
        <w:spacing w:after="0" w:line="121" w:lineRule="exact"/>
        <w:rPr>
          <w:sz w:val="20"/>
          <w:szCs w:val="20"/>
          <w:color w:val="auto"/>
        </w:rPr>
      </w:pPr>
    </w:p>
    <w:p>
      <w:pPr>
        <w:ind w:right="180" w:firstLine="456"/>
        <w:spacing w:after="0" w:line="342" w:lineRule="auto"/>
        <w:rPr>
          <w:sz w:val="20"/>
          <w:szCs w:val="20"/>
          <w:color w:val="auto"/>
        </w:rPr>
      </w:pPr>
      <w:r>
        <w:rPr>
          <w:rFonts w:ascii="Arial" w:cs="Arial" w:eastAsia="Arial" w:hAnsi="Arial"/>
          <w:sz w:val="16"/>
          <w:szCs w:val="16"/>
          <w:color w:val="auto"/>
        </w:rPr>
        <w:t>Until the distribution of the shares is completed, SEC rules may limit the underwriters from bidding for and purchasing our common stock. However, the underwriters may engage in transactions that stabilize the price of the common stock, such as bids or purchases to peg, fix or maintain that price.</w:t>
      </w:r>
    </w:p>
    <w:p>
      <w:pPr>
        <w:spacing w:after="0" w:line="124"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If the underwriters create a short position in the common stock in connection with the offering (i.e., if they sell more shares than are listed on the cover of this prospectus supplement), the underwriters may reduce that short position by purchasing shares in the open market. The underwriters may also elect to reduce any short position by exercising all or part of the option to purchase additional shares as described above. In making this determination, the underwriters will consider, among other things, the price of shares available for purchase in the open market compared to the price at which the underwriters may purchase shares through the option to purchase additional shares. Purchases of the common stock to stabilize its price or to reduce a short position may cause the price of the common stock to be higher than it might be in the absence of such purchases.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S-34</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8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Neither we nor any of the underwriters make any representation or prediction as to the magnitude of any effect that the transactions described above may have on the price of the common stock. In addition, neither we nor any of the underwriters make any representation that the underwriters will engage in these transactions or that these transactions, once commenced, will not be discontinued without notice.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Delivery</w:t>
      </w:r>
    </w:p>
    <w:p>
      <w:pPr>
        <w:spacing w:after="0" w:line="121"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The underwriters may make prospectuses available in electronic (PDF) format. A prospectus in electronic (PDF) format may be made available on a web site maintained by the underwriters, and the underwriters may distribute such prospectuses electronically. The underwriters may allocate a limited number of shares for sale to their online brokerage customers.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their affiliates have provided in the past to PennantPark Investment and may provide from time to time in the future in the ordinary course of their business certain commercial banking, financial advisory, investment banking and other services to PennantPark Investment for which they will be entitled to receive customary fees and expenses. In particular, the underwriters or their affiliates may execute transactions with or on behalf of PennantPark Investment. In addition, the underwriters or their affiliates may act as arrangers, underwriters or placement agents for companies whose securities are sold to PennantPark Investment.</w:t>
      </w:r>
    </w:p>
    <w:p>
      <w:pPr>
        <w:spacing w:after="0" w:line="178"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In the ordinary course of their various business activities, the underwriters or their affiliates may also trade in our securities, securities of our portfolio companies or other related financial instruments for their own accounts or for the account of others and may extend loans or financing directly or through derivative transactions to PennantPark Investment or any of the portfolio companies. The underwriters and their respective affiliates may also make investment recommendations and/or publish or express independent research views in respect of such securities or instruments and may at the time hold, or recommend to clients that they acquire, long and/or short positions in such securities and instruments.</w:t>
      </w:r>
    </w:p>
    <w:p>
      <w:pPr>
        <w:spacing w:after="0" w:line="173"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We may purchase securities of third parties from the underwriters or their affiliates after the offering. However, we have not entered into any agreement or arrangement regarding the acquisition of any such securities, and we may not purchase any such securities. We would only purchase any such securities if, among other things, we identified securities that satisfied our investment needs and completed our due diligence review of such securities.</w:t>
      </w:r>
    </w:p>
    <w:p>
      <w:pPr>
        <w:spacing w:after="0" w:line="14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After the date of this prospectus supplement, the underwriters and their affiliates may from time to time obtain information regarding specific portfolio companies or us that may not be available to the general public. Any such information is obtained by the underwriters and their affiliates in the ordinary course of its business and not in connection with the offering of the common stock. In addition, after the offering period for the sale of our shares, the underwriters or their affiliates may develop analyses or opinions related to PennantPark Investment or our portfolio companies and buy or sell interests in one or more of our portfolio companies on behalf of their proprietary or client accounts and may engage in competitive activities. There is no obligation on behalf of these parties to disclose their respective analyses, opinions or purchase and sale activities regarding any portfolio company or regarding PennantPark Investment to our stockholders.</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S-35</w:t>
      </w:r>
    </w:p>
    <w:p>
      <w:pPr>
        <w:sectPr>
          <w:pgSz w:w="11900" w:h="16838" w:orient="portrait"/>
          <w:cols w:equalWidth="0" w:num="1">
            <w:col w:w="11380"/>
          </w:cols>
          <w:pgMar w:left="240" w:top="45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Affiliates of certain of the underwriters serve as lenders under our Credit Facility and may serve as lenders under any future credit facilities. Some of the underwriters and their affiliates were underwriters in connection with our initial public offerings and follow-on public offering for which they received customary fees. Affiliates of the underwriters may receive part of the proceeds of the offering by reason of the repayment of certain amounts outstanding under our Credit Facility.</w:t>
      </w:r>
    </w:p>
    <w:p>
      <w:pPr>
        <w:spacing w:after="0" w:line="187" w:lineRule="exact"/>
        <w:rPr>
          <w:sz w:val="20"/>
          <w:szCs w:val="20"/>
          <w:color w:val="auto"/>
        </w:rPr>
      </w:pPr>
    </w:p>
    <w:p>
      <w:pPr>
        <w:jc w:val="both"/>
        <w:ind w:right="100" w:firstLine="456"/>
        <w:spacing w:after="0" w:line="286" w:lineRule="auto"/>
        <w:rPr>
          <w:sz w:val="20"/>
          <w:szCs w:val="20"/>
          <w:color w:val="auto"/>
        </w:rPr>
      </w:pPr>
      <w:r>
        <w:rPr>
          <w:rFonts w:ascii="Arial" w:cs="Arial" w:eastAsia="Arial" w:hAnsi="Arial"/>
          <w:sz w:val="17"/>
          <w:szCs w:val="17"/>
          <w:color w:val="auto"/>
        </w:rPr>
        <w:t>The principal business addresses of the underwriters are: Morgan Stanley &amp; Co. LLC, 180 Varick Street, 2nd Floor, New York, NY 10014; Goldman, Sachs &amp; Co., 200 West Street, New York, New York 10282; J.P. Morgan Securities LLC, 383 Madison Avenue, New York, NY 10179; UBS Securities LLC, 299 Park Avenue, New York, NY 10171; and Keefe, Bruyette &amp; Woods, Inc., 787 Seventh Avenue, 4th Floor, New York, NY 10019.</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Australia</w:t>
      </w:r>
    </w:p>
    <w:p>
      <w:pPr>
        <w:spacing w:after="0" w:line="12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This prospectus is not a final disclosure document and has not been, nor will be, lodged with the Australian Securities and Investments Commission. It does not purport to contain all information that an investor or their professional advisers would expect to find in a prospectus or other disclosure document (as defined in the Corporations Act 2001 (Australia)) for the purposes of Part 6D.2 of the Corporations Act 2001 (Australia) or in a product disclosure statement for the purposes of Part 7.9 of the Corporations Act 2001 (Australia), in either case, in relation to the securities.</w:t>
      </w:r>
    </w:p>
    <w:p>
      <w:pPr>
        <w:spacing w:after="0" w:line="171"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The securities are not being offered in Australia to “retail clients” as defined in sections 761G and 761GA of the Corporations Act 2001 (Australia). This offering is being made in Australia solely to “wholesale clients” for the purposes of section 761G of the Corporations Act 2001 (Australia) and, as such, no prospectus, product disclosure statement or other disclosure document in relation to the securities has been, or will be, prepared.</w:t>
      </w:r>
    </w:p>
    <w:p>
      <w:pPr>
        <w:spacing w:after="0" w:line="147"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This prospectus does not constitute an offer in Australia other than to wholesale clients. By submitting an application for our securities, you represent and warrant to us that you are a wholesale client for the purposes of section 761G of the Corporations Act 2001 (Australia). If any recipient of this prospectus is not a wholesale client, no offer of, or invitation to apply for, our securities shall be deemed to be made to such recipient and no applications for our securities will be accepted from such recipient. Any offer to a recipient in Australia, and any agreement arising from acceptance of such offer, is personal and may only be accepted by the recipient. In addition, by applying for our securities you undertake to us that, for a period of 12 months from the date of issue of the securities, you will not transfer any interest in the securities to any person in Australia other than to a wholesale client.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Hong Kong</w:t>
      </w:r>
    </w:p>
    <w:p>
      <w:pPr>
        <w:spacing w:after="0" w:line="12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Our securities may not be offered or sold in Hong Kong, by means of this prospectus or any document other than (i) to “professional investors” within the meaning of the Securities and Futures Ordinance (Cap.571, Laws of Hong Kong) and any rules made thereunder, or (ii) in circumstances which do not constitute an offer to the public within the meaning of the Companies Ordinance (Cap.32, Laws of Hong Kong), or (iii) in other circumstances which do not result in the document being a “prospectus” within the meaning of the Companies Ordinance (Cap.32, Laws of Hong Kong). No advertisement, invitation or document relating to our securities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the securities which are or are intended to be disposed of only to persons outside Hong Kong or only to “professional investors” within the meaning of the Securities and Futures Ordinance (Cap. 571, Laws of Hong Kong) and any rules made thereunder.</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S-36</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Certain legal matters regarding the securities offered by this prospectus supplement will be passed upon for PennantPark Investment Corporation by Dechert LLP, Washington, D.C., and Venable LLP, Baltimore, Maryland. Dechert LLP has from time to time represented the underwriters, PennantPark Investment Corporation and the Investment Adviser on unrelated matters. Certain legal matters in connection with the offering will be passed upon for the underwriters by Fried, Frank, Harris, Shriver &amp; Jacobson LLP, New York, NY.</w:t>
      </w:r>
    </w:p>
    <w:p>
      <w:pPr>
        <w:spacing w:after="0" w:line="11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S-37</w:t>
      </w:r>
    </w:p>
    <w:p>
      <w:pPr>
        <w:sectPr>
          <w:pgSz w:w="11900" w:h="16838" w:orient="portrait"/>
          <w:cols w:equalWidth="0" w:num="1">
            <w:col w:w="11140"/>
          </w:cols>
          <w:pgMar w:left="240" w:top="459" w:right="51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07"/>
        </w:trPr>
        <w:tc>
          <w:tcPr>
            <w:tcW w:w="9160" w:type="dxa"/>
            <w:vAlign w:val="bottom"/>
            <w:gridSpan w:val="9"/>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2160" w:type="dxa"/>
            <w:vAlign w:val="bottom"/>
          </w:tcPr>
          <w:p>
            <w:pPr>
              <w:spacing w:after="0"/>
              <w:rPr>
                <w:sz w:val="17"/>
                <w:szCs w:val="17"/>
                <w:color w:val="auto"/>
              </w:rPr>
            </w:pPr>
          </w:p>
        </w:tc>
      </w:tr>
      <w:tr>
        <w:trPr>
          <w:trHeight w:val="515"/>
        </w:trPr>
        <w:tc>
          <w:tcPr>
            <w:tcW w:w="1360" w:type="dxa"/>
            <w:vAlign w:val="bottom"/>
            <w:tcBorders>
              <w:top w:val="single" w:sz="8" w:color="0000EE"/>
            </w:tcBorders>
          </w:tcPr>
          <w:p>
            <w:pPr>
              <w:spacing w:after="0"/>
              <w:rPr>
                <w:sz w:val="24"/>
                <w:szCs w:val="24"/>
                <w:color w:val="auto"/>
              </w:rPr>
            </w:pPr>
          </w:p>
        </w:tc>
        <w:tc>
          <w:tcPr>
            <w:tcW w:w="2060" w:type="dxa"/>
            <w:vAlign w:val="bottom"/>
          </w:tcPr>
          <w:p>
            <w:pPr>
              <w:spacing w:after="0"/>
              <w:rPr>
                <w:sz w:val="24"/>
                <w:szCs w:val="24"/>
                <w:color w:val="auto"/>
              </w:rPr>
            </w:pPr>
          </w:p>
        </w:tc>
        <w:tc>
          <w:tcPr>
            <w:tcW w:w="5740" w:type="dxa"/>
            <w:vAlign w:val="bottom"/>
            <w:gridSpan w:val="7"/>
          </w:tcPr>
          <w:p>
            <w:pPr>
              <w:jc w:val="center"/>
              <w:ind w:right="1140"/>
              <w:spacing w:after="0"/>
              <w:rPr>
                <w:sz w:val="20"/>
                <w:szCs w:val="20"/>
                <w:color w:val="auto"/>
              </w:rPr>
            </w:pPr>
            <w:r>
              <w:rPr>
                <w:rFonts w:ascii="Arial" w:cs="Arial" w:eastAsia="Arial" w:hAnsi="Arial"/>
                <w:sz w:val="18"/>
                <w:szCs w:val="18"/>
                <w:b w:val="1"/>
                <w:bCs w:val="1"/>
                <w:color w:val="auto"/>
              </w:rPr>
              <w:t>INDEX TO FINANCIAL STATEMENTS</w:t>
            </w:r>
          </w:p>
        </w:tc>
        <w:tc>
          <w:tcPr>
            <w:tcW w:w="2160" w:type="dxa"/>
            <w:vAlign w:val="bottom"/>
          </w:tcPr>
          <w:p>
            <w:pPr>
              <w:spacing w:after="0"/>
              <w:rPr>
                <w:sz w:val="24"/>
                <w:szCs w:val="24"/>
                <w:color w:val="auto"/>
              </w:rPr>
            </w:pPr>
          </w:p>
        </w:tc>
      </w:tr>
      <w:tr>
        <w:trPr>
          <w:trHeight w:val="234"/>
        </w:trPr>
        <w:tc>
          <w:tcPr>
            <w:tcW w:w="9160" w:type="dxa"/>
            <w:vAlign w:val="bottom"/>
            <w:gridSpan w:val="9"/>
          </w:tcPr>
          <w:p>
            <w:pPr>
              <w:spacing w:after="0"/>
              <w:rPr>
                <w:sz w:val="20"/>
                <w:szCs w:val="20"/>
                <w:color w:val="auto"/>
              </w:rPr>
            </w:pPr>
            <w:r>
              <w:rPr>
                <w:rFonts w:ascii="Arial" w:cs="Arial" w:eastAsia="Arial" w:hAnsi="Arial"/>
                <w:sz w:val="18"/>
                <w:szCs w:val="18"/>
                <w:b w:val="1"/>
                <w:bCs w:val="1"/>
                <w:color w:val="auto"/>
              </w:rPr>
              <w:t>Interim Financial Statements</w:t>
            </w:r>
          </w:p>
        </w:tc>
        <w:tc>
          <w:tcPr>
            <w:tcW w:w="2160" w:type="dxa"/>
            <w:vAlign w:val="bottom"/>
          </w:tcPr>
          <w:p>
            <w:pPr>
              <w:spacing w:after="0"/>
              <w:rPr>
                <w:sz w:val="20"/>
                <w:szCs w:val="20"/>
                <w:color w:val="auto"/>
              </w:rPr>
            </w:pPr>
          </w:p>
        </w:tc>
      </w:tr>
      <w:tr>
        <w:trPr>
          <w:trHeight w:val="419"/>
        </w:trPr>
        <w:tc>
          <w:tcPr>
            <w:tcW w:w="9160" w:type="dxa"/>
            <w:vAlign w:val="bottom"/>
            <w:gridSpan w:val="9"/>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Report of Independent Registered Public Accounting Firm</w:t>
              </w:r>
            </w:hyperlink>
          </w:p>
        </w:tc>
        <w:tc>
          <w:tcPr>
            <w:tcW w:w="2160" w:type="dxa"/>
            <w:vAlign w:val="bottom"/>
          </w:tcPr>
          <w:p>
            <w:pPr>
              <w:ind w:left="1820"/>
              <w:spacing w:after="0"/>
              <w:rPr>
                <w:sz w:val="20"/>
                <w:szCs w:val="20"/>
                <w:color w:val="auto"/>
              </w:rPr>
            </w:pPr>
            <w:r>
              <w:rPr>
                <w:rFonts w:ascii="Arial" w:cs="Arial" w:eastAsia="Arial" w:hAnsi="Arial"/>
                <w:sz w:val="18"/>
                <w:szCs w:val="18"/>
                <w:color w:val="auto"/>
                <w:w w:val="84"/>
              </w:rPr>
              <w:t>S-39</w:t>
            </w:r>
          </w:p>
        </w:tc>
      </w:tr>
      <w:tr>
        <w:trPr>
          <w:trHeight w:val="20"/>
        </w:trPr>
        <w:tc>
          <w:tcPr>
            <w:tcW w:w="342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304"/>
        </w:trPr>
        <w:tc>
          <w:tcPr>
            <w:tcW w:w="682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43">
              <w:r>
                <w:rPr>
                  <w:rFonts w:ascii="Arial" w:cs="Arial" w:eastAsia="Arial" w:hAnsi="Arial"/>
                  <w:sz w:val="18"/>
                  <w:szCs w:val="18"/>
                  <w:color w:val="0000EE"/>
                  <w:w w:val="89"/>
                </w:rPr>
                <w:t>Consolidated Statements of Assets and Liabilities as of June 30, 2014 and September 30, 2013</w:t>
              </w:r>
            </w:hyperlink>
          </w:p>
        </w:tc>
        <w:tc>
          <w:tcPr>
            <w:tcW w:w="2340" w:type="dxa"/>
            <w:vAlign w:val="bottom"/>
            <w:gridSpan w:val="3"/>
          </w:tcPr>
          <w:p>
            <w:pPr>
              <w:spacing w:after="0"/>
              <w:rPr>
                <w:sz w:val="24"/>
                <w:szCs w:val="24"/>
                <w:color w:val="auto"/>
              </w:rPr>
            </w:pPr>
          </w:p>
        </w:tc>
        <w:tc>
          <w:tcPr>
            <w:tcW w:w="2160" w:type="dxa"/>
            <w:vAlign w:val="bottom"/>
          </w:tcPr>
          <w:p>
            <w:pPr>
              <w:ind w:left="1820"/>
              <w:spacing w:after="0"/>
              <w:rPr>
                <w:sz w:val="20"/>
                <w:szCs w:val="20"/>
                <w:color w:val="auto"/>
              </w:rPr>
            </w:pPr>
            <w:r>
              <w:rPr>
                <w:rFonts w:ascii="Arial" w:cs="Arial" w:eastAsia="Arial" w:hAnsi="Arial"/>
                <w:sz w:val="18"/>
                <w:szCs w:val="18"/>
                <w:color w:val="auto"/>
                <w:w w:val="84"/>
              </w:rPr>
              <w:t>S-40</w:t>
            </w:r>
          </w:p>
        </w:tc>
      </w:tr>
      <w:tr>
        <w:trPr>
          <w:trHeight w:val="304"/>
        </w:trPr>
        <w:tc>
          <w:tcPr>
            <w:tcW w:w="722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44">
              <w:r>
                <w:rPr>
                  <w:rFonts w:ascii="Arial" w:cs="Arial" w:eastAsia="Arial" w:hAnsi="Arial"/>
                  <w:sz w:val="18"/>
                  <w:szCs w:val="18"/>
                  <w:color w:val="0000EE"/>
                  <w:w w:val="89"/>
                </w:rPr>
                <w:t>Consolidated Statements of Operations for the three and nine months ended June 30, 2014 and 2013</w:t>
              </w:r>
            </w:hyperlink>
          </w:p>
        </w:tc>
        <w:tc>
          <w:tcPr>
            <w:tcW w:w="1940" w:type="dxa"/>
            <w:vAlign w:val="bottom"/>
            <w:gridSpan w:val="2"/>
          </w:tcPr>
          <w:p>
            <w:pPr>
              <w:spacing w:after="0"/>
              <w:rPr>
                <w:sz w:val="24"/>
                <w:szCs w:val="24"/>
                <w:color w:val="auto"/>
              </w:rPr>
            </w:pPr>
          </w:p>
        </w:tc>
        <w:tc>
          <w:tcPr>
            <w:tcW w:w="2160" w:type="dxa"/>
            <w:vAlign w:val="bottom"/>
          </w:tcPr>
          <w:p>
            <w:pPr>
              <w:ind w:left="1820"/>
              <w:spacing w:after="0"/>
              <w:rPr>
                <w:sz w:val="20"/>
                <w:szCs w:val="20"/>
                <w:color w:val="auto"/>
              </w:rPr>
            </w:pPr>
            <w:r>
              <w:rPr>
                <w:rFonts w:ascii="Arial" w:cs="Arial" w:eastAsia="Arial" w:hAnsi="Arial"/>
                <w:sz w:val="18"/>
                <w:szCs w:val="18"/>
                <w:color w:val="auto"/>
                <w:w w:val="84"/>
              </w:rPr>
              <w:t>S-41</w:t>
            </w:r>
          </w:p>
        </w:tc>
      </w:tr>
      <w:tr>
        <w:trPr>
          <w:trHeight w:val="304"/>
        </w:trPr>
        <w:tc>
          <w:tcPr>
            <w:tcW w:w="9160" w:type="dxa"/>
            <w:vAlign w:val="bottom"/>
            <w:gridSpan w:val="9"/>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Consolidated Statements of Changes in Net Assets for the nine months ended June 30, 2014 and 2013</w:t>
              </w:r>
            </w:hyperlink>
          </w:p>
        </w:tc>
        <w:tc>
          <w:tcPr>
            <w:tcW w:w="2160" w:type="dxa"/>
            <w:vAlign w:val="bottom"/>
          </w:tcPr>
          <w:p>
            <w:pPr>
              <w:ind w:left="1820"/>
              <w:spacing w:after="0"/>
              <w:rPr>
                <w:sz w:val="20"/>
                <w:szCs w:val="20"/>
                <w:color w:val="auto"/>
              </w:rPr>
            </w:pPr>
            <w:r>
              <w:rPr>
                <w:rFonts w:ascii="Arial" w:cs="Arial" w:eastAsia="Arial" w:hAnsi="Arial"/>
                <w:sz w:val="18"/>
                <w:szCs w:val="18"/>
                <w:color w:val="auto"/>
                <w:w w:val="84"/>
              </w:rPr>
              <w:t>S-42</w:t>
            </w:r>
          </w:p>
        </w:tc>
      </w:tr>
      <w:tr>
        <w:trPr>
          <w:trHeight w:val="304"/>
        </w:trPr>
        <w:tc>
          <w:tcPr>
            <w:tcW w:w="7340" w:type="dxa"/>
            <w:vAlign w:val="bottom"/>
            <w:tcBorders>
              <w:top w:val="single" w:sz="8" w:color="0000EE"/>
            </w:tcBorders>
            <w:gridSpan w:val="8"/>
          </w:tcPr>
          <w:p>
            <w:pPr>
              <w:spacing w:after="0"/>
              <w:rPr>
                <w:rFonts w:ascii="Arial" w:cs="Arial" w:eastAsia="Arial" w:hAnsi="Arial"/>
                <w:sz w:val="18"/>
                <w:szCs w:val="18"/>
                <w:color w:val="0000EE"/>
                <w:w w:val="99"/>
              </w:rPr>
            </w:pPr>
            <w:hyperlink w:anchor="page46">
              <w:r>
                <w:rPr>
                  <w:rFonts w:ascii="Arial" w:cs="Arial" w:eastAsia="Arial" w:hAnsi="Arial"/>
                  <w:sz w:val="18"/>
                  <w:szCs w:val="18"/>
                  <w:color w:val="0000EE"/>
                  <w:w w:val="99"/>
                </w:rPr>
                <w:t>Consolidated Statements of Cash Flows for the nine months ended June 30, 2014 and 2013</w:t>
              </w:r>
            </w:hyperlink>
          </w:p>
        </w:tc>
        <w:tc>
          <w:tcPr>
            <w:tcW w:w="1820" w:type="dxa"/>
            <w:vAlign w:val="bottom"/>
          </w:tcPr>
          <w:p>
            <w:pPr>
              <w:spacing w:after="0"/>
              <w:rPr>
                <w:sz w:val="24"/>
                <w:szCs w:val="24"/>
                <w:color w:val="auto"/>
              </w:rPr>
            </w:pPr>
          </w:p>
        </w:tc>
        <w:tc>
          <w:tcPr>
            <w:tcW w:w="2160" w:type="dxa"/>
            <w:vAlign w:val="bottom"/>
          </w:tcPr>
          <w:p>
            <w:pPr>
              <w:ind w:left="1820"/>
              <w:spacing w:after="0"/>
              <w:rPr>
                <w:sz w:val="20"/>
                <w:szCs w:val="20"/>
                <w:color w:val="auto"/>
              </w:rPr>
            </w:pPr>
            <w:r>
              <w:rPr>
                <w:rFonts w:ascii="Arial" w:cs="Arial" w:eastAsia="Arial" w:hAnsi="Arial"/>
                <w:sz w:val="18"/>
                <w:szCs w:val="18"/>
                <w:color w:val="auto"/>
                <w:w w:val="84"/>
              </w:rPr>
              <w:t>S-43</w:t>
            </w:r>
          </w:p>
        </w:tc>
      </w:tr>
      <w:tr>
        <w:trPr>
          <w:trHeight w:val="304"/>
        </w:trPr>
        <w:tc>
          <w:tcPr>
            <w:tcW w:w="608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8"/>
              </w:rPr>
            </w:pPr>
            <w:hyperlink w:anchor="page47">
              <w:r>
                <w:rPr>
                  <w:rFonts w:ascii="Arial" w:cs="Arial" w:eastAsia="Arial" w:hAnsi="Arial"/>
                  <w:sz w:val="18"/>
                  <w:szCs w:val="18"/>
                  <w:color w:val="0000EE"/>
                  <w:w w:val="88"/>
                </w:rPr>
                <w:t>Consolidated Schedules of Investments as of June 30, 2014 and September 30, 2013</w:t>
              </w:r>
            </w:hyperlink>
          </w:p>
        </w:tc>
        <w:tc>
          <w:tcPr>
            <w:tcW w:w="480" w:type="dxa"/>
            <w:vAlign w:val="bottom"/>
            <w:tcBorders>
              <w:top w:val="single" w:sz="8" w:color="0000EE"/>
            </w:tcBorders>
          </w:tcPr>
          <w:p>
            <w:pPr>
              <w:spacing w:after="0"/>
              <w:rPr>
                <w:sz w:val="24"/>
                <w:szCs w:val="24"/>
                <w:color w:val="auto"/>
              </w:rPr>
            </w:pPr>
          </w:p>
        </w:tc>
        <w:tc>
          <w:tcPr>
            <w:tcW w:w="2600" w:type="dxa"/>
            <w:vAlign w:val="bottom"/>
            <w:gridSpan w:val="4"/>
          </w:tcPr>
          <w:p>
            <w:pPr>
              <w:spacing w:after="0"/>
              <w:rPr>
                <w:sz w:val="24"/>
                <w:szCs w:val="24"/>
                <w:color w:val="auto"/>
              </w:rPr>
            </w:pPr>
          </w:p>
        </w:tc>
        <w:tc>
          <w:tcPr>
            <w:tcW w:w="2160" w:type="dxa"/>
            <w:vAlign w:val="bottom"/>
          </w:tcPr>
          <w:p>
            <w:pPr>
              <w:ind w:left="1820"/>
              <w:spacing w:after="0"/>
              <w:rPr>
                <w:sz w:val="20"/>
                <w:szCs w:val="20"/>
                <w:color w:val="auto"/>
              </w:rPr>
            </w:pPr>
            <w:r>
              <w:rPr>
                <w:rFonts w:ascii="Arial" w:cs="Arial" w:eastAsia="Arial" w:hAnsi="Arial"/>
                <w:sz w:val="18"/>
                <w:szCs w:val="18"/>
                <w:color w:val="auto"/>
                <w:w w:val="84"/>
              </w:rPr>
              <w:t>S-44</w:t>
            </w:r>
          </w:p>
        </w:tc>
      </w:tr>
      <w:tr>
        <w:trPr>
          <w:trHeight w:val="304"/>
        </w:trPr>
        <w:tc>
          <w:tcPr>
            <w:tcW w:w="9160" w:type="dxa"/>
            <w:vAlign w:val="bottom"/>
            <w:gridSpan w:val="9"/>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Notes to the Consolidated Financial Statements</w:t>
              </w:r>
            </w:hyperlink>
          </w:p>
        </w:tc>
        <w:tc>
          <w:tcPr>
            <w:tcW w:w="2160" w:type="dxa"/>
            <w:vAlign w:val="bottom"/>
          </w:tcPr>
          <w:p>
            <w:pPr>
              <w:ind w:left="1820"/>
              <w:spacing w:after="0"/>
              <w:rPr>
                <w:sz w:val="20"/>
                <w:szCs w:val="20"/>
                <w:color w:val="auto"/>
              </w:rPr>
            </w:pPr>
            <w:r>
              <w:rPr>
                <w:rFonts w:ascii="Arial" w:cs="Arial" w:eastAsia="Arial" w:hAnsi="Arial"/>
                <w:sz w:val="18"/>
                <w:szCs w:val="18"/>
                <w:color w:val="auto"/>
                <w:w w:val="84"/>
              </w:rPr>
              <w:t>S-53</w:t>
            </w:r>
          </w:p>
        </w:tc>
      </w:tr>
      <w:tr>
        <w:trPr>
          <w:trHeight w:val="385"/>
        </w:trPr>
        <w:tc>
          <w:tcPr>
            <w:tcW w:w="1360" w:type="dxa"/>
            <w:vAlign w:val="bottom"/>
            <w:tcBorders>
              <w:top w:val="single" w:sz="8" w:color="0000EE"/>
            </w:tcBorders>
          </w:tcPr>
          <w:p>
            <w:pPr>
              <w:spacing w:after="0"/>
              <w:rPr>
                <w:sz w:val="24"/>
                <w:szCs w:val="24"/>
                <w:color w:val="auto"/>
              </w:rPr>
            </w:pPr>
          </w:p>
        </w:tc>
        <w:tc>
          <w:tcPr>
            <w:tcW w:w="2060" w:type="dxa"/>
            <w:vAlign w:val="bottom"/>
            <w:tcBorders>
              <w:top w:val="single" w:sz="8" w:color="0000EE"/>
            </w:tcBorders>
          </w:tcPr>
          <w:p>
            <w:pPr>
              <w:spacing w:after="0"/>
              <w:rPr>
                <w:sz w:val="24"/>
                <w:szCs w:val="24"/>
                <w:color w:val="auto"/>
              </w:rPr>
            </w:pPr>
          </w:p>
        </w:tc>
        <w:tc>
          <w:tcPr>
            <w:tcW w:w="800" w:type="dxa"/>
            <w:vAlign w:val="bottom"/>
          </w:tcPr>
          <w:p>
            <w:pPr>
              <w:spacing w:after="0"/>
              <w:rPr>
                <w:sz w:val="24"/>
                <w:szCs w:val="24"/>
                <w:color w:val="auto"/>
              </w:rPr>
            </w:pPr>
          </w:p>
        </w:tc>
        <w:tc>
          <w:tcPr>
            <w:tcW w:w="4940" w:type="dxa"/>
            <w:vAlign w:val="bottom"/>
            <w:gridSpan w:val="6"/>
          </w:tcPr>
          <w:p>
            <w:pPr>
              <w:jc w:val="center"/>
              <w:ind w:right="1960"/>
              <w:spacing w:after="0"/>
              <w:rPr>
                <w:sz w:val="20"/>
                <w:szCs w:val="20"/>
                <w:color w:val="auto"/>
              </w:rPr>
            </w:pPr>
            <w:r>
              <w:rPr>
                <w:rFonts w:ascii="Arial" w:cs="Arial" w:eastAsia="Arial" w:hAnsi="Arial"/>
                <w:sz w:val="18"/>
                <w:szCs w:val="18"/>
                <w:color w:val="auto"/>
                <w:w w:val="89"/>
              </w:rPr>
              <w:t>S-38</w:t>
            </w:r>
          </w:p>
        </w:tc>
        <w:tc>
          <w:tcPr>
            <w:tcW w:w="21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446"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 and its Subsidiaries:</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reviewed the accompanying consolidated statements of assets and liabilities of PennantPark Investment Corporation and its Subsidiaries (the “Company”), including the consolidated schedule of investments, as of June 30, 2014, the consolidated statements of operations for the three and nine months ended June 30, 2014, and the consolidated statements of changes in net assets, and cash flows for the nine months ended June 30, 2014. These consolidated financial statements are the responsibility of the Company’s management.</w:t>
      </w:r>
    </w:p>
    <w:p>
      <w:pPr>
        <w:spacing w:after="0" w:line="18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conducted our review in accordance with the standards of the Public Company Accounting Oversight Board (United States). A review of interim financial information consists principally of applying analytical procedures to financial data and making inquiries of persons responsible for financial and accounting matters. It is substantially less in scope than an audit conducted in accordance with the standards of the Public Company Accounting Oversight Board, the objective of which is the expression of an opinion regarding the financial statements taken as a whole. Accordingly, we do not express such an opinion.</w:t>
      </w:r>
    </w:p>
    <w:p>
      <w:pPr>
        <w:spacing w:after="0" w:line="15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Based on our review, we are not aware of any material modifications that should be made to the consolidated financial statements referred to above for them to be in conformity with U.S. generally accepted accounting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814705" cy="1803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1470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5, 2014</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S-39</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ASSETS AND LIABILITIES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6"/>
              </w:rPr>
              <w:t>June 30, 2014</w:t>
            </w:r>
          </w:p>
        </w:tc>
        <w:tc>
          <w:tcPr>
            <w:tcW w:w="180" w:type="dxa"/>
            <w:vAlign w:val="bottom"/>
          </w:tcPr>
          <w:p>
            <w:pPr>
              <w:spacing w:after="0"/>
              <w:rPr>
                <w:sz w:val="14"/>
                <w:szCs w:val="14"/>
                <w:color w:val="auto"/>
              </w:rPr>
            </w:pPr>
          </w:p>
        </w:tc>
        <w:tc>
          <w:tcPr>
            <w:tcW w:w="144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4"/>
              </w:rPr>
              <w:t>September 30, 2013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(unaudited)</w:t>
            </w:r>
          </w:p>
        </w:tc>
        <w:tc>
          <w:tcPr>
            <w:tcW w:w="180" w:type="dxa"/>
            <w:vAlign w:val="bottom"/>
          </w:tcPr>
          <w:p>
            <w:pPr>
              <w:spacing w:after="0"/>
              <w:rPr>
                <w:sz w:val="14"/>
                <w:szCs w:val="14"/>
                <w:color w:val="auto"/>
              </w:rPr>
            </w:pPr>
          </w:p>
        </w:tc>
        <w:tc>
          <w:tcPr>
            <w:tcW w:w="14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9"/>
              </w:rPr>
              <w:t>Non-controlled, non-affiliated investments (cost—$1,028,125,032 and $928,078,589, respectively)</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1,089,476,729</w:t>
            </w:r>
          </w:p>
        </w:tc>
        <w:tc>
          <w:tcPr>
            <w:tcW w:w="38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968,471,042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340"/>
              <w:spacing w:after="0"/>
              <w:rPr>
                <w:sz w:val="20"/>
                <w:szCs w:val="20"/>
                <w:color w:val="auto"/>
              </w:rPr>
            </w:pPr>
            <w:r>
              <w:rPr>
                <w:rFonts w:ascii="Arial" w:cs="Arial" w:eastAsia="Arial" w:hAnsi="Arial"/>
                <w:sz w:val="18"/>
                <w:szCs w:val="18"/>
                <w:color w:val="auto"/>
              </w:rPr>
              <w:t>Non-controlled, affiliated investments (cost—$108,188,540 and $99,021,141, respectively)</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71,939,735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76,735,800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Controlled, affiliated investments (cost—$38,107,245 and $64,418,155, respectively)</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36,991,091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32,968,711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80" w:type="dxa"/>
            <w:vAlign w:val="bottom"/>
          </w:tcPr>
          <w:p>
            <w:pPr>
              <w:ind w:left="340"/>
              <w:spacing w:after="0"/>
              <w:rPr>
                <w:sz w:val="20"/>
                <w:szCs w:val="20"/>
                <w:color w:val="auto"/>
              </w:rPr>
            </w:pPr>
            <w:r>
              <w:rPr>
                <w:rFonts w:ascii="Arial" w:cs="Arial" w:eastAsia="Arial" w:hAnsi="Arial"/>
                <w:sz w:val="18"/>
                <w:szCs w:val="18"/>
                <w:color w:val="auto"/>
              </w:rPr>
              <w:t>Total of investments (cost—$1,174,420,817 and $1,091,517,885, respectively)</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1,198,407,555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1,078,175,553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(cost—$64,349,609 and $58,440,829, respectively) (See Note 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64,390,787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58,440,829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Interest receivable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14,000,558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10,894,893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 and other assets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13,375,704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5,815,817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80" w:type="dxa"/>
            <w:vAlign w:val="bottom"/>
          </w:tcPr>
          <w:p>
            <w:pPr>
              <w:ind w:left="700"/>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1,290,174,604</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1,153,327,092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Distributions payable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18,639,330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18,619,812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Payable for investments purchased</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52,544,704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Unfunded investments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20,396,263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7,241,667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Credit Facility payable (cost—$255,898,700 and $145,500,000, respectively) (See Notes 5 and 10)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257,187,294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SBA debentures payable (cost—$150,000,000) (See Notes 5 and 10)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150,000,000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150,000,000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2025 Notes payable (cost—$71,250,000) (See Notes 5 and 10)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72,532,500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68,400,000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Management fee payable (See Note 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6,131,963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5,419,557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Performance-based incentive fee payable (See Note 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5,370,391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4,274,881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Interest payable on debt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3,033,648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1,810,466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Accrued other expenses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2,410,422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2,009,806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80" w:type="dxa"/>
            <w:vAlign w:val="bottom"/>
          </w:tcPr>
          <w:p>
            <w:pPr>
              <w:ind w:left="700"/>
              <w:spacing w:after="0"/>
              <w:rPr>
                <w:sz w:val="20"/>
                <w:szCs w:val="20"/>
                <w:color w:val="auto"/>
              </w:rPr>
            </w:pPr>
            <w:r>
              <w:rPr>
                <w:rFonts w:ascii="Arial" w:cs="Arial" w:eastAsia="Arial" w:hAnsi="Arial"/>
                <w:sz w:val="18"/>
                <w:szCs w:val="18"/>
                <w:b w:val="1"/>
                <w:bCs w:val="1"/>
                <w:color w:val="auto"/>
              </w:rPr>
              <w:t>Total liabilities</w:t>
            </w:r>
          </w:p>
        </w:tc>
        <w:tc>
          <w:tcPr>
            <w:tcW w:w="2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535,701,811</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455,820,893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(See Note 11)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b w:val="1"/>
                <w:bCs w:val="1"/>
                <w:color w:val="auto"/>
              </w:rPr>
              <w:t>Net assets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Common stock, 66,569,036 and 66,499,327 shares issued and outstanding, respectively. Par value $0.001 per</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 and 100,000,000 shares authorized.</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66,569</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Paid-in capital in excess of par value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756,809,951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756,017,096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Distributions in excess of net investment income</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(9,406,519)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(4,675,217)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Accumulated net realized loss on investments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(14,454,032)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(43,409,847)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appreciation (depreciation) on investments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24,027,916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(13,342,332)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Net unrealized (appreciation) depreciation on debt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(2,571,092)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2,850,000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net assets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754,472,793</w:t>
            </w:r>
          </w:p>
        </w:tc>
        <w:tc>
          <w:tcPr>
            <w:tcW w:w="38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697,506,199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80" w:type="dxa"/>
            <w:vAlign w:val="bottom"/>
          </w:tcPr>
          <w:p>
            <w:pPr>
              <w:ind w:left="700"/>
              <w:spacing w:after="0"/>
              <w:rPr>
                <w:sz w:val="20"/>
                <w:szCs w:val="20"/>
                <w:color w:val="auto"/>
              </w:rPr>
            </w:pPr>
            <w:r>
              <w:rPr>
                <w:rFonts w:ascii="Arial" w:cs="Arial" w:eastAsia="Arial" w:hAnsi="Arial"/>
                <w:sz w:val="18"/>
                <w:szCs w:val="18"/>
                <w:b w:val="1"/>
                <w:bCs w:val="1"/>
                <w:color w:val="auto"/>
              </w:rPr>
              <w:t>Total liabilities and net assets</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1,290,174,604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1,153,327,092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NAV per share</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11.33</w:t>
            </w:r>
          </w:p>
        </w:tc>
        <w:tc>
          <w:tcPr>
            <w:tcW w:w="38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S-40</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PENNANTPARK INVESTMENT CORPORATION AND SUBSIDIARIES CONSOLIDATED STATEMENTS OF OPERATIONS (Unaudited)</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4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w w:val="97"/>
              </w:rPr>
              <w:t>Three Months Ended June 30,</w:t>
            </w:r>
          </w:p>
        </w:tc>
        <w:tc>
          <w:tcPr>
            <w:tcW w:w="120" w:type="dxa"/>
            <w:vAlign w:val="bottom"/>
          </w:tcPr>
          <w:p>
            <w:pPr>
              <w:spacing w:after="0"/>
              <w:rPr>
                <w:sz w:val="14"/>
                <w:szCs w:val="14"/>
                <w:color w:val="auto"/>
              </w:rPr>
            </w:pPr>
          </w:p>
        </w:tc>
        <w:tc>
          <w:tcPr>
            <w:tcW w:w="228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9"/>
              </w:rPr>
              <w:t>Nine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Investment income from:</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Non-controlled, non-affiliated investments:</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29,949,064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26,693,069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90,772,466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80,520,256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340"/>
              <w:spacing w:after="0"/>
              <w:rPr>
                <w:sz w:val="20"/>
                <w:szCs w:val="20"/>
                <w:color w:val="auto"/>
              </w:rPr>
            </w:pPr>
            <w:r>
              <w:rPr>
                <w:rFonts w:ascii="Arial" w:cs="Arial" w:eastAsia="Arial" w:hAnsi="Arial"/>
                <w:sz w:val="18"/>
                <w:szCs w:val="18"/>
                <w:color w:val="auto"/>
              </w:rPr>
              <w:t>Other income</w:t>
            </w:r>
          </w:p>
        </w:tc>
        <w:tc>
          <w:tcPr>
            <w:tcW w:w="8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1,463,884</w:t>
            </w:r>
          </w:p>
        </w:tc>
        <w:tc>
          <w:tcPr>
            <w:tcW w:w="1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3,941,167</w:t>
            </w:r>
          </w:p>
        </w:tc>
        <w:tc>
          <w:tcPr>
            <w:tcW w:w="12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6,314,911</w:t>
            </w: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9,184,121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Non-controlled, affiliated investments: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340"/>
              <w:spacing w:after="0"/>
              <w:rPr>
                <w:sz w:val="20"/>
                <w:szCs w:val="20"/>
                <w:color w:val="auto"/>
              </w:rPr>
            </w:pPr>
            <w:r>
              <w:rPr>
                <w:rFonts w:ascii="Arial" w:cs="Arial" w:eastAsia="Arial" w:hAnsi="Arial"/>
                <w:sz w:val="18"/>
                <w:szCs w:val="18"/>
                <w:color w:val="auto"/>
              </w:rPr>
              <w:t>Interest</w:t>
            </w:r>
          </w:p>
        </w:tc>
        <w:tc>
          <w:tcPr>
            <w:tcW w:w="8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1,456,621</w:t>
            </w:r>
          </w:p>
        </w:tc>
        <w:tc>
          <w:tcPr>
            <w:tcW w:w="1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2,140,854</w:t>
            </w:r>
          </w:p>
        </w:tc>
        <w:tc>
          <w:tcPr>
            <w:tcW w:w="12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4,174,234</w:t>
            </w: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4,471,618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Controlled, affiliated investments:</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2,447,354</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949,583</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6,071,987</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3,336,040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340"/>
              <w:spacing w:after="0"/>
              <w:rPr>
                <w:sz w:val="20"/>
                <w:szCs w:val="20"/>
                <w:color w:val="auto"/>
              </w:rPr>
            </w:pPr>
            <w:r>
              <w:rPr>
                <w:rFonts w:ascii="Arial" w:cs="Arial" w:eastAsia="Arial" w:hAnsi="Arial"/>
                <w:sz w:val="18"/>
                <w:szCs w:val="18"/>
                <w:color w:val="auto"/>
              </w:rPr>
              <w:t>Other income</w:t>
            </w:r>
          </w:p>
        </w:tc>
        <w:tc>
          <w:tcPr>
            <w:tcW w:w="8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158,333</w:t>
            </w:r>
          </w:p>
        </w:tc>
        <w:tc>
          <w:tcPr>
            <w:tcW w:w="10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459,166</w:t>
            </w:r>
          </w:p>
        </w:tc>
        <w:tc>
          <w:tcPr>
            <w:tcW w:w="1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 investment income</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35,475,256</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33,724,673</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107,792,764</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97,739,835</w:t>
            </w:r>
          </w:p>
        </w:tc>
        <w:tc>
          <w:tcPr>
            <w:tcW w:w="0" w:type="dxa"/>
            <w:vAlign w:val="bottom"/>
          </w:tcPr>
          <w:p>
            <w:pPr>
              <w:spacing w:after="0"/>
              <w:rPr>
                <w:sz w:val="1"/>
                <w:szCs w:val="1"/>
                <w:color w:val="auto"/>
              </w:rPr>
            </w:pPr>
          </w:p>
        </w:tc>
      </w:tr>
      <w:tr>
        <w:trPr>
          <w:trHeight w:val="223"/>
        </w:trPr>
        <w:tc>
          <w:tcPr>
            <w:tcW w:w="650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Base management fee (See Note 3)</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6,131,963</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5,412,461</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17,906,316</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15,869,172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340"/>
              <w:spacing w:after="0"/>
              <w:rPr>
                <w:sz w:val="20"/>
                <w:szCs w:val="20"/>
                <w:color w:val="auto"/>
              </w:rPr>
            </w:pPr>
            <w:r>
              <w:rPr>
                <w:rFonts w:ascii="Arial" w:cs="Arial" w:eastAsia="Arial" w:hAnsi="Arial"/>
                <w:sz w:val="18"/>
                <w:szCs w:val="18"/>
                <w:color w:val="auto"/>
              </w:rPr>
              <w:t>Performance-based incentive fee (See Note 3)</w:t>
            </w:r>
          </w:p>
        </w:tc>
        <w:tc>
          <w:tcPr>
            <w:tcW w:w="8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5,370,391</w:t>
            </w:r>
          </w:p>
        </w:tc>
        <w:tc>
          <w:tcPr>
            <w:tcW w:w="1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4,413,711</w:t>
            </w:r>
          </w:p>
        </w:tc>
        <w:tc>
          <w:tcPr>
            <w:tcW w:w="12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14,866,434</w:t>
            </w: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12,518,209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and expenses on debt (See Note 10)</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5,034,567</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4,212,450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14,707,313</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11,292,224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340"/>
              <w:spacing w:after="0"/>
              <w:rPr>
                <w:sz w:val="20"/>
                <w:szCs w:val="20"/>
                <w:color w:val="auto"/>
              </w:rPr>
            </w:pPr>
            <w:r>
              <w:rPr>
                <w:rFonts w:ascii="Arial" w:cs="Arial" w:eastAsia="Arial" w:hAnsi="Arial"/>
                <w:sz w:val="18"/>
                <w:szCs w:val="18"/>
                <w:color w:val="auto"/>
              </w:rPr>
              <w:t>Administrative services expenses (See Note 3)</w:t>
            </w:r>
          </w:p>
        </w:tc>
        <w:tc>
          <w:tcPr>
            <w:tcW w:w="8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930,809</w:t>
            </w:r>
          </w:p>
        </w:tc>
        <w:tc>
          <w:tcPr>
            <w:tcW w:w="1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1,157,748</w:t>
            </w:r>
          </w:p>
        </w:tc>
        <w:tc>
          <w:tcPr>
            <w:tcW w:w="12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2,771,359</w:t>
            </w: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3,485,607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general and administrative expenses</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929,254</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520,970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2,470,350</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2,000,919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tcPr>
          <w:p>
            <w:pPr>
              <w:ind w:left="340"/>
              <w:spacing w:after="0"/>
              <w:rPr>
                <w:sz w:val="20"/>
                <w:szCs w:val="20"/>
                <w:color w:val="auto"/>
              </w:rPr>
            </w:pPr>
            <w:r>
              <w:rPr>
                <w:rFonts w:ascii="Arial" w:cs="Arial" w:eastAsia="Arial" w:hAnsi="Arial"/>
                <w:sz w:val="18"/>
                <w:szCs w:val="18"/>
                <w:b w:val="1"/>
                <w:bCs w:val="1"/>
                <w:color w:val="auto"/>
              </w:rPr>
              <w:t>Expenses before taxes and debt issuance costs</w:t>
            </w: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18,396,984</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15,717,340</w:t>
            </w: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52,721,772</w:t>
            </w: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45,166,131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Tax expense (benefit)</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32,000</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32,500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40,548</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340"/>
              <w:spacing w:after="0"/>
              <w:rPr>
                <w:sz w:val="20"/>
                <w:szCs w:val="20"/>
                <w:color w:val="auto"/>
              </w:rPr>
            </w:pPr>
            <w:r>
              <w:rPr>
                <w:rFonts w:ascii="Arial" w:cs="Arial" w:eastAsia="Arial" w:hAnsi="Arial"/>
                <w:sz w:val="18"/>
                <w:szCs w:val="18"/>
                <w:color w:val="auto"/>
              </w:rPr>
              <w:t>Debt issuance costs (See Note 5)</w:t>
            </w:r>
          </w:p>
        </w:tc>
        <w:tc>
          <w:tcPr>
            <w:tcW w:w="8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3,850,000</w:t>
            </w:r>
          </w:p>
        </w:tc>
        <w:tc>
          <w:tcPr>
            <w:tcW w:w="1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320,000</w:t>
            </w:r>
          </w:p>
        </w:tc>
        <w:tc>
          <w:tcPr>
            <w:tcW w:w="12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3,850,000</w:t>
            </w: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2,757,500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 expenses</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22,278,984</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16,069,840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56,612,320</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47,841,235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80" w:type="dxa"/>
            <w:vAlign w:val="bottom"/>
          </w:tcPr>
          <w:p>
            <w:pPr>
              <w:ind w:left="340"/>
              <w:spacing w:after="0"/>
              <w:rPr>
                <w:sz w:val="20"/>
                <w:szCs w:val="20"/>
                <w:color w:val="auto"/>
              </w:rPr>
            </w:pPr>
            <w:r>
              <w:rPr>
                <w:rFonts w:ascii="Arial" w:cs="Arial" w:eastAsia="Arial" w:hAnsi="Arial"/>
                <w:sz w:val="18"/>
                <w:szCs w:val="18"/>
                <w:b w:val="1"/>
                <w:bCs w:val="1"/>
                <w:color w:val="auto"/>
              </w:rPr>
              <w:t>Net investment income</w:t>
            </w: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13,196,272</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17,654,833</w:t>
            </w: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51,180,444</w:t>
            </w: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49,898,600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Realized and unrealized gain (loss) on investments and debt:</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Net realized gain on investments</w:t>
            </w:r>
          </w:p>
        </w:tc>
        <w:tc>
          <w:tcPr>
            <w:tcW w:w="8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23,267,131</w:t>
            </w:r>
          </w:p>
        </w:tc>
        <w:tc>
          <w:tcPr>
            <w:tcW w:w="1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15,682,708</w:t>
            </w:r>
          </w:p>
        </w:tc>
        <w:tc>
          <w:tcPr>
            <w:tcW w:w="12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28,955,815</w:t>
            </w: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14,723,076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(depreciation) appreciation on:</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340"/>
              <w:spacing w:after="0"/>
              <w:rPr>
                <w:sz w:val="20"/>
                <w:szCs w:val="20"/>
                <w:color w:val="auto"/>
              </w:rPr>
            </w:pPr>
            <w:r>
              <w:rPr>
                <w:rFonts w:ascii="Arial" w:cs="Arial" w:eastAsia="Arial" w:hAnsi="Arial"/>
                <w:sz w:val="18"/>
                <w:szCs w:val="18"/>
                <w:color w:val="auto"/>
              </w:rPr>
              <w:t>Non-controlled, non-affiliated investments</w:t>
            </w:r>
          </w:p>
        </w:tc>
        <w:tc>
          <w:tcPr>
            <w:tcW w:w="8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(8,997,766)</w:t>
            </w:r>
          </w:p>
        </w:tc>
        <w:tc>
          <w:tcPr>
            <w:tcW w:w="1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(23,484,170)</w:t>
            </w:r>
          </w:p>
        </w:tc>
        <w:tc>
          <w:tcPr>
            <w:tcW w:w="12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21,000,422</w:t>
            </w: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8,805,377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Controlled and non-controlled, affiliated investments</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7,860,989</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3,504,661</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16,369,826</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(3,580,500)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tcPr>
          <w:p>
            <w:pPr>
              <w:ind w:left="340"/>
              <w:spacing w:after="0"/>
              <w:rPr>
                <w:sz w:val="20"/>
                <w:szCs w:val="20"/>
                <w:color w:val="auto"/>
              </w:rPr>
            </w:pPr>
            <w:r>
              <w:rPr>
                <w:rFonts w:ascii="Arial" w:cs="Arial" w:eastAsia="Arial" w:hAnsi="Arial"/>
                <w:sz w:val="18"/>
                <w:szCs w:val="18"/>
                <w:color w:val="auto"/>
              </w:rPr>
              <w:t>Debt (appreciation) depreciation (See Notes 5 and 10)</w:t>
            </w:r>
          </w:p>
        </w:tc>
        <w:tc>
          <w:tcPr>
            <w:tcW w:w="8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(3,377,315)</w:t>
            </w:r>
          </w:p>
        </w:tc>
        <w:tc>
          <w:tcPr>
            <w:tcW w:w="100" w:type="dxa"/>
            <w:vAlign w:val="bottom"/>
          </w:tcPr>
          <w:p>
            <w:pPr>
              <w:spacing w:after="0"/>
              <w:rPr>
                <w:sz w:val="19"/>
                <w:szCs w:val="19"/>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427,500</w:t>
            </w:r>
          </w:p>
        </w:tc>
        <w:tc>
          <w:tcPr>
            <w:tcW w:w="12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(5,421,092)</w:t>
            </w:r>
          </w:p>
        </w:tc>
        <w:tc>
          <w:tcPr>
            <w:tcW w:w="12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(547,500)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480" w:type="dxa"/>
            <w:vAlign w:val="bottom"/>
            <w:shd w:val="clear" w:color="auto" w:fill="CCEEFF"/>
          </w:tcPr>
          <w:p>
            <w:pPr>
              <w:ind w:left="340"/>
              <w:spacing w:after="0" w:line="198" w:lineRule="exact"/>
              <w:rPr>
                <w:sz w:val="20"/>
                <w:szCs w:val="20"/>
                <w:color w:val="auto"/>
              </w:rPr>
            </w:pPr>
            <w:r>
              <w:rPr>
                <w:rFonts w:ascii="Arial" w:cs="Arial" w:eastAsia="Arial" w:hAnsi="Arial"/>
                <w:sz w:val="18"/>
                <w:szCs w:val="18"/>
                <w:b w:val="1"/>
                <w:bCs w:val="1"/>
                <w:color w:val="auto"/>
                <w:w w:val="98"/>
              </w:rPr>
              <w:t>Net change in unrealized (depreciation) appreciation on investments and</w:t>
            </w: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8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debt</w:t>
            </w:r>
          </w:p>
        </w:tc>
        <w:tc>
          <w:tcPr>
            <w:tcW w:w="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(4,514,092)</w:t>
            </w: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(19,552,009)</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31,949,156</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4,677,377</w:t>
            </w:r>
          </w:p>
        </w:tc>
        <w:tc>
          <w:tcPr>
            <w:tcW w:w="0" w:type="dxa"/>
            <w:vAlign w:val="bottom"/>
          </w:tcPr>
          <w:p>
            <w:pPr>
              <w:spacing w:after="0"/>
              <w:rPr>
                <w:sz w:val="1"/>
                <w:szCs w:val="1"/>
                <w:color w:val="auto"/>
              </w:rPr>
            </w:pPr>
          </w:p>
        </w:tc>
      </w:tr>
      <w:tr>
        <w:trPr>
          <w:trHeight w:val="230"/>
        </w:trPr>
        <w:tc>
          <w:tcPr>
            <w:tcW w:w="6500" w:type="dxa"/>
            <w:vAlign w:val="bottom"/>
            <w:gridSpan w:val="2"/>
          </w:tcPr>
          <w:p>
            <w:pPr>
              <w:spacing w:after="0"/>
              <w:rPr>
                <w:sz w:val="20"/>
                <w:szCs w:val="20"/>
                <w:color w:val="auto"/>
              </w:rPr>
            </w:pPr>
            <w:r>
              <w:rPr>
                <w:rFonts w:ascii="Arial" w:cs="Arial" w:eastAsia="Arial" w:hAnsi="Arial"/>
                <w:sz w:val="18"/>
                <w:szCs w:val="18"/>
                <w:b w:val="1"/>
                <w:bCs w:val="1"/>
                <w:color w:val="auto"/>
              </w:rPr>
              <w:t>Net realized and unrealized gain (loss) from investments and debt</w:t>
            </w: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18,753,039</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(3,869,301)</w:t>
            </w: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60,904,971</w:t>
            </w: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19,400,453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31,949,311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13,785,532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112,085,415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69,299,053</w:t>
            </w:r>
          </w:p>
        </w:tc>
        <w:tc>
          <w:tcPr>
            <w:tcW w:w="0" w:type="dxa"/>
            <w:vAlign w:val="bottom"/>
          </w:tcPr>
          <w:p>
            <w:pPr>
              <w:spacing w:after="0"/>
              <w:rPr>
                <w:sz w:val="1"/>
                <w:szCs w:val="1"/>
                <w:color w:val="auto"/>
              </w:rPr>
            </w:pPr>
          </w:p>
        </w:tc>
      </w:tr>
      <w:tr>
        <w:trPr>
          <w:trHeight w:val="20"/>
        </w:trPr>
        <w:tc>
          <w:tcPr>
            <w:tcW w:w="6500" w:type="dxa"/>
            <w:vAlign w:val="bottom"/>
            <w:gridSpan w:val="2"/>
            <w:vMerge w:val="restart"/>
          </w:tcPr>
          <w:p>
            <w:pPr>
              <w:spacing w:after="0"/>
              <w:rPr>
                <w:sz w:val="20"/>
                <w:szCs w:val="20"/>
                <w:color w:val="auto"/>
              </w:rPr>
            </w:pPr>
            <w:r>
              <w:rPr>
                <w:rFonts w:ascii="Arial" w:cs="Arial" w:eastAsia="Arial" w:hAnsi="Arial"/>
                <w:sz w:val="18"/>
                <w:szCs w:val="18"/>
                <w:color w:val="auto"/>
                <w:w w:val="96"/>
              </w:rPr>
              <w:t>Net increase in net assets resulting from operations per common share (See Note 7)</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500" w:type="dxa"/>
            <w:vAlign w:val="bottom"/>
            <w:gridSpan w:val="2"/>
            <w:vMerge w:val="continue"/>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0.48</w:t>
            </w:r>
          </w:p>
        </w:tc>
        <w:tc>
          <w:tcPr>
            <w:tcW w:w="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3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3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 per common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0.20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0.27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0.77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S-41</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PENNANTPARK INVESTMENT CORPORATION AND SUBSIDIARIES CONSOLIDATED STATEMENTS OF CHANGES IN NET ASSETS (Unaudited)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Nine Months Ended June 30,</w:t>
            </w:r>
          </w:p>
        </w:tc>
      </w:tr>
      <w:tr>
        <w:trPr>
          <w:trHeight w:val="142"/>
        </w:trPr>
        <w:tc>
          <w:tcPr>
            <w:tcW w:w="20" w:type="dxa"/>
            <w:vAlign w:val="bottom"/>
          </w:tcPr>
          <w:p>
            <w:pPr>
              <w:spacing w:after="0"/>
              <w:rPr>
                <w:sz w:val="12"/>
                <w:szCs w:val="12"/>
                <w:color w:val="auto"/>
              </w:rPr>
            </w:pPr>
          </w:p>
        </w:tc>
        <w:tc>
          <w:tcPr>
            <w:tcW w:w="6920" w:type="dxa"/>
            <w:vAlign w:val="bottom"/>
            <w:tcBorders>
              <w:bottom w:val="single" w:sz="8" w:color="CCEEFF"/>
            </w:tcBorders>
          </w:tcPr>
          <w:p>
            <w:pPr>
              <w:spacing w:after="0"/>
              <w:rPr>
                <w:sz w:val="12"/>
                <w:szCs w:val="12"/>
                <w:color w:val="auto"/>
              </w:rPr>
            </w:pPr>
          </w:p>
        </w:tc>
        <w:tc>
          <w:tcPr>
            <w:tcW w:w="18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69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increase in net assets from operations:</w:t>
            </w:r>
          </w:p>
        </w:tc>
        <w:tc>
          <w:tcPr>
            <w:tcW w:w="1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340"/>
              <w:spacing w:after="0"/>
              <w:rPr>
                <w:sz w:val="20"/>
                <w:szCs w:val="20"/>
                <w:color w:val="auto"/>
              </w:rPr>
            </w:pPr>
            <w:r>
              <w:rPr>
                <w:rFonts w:ascii="Arial" w:cs="Arial" w:eastAsia="Arial" w:hAnsi="Arial"/>
                <w:sz w:val="18"/>
                <w:szCs w:val="18"/>
                <w:color w:val="auto"/>
              </w:rPr>
              <w:t>Net investment income</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51,180,444</w:t>
            </w:r>
          </w:p>
        </w:tc>
        <w:tc>
          <w:tcPr>
            <w:tcW w:w="4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49,898,600</w:t>
            </w: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realized gain on investments</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28,955,815</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14,723,076</w:t>
            </w:r>
          </w:p>
        </w:tc>
      </w:tr>
      <w:tr>
        <w:trPr>
          <w:trHeight w:val="216"/>
        </w:trPr>
        <w:tc>
          <w:tcPr>
            <w:tcW w:w="20" w:type="dxa"/>
            <w:vAlign w:val="bottom"/>
          </w:tcPr>
          <w:p>
            <w:pPr>
              <w:spacing w:after="0"/>
              <w:rPr>
                <w:sz w:val="18"/>
                <w:szCs w:val="18"/>
                <w:color w:val="auto"/>
              </w:rPr>
            </w:pPr>
          </w:p>
        </w:tc>
        <w:tc>
          <w:tcPr>
            <w:tcW w:w="6920" w:type="dxa"/>
            <w:vAlign w:val="bottom"/>
          </w:tcPr>
          <w:p>
            <w:pPr>
              <w:ind w:left="340"/>
              <w:spacing w:after="0"/>
              <w:rPr>
                <w:sz w:val="20"/>
                <w:szCs w:val="20"/>
                <w:color w:val="auto"/>
              </w:rPr>
            </w:pPr>
            <w:r>
              <w:rPr>
                <w:rFonts w:ascii="Arial" w:cs="Arial" w:eastAsia="Arial" w:hAnsi="Arial"/>
                <w:sz w:val="18"/>
                <w:szCs w:val="18"/>
                <w:color w:val="auto"/>
              </w:rPr>
              <w:t>Net change in unrealized appreciation on investments</w:t>
            </w: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37,370,248</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5,224,877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change in debt appreciation</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(5,421,092)</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(547,500)</w:t>
            </w:r>
          </w:p>
        </w:tc>
      </w:tr>
      <w:tr>
        <w:trPr>
          <w:trHeight w:val="230"/>
        </w:trPr>
        <w:tc>
          <w:tcPr>
            <w:tcW w:w="20" w:type="dxa"/>
            <w:vAlign w:val="bottom"/>
          </w:tcPr>
          <w:p>
            <w:pPr>
              <w:spacing w:after="0"/>
              <w:rPr>
                <w:sz w:val="20"/>
                <w:szCs w:val="20"/>
                <w:color w:val="auto"/>
              </w:rPr>
            </w:pPr>
          </w:p>
        </w:tc>
        <w:tc>
          <w:tcPr>
            <w:tcW w:w="6920" w:type="dxa"/>
            <w:vAlign w:val="bottom"/>
          </w:tcPr>
          <w:p>
            <w:pPr>
              <w:ind w:left="340"/>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18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112,085,415</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69,299,053</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Distributions to stockholders:</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w w:val="94"/>
              </w:rPr>
              <w:t>(55,911,746)</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(55,778,317)</w:t>
            </w:r>
          </w:p>
        </w:tc>
      </w:tr>
      <w:tr>
        <w:trPr>
          <w:trHeight w:val="223"/>
        </w:trPr>
        <w:tc>
          <w:tcPr>
            <w:tcW w:w="6940" w:type="dxa"/>
            <w:vAlign w:val="bottom"/>
            <w:gridSpan w:val="2"/>
          </w:tcPr>
          <w:p>
            <w:pPr>
              <w:spacing w:after="0"/>
              <w:rPr>
                <w:sz w:val="20"/>
                <w:szCs w:val="20"/>
                <w:color w:val="auto"/>
              </w:rPr>
            </w:pPr>
            <w:r>
              <w:rPr>
                <w:rFonts w:ascii="Arial" w:cs="Arial" w:eastAsia="Arial" w:hAnsi="Arial"/>
                <w:sz w:val="18"/>
                <w:szCs w:val="18"/>
                <w:b w:val="1"/>
                <w:bCs w:val="1"/>
                <w:color w:val="auto"/>
              </w:rPr>
              <w:t>Capital transactions:</w:t>
            </w:r>
          </w:p>
        </w:tc>
        <w:tc>
          <w:tcPr>
            <w:tcW w:w="18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Public offering</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7,574,000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340"/>
              <w:spacing w:after="0"/>
              <w:rPr>
                <w:sz w:val="20"/>
                <w:szCs w:val="20"/>
                <w:color w:val="auto"/>
              </w:rPr>
            </w:pPr>
            <w:r>
              <w:rPr>
                <w:rFonts w:ascii="Arial" w:cs="Arial" w:eastAsia="Arial" w:hAnsi="Arial"/>
                <w:sz w:val="18"/>
                <w:szCs w:val="18"/>
                <w:color w:val="auto"/>
              </w:rPr>
              <w:t>Offering costs</w:t>
            </w: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(265,090)</w:t>
            </w: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Reinvestment of distributions</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792,925</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2,555,964</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920" w:type="dxa"/>
            <w:vAlign w:val="bottom"/>
          </w:tcPr>
          <w:p>
            <w:pPr>
              <w:ind w:left="340"/>
              <w:spacing w:after="0"/>
              <w:rPr>
                <w:sz w:val="20"/>
                <w:szCs w:val="20"/>
                <w:color w:val="auto"/>
              </w:rPr>
            </w:pPr>
            <w:r>
              <w:rPr>
                <w:rFonts w:ascii="Arial" w:cs="Arial" w:eastAsia="Arial" w:hAnsi="Arial"/>
                <w:sz w:val="18"/>
                <w:szCs w:val="18"/>
                <w:b w:val="1"/>
                <w:bCs w:val="1"/>
                <w:color w:val="auto"/>
              </w:rPr>
              <w:t>Net increase in net assets resulting from capital transactions</w:t>
            </w:r>
          </w:p>
        </w:tc>
        <w:tc>
          <w:tcPr>
            <w:tcW w:w="18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792,925</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9,864,874</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net assets</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56,966,594</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23,385,610</w:t>
            </w:r>
          </w:p>
        </w:tc>
      </w:tr>
      <w:tr>
        <w:trPr>
          <w:trHeight w:val="331"/>
        </w:trPr>
        <w:tc>
          <w:tcPr>
            <w:tcW w:w="6940" w:type="dxa"/>
            <w:vAlign w:val="bottom"/>
            <w:gridSpan w:val="2"/>
          </w:tcPr>
          <w:p>
            <w:pPr>
              <w:spacing w:after="0"/>
              <w:rPr>
                <w:sz w:val="20"/>
                <w:szCs w:val="20"/>
                <w:color w:val="auto"/>
              </w:rPr>
            </w:pPr>
            <w:r>
              <w:rPr>
                <w:rFonts w:ascii="Arial" w:cs="Arial" w:eastAsia="Arial" w:hAnsi="Arial"/>
                <w:sz w:val="18"/>
                <w:szCs w:val="18"/>
                <w:b w:val="1"/>
                <w:bCs w:val="1"/>
                <w:color w:val="auto"/>
              </w:rPr>
              <w:t>Net assets:</w:t>
            </w:r>
          </w:p>
        </w:tc>
        <w:tc>
          <w:tcPr>
            <w:tcW w:w="18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Beginning of period</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697,506,199</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669,717,047</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920" w:type="dxa"/>
            <w:vAlign w:val="bottom"/>
          </w:tcPr>
          <w:p>
            <w:pPr>
              <w:ind w:left="340"/>
              <w:spacing w:after="0"/>
              <w:rPr>
                <w:sz w:val="20"/>
                <w:szCs w:val="20"/>
                <w:color w:val="auto"/>
              </w:rPr>
            </w:pPr>
            <w:r>
              <w:rPr>
                <w:rFonts w:ascii="Arial" w:cs="Arial" w:eastAsia="Arial" w:hAnsi="Arial"/>
                <w:sz w:val="18"/>
                <w:szCs w:val="18"/>
                <w:color w:val="auto"/>
              </w:rPr>
              <w:t>End of period</w:t>
            </w:r>
          </w:p>
        </w:tc>
        <w:tc>
          <w:tcPr>
            <w:tcW w:w="18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754,472,793</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693,102,657</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Distributions in excess of net investment income, at end of period</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(9,406,519)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(3,075,320)</w:t>
            </w:r>
          </w:p>
        </w:tc>
      </w:tr>
      <w:tr>
        <w:trPr>
          <w:trHeight w:val="331"/>
        </w:trPr>
        <w:tc>
          <w:tcPr>
            <w:tcW w:w="6940" w:type="dxa"/>
            <w:vAlign w:val="bottom"/>
            <w:gridSpan w:val="2"/>
          </w:tcPr>
          <w:p>
            <w:pPr>
              <w:spacing w:after="0"/>
              <w:rPr>
                <w:sz w:val="20"/>
                <w:szCs w:val="20"/>
                <w:color w:val="auto"/>
              </w:rPr>
            </w:pPr>
            <w:r>
              <w:rPr>
                <w:rFonts w:ascii="Arial" w:cs="Arial" w:eastAsia="Arial" w:hAnsi="Arial"/>
                <w:sz w:val="18"/>
                <w:szCs w:val="18"/>
                <w:b w:val="1"/>
                <w:bCs w:val="1"/>
                <w:color w:val="auto"/>
              </w:rPr>
              <w:t>Capital share activity:</w:t>
            </w:r>
          </w:p>
        </w:tc>
        <w:tc>
          <w:tcPr>
            <w:tcW w:w="18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Shares issued from public offering</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700,000</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920" w:type="dxa"/>
            <w:vAlign w:val="bottom"/>
          </w:tcPr>
          <w:p>
            <w:pPr>
              <w:ind w:left="340"/>
              <w:spacing w:after="0"/>
              <w:rPr>
                <w:sz w:val="20"/>
                <w:szCs w:val="20"/>
                <w:color w:val="auto"/>
              </w:rPr>
            </w:pPr>
            <w:r>
              <w:rPr>
                <w:rFonts w:ascii="Arial" w:cs="Arial" w:eastAsia="Arial" w:hAnsi="Arial"/>
                <w:sz w:val="18"/>
                <w:szCs w:val="18"/>
                <w:color w:val="auto"/>
              </w:rPr>
              <w:t>Shares issued from reinvestment of distributions</w:t>
            </w:r>
          </w:p>
        </w:tc>
        <w:tc>
          <w:tcPr>
            <w:tcW w:w="18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69,709</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235,614</w:t>
            </w:r>
          </w:p>
        </w:tc>
        <w:tc>
          <w:tcPr>
            <w:tcW w:w="120" w:type="dxa"/>
            <w:vAlign w:val="bottom"/>
          </w:tcPr>
          <w:p>
            <w:pPr>
              <w:spacing w:after="0"/>
              <w:rPr>
                <w:sz w:val="19"/>
                <w:szCs w:val="19"/>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S-42</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PENNANTPARK INVESTMENT CORPORATION AND SUBSIDIARIES CONSOLIDATED STATEMENTS OF CASH FLOWS (Unaudited)</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Nine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340"/>
              <w:spacing w:after="0"/>
              <w:rPr>
                <w:sz w:val="20"/>
                <w:szCs w:val="20"/>
                <w:color w:val="auto"/>
              </w:rPr>
            </w:pPr>
            <w:r>
              <w:rPr>
                <w:rFonts w:ascii="Arial" w:cs="Arial" w:eastAsia="Arial" w:hAnsi="Arial"/>
                <w:sz w:val="18"/>
                <w:szCs w:val="18"/>
                <w:color w:val="auto"/>
              </w:rPr>
              <w:t>Net increase in net assets resulting from operations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112,085,415</w:t>
            </w:r>
          </w:p>
        </w:tc>
        <w:tc>
          <w:tcPr>
            <w:tcW w:w="5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69,299,053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6"/>
              </w:rPr>
              <w:t>Adjustments to reconcile net increase in net assets resulting from operations to net cash (used) provided by</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operating activities:</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700"/>
              <w:spacing w:after="0"/>
              <w:rPr>
                <w:sz w:val="20"/>
                <w:szCs w:val="20"/>
                <w:color w:val="auto"/>
              </w:rPr>
            </w:pPr>
            <w:r>
              <w:rPr>
                <w:rFonts w:ascii="Arial" w:cs="Arial" w:eastAsia="Arial" w:hAnsi="Arial"/>
                <w:sz w:val="18"/>
                <w:szCs w:val="18"/>
                <w:color w:val="auto"/>
              </w:rPr>
              <w:t>Net change in net unrealized appreciation on investments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3"/>
          </w:tcPr>
          <w:p>
            <w:pPr>
              <w:jc w:val="right"/>
              <w:ind w:right="500"/>
              <w:spacing w:after="0"/>
              <w:rPr>
                <w:sz w:val="20"/>
                <w:szCs w:val="20"/>
                <w:color w:val="auto"/>
              </w:rPr>
            </w:pPr>
            <w:r>
              <w:rPr>
                <w:rFonts w:ascii="Arial" w:cs="Arial" w:eastAsia="Arial" w:hAnsi="Arial"/>
                <w:sz w:val="18"/>
                <w:szCs w:val="18"/>
                <w:color w:val="auto"/>
                <w:w w:val="97"/>
              </w:rPr>
              <w:t>(37,370,248)</w:t>
            </w: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(5,224,877)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change in unrealized appreciation on debt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5,421,092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700"/>
              <w:spacing w:after="0"/>
              <w:rPr>
                <w:sz w:val="20"/>
                <w:szCs w:val="20"/>
                <w:color w:val="auto"/>
              </w:rPr>
            </w:pPr>
            <w:r>
              <w:rPr>
                <w:rFonts w:ascii="Arial" w:cs="Arial" w:eastAsia="Arial" w:hAnsi="Arial"/>
                <w:sz w:val="18"/>
                <w:szCs w:val="18"/>
                <w:color w:val="auto"/>
              </w:rPr>
              <w:t>Net realized gain on investments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3"/>
          </w:tcPr>
          <w:p>
            <w:pPr>
              <w:jc w:val="right"/>
              <w:ind w:right="500"/>
              <w:spacing w:after="0"/>
              <w:rPr>
                <w:sz w:val="20"/>
                <w:szCs w:val="20"/>
                <w:color w:val="auto"/>
              </w:rPr>
            </w:pPr>
            <w:r>
              <w:rPr>
                <w:rFonts w:ascii="Arial" w:cs="Arial" w:eastAsia="Arial" w:hAnsi="Arial"/>
                <w:sz w:val="18"/>
                <w:szCs w:val="18"/>
                <w:color w:val="auto"/>
                <w:w w:val="97"/>
              </w:rPr>
              <w:t>(28,955,815)</w:t>
            </w: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(14,723,076)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accretion of discount and amortization of premium</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(6,629,854)</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(4,245,224)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700"/>
              <w:spacing w:after="0"/>
              <w:rPr>
                <w:sz w:val="20"/>
                <w:szCs w:val="20"/>
                <w:color w:val="auto"/>
              </w:rPr>
            </w:pPr>
            <w:r>
              <w:rPr>
                <w:rFonts w:ascii="Arial" w:cs="Arial" w:eastAsia="Arial" w:hAnsi="Arial"/>
                <w:sz w:val="18"/>
                <w:szCs w:val="18"/>
                <w:color w:val="auto"/>
              </w:rPr>
              <w:t>Purchases of investments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3"/>
          </w:tcPr>
          <w:p>
            <w:pPr>
              <w:jc w:val="right"/>
              <w:ind w:right="500"/>
              <w:spacing w:after="0"/>
              <w:rPr>
                <w:sz w:val="20"/>
                <w:szCs w:val="20"/>
                <w:color w:val="auto"/>
              </w:rPr>
            </w:pPr>
            <w:r>
              <w:rPr>
                <w:rFonts w:ascii="Arial" w:cs="Arial" w:eastAsia="Arial" w:hAnsi="Arial"/>
                <w:sz w:val="18"/>
                <w:szCs w:val="18"/>
                <w:color w:val="auto"/>
                <w:w w:val="89"/>
              </w:rPr>
              <w:t>(561,839,426)</w:t>
            </w: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(317,161,225)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Payment-in-kind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(6,530,685)</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(9,651,825)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700"/>
              <w:spacing w:after="0"/>
              <w:rPr>
                <w:sz w:val="20"/>
                <w:szCs w:val="20"/>
                <w:color w:val="auto"/>
              </w:rPr>
            </w:pPr>
            <w:r>
              <w:rPr>
                <w:rFonts w:ascii="Arial" w:cs="Arial" w:eastAsia="Arial" w:hAnsi="Arial"/>
                <w:sz w:val="18"/>
                <w:szCs w:val="18"/>
                <w:color w:val="auto"/>
              </w:rPr>
              <w:t>Proceeds from dispositions of investments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534,400,443</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271,183,021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(Increase) decrease in interest receivable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(3,105,665)</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1,753,180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700"/>
              <w:spacing w:after="0"/>
              <w:rPr>
                <w:sz w:val="20"/>
                <w:szCs w:val="20"/>
                <w:color w:val="auto"/>
              </w:rPr>
            </w:pPr>
            <w:r>
              <w:rPr>
                <w:rFonts w:ascii="Arial" w:cs="Arial" w:eastAsia="Arial" w:hAnsi="Arial"/>
                <w:sz w:val="18"/>
                <w:szCs w:val="18"/>
                <w:color w:val="auto"/>
              </w:rPr>
              <w:t>Increase in deferred financing costs and other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3"/>
          </w:tcPr>
          <w:p>
            <w:pPr>
              <w:jc w:val="right"/>
              <w:ind w:right="500"/>
              <w:spacing w:after="0"/>
              <w:rPr>
                <w:sz w:val="20"/>
                <w:szCs w:val="20"/>
                <w:color w:val="auto"/>
              </w:rPr>
            </w:pPr>
            <w:r>
              <w:rPr>
                <w:rFonts w:ascii="Arial" w:cs="Arial" w:eastAsia="Arial" w:hAnsi="Arial"/>
                <w:sz w:val="18"/>
                <w:szCs w:val="18"/>
                <w:color w:val="auto"/>
              </w:rPr>
              <w:t>(6,809,887)</w:t>
            </w: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(247,289)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(Decrease) increase in payable for investments purchased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w w:val="97"/>
              </w:rPr>
              <w:t>(52,544,704)</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15,932,290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700"/>
              <w:spacing w:after="0"/>
              <w:rPr>
                <w:sz w:val="20"/>
                <w:szCs w:val="20"/>
                <w:color w:val="auto"/>
              </w:rPr>
            </w:pPr>
            <w:r>
              <w:rPr>
                <w:rFonts w:ascii="Arial" w:cs="Arial" w:eastAsia="Arial" w:hAnsi="Arial"/>
                <w:sz w:val="18"/>
                <w:szCs w:val="18"/>
                <w:color w:val="auto"/>
              </w:rPr>
              <w:t>Increase in interest payable on debt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1,223,182</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2,339,426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Increase in management fee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712,406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620,547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700"/>
              <w:spacing w:after="0"/>
              <w:rPr>
                <w:sz w:val="20"/>
                <w:szCs w:val="20"/>
                <w:color w:val="auto"/>
              </w:rPr>
            </w:pPr>
            <w:r>
              <w:rPr>
                <w:rFonts w:ascii="Arial" w:cs="Arial" w:eastAsia="Arial" w:hAnsi="Arial"/>
                <w:sz w:val="18"/>
                <w:szCs w:val="18"/>
                <w:color w:val="auto"/>
              </w:rPr>
              <w:t>Increase in performance-based incentive fee payable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1,095,510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206,721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Increase in accrued other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400,618</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516,299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20" w:type="dxa"/>
            <w:vAlign w:val="bottom"/>
          </w:tcPr>
          <w:p>
            <w:pPr>
              <w:ind w:left="1060"/>
              <w:spacing w:after="0"/>
              <w:rPr>
                <w:sz w:val="20"/>
                <w:szCs w:val="20"/>
                <w:color w:val="auto"/>
              </w:rPr>
            </w:pPr>
            <w:r>
              <w:rPr>
                <w:rFonts w:ascii="Arial" w:cs="Arial" w:eastAsia="Arial" w:hAnsi="Arial"/>
                <w:sz w:val="18"/>
                <w:szCs w:val="18"/>
                <w:color w:val="auto"/>
              </w:rPr>
              <w:t>Net cash (used) provided by operating activities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(48,447,618)</w:t>
            </w: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11,144,521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700"/>
              <w:spacing w:after="0"/>
              <w:rPr>
                <w:sz w:val="20"/>
                <w:szCs w:val="20"/>
                <w:color w:val="auto"/>
              </w:rPr>
            </w:pPr>
            <w:r>
              <w:rPr>
                <w:rFonts w:ascii="Arial" w:cs="Arial" w:eastAsia="Arial" w:hAnsi="Arial"/>
                <w:sz w:val="18"/>
                <w:szCs w:val="18"/>
                <w:color w:val="auto"/>
              </w:rPr>
              <w:t>Public offerings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7,574,000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Offering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(265,090)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700"/>
              <w:spacing w:after="0"/>
              <w:rPr>
                <w:sz w:val="20"/>
                <w:szCs w:val="20"/>
                <w:color w:val="auto"/>
              </w:rPr>
            </w:pPr>
            <w:r>
              <w:rPr>
                <w:rFonts w:ascii="Arial" w:cs="Arial" w:eastAsia="Arial" w:hAnsi="Arial"/>
                <w:sz w:val="18"/>
                <w:szCs w:val="18"/>
                <w:color w:val="auto"/>
              </w:rPr>
              <w:t>Deferred financing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3"/>
          </w:tcPr>
          <w:p>
            <w:pPr>
              <w:jc w:val="right"/>
              <w:ind w:right="500"/>
              <w:spacing w:after="0"/>
              <w:rPr>
                <w:sz w:val="20"/>
                <w:szCs w:val="20"/>
                <w:color w:val="auto"/>
              </w:rPr>
            </w:pPr>
            <w:r>
              <w:rPr>
                <w:rFonts w:ascii="Arial" w:cs="Arial" w:eastAsia="Arial" w:hAnsi="Arial"/>
                <w:sz w:val="18"/>
                <w:szCs w:val="18"/>
                <w:color w:val="auto"/>
              </w:rPr>
              <w:t>(750,000)</w:t>
            </w:r>
          </w:p>
        </w:tc>
        <w:tc>
          <w:tcPr>
            <w:tcW w:w="1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Distributions paid to stockholders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w w:val="97"/>
              </w:rPr>
              <w:t>(55,099,303)</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(50,440,381)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700"/>
              <w:spacing w:after="0"/>
              <w:rPr>
                <w:sz w:val="20"/>
                <w:szCs w:val="20"/>
                <w:color w:val="auto"/>
              </w:rPr>
            </w:pPr>
            <w:r>
              <w:rPr>
                <w:rFonts w:ascii="Arial" w:cs="Arial" w:eastAsia="Arial" w:hAnsi="Arial"/>
                <w:sz w:val="18"/>
                <w:szCs w:val="18"/>
                <w:color w:val="auto"/>
              </w:rPr>
              <w:t>Proceeds from 2025 Notes issuance (See Note 10)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71,250,000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Borrowings under Credit Facility (See Note 10)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906,253,100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850,300,000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700"/>
              <w:spacing w:after="0"/>
              <w:rPr>
                <w:sz w:val="20"/>
                <w:szCs w:val="20"/>
                <w:color w:val="auto"/>
              </w:rPr>
            </w:pPr>
            <w:r>
              <w:rPr>
                <w:rFonts w:ascii="Arial" w:cs="Arial" w:eastAsia="Arial" w:hAnsi="Arial"/>
                <w:sz w:val="18"/>
                <w:szCs w:val="18"/>
                <w:color w:val="auto"/>
              </w:rPr>
              <w:t>Repayments under Credit Facility (See Note 10)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3"/>
          </w:tcPr>
          <w:p>
            <w:pPr>
              <w:jc w:val="right"/>
              <w:ind w:right="500"/>
              <w:spacing w:after="0"/>
              <w:rPr>
                <w:sz w:val="20"/>
                <w:szCs w:val="20"/>
                <w:color w:val="auto"/>
              </w:rPr>
            </w:pPr>
            <w:r>
              <w:rPr>
                <w:rFonts w:ascii="Arial" w:cs="Arial" w:eastAsia="Arial" w:hAnsi="Arial"/>
                <w:sz w:val="18"/>
                <w:szCs w:val="18"/>
                <w:color w:val="auto"/>
                <w:w w:val="89"/>
              </w:rPr>
              <w:t>(795,854,400)</w:t>
            </w: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(880,800,000)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Net cash provided (used) by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54,549,397</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(2,381,471)</w:t>
            </w:r>
          </w:p>
        </w:tc>
        <w:tc>
          <w:tcPr>
            <w:tcW w:w="0" w:type="dxa"/>
            <w:vAlign w:val="bottom"/>
          </w:tcPr>
          <w:p>
            <w:pPr>
              <w:spacing w:after="0"/>
              <w:rPr>
                <w:sz w:val="1"/>
                <w:szCs w:val="1"/>
                <w:color w:val="auto"/>
              </w:rPr>
            </w:pPr>
          </w:p>
        </w:tc>
      </w:tr>
      <w:tr>
        <w:trPr>
          <w:trHeight w:val="223"/>
        </w:trPr>
        <w:tc>
          <w:tcPr>
            <w:tcW w:w="8640" w:type="dxa"/>
            <w:vAlign w:val="bottom"/>
            <w:gridSpan w:val="2"/>
          </w:tcPr>
          <w:p>
            <w:pPr>
              <w:spacing w:after="0"/>
              <w:rPr>
                <w:sz w:val="20"/>
                <w:szCs w:val="20"/>
                <w:color w:val="auto"/>
              </w:rPr>
            </w:pPr>
            <w:r>
              <w:rPr>
                <w:rFonts w:ascii="Arial" w:cs="Arial" w:eastAsia="Arial" w:hAnsi="Arial"/>
                <w:sz w:val="18"/>
                <w:szCs w:val="18"/>
                <w:b w:val="1"/>
                <w:bCs w:val="1"/>
                <w:color w:val="auto"/>
              </w:rPr>
              <w:t>Net increase in cash equivalents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6,101,779</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8,763,050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Effect of exchange rate changes on cash</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(151,821)</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58,440,829</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7,559,453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64,390,787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16,322,503</w:t>
            </w:r>
          </w:p>
        </w:tc>
        <w:tc>
          <w:tcPr>
            <w:tcW w:w="0" w:type="dxa"/>
            <w:vAlign w:val="bottom"/>
          </w:tcPr>
          <w:p>
            <w:pPr>
              <w:spacing w:after="0"/>
              <w:rPr>
                <w:sz w:val="1"/>
                <w:szCs w:val="1"/>
                <w:color w:val="auto"/>
              </w:rPr>
            </w:pPr>
          </w:p>
        </w:tc>
      </w:tr>
      <w:tr>
        <w:trPr>
          <w:trHeight w:val="20"/>
        </w:trPr>
        <w:tc>
          <w:tcPr>
            <w:tcW w:w="8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 and non-cash financing activity:</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paid</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13,239,662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8,622,437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vMerge w:val="restart"/>
          </w:tcPr>
          <w:p>
            <w:pPr>
              <w:ind w:left="340"/>
              <w:spacing w:after="0"/>
              <w:rPr>
                <w:sz w:val="20"/>
                <w:szCs w:val="20"/>
                <w:color w:val="auto"/>
              </w:rPr>
            </w:pPr>
            <w:r>
              <w:rPr>
                <w:rFonts w:ascii="Arial" w:cs="Arial" w:eastAsia="Arial" w:hAnsi="Arial"/>
                <w:sz w:val="18"/>
                <w:szCs w:val="18"/>
                <w:color w:val="auto"/>
              </w:rPr>
              <w:t>Taxes paid</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8,166</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Distributions reinvested</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792,925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2,555,964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vMerge w:val="restart"/>
          </w:tcPr>
          <w:p>
            <w:pPr>
              <w:ind w:left="340"/>
              <w:spacing w:after="0"/>
              <w:rPr>
                <w:sz w:val="20"/>
                <w:szCs w:val="20"/>
                <w:color w:val="auto"/>
              </w:rPr>
            </w:pPr>
            <w:r>
              <w:rPr>
                <w:rFonts w:ascii="Arial" w:cs="Arial" w:eastAsia="Arial" w:hAnsi="Arial"/>
                <w:sz w:val="18"/>
                <w:szCs w:val="18"/>
                <w:color w:val="auto"/>
              </w:rPr>
              <w:t>Conversions and non-cash exchanges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2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59,126,053</w:t>
            </w:r>
          </w:p>
        </w:tc>
        <w:tc>
          <w:tcPr>
            <w:tcW w:w="20" w:type="dxa"/>
            <w:vAlign w:val="bottom"/>
            <w:tcBorders>
              <w:bottom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58,615,748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S-43</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Basis Point</w:t>
            </w: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9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Maturity/</w:t>
            </w:r>
          </w:p>
        </w:tc>
        <w:tc>
          <w:tcPr>
            <w:tcW w:w="1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Current</w:t>
            </w: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Spread</w:t>
            </w:r>
          </w:p>
        </w:tc>
        <w:tc>
          <w:tcPr>
            <w:tcW w:w="10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8"/>
              </w:rPr>
              <w:t>Par/</w:t>
            </w: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Issuer Name</w:t>
            </w:r>
          </w:p>
        </w:tc>
        <w:tc>
          <w:tcPr>
            <w:tcW w:w="980" w:type="dxa"/>
            <w:vAlign w:val="bottom"/>
            <w:gridSpan w:val="2"/>
            <w:vMerge w:val="continue"/>
          </w:tcPr>
          <w:p>
            <w:pPr>
              <w:spacing w:after="0"/>
              <w:rPr>
                <w:sz w:val="12"/>
                <w:szCs w:val="12"/>
                <w:color w:val="auto"/>
              </w:rPr>
            </w:pPr>
          </w:p>
        </w:tc>
        <w:tc>
          <w:tcPr>
            <w:tcW w:w="15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7"/>
              </w:rPr>
              <w:t>Industry</w:t>
            </w:r>
          </w:p>
        </w:tc>
        <w:tc>
          <w:tcPr>
            <w:tcW w:w="1080" w:type="dxa"/>
            <w:vAlign w:val="bottom"/>
            <w:gridSpan w:val="2"/>
            <w:vMerge w:val="continue"/>
          </w:tcPr>
          <w:p>
            <w:pPr>
              <w:spacing w:after="0"/>
              <w:rPr>
                <w:sz w:val="12"/>
                <w:szCs w:val="12"/>
                <w:color w:val="auto"/>
              </w:rPr>
            </w:pP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Above</w:t>
            </w:r>
          </w:p>
        </w:tc>
        <w:tc>
          <w:tcPr>
            <w:tcW w:w="1040" w:type="dxa"/>
            <w:vAlign w:val="bottom"/>
            <w:gridSpan w:val="2"/>
            <w:vMerge w:val="continue"/>
          </w:tcPr>
          <w:p>
            <w:pPr>
              <w:spacing w:after="0"/>
              <w:rPr>
                <w:sz w:val="12"/>
                <w:szCs w:val="12"/>
                <w:color w:val="auto"/>
              </w:rPr>
            </w:pPr>
          </w:p>
        </w:tc>
        <w:tc>
          <w:tcPr>
            <w:tcW w:w="118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Cost</w:t>
            </w:r>
          </w:p>
        </w:tc>
        <w:tc>
          <w:tcPr>
            <w:tcW w:w="10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2"/>
                <w:szCs w:val="12"/>
                <w:b w:val="1"/>
                <w:bCs w:val="1"/>
                <w:color w:val="auto"/>
              </w:rPr>
              <w:t>(3)</w:t>
            </w:r>
          </w:p>
        </w:tc>
        <w:tc>
          <w:tcPr>
            <w:tcW w:w="0" w:type="dxa"/>
            <w:vAlign w:val="bottom"/>
          </w:tcPr>
          <w:p>
            <w:pPr>
              <w:spacing w:after="0"/>
              <w:rPr>
                <w:sz w:val="1"/>
                <w:szCs w:val="1"/>
                <w:color w:val="auto"/>
              </w:rPr>
            </w:pPr>
          </w:p>
        </w:tc>
      </w:tr>
      <w:tr>
        <w:trPr>
          <w:trHeight w:val="171"/>
        </w:trPr>
        <w:tc>
          <w:tcPr>
            <w:tcW w:w="3560" w:type="dxa"/>
            <w:vAlign w:val="bottom"/>
            <w:gridSpan w:val="3"/>
            <w:vMerge w:val="continue"/>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Expiration</w:t>
            </w:r>
          </w:p>
        </w:tc>
        <w:tc>
          <w:tcPr>
            <w:tcW w:w="1540" w:type="dxa"/>
            <w:vAlign w:val="bottom"/>
            <w:gridSpan w:val="2"/>
            <w:vMerge w:val="continue"/>
          </w:tcPr>
          <w:p>
            <w:pPr>
              <w:spacing w:after="0"/>
              <w:rPr>
                <w:sz w:val="14"/>
                <w:szCs w:val="14"/>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Coupon</w:t>
            </w: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7"/>
              </w:rPr>
              <w:t>Index</w:t>
            </w:r>
            <w:r>
              <w:rPr>
                <w:rFonts w:ascii="Arial" w:cs="Arial" w:eastAsia="Arial" w:hAnsi="Arial"/>
                <w:sz w:val="12"/>
                <w:szCs w:val="12"/>
                <w:b w:val="1"/>
                <w:bCs w:val="1"/>
                <w:color w:val="auto"/>
                <w:w w:val="97"/>
              </w:rPr>
              <w:t>(4)</w:t>
            </w: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Shares</w:t>
            </w:r>
          </w:p>
        </w:tc>
        <w:tc>
          <w:tcPr>
            <w:tcW w:w="118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780" w:type="dxa"/>
            <w:vAlign w:val="bottom"/>
            <w:vMerge w:val="restart"/>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8"/>
              </w:rPr>
              <w:t>in Non-Controlled, Non-Affiliated Portfolio</w:t>
            </w:r>
          </w:p>
        </w:tc>
        <w:tc>
          <w:tcPr>
            <w:tcW w:w="7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76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90"/>
              </w:rPr>
              <w:t>Investments</w:t>
            </w:r>
          </w:p>
        </w:tc>
        <w:tc>
          <w:tcPr>
            <w:tcW w:w="2780" w:type="dxa"/>
            <w:vAlign w:val="bottom"/>
            <w:vMerge w:val="continue"/>
            <w:shd w:val="clear" w:color="auto" w:fill="CCEEFF"/>
          </w:tcPr>
          <w:p>
            <w:pPr>
              <w:spacing w:after="0"/>
              <w:rPr>
                <w:sz w:val="11"/>
                <w:szCs w:val="11"/>
                <w:color w:val="auto"/>
              </w:rPr>
            </w:pPr>
          </w:p>
        </w:tc>
        <w:tc>
          <w:tcPr>
            <w:tcW w:w="980" w:type="dxa"/>
            <w:vAlign w:val="bottom"/>
            <w:gridSpan w:val="2"/>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70"/>
              </w:rPr>
              <w:t>Companies—144.3%</w:t>
            </w:r>
          </w:p>
        </w:tc>
        <w:tc>
          <w:tcPr>
            <w:tcW w:w="1360" w:type="dxa"/>
            <w:vAlign w:val="bottom"/>
            <w:shd w:val="clear" w:color="auto" w:fill="CCEEFF"/>
          </w:tcPr>
          <w:p>
            <w:pPr>
              <w:jc w:val="right"/>
              <w:ind w:right="728"/>
              <w:spacing w:after="0" w:line="129" w:lineRule="exact"/>
              <w:rPr>
                <w:sz w:val="20"/>
                <w:szCs w:val="20"/>
                <w:color w:val="auto"/>
              </w:rPr>
            </w:pPr>
            <w:r>
              <w:rPr>
                <w:rFonts w:ascii="Arial" w:cs="Arial" w:eastAsia="Arial" w:hAnsi="Arial"/>
                <w:sz w:val="12"/>
                <w:szCs w:val="12"/>
                <w:b w:val="1"/>
                <w:bCs w:val="1"/>
                <w:color w:val="auto"/>
              </w:rPr>
              <w:t>(1),(2)</w:t>
            </w:r>
          </w:p>
        </w:tc>
        <w:tc>
          <w:tcPr>
            <w:tcW w:w="180" w:type="dxa"/>
            <w:vAlign w:val="bottom"/>
            <w:vMerge w:val="continue"/>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First Lien Secured Debt—37.0%</w:t>
            </w: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Aircell Business Aviation Services LLC</w:t>
            </w:r>
          </w:p>
        </w:tc>
        <w:tc>
          <w:tcPr>
            <w:tcW w:w="9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06/21/2017</w:t>
            </w:r>
          </w:p>
        </w:tc>
        <w:tc>
          <w:tcPr>
            <w:tcW w:w="15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3"/>
              </w:rPr>
              <w:t>Communications</w:t>
            </w: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11.25%</w:t>
            </w:r>
          </w:p>
        </w:tc>
        <w:tc>
          <w:tcPr>
            <w:tcW w:w="10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L+975</w:t>
            </w:r>
          </w:p>
        </w:tc>
        <w:tc>
          <w:tcPr>
            <w:tcW w:w="10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6"/>
              </w:rPr>
              <w:t>23,454,110</w:t>
            </w:r>
          </w:p>
        </w:tc>
        <w:tc>
          <w:tcPr>
            <w:tcW w:w="11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   22,702,765</w:t>
            </w: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   24,626,815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AKA Diversified Holdings, Inc.</w:t>
            </w:r>
          </w:p>
        </w:tc>
        <w:tc>
          <w:tcPr>
            <w:tcW w:w="9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04/02/2018</w:t>
            </w:r>
          </w:p>
        </w:tc>
        <w:tc>
          <w:tcPr>
            <w:tcW w:w="15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4"/>
              </w:rPr>
              <w:t>Retail</w:t>
            </w: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11.90%</w:t>
            </w: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L+1,175</w:t>
            </w:r>
            <w:r>
              <w:rPr>
                <w:rFonts w:ascii="Arial" w:cs="Arial" w:eastAsia="Arial" w:hAnsi="Arial"/>
                <w:sz w:val="12"/>
                <w:szCs w:val="12"/>
                <w:color w:val="auto"/>
              </w:rPr>
              <w:t>(8)</w:t>
            </w:r>
          </w:p>
        </w:tc>
        <w:tc>
          <w:tcPr>
            <w:tcW w:w="10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6"/>
              </w:rPr>
              <w:t>29,653,975</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28,996,434</w:t>
            </w:r>
          </w:p>
        </w:tc>
        <w:tc>
          <w:tcPr>
            <w:tcW w:w="26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30,252,196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AKA Diversified Holdings, Inc.</w:t>
            </w:r>
            <w:r>
              <w:rPr>
                <w:rFonts w:ascii="Arial" w:cs="Arial" w:eastAsia="Arial" w:hAnsi="Arial"/>
                <w:sz w:val="12"/>
                <w:szCs w:val="12"/>
                <w:color w:val="auto"/>
              </w:rPr>
              <w:t>(9)</w:t>
            </w:r>
          </w:p>
        </w:tc>
        <w:tc>
          <w:tcPr>
            <w:tcW w:w="9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04/02/2018</w:t>
            </w:r>
          </w:p>
        </w:tc>
        <w:tc>
          <w:tcPr>
            <w:tcW w:w="15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4"/>
              </w:rPr>
              <w:t>Retail</w:t>
            </w:r>
          </w:p>
        </w:tc>
        <w:tc>
          <w:tcPr>
            <w:tcW w:w="108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7,500,000</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7,500,000</w:t>
            </w: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7,500,000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40" w:type="dxa"/>
            <w:vAlign w:val="bottom"/>
            <w:gridSpan w:val="2"/>
          </w:tcPr>
          <w:p>
            <w:pPr>
              <w:spacing w:after="0" w:line="130" w:lineRule="exact"/>
              <w:rPr>
                <w:sz w:val="20"/>
                <w:szCs w:val="20"/>
                <w:color w:val="auto"/>
              </w:rPr>
            </w:pPr>
            <w:r>
              <w:rPr>
                <w:rFonts w:ascii="Arial" w:cs="Arial" w:eastAsia="Arial" w:hAnsi="Arial"/>
                <w:sz w:val="14"/>
                <w:szCs w:val="14"/>
                <w:color w:val="auto"/>
              </w:rPr>
              <w:t>AP Gaming I, LLC</w:t>
            </w:r>
          </w:p>
        </w:tc>
        <w:tc>
          <w:tcPr>
            <w:tcW w:w="98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12/21/2020</w:t>
            </w:r>
          </w:p>
        </w:tc>
        <w:tc>
          <w:tcPr>
            <w:tcW w:w="1540" w:type="dxa"/>
            <w:vAlign w:val="bottom"/>
            <w:gridSpan w:val="2"/>
          </w:tcPr>
          <w:p>
            <w:pPr>
              <w:jc w:val="center"/>
              <w:ind w:right="180"/>
              <w:spacing w:after="0" w:line="130" w:lineRule="exact"/>
              <w:rPr>
                <w:sz w:val="20"/>
                <w:szCs w:val="20"/>
                <w:color w:val="auto"/>
              </w:rPr>
            </w:pPr>
            <w:r>
              <w:rPr>
                <w:rFonts w:ascii="Arial" w:cs="Arial" w:eastAsia="Arial" w:hAnsi="Arial"/>
                <w:sz w:val="14"/>
                <w:szCs w:val="14"/>
                <w:color w:val="auto"/>
                <w:w w:val="94"/>
              </w:rPr>
              <w:t>Hotels, Motels, Inns</w:t>
            </w:r>
          </w:p>
        </w:tc>
        <w:tc>
          <w:tcPr>
            <w:tcW w:w="1080" w:type="dxa"/>
            <w:vAlign w:val="bottom"/>
            <w:gridSpan w:val="2"/>
          </w:tcPr>
          <w:p>
            <w:pPr>
              <w:jc w:val="right"/>
              <w:ind w:right="280"/>
              <w:spacing w:after="0" w:line="130" w:lineRule="exact"/>
              <w:rPr>
                <w:sz w:val="20"/>
                <w:szCs w:val="20"/>
                <w:color w:val="auto"/>
              </w:rPr>
            </w:pPr>
            <w:r>
              <w:rPr>
                <w:rFonts w:ascii="Arial" w:cs="Arial" w:eastAsia="Arial" w:hAnsi="Arial"/>
                <w:sz w:val="14"/>
                <w:szCs w:val="14"/>
                <w:color w:val="auto"/>
              </w:rPr>
              <w:t>9.25%</w:t>
            </w:r>
          </w:p>
        </w:tc>
        <w:tc>
          <w:tcPr>
            <w:tcW w:w="1040" w:type="dxa"/>
            <w:vAlign w:val="bottom"/>
            <w:gridSpan w:val="2"/>
          </w:tcPr>
          <w:p>
            <w:pPr>
              <w:jc w:val="right"/>
              <w:ind w:right="360"/>
              <w:spacing w:after="0" w:line="130" w:lineRule="exact"/>
              <w:rPr>
                <w:sz w:val="20"/>
                <w:szCs w:val="20"/>
                <w:color w:val="auto"/>
              </w:rPr>
            </w:pPr>
            <w:r>
              <w:rPr>
                <w:rFonts w:ascii="Arial" w:cs="Arial" w:eastAsia="Arial" w:hAnsi="Arial"/>
                <w:sz w:val="14"/>
                <w:szCs w:val="14"/>
                <w:color w:val="auto"/>
              </w:rPr>
              <w:t>L+825</w:t>
            </w:r>
          </w:p>
        </w:tc>
        <w:tc>
          <w:tcPr>
            <w:tcW w:w="1040" w:type="dxa"/>
            <w:vAlign w:val="bottom"/>
            <w:gridSpan w:val="2"/>
          </w:tcPr>
          <w:p>
            <w:pPr>
              <w:jc w:val="right"/>
              <w:ind w:right="340"/>
              <w:spacing w:after="0" w:line="130" w:lineRule="exact"/>
              <w:rPr>
                <w:sz w:val="20"/>
                <w:szCs w:val="20"/>
                <w:color w:val="auto"/>
              </w:rPr>
            </w:pPr>
            <w:r>
              <w:rPr>
                <w:rFonts w:ascii="Arial" w:cs="Arial" w:eastAsia="Arial" w:hAnsi="Arial"/>
                <w:sz w:val="14"/>
                <w:szCs w:val="14"/>
                <w:color w:val="auto"/>
              </w:rPr>
              <w:t>5,223,750</w:t>
            </w:r>
          </w:p>
        </w:tc>
        <w:tc>
          <w:tcPr>
            <w:tcW w:w="920" w:type="dxa"/>
            <w:vAlign w:val="bottom"/>
          </w:tcPr>
          <w:p>
            <w:pPr>
              <w:jc w:val="right"/>
              <w:spacing w:after="0" w:line="130" w:lineRule="exact"/>
              <w:rPr>
                <w:sz w:val="20"/>
                <w:szCs w:val="20"/>
                <w:color w:val="auto"/>
              </w:rPr>
            </w:pPr>
            <w:r>
              <w:rPr>
                <w:rFonts w:ascii="Arial" w:cs="Arial" w:eastAsia="Arial" w:hAnsi="Arial"/>
                <w:sz w:val="14"/>
                <w:szCs w:val="14"/>
                <w:color w:val="auto"/>
              </w:rPr>
              <w:t>5,076,593</w:t>
            </w:r>
          </w:p>
        </w:tc>
        <w:tc>
          <w:tcPr>
            <w:tcW w:w="260" w:type="dxa"/>
            <w:vAlign w:val="bottom"/>
          </w:tcPr>
          <w:p>
            <w:pPr>
              <w:spacing w:after="0"/>
              <w:rPr>
                <w:sz w:val="11"/>
                <w:szCs w:val="11"/>
                <w:color w:val="auto"/>
              </w:rPr>
            </w:pPr>
          </w:p>
        </w:tc>
        <w:tc>
          <w:tcPr>
            <w:tcW w:w="100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5,275,988</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gridSpan w:val="2"/>
          </w:tcPr>
          <w:p>
            <w:pPr>
              <w:jc w:val="center"/>
              <w:ind w:right="200"/>
              <w:spacing w:after="0"/>
              <w:rPr>
                <w:sz w:val="20"/>
                <w:szCs w:val="20"/>
                <w:color w:val="auto"/>
              </w:rPr>
            </w:pPr>
            <w:r>
              <w:rPr>
                <w:rFonts w:ascii="Arial" w:cs="Arial" w:eastAsia="Arial" w:hAnsi="Arial"/>
                <w:sz w:val="14"/>
                <w:szCs w:val="14"/>
                <w:color w:val="auto"/>
                <w:w w:val="91"/>
              </w:rPr>
              <w:t>and Gaming</w:t>
            </w: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Fox US Bidco Corp.</w:t>
            </w:r>
          </w:p>
        </w:tc>
        <w:tc>
          <w:tcPr>
            <w:tcW w:w="9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06/17/2019</w:t>
            </w:r>
          </w:p>
        </w:tc>
        <w:tc>
          <w:tcPr>
            <w:tcW w:w="154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3"/>
              </w:rPr>
              <w:t>Electronics</w:t>
            </w: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9.00%</w:t>
            </w:r>
          </w:p>
        </w:tc>
        <w:tc>
          <w:tcPr>
            <w:tcW w:w="10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L+750</w:t>
            </w:r>
          </w:p>
        </w:tc>
        <w:tc>
          <w:tcPr>
            <w:tcW w:w="10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6"/>
              </w:rPr>
              <w:t>12,352,942</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12,229,592</w:t>
            </w: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12,229,412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Fox US Bidco Corp.</w:t>
            </w:r>
            <w:r>
              <w:rPr>
                <w:rFonts w:ascii="Arial" w:cs="Arial" w:eastAsia="Arial" w:hAnsi="Arial"/>
                <w:sz w:val="12"/>
                <w:szCs w:val="12"/>
                <w:color w:val="auto"/>
              </w:rPr>
              <w:t>(9)</w:t>
            </w:r>
          </w:p>
        </w:tc>
        <w:tc>
          <w:tcPr>
            <w:tcW w:w="9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06/17/2019</w:t>
            </w:r>
          </w:p>
        </w:tc>
        <w:tc>
          <w:tcPr>
            <w:tcW w:w="15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3"/>
              </w:rPr>
              <w:t>Electronics</w:t>
            </w:r>
          </w:p>
        </w:tc>
        <w:tc>
          <w:tcPr>
            <w:tcW w:w="108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2,647,058</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2,647,058</w:t>
            </w:r>
          </w:p>
        </w:tc>
        <w:tc>
          <w:tcPr>
            <w:tcW w:w="26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2,647,058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IDQ Holdings, Inc.</w:t>
            </w:r>
            <w:r>
              <w:rPr>
                <w:rFonts w:ascii="Arial" w:cs="Arial" w:eastAsia="Arial" w:hAnsi="Arial"/>
                <w:sz w:val="12"/>
                <w:szCs w:val="12"/>
                <w:color w:val="auto"/>
              </w:rPr>
              <w:t>(5)</w:t>
            </w:r>
          </w:p>
        </w:tc>
        <w:tc>
          <w:tcPr>
            <w:tcW w:w="9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03/30/2017</w:t>
            </w:r>
          </w:p>
        </w:tc>
        <w:tc>
          <w:tcPr>
            <w:tcW w:w="15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5"/>
              </w:rPr>
              <w:t>Auto Sector</w:t>
            </w: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11.50%</w:t>
            </w:r>
          </w:p>
        </w:tc>
        <w:tc>
          <w:tcPr>
            <w:tcW w:w="10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6"/>
              </w:rPr>
              <w:t>11,500,000</w:t>
            </w:r>
          </w:p>
        </w:tc>
        <w:tc>
          <w:tcPr>
            <w:tcW w:w="11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11,359,159</w:t>
            </w: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12,678,750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40" w:type="dxa"/>
            <w:vAlign w:val="bottom"/>
            <w:gridSpan w:val="2"/>
          </w:tcPr>
          <w:p>
            <w:pPr>
              <w:spacing w:after="0" w:line="130" w:lineRule="exact"/>
              <w:rPr>
                <w:sz w:val="20"/>
                <w:szCs w:val="20"/>
                <w:color w:val="auto"/>
              </w:rPr>
            </w:pPr>
            <w:r>
              <w:rPr>
                <w:rFonts w:ascii="Arial" w:cs="Arial" w:eastAsia="Arial" w:hAnsi="Arial"/>
                <w:sz w:val="14"/>
                <w:szCs w:val="14"/>
                <w:color w:val="auto"/>
              </w:rPr>
              <w:t>InfuSystem Holdings, Inc.</w:t>
            </w:r>
          </w:p>
        </w:tc>
        <w:tc>
          <w:tcPr>
            <w:tcW w:w="980" w:type="dxa"/>
            <w:vAlign w:val="bottom"/>
            <w:gridSpan w:val="2"/>
          </w:tcPr>
          <w:p>
            <w:pPr>
              <w:ind w:left="60"/>
              <w:spacing w:after="0" w:line="130" w:lineRule="exact"/>
              <w:rPr>
                <w:sz w:val="20"/>
                <w:szCs w:val="20"/>
                <w:color w:val="auto"/>
              </w:rPr>
            </w:pPr>
            <w:r>
              <w:rPr>
                <w:rFonts w:ascii="Arial" w:cs="Arial" w:eastAsia="Arial" w:hAnsi="Arial"/>
                <w:sz w:val="14"/>
                <w:szCs w:val="14"/>
                <w:color w:val="auto"/>
              </w:rPr>
              <w:t>11/30/2016</w:t>
            </w:r>
          </w:p>
        </w:tc>
        <w:tc>
          <w:tcPr>
            <w:tcW w:w="1540" w:type="dxa"/>
            <w:vAlign w:val="bottom"/>
            <w:gridSpan w:val="2"/>
          </w:tcPr>
          <w:p>
            <w:pPr>
              <w:jc w:val="center"/>
              <w:ind w:right="180"/>
              <w:spacing w:after="0" w:line="130" w:lineRule="exact"/>
              <w:rPr>
                <w:sz w:val="20"/>
                <w:szCs w:val="20"/>
                <w:color w:val="auto"/>
              </w:rPr>
            </w:pPr>
            <w:r>
              <w:rPr>
                <w:rFonts w:ascii="Arial" w:cs="Arial" w:eastAsia="Arial" w:hAnsi="Arial"/>
                <w:sz w:val="14"/>
                <w:szCs w:val="14"/>
                <w:color w:val="auto"/>
                <w:w w:val="92"/>
              </w:rPr>
              <w:t>Healthcare, Education</w:t>
            </w:r>
          </w:p>
        </w:tc>
        <w:tc>
          <w:tcPr>
            <w:tcW w:w="1080" w:type="dxa"/>
            <w:vAlign w:val="bottom"/>
            <w:gridSpan w:val="2"/>
          </w:tcPr>
          <w:p>
            <w:pPr>
              <w:jc w:val="right"/>
              <w:ind w:right="280"/>
              <w:spacing w:after="0" w:line="130" w:lineRule="exact"/>
              <w:rPr>
                <w:sz w:val="20"/>
                <w:szCs w:val="20"/>
                <w:color w:val="auto"/>
              </w:rPr>
            </w:pPr>
            <w:r>
              <w:rPr>
                <w:rFonts w:ascii="Arial" w:cs="Arial" w:eastAsia="Arial" w:hAnsi="Arial"/>
                <w:sz w:val="14"/>
                <w:szCs w:val="14"/>
                <w:color w:val="auto"/>
              </w:rPr>
              <w:t>13.07%</w:t>
            </w:r>
          </w:p>
        </w:tc>
        <w:tc>
          <w:tcPr>
            <w:tcW w:w="1040" w:type="dxa"/>
            <w:vAlign w:val="bottom"/>
            <w:gridSpan w:val="2"/>
          </w:tcPr>
          <w:p>
            <w:pPr>
              <w:jc w:val="right"/>
              <w:ind w:right="360"/>
              <w:spacing w:after="0" w:line="130" w:lineRule="exact"/>
              <w:rPr>
                <w:sz w:val="20"/>
                <w:szCs w:val="20"/>
                <w:color w:val="auto"/>
              </w:rPr>
            </w:pPr>
            <w:r>
              <w:rPr>
                <w:rFonts w:ascii="Arial" w:cs="Arial" w:eastAsia="Arial" w:hAnsi="Arial"/>
                <w:sz w:val="14"/>
                <w:szCs w:val="14"/>
                <w:color w:val="auto"/>
              </w:rPr>
              <w:t>P+982</w:t>
            </w:r>
          </w:p>
        </w:tc>
        <w:tc>
          <w:tcPr>
            <w:tcW w:w="1040" w:type="dxa"/>
            <w:vAlign w:val="bottom"/>
            <w:gridSpan w:val="2"/>
          </w:tcPr>
          <w:p>
            <w:pPr>
              <w:jc w:val="right"/>
              <w:ind w:right="340"/>
              <w:spacing w:after="0" w:line="130" w:lineRule="exact"/>
              <w:rPr>
                <w:sz w:val="20"/>
                <w:szCs w:val="20"/>
                <w:color w:val="auto"/>
              </w:rPr>
            </w:pPr>
            <w:r>
              <w:rPr>
                <w:rFonts w:ascii="Arial" w:cs="Arial" w:eastAsia="Arial" w:hAnsi="Arial"/>
                <w:sz w:val="14"/>
                <w:szCs w:val="14"/>
                <w:color w:val="auto"/>
              </w:rPr>
              <w:t>8,000,000</w:t>
            </w:r>
          </w:p>
        </w:tc>
        <w:tc>
          <w:tcPr>
            <w:tcW w:w="920" w:type="dxa"/>
            <w:vAlign w:val="bottom"/>
          </w:tcPr>
          <w:p>
            <w:pPr>
              <w:jc w:val="right"/>
              <w:spacing w:after="0" w:line="130" w:lineRule="exact"/>
              <w:rPr>
                <w:sz w:val="20"/>
                <w:szCs w:val="20"/>
                <w:color w:val="auto"/>
              </w:rPr>
            </w:pPr>
            <w:r>
              <w:rPr>
                <w:rFonts w:ascii="Arial" w:cs="Arial" w:eastAsia="Arial" w:hAnsi="Arial"/>
                <w:sz w:val="14"/>
                <w:szCs w:val="14"/>
                <w:color w:val="auto"/>
              </w:rPr>
              <w:t>8,000,000</w:t>
            </w:r>
          </w:p>
        </w:tc>
        <w:tc>
          <w:tcPr>
            <w:tcW w:w="260" w:type="dxa"/>
            <w:vAlign w:val="bottom"/>
          </w:tcPr>
          <w:p>
            <w:pPr>
              <w:spacing w:after="0"/>
              <w:rPr>
                <w:sz w:val="11"/>
                <w:szCs w:val="11"/>
                <w:color w:val="auto"/>
              </w:rPr>
            </w:pPr>
          </w:p>
        </w:tc>
        <w:tc>
          <w:tcPr>
            <w:tcW w:w="100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8,225,976</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4"/>
                <w:szCs w:val="14"/>
                <w:color w:val="auto"/>
                <w:w w:val="92"/>
              </w:rPr>
              <w:t>and Childcare</w:t>
            </w: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Jackson Hewitt Tax Service Inc.</w:t>
            </w:r>
          </w:p>
        </w:tc>
        <w:tc>
          <w:tcPr>
            <w:tcW w:w="98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10/16/2017</w:t>
            </w:r>
          </w:p>
        </w:tc>
        <w:tc>
          <w:tcPr>
            <w:tcW w:w="154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89"/>
              </w:rPr>
              <w:t>Personal, Food and</w:t>
            </w:r>
          </w:p>
        </w:tc>
        <w:tc>
          <w:tcPr>
            <w:tcW w:w="108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10.00%</w:t>
            </w:r>
          </w:p>
        </w:tc>
        <w:tc>
          <w:tcPr>
            <w:tcW w:w="1040" w:type="dxa"/>
            <w:vAlign w:val="bottom"/>
            <w:gridSpan w:val="2"/>
            <w:shd w:val="clear" w:color="auto" w:fill="CCEEFF"/>
          </w:tcPr>
          <w:p>
            <w:pPr>
              <w:jc w:val="right"/>
              <w:ind w:right="360"/>
              <w:spacing w:after="0" w:line="130" w:lineRule="exact"/>
              <w:rPr>
                <w:sz w:val="20"/>
                <w:szCs w:val="20"/>
                <w:color w:val="auto"/>
              </w:rPr>
            </w:pPr>
            <w:r>
              <w:rPr>
                <w:rFonts w:ascii="Arial" w:cs="Arial" w:eastAsia="Arial" w:hAnsi="Arial"/>
                <w:sz w:val="14"/>
                <w:szCs w:val="14"/>
                <w:color w:val="auto"/>
              </w:rPr>
              <w:t>L+850</w:t>
            </w:r>
          </w:p>
        </w:tc>
        <w:tc>
          <w:tcPr>
            <w:tcW w:w="1040" w:type="dxa"/>
            <w:vAlign w:val="bottom"/>
            <w:gridSpan w:val="2"/>
            <w:shd w:val="clear" w:color="auto" w:fill="CCEEFF"/>
          </w:tcPr>
          <w:p>
            <w:pPr>
              <w:jc w:val="right"/>
              <w:ind w:right="340"/>
              <w:spacing w:after="0" w:line="130" w:lineRule="exact"/>
              <w:rPr>
                <w:sz w:val="20"/>
                <w:szCs w:val="20"/>
                <w:color w:val="auto"/>
              </w:rPr>
            </w:pPr>
            <w:r>
              <w:rPr>
                <w:rFonts w:ascii="Arial" w:cs="Arial" w:eastAsia="Arial" w:hAnsi="Arial"/>
                <w:sz w:val="14"/>
                <w:szCs w:val="14"/>
                <w:color w:val="auto"/>
              </w:rPr>
              <w:t>7,777,902</w:t>
            </w:r>
          </w:p>
        </w:tc>
        <w:tc>
          <w:tcPr>
            <w:tcW w:w="9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7,777,902</w:t>
            </w:r>
          </w:p>
        </w:tc>
        <w:tc>
          <w:tcPr>
            <w:tcW w:w="26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7,719,568</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7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92"/>
              </w:rPr>
              <w:t>Miscellaneous Services</w:t>
            </w:r>
          </w:p>
        </w:tc>
        <w:tc>
          <w:tcPr>
            <w:tcW w:w="6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40" w:type="dxa"/>
            <w:vAlign w:val="bottom"/>
            <w:gridSpan w:val="2"/>
          </w:tcPr>
          <w:p>
            <w:pPr>
              <w:spacing w:after="0" w:line="130" w:lineRule="exact"/>
              <w:rPr>
                <w:sz w:val="20"/>
                <w:szCs w:val="20"/>
                <w:color w:val="auto"/>
              </w:rPr>
            </w:pPr>
            <w:r>
              <w:rPr>
                <w:rFonts w:ascii="Arial" w:cs="Arial" w:eastAsia="Arial" w:hAnsi="Arial"/>
                <w:sz w:val="14"/>
                <w:szCs w:val="14"/>
                <w:color w:val="auto"/>
              </w:rPr>
              <w:t>K2 Pure Solutions NoCal, L.P.</w:t>
            </w:r>
          </w:p>
        </w:tc>
        <w:tc>
          <w:tcPr>
            <w:tcW w:w="98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08/19/2019</w:t>
            </w:r>
          </w:p>
        </w:tc>
        <w:tc>
          <w:tcPr>
            <w:tcW w:w="1540" w:type="dxa"/>
            <w:vAlign w:val="bottom"/>
            <w:gridSpan w:val="2"/>
          </w:tcPr>
          <w:p>
            <w:pPr>
              <w:jc w:val="center"/>
              <w:ind w:right="180"/>
              <w:spacing w:after="0" w:line="130" w:lineRule="exact"/>
              <w:rPr>
                <w:sz w:val="20"/>
                <w:szCs w:val="20"/>
                <w:color w:val="auto"/>
              </w:rPr>
            </w:pPr>
            <w:r>
              <w:rPr>
                <w:rFonts w:ascii="Arial" w:cs="Arial" w:eastAsia="Arial" w:hAnsi="Arial"/>
                <w:sz w:val="14"/>
                <w:szCs w:val="14"/>
                <w:color w:val="auto"/>
                <w:w w:val="92"/>
              </w:rPr>
              <w:t>Chemicals, Plastics</w:t>
            </w:r>
          </w:p>
        </w:tc>
        <w:tc>
          <w:tcPr>
            <w:tcW w:w="1080" w:type="dxa"/>
            <w:vAlign w:val="bottom"/>
            <w:gridSpan w:val="2"/>
          </w:tcPr>
          <w:p>
            <w:pPr>
              <w:jc w:val="right"/>
              <w:ind w:right="280"/>
              <w:spacing w:after="0" w:line="130" w:lineRule="exact"/>
              <w:rPr>
                <w:sz w:val="20"/>
                <w:szCs w:val="20"/>
                <w:color w:val="auto"/>
              </w:rPr>
            </w:pPr>
            <w:r>
              <w:rPr>
                <w:rFonts w:ascii="Arial" w:cs="Arial" w:eastAsia="Arial" w:hAnsi="Arial"/>
                <w:sz w:val="14"/>
                <w:szCs w:val="14"/>
                <w:color w:val="auto"/>
              </w:rPr>
              <w:t>10.00%</w:t>
            </w:r>
          </w:p>
        </w:tc>
        <w:tc>
          <w:tcPr>
            <w:tcW w:w="1040" w:type="dxa"/>
            <w:vAlign w:val="bottom"/>
            <w:gridSpan w:val="2"/>
          </w:tcPr>
          <w:p>
            <w:pPr>
              <w:jc w:val="right"/>
              <w:ind w:right="360"/>
              <w:spacing w:after="0" w:line="130" w:lineRule="exact"/>
              <w:rPr>
                <w:sz w:val="20"/>
                <w:szCs w:val="20"/>
                <w:color w:val="auto"/>
              </w:rPr>
            </w:pPr>
            <w:r>
              <w:rPr>
                <w:rFonts w:ascii="Arial" w:cs="Arial" w:eastAsia="Arial" w:hAnsi="Arial"/>
                <w:sz w:val="14"/>
                <w:szCs w:val="14"/>
                <w:color w:val="auto"/>
              </w:rPr>
              <w:t>L+900</w:t>
            </w:r>
          </w:p>
        </w:tc>
        <w:tc>
          <w:tcPr>
            <w:tcW w:w="1040" w:type="dxa"/>
            <w:vAlign w:val="bottom"/>
            <w:gridSpan w:val="2"/>
          </w:tcPr>
          <w:p>
            <w:pPr>
              <w:jc w:val="right"/>
              <w:ind w:right="340"/>
              <w:spacing w:after="0" w:line="130" w:lineRule="exact"/>
              <w:rPr>
                <w:sz w:val="20"/>
                <w:szCs w:val="20"/>
                <w:color w:val="auto"/>
              </w:rPr>
            </w:pPr>
            <w:r>
              <w:rPr>
                <w:rFonts w:ascii="Arial" w:cs="Arial" w:eastAsia="Arial" w:hAnsi="Arial"/>
                <w:sz w:val="14"/>
                <w:szCs w:val="14"/>
                <w:color w:val="auto"/>
                <w:w w:val="96"/>
              </w:rPr>
              <w:t>22,342,352</w:t>
            </w:r>
          </w:p>
        </w:tc>
        <w:tc>
          <w:tcPr>
            <w:tcW w:w="920" w:type="dxa"/>
            <w:vAlign w:val="bottom"/>
          </w:tcPr>
          <w:p>
            <w:pPr>
              <w:jc w:val="right"/>
              <w:spacing w:after="0" w:line="130" w:lineRule="exact"/>
              <w:rPr>
                <w:sz w:val="20"/>
                <w:szCs w:val="20"/>
                <w:color w:val="auto"/>
              </w:rPr>
            </w:pPr>
            <w:r>
              <w:rPr>
                <w:rFonts w:ascii="Arial" w:cs="Arial" w:eastAsia="Arial" w:hAnsi="Arial"/>
                <w:sz w:val="14"/>
                <w:szCs w:val="14"/>
                <w:color w:val="auto"/>
              </w:rPr>
              <w:t>21,947,354</w:t>
            </w:r>
          </w:p>
        </w:tc>
        <w:tc>
          <w:tcPr>
            <w:tcW w:w="260" w:type="dxa"/>
            <w:vAlign w:val="bottom"/>
          </w:tcPr>
          <w:p>
            <w:pPr>
              <w:spacing w:after="0"/>
              <w:rPr>
                <w:sz w:val="11"/>
                <w:szCs w:val="11"/>
                <w:color w:val="auto"/>
              </w:rPr>
            </w:pPr>
          </w:p>
        </w:tc>
        <w:tc>
          <w:tcPr>
            <w:tcW w:w="100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22,133,375</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gridSpan w:val="2"/>
          </w:tcPr>
          <w:p>
            <w:pPr>
              <w:jc w:val="center"/>
              <w:ind w:right="200"/>
              <w:spacing w:after="0"/>
              <w:rPr>
                <w:sz w:val="20"/>
                <w:szCs w:val="20"/>
                <w:color w:val="auto"/>
              </w:rPr>
            </w:pPr>
            <w:r>
              <w:rPr>
                <w:rFonts w:ascii="Arial" w:cs="Arial" w:eastAsia="Arial" w:hAnsi="Arial"/>
                <w:sz w:val="14"/>
                <w:szCs w:val="14"/>
                <w:color w:val="auto"/>
                <w:w w:val="90"/>
              </w:rPr>
              <w:t>and Rubber</w:t>
            </w: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Old Guard Risk Services, Inc.</w:t>
            </w:r>
          </w:p>
        </w:tc>
        <w:tc>
          <w:tcPr>
            <w:tcW w:w="98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11/27/2018</w:t>
            </w:r>
          </w:p>
        </w:tc>
        <w:tc>
          <w:tcPr>
            <w:tcW w:w="154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1"/>
              </w:rPr>
              <w:t>Insurance</w:t>
            </w: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12.50%</w:t>
            </w:r>
          </w:p>
        </w:tc>
        <w:tc>
          <w:tcPr>
            <w:tcW w:w="10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L+1,150</w:t>
            </w:r>
          </w:p>
        </w:tc>
        <w:tc>
          <w:tcPr>
            <w:tcW w:w="10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6"/>
              </w:rPr>
              <w:t>28,350,000</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27,332,224</w:t>
            </w: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28,633,500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40" w:type="dxa"/>
            <w:vAlign w:val="bottom"/>
            <w:gridSpan w:val="2"/>
          </w:tcPr>
          <w:p>
            <w:pPr>
              <w:spacing w:after="0" w:line="130" w:lineRule="exact"/>
              <w:rPr>
                <w:sz w:val="20"/>
                <w:szCs w:val="20"/>
                <w:color w:val="auto"/>
              </w:rPr>
            </w:pPr>
            <w:r>
              <w:rPr>
                <w:rFonts w:ascii="Arial" w:cs="Arial" w:eastAsia="Arial" w:hAnsi="Arial"/>
                <w:sz w:val="14"/>
                <w:szCs w:val="14"/>
                <w:color w:val="auto"/>
              </w:rPr>
              <w:t>Prince Mineral Holding Corp.</w:t>
            </w:r>
            <w:r>
              <w:rPr>
                <w:rFonts w:ascii="Arial" w:cs="Arial" w:eastAsia="Arial" w:hAnsi="Arial"/>
                <w:sz w:val="12"/>
                <w:szCs w:val="12"/>
                <w:color w:val="auto"/>
              </w:rPr>
              <w:t>(5)</w:t>
            </w:r>
          </w:p>
        </w:tc>
        <w:tc>
          <w:tcPr>
            <w:tcW w:w="98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12/16/2019</w:t>
            </w:r>
          </w:p>
        </w:tc>
        <w:tc>
          <w:tcPr>
            <w:tcW w:w="1540" w:type="dxa"/>
            <w:vAlign w:val="bottom"/>
            <w:gridSpan w:val="2"/>
          </w:tcPr>
          <w:p>
            <w:pPr>
              <w:jc w:val="center"/>
              <w:ind w:right="200"/>
              <w:spacing w:after="0" w:line="130" w:lineRule="exact"/>
              <w:rPr>
                <w:sz w:val="20"/>
                <w:szCs w:val="20"/>
                <w:color w:val="auto"/>
              </w:rPr>
            </w:pPr>
            <w:r>
              <w:rPr>
                <w:rFonts w:ascii="Arial" w:cs="Arial" w:eastAsia="Arial" w:hAnsi="Arial"/>
                <w:sz w:val="14"/>
                <w:szCs w:val="14"/>
                <w:color w:val="auto"/>
                <w:w w:val="95"/>
              </w:rPr>
              <w:t>Mining, Steel, Iron and</w:t>
            </w:r>
          </w:p>
        </w:tc>
        <w:tc>
          <w:tcPr>
            <w:tcW w:w="1080" w:type="dxa"/>
            <w:vAlign w:val="bottom"/>
            <w:gridSpan w:val="2"/>
          </w:tcPr>
          <w:p>
            <w:pPr>
              <w:jc w:val="right"/>
              <w:ind w:right="280"/>
              <w:spacing w:after="0" w:line="130" w:lineRule="exact"/>
              <w:rPr>
                <w:sz w:val="20"/>
                <w:szCs w:val="20"/>
                <w:color w:val="auto"/>
              </w:rPr>
            </w:pPr>
            <w:r>
              <w:rPr>
                <w:rFonts w:ascii="Arial" w:cs="Arial" w:eastAsia="Arial" w:hAnsi="Arial"/>
                <w:sz w:val="14"/>
                <w:szCs w:val="14"/>
                <w:color w:val="auto"/>
              </w:rPr>
              <w:t>11.50%</w:t>
            </w:r>
          </w:p>
        </w:tc>
        <w:tc>
          <w:tcPr>
            <w:tcW w:w="1040" w:type="dxa"/>
            <w:vAlign w:val="bottom"/>
            <w:gridSpan w:val="2"/>
          </w:tcPr>
          <w:p>
            <w:pPr>
              <w:jc w:val="right"/>
              <w:ind w:right="440"/>
              <w:spacing w:after="0" w:line="130"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340"/>
              <w:spacing w:after="0" w:line="130" w:lineRule="exact"/>
              <w:rPr>
                <w:sz w:val="20"/>
                <w:szCs w:val="20"/>
                <w:color w:val="auto"/>
              </w:rPr>
            </w:pPr>
            <w:r>
              <w:rPr>
                <w:rFonts w:ascii="Arial" w:cs="Arial" w:eastAsia="Arial" w:hAnsi="Arial"/>
                <w:sz w:val="14"/>
                <w:szCs w:val="14"/>
                <w:color w:val="auto"/>
                <w:w w:val="96"/>
              </w:rPr>
              <w:t>14,250,000</w:t>
            </w:r>
          </w:p>
        </w:tc>
        <w:tc>
          <w:tcPr>
            <w:tcW w:w="1180" w:type="dxa"/>
            <w:vAlign w:val="bottom"/>
            <w:gridSpan w:val="2"/>
          </w:tcPr>
          <w:p>
            <w:pPr>
              <w:jc w:val="right"/>
              <w:ind w:right="260"/>
              <w:spacing w:after="0" w:line="130" w:lineRule="exact"/>
              <w:rPr>
                <w:sz w:val="20"/>
                <w:szCs w:val="20"/>
                <w:color w:val="auto"/>
              </w:rPr>
            </w:pPr>
            <w:r>
              <w:rPr>
                <w:rFonts w:ascii="Arial" w:cs="Arial" w:eastAsia="Arial" w:hAnsi="Arial"/>
                <w:sz w:val="14"/>
                <w:szCs w:val="14"/>
                <w:color w:val="auto"/>
              </w:rPr>
              <w:t>14,113,310</w:t>
            </w:r>
          </w:p>
        </w:tc>
        <w:tc>
          <w:tcPr>
            <w:tcW w:w="100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16,066,875</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gridSpan w:val="2"/>
          </w:tcPr>
          <w:p>
            <w:pPr>
              <w:jc w:val="center"/>
              <w:ind w:right="200"/>
              <w:spacing w:after="0"/>
              <w:rPr>
                <w:sz w:val="20"/>
                <w:szCs w:val="20"/>
                <w:color w:val="auto"/>
              </w:rPr>
            </w:pPr>
            <w:r>
              <w:rPr>
                <w:rFonts w:ascii="Arial" w:cs="Arial" w:eastAsia="Arial" w:hAnsi="Arial"/>
                <w:sz w:val="14"/>
                <w:szCs w:val="14"/>
                <w:color w:val="auto"/>
                <w:w w:val="93"/>
              </w:rPr>
              <w:t>Non-Precious Metals</w:t>
            </w: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TRAK Acquisition Corp.</w:t>
            </w:r>
          </w:p>
        </w:tc>
        <w:tc>
          <w:tcPr>
            <w:tcW w:w="9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04/30/2018</w:t>
            </w:r>
          </w:p>
        </w:tc>
        <w:tc>
          <w:tcPr>
            <w:tcW w:w="154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0"/>
              </w:rPr>
              <w:t>Business Services</w:t>
            </w: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12.00%</w:t>
            </w:r>
          </w:p>
        </w:tc>
        <w:tc>
          <w:tcPr>
            <w:tcW w:w="10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L+1,050</w:t>
            </w:r>
          </w:p>
        </w:tc>
        <w:tc>
          <w:tcPr>
            <w:tcW w:w="10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6"/>
              </w:rPr>
              <w:t>24,389,911</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24,068,498</w:t>
            </w: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24,389,911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TRAK Acquisition Corp.</w:t>
            </w:r>
            <w:r>
              <w:rPr>
                <w:rFonts w:ascii="Arial" w:cs="Arial" w:eastAsia="Arial" w:hAnsi="Arial"/>
                <w:sz w:val="12"/>
                <w:szCs w:val="12"/>
                <w:color w:val="auto"/>
              </w:rPr>
              <w:t>(9)</w:t>
            </w:r>
          </w:p>
        </w:tc>
        <w:tc>
          <w:tcPr>
            <w:tcW w:w="9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10/31/2017</w:t>
            </w:r>
          </w:p>
        </w:tc>
        <w:tc>
          <w:tcPr>
            <w:tcW w:w="15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0"/>
              </w:rPr>
              <w:t>Business Services</w:t>
            </w:r>
          </w:p>
        </w:tc>
        <w:tc>
          <w:tcPr>
            <w:tcW w:w="108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1,000,000</w:t>
            </w:r>
          </w:p>
        </w:tc>
        <w:tc>
          <w:tcPr>
            <w:tcW w:w="11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985,000</w:t>
            </w: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1,000,000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Trust Inns Limited</w:t>
            </w:r>
            <w:r>
              <w:rPr>
                <w:rFonts w:ascii="Arial" w:cs="Arial" w:eastAsia="Arial" w:hAnsi="Arial"/>
                <w:sz w:val="12"/>
                <w:szCs w:val="12"/>
                <w:color w:val="auto"/>
              </w:rPr>
              <w:t>(10),(12)</w:t>
            </w:r>
          </w:p>
        </w:tc>
        <w:tc>
          <w:tcPr>
            <w:tcW w:w="98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02/12/2020</w:t>
            </w:r>
          </w:p>
        </w:tc>
        <w:tc>
          <w:tcPr>
            <w:tcW w:w="154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4"/>
              </w:rPr>
              <w:t>Buildings and Real</w:t>
            </w:r>
          </w:p>
        </w:tc>
        <w:tc>
          <w:tcPr>
            <w:tcW w:w="108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11.05%</w:t>
            </w:r>
          </w:p>
        </w:tc>
        <w:tc>
          <w:tcPr>
            <w:tcW w:w="104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L+1,050</w:t>
            </w:r>
            <w:r>
              <w:rPr>
                <w:rFonts w:ascii="Arial" w:cs="Arial" w:eastAsia="Arial" w:hAnsi="Arial"/>
                <w:sz w:val="12"/>
                <w:szCs w:val="12"/>
                <w:color w:val="auto"/>
              </w:rPr>
              <w:t>(8)</w:t>
            </w:r>
          </w:p>
        </w:tc>
        <w:tc>
          <w:tcPr>
            <w:tcW w:w="1040" w:type="dxa"/>
            <w:vAlign w:val="bottom"/>
            <w:gridSpan w:val="2"/>
            <w:shd w:val="clear" w:color="auto" w:fill="CCEEFF"/>
          </w:tcPr>
          <w:p>
            <w:pPr>
              <w:jc w:val="right"/>
              <w:ind w:right="340"/>
              <w:spacing w:after="0" w:line="130" w:lineRule="exact"/>
              <w:rPr>
                <w:sz w:val="20"/>
                <w:szCs w:val="20"/>
                <w:color w:val="auto"/>
              </w:rPr>
            </w:pPr>
            <w:r>
              <w:rPr>
                <w:rFonts w:ascii="Arial" w:cs="Arial" w:eastAsia="Arial" w:hAnsi="Arial"/>
                <w:sz w:val="14"/>
                <w:szCs w:val="14"/>
                <w:color w:val="auto"/>
                <w:w w:val="96"/>
              </w:rPr>
              <w:t>27,909,091</w:t>
            </w:r>
          </w:p>
        </w:tc>
        <w:tc>
          <w:tcPr>
            <w:tcW w:w="9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43,963,551</w:t>
            </w:r>
          </w:p>
        </w:tc>
        <w:tc>
          <w:tcPr>
            <w:tcW w:w="26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47,581,867</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7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90"/>
              </w:rPr>
              <w:t>Estate</w:t>
            </w:r>
          </w:p>
        </w:tc>
        <w:tc>
          <w:tcPr>
            <w:tcW w:w="6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U.S. Well Service, LLC</w:t>
            </w:r>
          </w:p>
        </w:tc>
        <w:tc>
          <w:tcPr>
            <w:tcW w:w="9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05/02/2019</w:t>
            </w:r>
          </w:p>
        </w:tc>
        <w:tc>
          <w:tcPr>
            <w:tcW w:w="15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1"/>
              </w:rPr>
              <w:t>Oil and Gas</w:t>
            </w: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12.00%</w:t>
            </w:r>
          </w:p>
        </w:tc>
        <w:tc>
          <w:tcPr>
            <w:tcW w:w="10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L+1,150</w:t>
            </w:r>
          </w:p>
        </w:tc>
        <w:tc>
          <w:tcPr>
            <w:tcW w:w="10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6"/>
              </w:rPr>
              <w:t>14,551,598</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14,198,694</w:t>
            </w:r>
          </w:p>
        </w:tc>
        <w:tc>
          <w:tcPr>
            <w:tcW w:w="26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14,655,462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U.S. Well Service, LLC</w:t>
            </w:r>
            <w:r>
              <w:rPr>
                <w:rFonts w:ascii="Arial" w:cs="Arial" w:eastAsia="Arial" w:hAnsi="Arial"/>
                <w:sz w:val="12"/>
                <w:szCs w:val="12"/>
                <w:color w:val="auto"/>
              </w:rPr>
              <w:t>(9)</w:t>
            </w:r>
          </w:p>
        </w:tc>
        <w:tc>
          <w:tcPr>
            <w:tcW w:w="98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11/03/2014</w:t>
            </w:r>
          </w:p>
        </w:tc>
        <w:tc>
          <w:tcPr>
            <w:tcW w:w="154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1"/>
              </w:rPr>
              <w:t>Oil and Gas</w:t>
            </w:r>
          </w:p>
        </w:tc>
        <w:tc>
          <w:tcPr>
            <w:tcW w:w="108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1,889,205</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1,889,205</w:t>
            </w: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1,902,689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Worley Claims Services, LLC</w:t>
            </w:r>
          </w:p>
        </w:tc>
        <w:tc>
          <w:tcPr>
            <w:tcW w:w="9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07/06/2017</w:t>
            </w:r>
          </w:p>
        </w:tc>
        <w:tc>
          <w:tcPr>
            <w:tcW w:w="15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1"/>
              </w:rPr>
              <w:t>Insurance</w:t>
            </w: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12.50%</w:t>
            </w:r>
          </w:p>
        </w:tc>
        <w:tc>
          <w:tcPr>
            <w:tcW w:w="10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L+1,100</w:t>
            </w:r>
          </w:p>
        </w:tc>
        <w:tc>
          <w:tcPr>
            <w:tcW w:w="10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6"/>
              </w:rPr>
              <w:t>11,528,792</w:t>
            </w:r>
          </w:p>
        </w:tc>
        <w:tc>
          <w:tcPr>
            <w:tcW w:w="9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11,528,792</w:t>
            </w:r>
          </w:p>
        </w:tc>
        <w:tc>
          <w:tcPr>
            <w:tcW w:w="260" w:type="dxa"/>
            <w:vAlign w:val="bottom"/>
          </w:tcPr>
          <w:p>
            <w:pPr>
              <w:spacing w:after="0"/>
              <w:rPr>
                <w:sz w:val="13"/>
                <w:szCs w:val="13"/>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11,759,368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First Lien Secured Debt</w:t>
            </w: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266,316,131</w:t>
            </w: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279,278,810</w:t>
            </w:r>
          </w:p>
        </w:tc>
        <w:tc>
          <w:tcPr>
            <w:tcW w:w="0" w:type="dxa"/>
            <w:vAlign w:val="bottom"/>
          </w:tcPr>
          <w:p>
            <w:pPr>
              <w:spacing w:after="0"/>
              <w:rPr>
                <w:sz w:val="1"/>
                <w:szCs w:val="1"/>
                <w:color w:val="auto"/>
              </w:rPr>
            </w:pPr>
          </w:p>
        </w:tc>
      </w:tr>
      <w:tr>
        <w:trPr>
          <w:trHeight w:val="156"/>
        </w:trPr>
        <w:tc>
          <w:tcPr>
            <w:tcW w:w="35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Second Lien Secured Debt—63.2%</w:t>
            </w: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American Gilsonite Company</w:t>
            </w:r>
            <w:r>
              <w:rPr>
                <w:rFonts w:ascii="Arial" w:cs="Arial" w:eastAsia="Arial" w:hAnsi="Arial"/>
                <w:sz w:val="12"/>
                <w:szCs w:val="12"/>
                <w:color w:val="auto"/>
              </w:rPr>
              <w:t>(5)</w:t>
            </w:r>
          </w:p>
        </w:tc>
        <w:tc>
          <w:tcPr>
            <w:tcW w:w="98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09/01/2017</w:t>
            </w:r>
          </w:p>
        </w:tc>
        <w:tc>
          <w:tcPr>
            <w:tcW w:w="154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7"/>
              </w:rPr>
              <w:t>Diversified Natural</w:t>
            </w:r>
          </w:p>
        </w:tc>
        <w:tc>
          <w:tcPr>
            <w:tcW w:w="108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11.50%</w:t>
            </w:r>
          </w:p>
        </w:tc>
        <w:tc>
          <w:tcPr>
            <w:tcW w:w="1040" w:type="dxa"/>
            <w:vAlign w:val="bottom"/>
            <w:gridSpan w:val="2"/>
            <w:shd w:val="clear" w:color="auto" w:fill="CCEEFF"/>
          </w:tcPr>
          <w:p>
            <w:pPr>
              <w:jc w:val="right"/>
              <w:ind w:right="440"/>
              <w:spacing w:after="0" w:line="130"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340"/>
              <w:spacing w:after="0" w:line="130" w:lineRule="exact"/>
              <w:rPr>
                <w:sz w:val="20"/>
                <w:szCs w:val="20"/>
                <w:color w:val="auto"/>
              </w:rPr>
            </w:pPr>
            <w:r>
              <w:rPr>
                <w:rFonts w:ascii="Arial" w:cs="Arial" w:eastAsia="Arial" w:hAnsi="Arial"/>
                <w:sz w:val="14"/>
                <w:szCs w:val="14"/>
                <w:color w:val="auto"/>
                <w:w w:val="96"/>
              </w:rPr>
              <w:t>25,400,000</w:t>
            </w:r>
          </w:p>
        </w:tc>
        <w:tc>
          <w:tcPr>
            <w:tcW w:w="9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25,400,000</w:t>
            </w:r>
          </w:p>
        </w:tc>
        <w:tc>
          <w:tcPr>
            <w:tcW w:w="26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27,432,000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7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9"/>
              </w:rPr>
              <w:t>Resources, Precious</w:t>
            </w:r>
          </w:p>
        </w:tc>
        <w:tc>
          <w:tcPr>
            <w:tcW w:w="6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7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94"/>
              </w:rPr>
              <w:t>Metals and Minerals</w:t>
            </w:r>
          </w:p>
        </w:tc>
        <w:tc>
          <w:tcPr>
            <w:tcW w:w="6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Arsloane Acquisition, LLC</w:t>
            </w:r>
          </w:p>
        </w:tc>
        <w:tc>
          <w:tcPr>
            <w:tcW w:w="9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10/01/2020</w:t>
            </w:r>
          </w:p>
        </w:tc>
        <w:tc>
          <w:tcPr>
            <w:tcW w:w="15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0"/>
              </w:rPr>
              <w:t>Business Services</w:t>
            </w: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11.75%</w:t>
            </w:r>
          </w:p>
        </w:tc>
        <w:tc>
          <w:tcPr>
            <w:tcW w:w="10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L+1,050</w:t>
            </w:r>
          </w:p>
        </w:tc>
        <w:tc>
          <w:tcPr>
            <w:tcW w:w="10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6"/>
              </w:rPr>
              <w:t>20,625,000</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20,334,545</w:t>
            </w:r>
          </w:p>
        </w:tc>
        <w:tc>
          <w:tcPr>
            <w:tcW w:w="26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20,831,250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Ascensus, Inc.</w:t>
            </w:r>
          </w:p>
        </w:tc>
        <w:tc>
          <w:tcPr>
            <w:tcW w:w="9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12/02/2020</w:t>
            </w:r>
          </w:p>
        </w:tc>
        <w:tc>
          <w:tcPr>
            <w:tcW w:w="15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3"/>
              </w:rPr>
              <w:t>Financial Services</w:t>
            </w: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9.00%</w:t>
            </w:r>
          </w:p>
        </w:tc>
        <w:tc>
          <w:tcPr>
            <w:tcW w:w="10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L+800</w:t>
            </w:r>
          </w:p>
        </w:tc>
        <w:tc>
          <w:tcPr>
            <w:tcW w:w="10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6"/>
              </w:rPr>
              <w:t>15,500,000</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15,288,541</w:t>
            </w: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15,771,250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Bennu Oil &amp; Gas, LLC</w:t>
            </w:r>
          </w:p>
        </w:tc>
        <w:tc>
          <w:tcPr>
            <w:tcW w:w="98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11/01/2018</w:t>
            </w:r>
          </w:p>
        </w:tc>
        <w:tc>
          <w:tcPr>
            <w:tcW w:w="15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1"/>
              </w:rPr>
              <w:t>Oil and Gas</w:t>
            </w: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8.75%</w:t>
            </w:r>
          </w:p>
        </w:tc>
        <w:tc>
          <w:tcPr>
            <w:tcW w:w="10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L+750</w:t>
            </w:r>
          </w:p>
        </w:tc>
        <w:tc>
          <w:tcPr>
            <w:tcW w:w="10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6"/>
              </w:rPr>
              <w:t>19,799,984</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19,705,318</w:t>
            </w:r>
          </w:p>
        </w:tc>
        <w:tc>
          <w:tcPr>
            <w:tcW w:w="26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20,031,050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Carolina Beverage Group, LLC</w:t>
            </w:r>
          </w:p>
        </w:tc>
        <w:tc>
          <w:tcPr>
            <w:tcW w:w="98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08/01/2018</w:t>
            </w:r>
          </w:p>
        </w:tc>
        <w:tc>
          <w:tcPr>
            <w:tcW w:w="154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1"/>
              </w:rPr>
              <w:t>Beverage, Food and</w:t>
            </w:r>
          </w:p>
        </w:tc>
        <w:tc>
          <w:tcPr>
            <w:tcW w:w="108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10.63%</w:t>
            </w:r>
          </w:p>
        </w:tc>
        <w:tc>
          <w:tcPr>
            <w:tcW w:w="1040" w:type="dxa"/>
            <w:vAlign w:val="bottom"/>
            <w:gridSpan w:val="2"/>
            <w:shd w:val="clear" w:color="auto" w:fill="CCEEFF"/>
          </w:tcPr>
          <w:p>
            <w:pPr>
              <w:jc w:val="right"/>
              <w:ind w:right="440"/>
              <w:spacing w:after="0" w:line="130"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340"/>
              <w:spacing w:after="0" w:line="130" w:lineRule="exact"/>
              <w:rPr>
                <w:sz w:val="20"/>
                <w:szCs w:val="20"/>
                <w:color w:val="auto"/>
              </w:rPr>
            </w:pPr>
            <w:r>
              <w:rPr>
                <w:rFonts w:ascii="Arial" w:cs="Arial" w:eastAsia="Arial" w:hAnsi="Arial"/>
                <w:sz w:val="14"/>
                <w:szCs w:val="14"/>
                <w:color w:val="auto"/>
                <w:w w:val="96"/>
              </w:rPr>
              <w:t>13,125,000</w:t>
            </w:r>
          </w:p>
        </w:tc>
        <w:tc>
          <w:tcPr>
            <w:tcW w:w="9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13,125,000</w:t>
            </w:r>
          </w:p>
        </w:tc>
        <w:tc>
          <w:tcPr>
            <w:tcW w:w="26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14,142,187</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7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89"/>
              </w:rPr>
              <w:t>Tobacco</w:t>
            </w:r>
          </w:p>
        </w:tc>
        <w:tc>
          <w:tcPr>
            <w:tcW w:w="6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CT Technologies Intermediate Holdings, Inc.</w:t>
            </w:r>
          </w:p>
        </w:tc>
        <w:tc>
          <w:tcPr>
            <w:tcW w:w="9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10/05/2020</w:t>
            </w:r>
          </w:p>
        </w:tc>
        <w:tc>
          <w:tcPr>
            <w:tcW w:w="15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0"/>
              </w:rPr>
              <w:t>Business Services</w:t>
            </w: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9.25%</w:t>
            </w:r>
          </w:p>
        </w:tc>
        <w:tc>
          <w:tcPr>
            <w:tcW w:w="10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L+800</w:t>
            </w:r>
          </w:p>
        </w:tc>
        <w:tc>
          <w:tcPr>
            <w:tcW w:w="10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6"/>
              </w:rPr>
              <w:t>14,000,000</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13,814,375</w:t>
            </w:r>
          </w:p>
        </w:tc>
        <w:tc>
          <w:tcPr>
            <w:tcW w:w="26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14,052,500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Envision Acquisition Company, LLC</w:t>
            </w:r>
          </w:p>
        </w:tc>
        <w:tc>
          <w:tcPr>
            <w:tcW w:w="980" w:type="dxa"/>
            <w:vAlign w:val="bottom"/>
            <w:gridSpan w:val="2"/>
            <w:shd w:val="clear" w:color="auto" w:fill="CCEEFF"/>
          </w:tcPr>
          <w:p>
            <w:pPr>
              <w:ind w:left="60"/>
              <w:spacing w:after="0" w:line="130" w:lineRule="exact"/>
              <w:rPr>
                <w:sz w:val="20"/>
                <w:szCs w:val="20"/>
                <w:color w:val="auto"/>
              </w:rPr>
            </w:pPr>
            <w:r>
              <w:rPr>
                <w:rFonts w:ascii="Arial" w:cs="Arial" w:eastAsia="Arial" w:hAnsi="Arial"/>
                <w:sz w:val="14"/>
                <w:szCs w:val="14"/>
                <w:color w:val="auto"/>
              </w:rPr>
              <w:t>11/04/2021</w:t>
            </w:r>
          </w:p>
        </w:tc>
        <w:tc>
          <w:tcPr>
            <w:tcW w:w="154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2"/>
              </w:rPr>
              <w:t>Healthcare, Education</w:t>
            </w:r>
          </w:p>
        </w:tc>
        <w:tc>
          <w:tcPr>
            <w:tcW w:w="108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9.75%</w:t>
            </w:r>
          </w:p>
        </w:tc>
        <w:tc>
          <w:tcPr>
            <w:tcW w:w="1040" w:type="dxa"/>
            <w:vAlign w:val="bottom"/>
            <w:gridSpan w:val="2"/>
            <w:shd w:val="clear" w:color="auto" w:fill="CCEEFF"/>
          </w:tcPr>
          <w:p>
            <w:pPr>
              <w:jc w:val="right"/>
              <w:ind w:right="360"/>
              <w:spacing w:after="0" w:line="130" w:lineRule="exact"/>
              <w:rPr>
                <w:sz w:val="20"/>
                <w:szCs w:val="20"/>
                <w:color w:val="auto"/>
              </w:rPr>
            </w:pPr>
            <w:r>
              <w:rPr>
                <w:rFonts w:ascii="Arial" w:cs="Arial" w:eastAsia="Arial" w:hAnsi="Arial"/>
                <w:sz w:val="14"/>
                <w:szCs w:val="14"/>
                <w:color w:val="auto"/>
              </w:rPr>
              <w:t>L+875</w:t>
            </w:r>
          </w:p>
        </w:tc>
        <w:tc>
          <w:tcPr>
            <w:tcW w:w="1040" w:type="dxa"/>
            <w:vAlign w:val="bottom"/>
            <w:gridSpan w:val="2"/>
            <w:shd w:val="clear" w:color="auto" w:fill="CCEEFF"/>
          </w:tcPr>
          <w:p>
            <w:pPr>
              <w:jc w:val="right"/>
              <w:ind w:right="340"/>
              <w:spacing w:after="0" w:line="130" w:lineRule="exact"/>
              <w:rPr>
                <w:sz w:val="20"/>
                <w:szCs w:val="20"/>
                <w:color w:val="auto"/>
              </w:rPr>
            </w:pPr>
            <w:r>
              <w:rPr>
                <w:rFonts w:ascii="Arial" w:cs="Arial" w:eastAsia="Arial" w:hAnsi="Arial"/>
                <w:sz w:val="14"/>
                <w:szCs w:val="14"/>
                <w:color w:val="auto"/>
                <w:w w:val="96"/>
              </w:rPr>
              <w:t>19,000,000</w:t>
            </w:r>
          </w:p>
        </w:tc>
        <w:tc>
          <w:tcPr>
            <w:tcW w:w="9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18,641,623</w:t>
            </w:r>
          </w:p>
        </w:tc>
        <w:tc>
          <w:tcPr>
            <w:tcW w:w="26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19,190,000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7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92"/>
              </w:rPr>
              <w:t>and Childcare</w:t>
            </w:r>
          </w:p>
        </w:tc>
        <w:tc>
          <w:tcPr>
            <w:tcW w:w="6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Foundation Building Materials, LLC</w:t>
            </w:r>
          </w:p>
        </w:tc>
        <w:tc>
          <w:tcPr>
            <w:tcW w:w="9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04/30/2019</w:t>
            </w:r>
          </w:p>
        </w:tc>
        <w:tc>
          <w:tcPr>
            <w:tcW w:w="15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7"/>
              </w:rPr>
              <w:t>Building Materials</w:t>
            </w: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12.00%</w:t>
            </w:r>
          </w:p>
        </w:tc>
        <w:tc>
          <w:tcPr>
            <w:tcW w:w="10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L+1,100</w:t>
            </w:r>
          </w:p>
        </w:tc>
        <w:tc>
          <w:tcPr>
            <w:tcW w:w="10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6"/>
              </w:rPr>
              <w:t>45,000,000</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44,550,637</w:t>
            </w:r>
          </w:p>
        </w:tc>
        <w:tc>
          <w:tcPr>
            <w:tcW w:w="26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45,077,918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Foundation Building Materials, LLC</w:t>
            </w:r>
          </w:p>
        </w:tc>
        <w:tc>
          <w:tcPr>
            <w:tcW w:w="98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04/30/2019</w:t>
            </w:r>
          </w:p>
        </w:tc>
        <w:tc>
          <w:tcPr>
            <w:tcW w:w="154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7"/>
              </w:rPr>
              <w:t>Building Materials</w:t>
            </w:r>
          </w:p>
        </w:tc>
        <w:tc>
          <w:tcPr>
            <w:tcW w:w="108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13.00%</w:t>
            </w:r>
          </w:p>
        </w:tc>
        <w:tc>
          <w:tcPr>
            <w:tcW w:w="1040" w:type="dxa"/>
            <w:vAlign w:val="bottom"/>
            <w:gridSpan w:val="2"/>
            <w:shd w:val="clear" w:color="auto" w:fill="CCEEFF"/>
          </w:tcPr>
          <w:p>
            <w:pPr>
              <w:jc w:val="right"/>
              <w:ind w:right="360"/>
              <w:spacing w:after="0" w:line="130" w:lineRule="exact"/>
              <w:rPr>
                <w:sz w:val="20"/>
                <w:szCs w:val="20"/>
                <w:color w:val="auto"/>
              </w:rPr>
            </w:pPr>
            <w:r>
              <w:rPr>
                <w:rFonts w:ascii="Arial" w:cs="Arial" w:eastAsia="Arial" w:hAnsi="Arial"/>
                <w:sz w:val="14"/>
                <w:szCs w:val="14"/>
                <w:color w:val="auto"/>
              </w:rPr>
              <w:t>L+1,200</w:t>
            </w:r>
          </w:p>
        </w:tc>
        <w:tc>
          <w:tcPr>
            <w:tcW w:w="1040" w:type="dxa"/>
            <w:vAlign w:val="bottom"/>
            <w:gridSpan w:val="2"/>
            <w:shd w:val="clear" w:color="auto" w:fill="CCEEFF"/>
          </w:tcPr>
          <w:p>
            <w:pPr>
              <w:jc w:val="right"/>
              <w:ind w:right="340"/>
              <w:spacing w:after="0" w:line="130" w:lineRule="exact"/>
              <w:rPr>
                <w:sz w:val="20"/>
                <w:szCs w:val="20"/>
                <w:color w:val="auto"/>
              </w:rPr>
            </w:pPr>
            <w:r>
              <w:rPr>
                <w:rFonts w:ascii="Arial" w:cs="Arial" w:eastAsia="Arial" w:hAnsi="Arial"/>
                <w:sz w:val="14"/>
                <w:szCs w:val="14"/>
                <w:color w:val="auto"/>
                <w:w w:val="96"/>
              </w:rPr>
              <w:t>32,692,664</w:t>
            </w:r>
          </w:p>
        </w:tc>
        <w:tc>
          <w:tcPr>
            <w:tcW w:w="9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32,083,193</w:t>
            </w:r>
          </w:p>
        </w:tc>
        <w:tc>
          <w:tcPr>
            <w:tcW w:w="26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32,749,272</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7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(PIK 1.00%)</w:t>
            </w:r>
          </w:p>
        </w:tc>
        <w:tc>
          <w:tcPr>
            <w:tcW w:w="6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ILC Industries, LLC</w:t>
            </w:r>
          </w:p>
        </w:tc>
        <w:tc>
          <w:tcPr>
            <w:tcW w:w="9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06/14/2019</w:t>
            </w:r>
          </w:p>
        </w:tc>
        <w:tc>
          <w:tcPr>
            <w:tcW w:w="15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3"/>
              </w:rPr>
              <w:t>Electronics</w:t>
            </w: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11.50%</w:t>
            </w:r>
          </w:p>
        </w:tc>
        <w:tc>
          <w:tcPr>
            <w:tcW w:w="10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L+1,000</w:t>
            </w:r>
          </w:p>
        </w:tc>
        <w:tc>
          <w:tcPr>
            <w:tcW w:w="10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7,500,000</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7,224,810</w:t>
            </w:r>
          </w:p>
        </w:tc>
        <w:tc>
          <w:tcPr>
            <w:tcW w:w="26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7,350,000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Intermediate Transportation 100, LLC</w:t>
            </w:r>
            <w:r>
              <w:rPr>
                <w:rFonts w:ascii="Arial" w:cs="Arial" w:eastAsia="Arial" w:hAnsi="Arial"/>
                <w:sz w:val="12"/>
                <w:szCs w:val="12"/>
                <w:color w:val="auto"/>
              </w:rPr>
              <w:t>(5)</w:t>
            </w:r>
          </w:p>
        </w:tc>
        <w:tc>
          <w:tcPr>
            <w:tcW w:w="98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03/01/2017</w:t>
            </w:r>
          </w:p>
        </w:tc>
        <w:tc>
          <w:tcPr>
            <w:tcW w:w="154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2"/>
              </w:rPr>
              <w:t>Cargo Transport</w:t>
            </w:r>
          </w:p>
        </w:tc>
        <w:tc>
          <w:tcPr>
            <w:tcW w:w="108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11.00%</w:t>
            </w:r>
          </w:p>
        </w:tc>
        <w:tc>
          <w:tcPr>
            <w:tcW w:w="1040" w:type="dxa"/>
            <w:vAlign w:val="bottom"/>
            <w:gridSpan w:val="2"/>
            <w:shd w:val="clear" w:color="auto" w:fill="CCEEFF"/>
          </w:tcPr>
          <w:p>
            <w:pPr>
              <w:jc w:val="right"/>
              <w:ind w:right="360"/>
              <w:spacing w:after="0" w:line="130" w:lineRule="exact"/>
              <w:rPr>
                <w:sz w:val="20"/>
                <w:szCs w:val="20"/>
                <w:color w:val="auto"/>
              </w:rPr>
            </w:pPr>
            <w:r>
              <w:rPr>
                <w:rFonts w:ascii="Arial" w:cs="Arial" w:eastAsia="Arial" w:hAnsi="Arial"/>
                <w:sz w:val="14"/>
                <w:szCs w:val="14"/>
                <w:color w:val="auto"/>
              </w:rPr>
              <w:t>L+700</w:t>
            </w:r>
          </w:p>
        </w:tc>
        <w:tc>
          <w:tcPr>
            <w:tcW w:w="1040" w:type="dxa"/>
            <w:vAlign w:val="bottom"/>
            <w:gridSpan w:val="2"/>
            <w:shd w:val="clear" w:color="auto" w:fill="CCEEFF"/>
          </w:tcPr>
          <w:p>
            <w:pPr>
              <w:jc w:val="right"/>
              <w:ind w:right="340"/>
              <w:spacing w:after="0" w:line="130" w:lineRule="exact"/>
              <w:rPr>
                <w:sz w:val="20"/>
                <w:szCs w:val="20"/>
                <w:color w:val="auto"/>
              </w:rPr>
            </w:pPr>
            <w:r>
              <w:rPr>
                <w:rFonts w:ascii="Arial" w:cs="Arial" w:eastAsia="Arial" w:hAnsi="Arial"/>
                <w:sz w:val="14"/>
                <w:szCs w:val="14"/>
                <w:color w:val="auto"/>
              </w:rPr>
              <w:t>3,739,795</w:t>
            </w:r>
          </w:p>
        </w:tc>
        <w:tc>
          <w:tcPr>
            <w:tcW w:w="9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3,739,797</w:t>
            </w:r>
          </w:p>
        </w:tc>
        <w:tc>
          <w:tcPr>
            <w:tcW w:w="26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1,682,908</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7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8"/>
              </w:rPr>
              <w:t>(PIK 11.00%)</w:t>
            </w:r>
          </w:p>
        </w:tc>
        <w:tc>
          <w:tcPr>
            <w:tcW w:w="6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J.A. Cosmetics Holdings, Inc.</w:t>
            </w:r>
          </w:p>
        </w:tc>
        <w:tc>
          <w:tcPr>
            <w:tcW w:w="9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07/31/2019</w:t>
            </w:r>
          </w:p>
        </w:tc>
        <w:tc>
          <w:tcPr>
            <w:tcW w:w="15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2"/>
              </w:rPr>
              <w:t>Consumer Products</w:t>
            </w: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11.00%</w:t>
            </w:r>
          </w:p>
        </w:tc>
        <w:tc>
          <w:tcPr>
            <w:tcW w:w="10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L+1,000</w:t>
            </w:r>
          </w:p>
        </w:tc>
        <w:tc>
          <w:tcPr>
            <w:tcW w:w="10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6"/>
              </w:rPr>
              <w:t>34,000,000</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33,352,914</w:t>
            </w:r>
          </w:p>
        </w:tc>
        <w:tc>
          <w:tcPr>
            <w:tcW w:w="26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33,951,852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Jacobs Entertainment, Inc.</w:t>
            </w:r>
          </w:p>
        </w:tc>
        <w:tc>
          <w:tcPr>
            <w:tcW w:w="98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10/29/2019</w:t>
            </w:r>
          </w:p>
        </w:tc>
        <w:tc>
          <w:tcPr>
            <w:tcW w:w="154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4"/>
              </w:rPr>
              <w:t>Hotels, Motels, Inns</w:t>
            </w:r>
          </w:p>
        </w:tc>
        <w:tc>
          <w:tcPr>
            <w:tcW w:w="108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13.00%</w:t>
            </w:r>
          </w:p>
        </w:tc>
        <w:tc>
          <w:tcPr>
            <w:tcW w:w="1040" w:type="dxa"/>
            <w:vAlign w:val="bottom"/>
            <w:gridSpan w:val="2"/>
            <w:shd w:val="clear" w:color="auto" w:fill="CCEEFF"/>
          </w:tcPr>
          <w:p>
            <w:pPr>
              <w:jc w:val="right"/>
              <w:ind w:right="360"/>
              <w:spacing w:after="0" w:line="130" w:lineRule="exact"/>
              <w:rPr>
                <w:sz w:val="20"/>
                <w:szCs w:val="20"/>
                <w:color w:val="auto"/>
              </w:rPr>
            </w:pPr>
            <w:r>
              <w:rPr>
                <w:rFonts w:ascii="Arial" w:cs="Arial" w:eastAsia="Arial" w:hAnsi="Arial"/>
                <w:sz w:val="14"/>
                <w:szCs w:val="14"/>
                <w:color w:val="auto"/>
              </w:rPr>
              <w:t>L+1,175</w:t>
            </w:r>
          </w:p>
        </w:tc>
        <w:tc>
          <w:tcPr>
            <w:tcW w:w="1040" w:type="dxa"/>
            <w:vAlign w:val="bottom"/>
            <w:gridSpan w:val="2"/>
            <w:shd w:val="clear" w:color="auto" w:fill="CCEEFF"/>
          </w:tcPr>
          <w:p>
            <w:pPr>
              <w:jc w:val="right"/>
              <w:ind w:right="340"/>
              <w:spacing w:after="0" w:line="130" w:lineRule="exact"/>
              <w:rPr>
                <w:sz w:val="20"/>
                <w:szCs w:val="20"/>
                <w:color w:val="auto"/>
              </w:rPr>
            </w:pPr>
            <w:r>
              <w:rPr>
                <w:rFonts w:ascii="Arial" w:cs="Arial" w:eastAsia="Arial" w:hAnsi="Arial"/>
                <w:sz w:val="14"/>
                <w:szCs w:val="14"/>
                <w:color w:val="auto"/>
                <w:w w:val="96"/>
              </w:rPr>
              <w:t>38,950,000</w:t>
            </w:r>
          </w:p>
        </w:tc>
        <w:tc>
          <w:tcPr>
            <w:tcW w:w="9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38,364,591</w:t>
            </w:r>
          </w:p>
        </w:tc>
        <w:tc>
          <w:tcPr>
            <w:tcW w:w="26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39,339,500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7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91"/>
              </w:rPr>
              <w:t>and Gaming</w:t>
            </w:r>
          </w:p>
        </w:tc>
        <w:tc>
          <w:tcPr>
            <w:tcW w:w="6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KIK Custom Products Inc.</w:t>
            </w:r>
          </w:p>
        </w:tc>
        <w:tc>
          <w:tcPr>
            <w:tcW w:w="9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10/29/2019</w:t>
            </w:r>
          </w:p>
        </w:tc>
        <w:tc>
          <w:tcPr>
            <w:tcW w:w="15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2"/>
              </w:rPr>
              <w:t>Consumer Products</w:t>
            </w: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9.50%</w:t>
            </w:r>
          </w:p>
        </w:tc>
        <w:tc>
          <w:tcPr>
            <w:tcW w:w="10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L+825</w:t>
            </w:r>
          </w:p>
        </w:tc>
        <w:tc>
          <w:tcPr>
            <w:tcW w:w="10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9,500,000</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9,364,479</w:t>
            </w:r>
          </w:p>
        </w:tc>
        <w:tc>
          <w:tcPr>
            <w:tcW w:w="26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9,606,875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Language Line, LLC</w:t>
            </w:r>
          </w:p>
        </w:tc>
        <w:tc>
          <w:tcPr>
            <w:tcW w:w="98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12/20/2016</w:t>
            </w:r>
          </w:p>
        </w:tc>
        <w:tc>
          <w:tcPr>
            <w:tcW w:w="154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89"/>
              </w:rPr>
              <w:t>Personal, Food and</w:t>
            </w:r>
          </w:p>
        </w:tc>
        <w:tc>
          <w:tcPr>
            <w:tcW w:w="108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10.50%</w:t>
            </w:r>
          </w:p>
        </w:tc>
        <w:tc>
          <w:tcPr>
            <w:tcW w:w="1040" w:type="dxa"/>
            <w:vAlign w:val="bottom"/>
            <w:gridSpan w:val="2"/>
            <w:shd w:val="clear" w:color="auto" w:fill="CCEEFF"/>
          </w:tcPr>
          <w:p>
            <w:pPr>
              <w:jc w:val="right"/>
              <w:ind w:right="360"/>
              <w:spacing w:after="0" w:line="130" w:lineRule="exact"/>
              <w:rPr>
                <w:sz w:val="20"/>
                <w:szCs w:val="20"/>
                <w:color w:val="auto"/>
              </w:rPr>
            </w:pPr>
            <w:r>
              <w:rPr>
                <w:rFonts w:ascii="Arial" w:cs="Arial" w:eastAsia="Arial" w:hAnsi="Arial"/>
                <w:sz w:val="14"/>
                <w:szCs w:val="14"/>
                <w:color w:val="auto"/>
              </w:rPr>
              <w:t>L+875</w:t>
            </w:r>
          </w:p>
        </w:tc>
        <w:tc>
          <w:tcPr>
            <w:tcW w:w="1040" w:type="dxa"/>
            <w:vAlign w:val="bottom"/>
            <w:gridSpan w:val="2"/>
            <w:shd w:val="clear" w:color="auto" w:fill="CCEEFF"/>
          </w:tcPr>
          <w:p>
            <w:pPr>
              <w:jc w:val="right"/>
              <w:ind w:right="340"/>
              <w:spacing w:after="0" w:line="130" w:lineRule="exact"/>
              <w:rPr>
                <w:sz w:val="20"/>
                <w:szCs w:val="20"/>
                <w:color w:val="auto"/>
              </w:rPr>
            </w:pPr>
            <w:r>
              <w:rPr>
                <w:rFonts w:ascii="Arial" w:cs="Arial" w:eastAsia="Arial" w:hAnsi="Arial"/>
                <w:sz w:val="14"/>
                <w:szCs w:val="14"/>
                <w:color w:val="auto"/>
                <w:w w:val="96"/>
              </w:rPr>
              <w:t>33,750,000</w:t>
            </w:r>
          </w:p>
        </w:tc>
        <w:tc>
          <w:tcPr>
            <w:tcW w:w="9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33,356,570</w:t>
            </w:r>
          </w:p>
        </w:tc>
        <w:tc>
          <w:tcPr>
            <w:tcW w:w="26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33,555,937</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7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92"/>
              </w:rPr>
              <w:t>Miscellaneous Services</w:t>
            </w:r>
          </w:p>
        </w:tc>
        <w:tc>
          <w:tcPr>
            <w:tcW w:w="6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Linc USA GP and Linc Energy Finance (USA), Inc.</w:t>
            </w:r>
            <w:r>
              <w:rPr>
                <w:rFonts w:ascii="Arial" w:cs="Arial" w:eastAsia="Arial" w:hAnsi="Arial"/>
                <w:sz w:val="12"/>
                <w:szCs w:val="12"/>
                <w:color w:val="auto"/>
              </w:rPr>
              <w:t>(5)</w:t>
            </w:r>
          </w:p>
        </w:tc>
        <w:tc>
          <w:tcPr>
            <w:tcW w:w="9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10/31/2017</w:t>
            </w:r>
          </w:p>
        </w:tc>
        <w:tc>
          <w:tcPr>
            <w:tcW w:w="15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1"/>
              </w:rPr>
              <w:t>Oil and Gas</w:t>
            </w: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12.50%</w:t>
            </w:r>
          </w:p>
        </w:tc>
        <w:tc>
          <w:tcPr>
            <w:tcW w:w="10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6"/>
              </w:rPr>
              <w:t>11,875,000</w:t>
            </w:r>
          </w:p>
        </w:tc>
        <w:tc>
          <w:tcPr>
            <w:tcW w:w="11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11,570,211</w:t>
            </w: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13,359,375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New Gulf Resources, LLC</w:t>
            </w:r>
            <w:r>
              <w:rPr>
                <w:rFonts w:ascii="Arial" w:cs="Arial" w:eastAsia="Arial" w:hAnsi="Arial"/>
                <w:sz w:val="12"/>
                <w:szCs w:val="12"/>
                <w:color w:val="auto"/>
              </w:rPr>
              <w:t>(5)</w:t>
            </w:r>
          </w:p>
        </w:tc>
        <w:tc>
          <w:tcPr>
            <w:tcW w:w="9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05/15/2019</w:t>
            </w:r>
          </w:p>
        </w:tc>
        <w:tc>
          <w:tcPr>
            <w:tcW w:w="154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1"/>
              </w:rPr>
              <w:t>Oil and Gas</w:t>
            </w: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11.75%</w:t>
            </w:r>
          </w:p>
        </w:tc>
        <w:tc>
          <w:tcPr>
            <w:tcW w:w="10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6"/>
              </w:rPr>
              <w:t>45,000,000</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44,595,002</w:t>
            </w: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45,000,000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Penton Media, Inc.</w:t>
            </w:r>
          </w:p>
        </w:tc>
        <w:tc>
          <w:tcPr>
            <w:tcW w:w="9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10/02/2020</w:t>
            </w:r>
          </w:p>
        </w:tc>
        <w:tc>
          <w:tcPr>
            <w:tcW w:w="15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4"/>
              </w:rPr>
              <w:t>Media</w:t>
            </w: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9.00%</w:t>
            </w:r>
          </w:p>
        </w:tc>
        <w:tc>
          <w:tcPr>
            <w:tcW w:w="10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L+775</w:t>
            </w:r>
          </w:p>
        </w:tc>
        <w:tc>
          <w:tcPr>
            <w:tcW w:w="10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6"/>
              </w:rPr>
              <w:t>21,000,000</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20,724,103</w:t>
            </w:r>
          </w:p>
        </w:tc>
        <w:tc>
          <w:tcPr>
            <w:tcW w:w="26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21,140,070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Pre-Paid Legal Services, Inc.</w:t>
            </w:r>
          </w:p>
        </w:tc>
        <w:tc>
          <w:tcPr>
            <w:tcW w:w="98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07/01/2020</w:t>
            </w:r>
          </w:p>
        </w:tc>
        <w:tc>
          <w:tcPr>
            <w:tcW w:w="154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89"/>
              </w:rPr>
              <w:t>Personal, Food and</w:t>
            </w:r>
          </w:p>
        </w:tc>
        <w:tc>
          <w:tcPr>
            <w:tcW w:w="108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9.75%</w:t>
            </w:r>
          </w:p>
        </w:tc>
        <w:tc>
          <w:tcPr>
            <w:tcW w:w="1040" w:type="dxa"/>
            <w:vAlign w:val="bottom"/>
            <w:gridSpan w:val="2"/>
            <w:shd w:val="clear" w:color="auto" w:fill="CCEEFF"/>
          </w:tcPr>
          <w:p>
            <w:pPr>
              <w:jc w:val="right"/>
              <w:ind w:right="360"/>
              <w:spacing w:after="0" w:line="130" w:lineRule="exact"/>
              <w:rPr>
                <w:sz w:val="20"/>
                <w:szCs w:val="20"/>
                <w:color w:val="auto"/>
              </w:rPr>
            </w:pPr>
            <w:r>
              <w:rPr>
                <w:rFonts w:ascii="Arial" w:cs="Arial" w:eastAsia="Arial" w:hAnsi="Arial"/>
                <w:sz w:val="14"/>
                <w:szCs w:val="14"/>
                <w:color w:val="auto"/>
              </w:rPr>
              <w:t>L+850</w:t>
            </w:r>
          </w:p>
        </w:tc>
        <w:tc>
          <w:tcPr>
            <w:tcW w:w="1040" w:type="dxa"/>
            <w:vAlign w:val="bottom"/>
            <w:gridSpan w:val="2"/>
            <w:shd w:val="clear" w:color="auto" w:fill="CCEEFF"/>
          </w:tcPr>
          <w:p>
            <w:pPr>
              <w:jc w:val="right"/>
              <w:ind w:right="340"/>
              <w:spacing w:after="0" w:line="130" w:lineRule="exact"/>
              <w:rPr>
                <w:sz w:val="20"/>
                <w:szCs w:val="20"/>
                <w:color w:val="auto"/>
              </w:rPr>
            </w:pPr>
            <w:r>
              <w:rPr>
                <w:rFonts w:ascii="Arial" w:cs="Arial" w:eastAsia="Arial" w:hAnsi="Arial"/>
                <w:sz w:val="14"/>
                <w:szCs w:val="14"/>
                <w:color w:val="auto"/>
                <w:w w:val="96"/>
              </w:rPr>
              <w:t>56,750,000</w:t>
            </w:r>
          </w:p>
        </w:tc>
        <w:tc>
          <w:tcPr>
            <w:tcW w:w="9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55,992,623</w:t>
            </w:r>
          </w:p>
        </w:tc>
        <w:tc>
          <w:tcPr>
            <w:tcW w:w="26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57,814,062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7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92"/>
              </w:rPr>
              <w:t>Miscellaneous Services</w:t>
            </w:r>
          </w:p>
        </w:tc>
        <w:tc>
          <w:tcPr>
            <w:tcW w:w="6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Questex Media Group LLC, Term Loan A</w:t>
            </w:r>
          </w:p>
        </w:tc>
        <w:tc>
          <w:tcPr>
            <w:tcW w:w="9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12/15/2014</w:t>
            </w:r>
          </w:p>
        </w:tc>
        <w:tc>
          <w:tcPr>
            <w:tcW w:w="15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Other Media</w:t>
            </w: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9.50%</w:t>
            </w:r>
          </w:p>
        </w:tc>
        <w:tc>
          <w:tcPr>
            <w:tcW w:w="10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P+550</w:t>
            </w:r>
          </w:p>
        </w:tc>
        <w:tc>
          <w:tcPr>
            <w:tcW w:w="10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2,179,297</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2,179,297</w:t>
            </w:r>
          </w:p>
        </w:tc>
        <w:tc>
          <w:tcPr>
            <w:tcW w:w="26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2,179,297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Questex Media Group LLC, Term Loan B</w:t>
            </w:r>
          </w:p>
        </w:tc>
        <w:tc>
          <w:tcPr>
            <w:tcW w:w="98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12/15/2015</w:t>
            </w:r>
          </w:p>
        </w:tc>
        <w:tc>
          <w:tcPr>
            <w:tcW w:w="154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6"/>
              </w:rPr>
              <w:t>Other Media</w:t>
            </w:r>
          </w:p>
        </w:tc>
        <w:tc>
          <w:tcPr>
            <w:tcW w:w="108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11.50%</w:t>
            </w:r>
          </w:p>
        </w:tc>
        <w:tc>
          <w:tcPr>
            <w:tcW w:w="1040" w:type="dxa"/>
            <w:vAlign w:val="bottom"/>
            <w:gridSpan w:val="2"/>
            <w:shd w:val="clear" w:color="auto" w:fill="CCEEFF"/>
          </w:tcPr>
          <w:p>
            <w:pPr>
              <w:jc w:val="right"/>
              <w:ind w:right="360"/>
              <w:spacing w:after="0" w:line="130" w:lineRule="exact"/>
              <w:rPr>
                <w:sz w:val="20"/>
                <w:szCs w:val="20"/>
                <w:color w:val="auto"/>
              </w:rPr>
            </w:pPr>
            <w:r>
              <w:rPr>
                <w:rFonts w:ascii="Arial" w:cs="Arial" w:eastAsia="Arial" w:hAnsi="Arial"/>
                <w:sz w:val="14"/>
                <w:szCs w:val="14"/>
                <w:color w:val="auto"/>
              </w:rPr>
              <w:t>P+750</w:t>
            </w:r>
          </w:p>
        </w:tc>
        <w:tc>
          <w:tcPr>
            <w:tcW w:w="1040" w:type="dxa"/>
            <w:vAlign w:val="bottom"/>
            <w:gridSpan w:val="2"/>
            <w:shd w:val="clear" w:color="auto" w:fill="CCEEFF"/>
          </w:tcPr>
          <w:p>
            <w:pPr>
              <w:jc w:val="right"/>
              <w:ind w:right="340"/>
              <w:spacing w:after="0" w:line="130" w:lineRule="exact"/>
              <w:rPr>
                <w:sz w:val="20"/>
                <w:szCs w:val="20"/>
                <w:color w:val="auto"/>
              </w:rPr>
            </w:pPr>
            <w:r>
              <w:rPr>
                <w:rFonts w:ascii="Arial" w:cs="Arial" w:eastAsia="Arial" w:hAnsi="Arial"/>
                <w:sz w:val="14"/>
                <w:szCs w:val="14"/>
                <w:color w:val="auto"/>
              </w:rPr>
              <w:t>2,725,980</w:t>
            </w:r>
          </w:p>
        </w:tc>
        <w:tc>
          <w:tcPr>
            <w:tcW w:w="9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2,725,980</w:t>
            </w:r>
          </w:p>
        </w:tc>
        <w:tc>
          <w:tcPr>
            <w:tcW w:w="26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2,725,980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7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8"/>
              </w:rPr>
              <w:t>(PIK 11.50%)</w:t>
            </w:r>
          </w:p>
        </w:tc>
        <w:tc>
          <w:tcPr>
            <w:tcW w:w="6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5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Second Lien Secured Debt</w:t>
            </w: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466,133,609</w:t>
            </w:r>
          </w:p>
        </w:tc>
        <w:tc>
          <w:tcPr>
            <w:tcW w:w="260" w:type="dxa"/>
            <w:vAlign w:val="bottom"/>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476,983,283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S-44</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Basis Point</w:t>
            </w: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Maturity/</w:t>
            </w: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Current</w:t>
            </w: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Spread</w:t>
            </w:r>
          </w:p>
        </w:tc>
        <w:tc>
          <w:tcPr>
            <w:tcW w:w="102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Par/</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Issuer Name</w:t>
            </w:r>
          </w:p>
        </w:tc>
        <w:tc>
          <w:tcPr>
            <w:tcW w:w="960" w:type="dxa"/>
            <w:vAlign w:val="bottom"/>
            <w:gridSpan w:val="2"/>
            <w:vMerge w:val="continue"/>
          </w:tcPr>
          <w:p>
            <w:pPr>
              <w:spacing w:after="0"/>
              <w:rPr>
                <w:sz w:val="12"/>
                <w:szCs w:val="12"/>
                <w:color w:val="auto"/>
              </w:rPr>
            </w:pPr>
          </w:p>
        </w:tc>
        <w:tc>
          <w:tcPr>
            <w:tcW w:w="14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7"/>
              </w:rPr>
              <w:t>Industry</w:t>
            </w:r>
          </w:p>
        </w:tc>
        <w:tc>
          <w:tcPr>
            <w:tcW w:w="1180" w:type="dxa"/>
            <w:vAlign w:val="bottom"/>
            <w:gridSpan w:val="2"/>
            <w:vMerge w:val="continue"/>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Above</w:t>
            </w:r>
          </w:p>
        </w:tc>
        <w:tc>
          <w:tcPr>
            <w:tcW w:w="10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2"/>
                <w:szCs w:val="12"/>
                <w:color w:val="auto"/>
              </w:rPr>
            </w:pPr>
          </w:p>
        </w:tc>
        <w:tc>
          <w:tcPr>
            <w:tcW w:w="106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2"/>
                <w:szCs w:val="12"/>
                <w:b w:val="1"/>
                <w:bCs w:val="1"/>
                <w:color w:val="auto"/>
              </w:rPr>
              <w:t>(3)</w:t>
            </w:r>
          </w:p>
        </w:tc>
        <w:tc>
          <w:tcPr>
            <w:tcW w:w="0" w:type="dxa"/>
            <w:vAlign w:val="bottom"/>
          </w:tcPr>
          <w:p>
            <w:pPr>
              <w:spacing w:after="0"/>
              <w:rPr>
                <w:sz w:val="1"/>
                <w:szCs w:val="1"/>
                <w:color w:val="auto"/>
              </w:rPr>
            </w:pPr>
          </w:p>
        </w:tc>
      </w:tr>
      <w:tr>
        <w:trPr>
          <w:trHeight w:val="171"/>
        </w:trPr>
        <w:tc>
          <w:tcPr>
            <w:tcW w:w="3580" w:type="dxa"/>
            <w:vAlign w:val="bottom"/>
            <w:gridSpan w:val="3"/>
            <w:vMerge w:val="continue"/>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Expiration</w:t>
            </w:r>
          </w:p>
        </w:tc>
        <w:tc>
          <w:tcPr>
            <w:tcW w:w="1460" w:type="dxa"/>
            <w:vAlign w:val="bottom"/>
            <w:gridSpan w:val="2"/>
            <w:vMerge w:val="continue"/>
          </w:tcPr>
          <w:p>
            <w:pPr>
              <w:spacing w:after="0"/>
              <w:rPr>
                <w:sz w:val="14"/>
                <w:szCs w:val="14"/>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Coupon</w:t>
            </w: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Index</w:t>
            </w:r>
            <w:r>
              <w:rPr>
                <w:rFonts w:ascii="Arial" w:cs="Arial" w:eastAsia="Arial" w:hAnsi="Arial"/>
                <w:sz w:val="12"/>
                <w:szCs w:val="12"/>
                <w:b w:val="1"/>
                <w:bCs w:val="1"/>
                <w:color w:val="auto"/>
                <w:w w:val="97"/>
              </w:rPr>
              <w:t>(4)</w:t>
            </w:r>
          </w:p>
        </w:tc>
        <w:tc>
          <w:tcPr>
            <w:tcW w:w="10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6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81"/>
              </w:rPr>
              <w:t>Subordinated</w:t>
            </w:r>
          </w:p>
        </w:tc>
        <w:tc>
          <w:tcPr>
            <w:tcW w:w="2800" w:type="dxa"/>
            <w:vAlign w:val="bottom"/>
            <w:tcBorders>
              <w:top w:val="single" w:sz="8" w:color="CCEEFF"/>
            </w:tcBorders>
            <w:shd w:val="clear" w:color="auto" w:fill="CCEEFF"/>
          </w:tcPr>
          <w:p>
            <w:pPr>
              <w:ind w:left="100"/>
              <w:spacing w:after="0" w:line="129" w:lineRule="exact"/>
              <w:rPr>
                <w:sz w:val="20"/>
                <w:szCs w:val="20"/>
                <w:color w:val="auto"/>
              </w:rPr>
            </w:pPr>
            <w:r>
              <w:rPr>
                <w:rFonts w:ascii="Arial" w:cs="Arial" w:eastAsia="Arial" w:hAnsi="Arial"/>
                <w:sz w:val="14"/>
                <w:szCs w:val="14"/>
                <w:b w:val="1"/>
                <w:bCs w:val="1"/>
                <w:color w:val="auto"/>
              </w:rPr>
              <w:t>Debt/Corporate Notes—31.9%</w:t>
            </w:r>
          </w:p>
        </w:tc>
        <w:tc>
          <w:tcPr>
            <w:tcW w:w="70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2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2"/>
          </w:tcPr>
          <w:p>
            <w:pPr>
              <w:spacing w:after="0" w:line="149" w:lineRule="exact"/>
              <w:rPr>
                <w:sz w:val="20"/>
                <w:szCs w:val="20"/>
                <w:color w:val="auto"/>
              </w:rPr>
            </w:pPr>
            <w:r>
              <w:rPr>
                <w:rFonts w:ascii="Arial" w:cs="Arial" w:eastAsia="Arial" w:hAnsi="Arial"/>
                <w:sz w:val="14"/>
                <w:szCs w:val="14"/>
                <w:color w:val="auto"/>
              </w:rPr>
              <w:t>Acentia, LLC</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6"/>
              </w:rPr>
              <w:t>10/02/2017</w:t>
            </w:r>
          </w:p>
        </w:tc>
        <w:tc>
          <w:tcPr>
            <w:tcW w:w="146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3"/>
              </w:rPr>
              <w:t>Electronics</w:t>
            </w:r>
          </w:p>
        </w:tc>
        <w:tc>
          <w:tcPr>
            <w:tcW w:w="11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14.00%</w:t>
            </w:r>
          </w:p>
        </w:tc>
        <w:tc>
          <w:tcPr>
            <w:tcW w:w="9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4"/>
              </w:rPr>
              <w:t>19,000,000</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18,677,529</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18,236,200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Affinion Group Holdings, Inc.</w:t>
            </w:r>
            <w:r>
              <w:rPr>
                <w:rFonts w:ascii="Arial" w:cs="Arial" w:eastAsia="Arial" w:hAnsi="Arial"/>
                <w:sz w:val="12"/>
                <w:szCs w:val="12"/>
                <w:color w:val="auto"/>
              </w:rPr>
              <w:t>(5)</w:t>
            </w:r>
          </w:p>
        </w:tc>
        <w:tc>
          <w:tcPr>
            <w:tcW w:w="96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w w:val="96"/>
              </w:rPr>
              <w:t>09/14/2018</w:t>
            </w:r>
          </w:p>
        </w:tc>
        <w:tc>
          <w:tcPr>
            <w:tcW w:w="146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2"/>
              </w:rPr>
              <w:t>Consumer Products</w:t>
            </w:r>
          </w:p>
        </w:tc>
        <w:tc>
          <w:tcPr>
            <w:tcW w:w="1180" w:type="dxa"/>
            <w:vAlign w:val="bottom"/>
            <w:gridSpan w:val="2"/>
            <w:shd w:val="clear" w:color="auto" w:fill="CCEEFF"/>
          </w:tcPr>
          <w:p>
            <w:pPr>
              <w:jc w:val="right"/>
              <w:ind w:right="360"/>
              <w:spacing w:after="0" w:line="130" w:lineRule="exact"/>
              <w:rPr>
                <w:sz w:val="20"/>
                <w:szCs w:val="20"/>
                <w:color w:val="auto"/>
              </w:rPr>
            </w:pPr>
            <w:r>
              <w:rPr>
                <w:rFonts w:ascii="Arial" w:cs="Arial" w:eastAsia="Arial" w:hAnsi="Arial"/>
                <w:sz w:val="14"/>
                <w:szCs w:val="14"/>
                <w:color w:val="auto"/>
              </w:rPr>
              <w:t>14.50%</w:t>
            </w:r>
          </w:p>
        </w:tc>
        <w:tc>
          <w:tcPr>
            <w:tcW w:w="96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40"/>
              <w:spacing w:after="0" w:line="130" w:lineRule="exact"/>
              <w:rPr>
                <w:sz w:val="20"/>
                <w:szCs w:val="20"/>
                <w:color w:val="auto"/>
              </w:rPr>
            </w:pPr>
            <w:r>
              <w:rPr>
                <w:rFonts w:ascii="Arial" w:cs="Arial" w:eastAsia="Arial" w:hAnsi="Arial"/>
                <w:sz w:val="14"/>
                <w:szCs w:val="14"/>
                <w:color w:val="auto"/>
                <w:w w:val="94"/>
              </w:rPr>
              <w:t>32,418,500</w:t>
            </w:r>
          </w:p>
        </w:tc>
        <w:tc>
          <w:tcPr>
            <w:tcW w:w="14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27,703,556</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32,094,315</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8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(PIK 14.50%)</w:t>
            </w:r>
          </w:p>
        </w:tc>
        <w:tc>
          <w:tcPr>
            <w:tcW w:w="6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2"/>
          </w:tcPr>
          <w:p>
            <w:pPr>
              <w:spacing w:after="0" w:line="149" w:lineRule="exact"/>
              <w:rPr>
                <w:sz w:val="20"/>
                <w:szCs w:val="20"/>
                <w:color w:val="auto"/>
              </w:rPr>
            </w:pPr>
            <w:r>
              <w:rPr>
                <w:rFonts w:ascii="Arial" w:cs="Arial" w:eastAsia="Arial" w:hAnsi="Arial"/>
                <w:sz w:val="14"/>
                <w:szCs w:val="14"/>
                <w:color w:val="auto"/>
              </w:rPr>
              <w:t>Affinion Investments LLC</w:t>
            </w:r>
            <w:r>
              <w:rPr>
                <w:rFonts w:ascii="Arial" w:cs="Arial" w:eastAsia="Arial" w:hAnsi="Arial"/>
                <w:sz w:val="12"/>
                <w:szCs w:val="12"/>
                <w:color w:val="auto"/>
              </w:rPr>
              <w:t>(5)</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6"/>
              </w:rPr>
              <w:t>08/15/2018</w:t>
            </w:r>
          </w:p>
        </w:tc>
        <w:tc>
          <w:tcPr>
            <w:tcW w:w="14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2"/>
              </w:rPr>
              <w:t>Consumer Products</w:t>
            </w:r>
          </w:p>
        </w:tc>
        <w:tc>
          <w:tcPr>
            <w:tcW w:w="11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13.50%</w:t>
            </w:r>
          </w:p>
        </w:tc>
        <w:tc>
          <w:tcPr>
            <w:tcW w:w="9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4"/>
              </w:rPr>
              <w:t>15,096,000</w:t>
            </w:r>
          </w:p>
        </w:tc>
        <w:tc>
          <w:tcPr>
            <w:tcW w:w="14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15,096,000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15,699,840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Alegeus Technologies, LLC</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6"/>
              </w:rPr>
              <w:t>02/15/2019</w:t>
            </w:r>
          </w:p>
        </w:tc>
        <w:tc>
          <w:tcPr>
            <w:tcW w:w="146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3"/>
              </w:rPr>
              <w:t>Financial Services</w:t>
            </w:r>
          </w:p>
        </w:tc>
        <w:tc>
          <w:tcPr>
            <w:tcW w:w="11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12.00%</w:t>
            </w:r>
          </w:p>
        </w:tc>
        <w:tc>
          <w:tcPr>
            <w:tcW w:w="9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8,930,000</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8,787,424</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7,842,939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60" w:type="dxa"/>
            <w:vAlign w:val="bottom"/>
            <w:gridSpan w:val="2"/>
          </w:tcPr>
          <w:p>
            <w:pPr>
              <w:spacing w:after="0" w:line="130" w:lineRule="exact"/>
              <w:rPr>
                <w:sz w:val="20"/>
                <w:szCs w:val="20"/>
                <w:color w:val="auto"/>
              </w:rPr>
            </w:pPr>
            <w:r>
              <w:rPr>
                <w:rFonts w:ascii="Arial" w:cs="Arial" w:eastAsia="Arial" w:hAnsi="Arial"/>
                <w:sz w:val="14"/>
                <w:szCs w:val="14"/>
                <w:color w:val="auto"/>
              </w:rPr>
              <w:t>Convergint Technologies LLC</w:t>
            </w:r>
          </w:p>
        </w:tc>
        <w:tc>
          <w:tcPr>
            <w:tcW w:w="960" w:type="dxa"/>
            <w:vAlign w:val="bottom"/>
            <w:gridSpan w:val="2"/>
          </w:tcPr>
          <w:p>
            <w:pPr>
              <w:jc w:val="right"/>
              <w:ind w:right="260"/>
              <w:spacing w:after="0" w:line="130" w:lineRule="exact"/>
              <w:rPr>
                <w:sz w:val="20"/>
                <w:szCs w:val="20"/>
                <w:color w:val="auto"/>
              </w:rPr>
            </w:pPr>
            <w:r>
              <w:rPr>
                <w:rFonts w:ascii="Arial" w:cs="Arial" w:eastAsia="Arial" w:hAnsi="Arial"/>
                <w:sz w:val="14"/>
                <w:szCs w:val="14"/>
                <w:color w:val="auto"/>
                <w:w w:val="96"/>
              </w:rPr>
              <w:t>03/26/2018</w:t>
            </w:r>
          </w:p>
        </w:tc>
        <w:tc>
          <w:tcPr>
            <w:tcW w:w="1460" w:type="dxa"/>
            <w:vAlign w:val="bottom"/>
            <w:gridSpan w:val="2"/>
          </w:tcPr>
          <w:p>
            <w:pPr>
              <w:jc w:val="center"/>
              <w:ind w:right="180"/>
              <w:spacing w:after="0" w:line="130" w:lineRule="exact"/>
              <w:rPr>
                <w:sz w:val="20"/>
                <w:szCs w:val="20"/>
                <w:color w:val="auto"/>
              </w:rPr>
            </w:pPr>
            <w:r>
              <w:rPr>
                <w:rFonts w:ascii="Arial" w:cs="Arial" w:eastAsia="Arial" w:hAnsi="Arial"/>
                <w:sz w:val="14"/>
                <w:szCs w:val="14"/>
                <w:color w:val="auto"/>
                <w:w w:val="93"/>
              </w:rPr>
              <w:t>Electronics</w:t>
            </w:r>
          </w:p>
        </w:tc>
        <w:tc>
          <w:tcPr>
            <w:tcW w:w="1180" w:type="dxa"/>
            <w:vAlign w:val="bottom"/>
            <w:gridSpan w:val="2"/>
          </w:tcPr>
          <w:p>
            <w:pPr>
              <w:jc w:val="right"/>
              <w:ind w:right="360"/>
              <w:spacing w:after="0" w:line="130" w:lineRule="exact"/>
              <w:rPr>
                <w:sz w:val="20"/>
                <w:szCs w:val="20"/>
                <w:color w:val="auto"/>
              </w:rPr>
            </w:pPr>
            <w:r>
              <w:rPr>
                <w:rFonts w:ascii="Arial" w:cs="Arial" w:eastAsia="Arial" w:hAnsi="Arial"/>
                <w:sz w:val="14"/>
                <w:szCs w:val="14"/>
                <w:color w:val="auto"/>
              </w:rPr>
              <w:t>12.00%</w:t>
            </w:r>
          </w:p>
        </w:tc>
        <w:tc>
          <w:tcPr>
            <w:tcW w:w="96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40"/>
              <w:spacing w:after="0" w:line="130" w:lineRule="exact"/>
              <w:rPr>
                <w:sz w:val="20"/>
                <w:szCs w:val="20"/>
                <w:color w:val="auto"/>
              </w:rPr>
            </w:pPr>
            <w:r>
              <w:rPr>
                <w:rFonts w:ascii="Arial" w:cs="Arial" w:eastAsia="Arial" w:hAnsi="Arial"/>
                <w:sz w:val="14"/>
                <w:szCs w:val="14"/>
                <w:color w:val="auto"/>
                <w:w w:val="94"/>
              </w:rPr>
              <w:t>23,693,263</w:t>
            </w:r>
          </w:p>
        </w:tc>
        <w:tc>
          <w:tcPr>
            <w:tcW w:w="140" w:type="dxa"/>
            <w:vAlign w:val="bottom"/>
          </w:tcPr>
          <w:p>
            <w:pPr>
              <w:spacing w:after="0"/>
              <w:rPr>
                <w:sz w:val="11"/>
                <w:szCs w:val="11"/>
                <w:color w:val="auto"/>
              </w:rPr>
            </w:pPr>
          </w:p>
        </w:tc>
        <w:tc>
          <w:tcPr>
            <w:tcW w:w="92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23,349,576</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23,930,196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4"/>
                <w:szCs w:val="14"/>
                <w:color w:val="auto"/>
              </w:rPr>
              <w:t>(PIK 1.00%)</w:t>
            </w: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Credit Infonet, Inc.</w:t>
            </w:r>
          </w:p>
        </w:tc>
        <w:tc>
          <w:tcPr>
            <w:tcW w:w="96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w w:val="96"/>
              </w:rPr>
              <w:t>10/26/2018</w:t>
            </w:r>
          </w:p>
        </w:tc>
        <w:tc>
          <w:tcPr>
            <w:tcW w:w="146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89"/>
              </w:rPr>
              <w:t>Personal, Food and</w:t>
            </w:r>
          </w:p>
        </w:tc>
        <w:tc>
          <w:tcPr>
            <w:tcW w:w="1180" w:type="dxa"/>
            <w:vAlign w:val="bottom"/>
            <w:gridSpan w:val="2"/>
            <w:shd w:val="clear" w:color="auto" w:fill="CCEEFF"/>
          </w:tcPr>
          <w:p>
            <w:pPr>
              <w:jc w:val="right"/>
              <w:ind w:right="360"/>
              <w:spacing w:after="0" w:line="130" w:lineRule="exact"/>
              <w:rPr>
                <w:sz w:val="20"/>
                <w:szCs w:val="20"/>
                <w:color w:val="auto"/>
              </w:rPr>
            </w:pPr>
            <w:r>
              <w:rPr>
                <w:rFonts w:ascii="Arial" w:cs="Arial" w:eastAsia="Arial" w:hAnsi="Arial"/>
                <w:sz w:val="14"/>
                <w:szCs w:val="14"/>
                <w:color w:val="auto"/>
              </w:rPr>
              <w:t>12.25%</w:t>
            </w:r>
          </w:p>
        </w:tc>
        <w:tc>
          <w:tcPr>
            <w:tcW w:w="96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40"/>
              <w:spacing w:after="0" w:line="130" w:lineRule="exact"/>
              <w:rPr>
                <w:sz w:val="20"/>
                <w:szCs w:val="20"/>
                <w:color w:val="auto"/>
              </w:rPr>
            </w:pPr>
            <w:r>
              <w:rPr>
                <w:rFonts w:ascii="Arial" w:cs="Arial" w:eastAsia="Arial" w:hAnsi="Arial"/>
                <w:sz w:val="14"/>
                <w:szCs w:val="14"/>
                <w:color w:val="auto"/>
                <w:w w:val="94"/>
              </w:rPr>
              <w:t>10,600,000</w:t>
            </w:r>
          </w:p>
        </w:tc>
        <w:tc>
          <w:tcPr>
            <w:tcW w:w="14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10,421,429</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10,311,509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8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2"/>
              </w:rPr>
              <w:t>Miscellaneous</w:t>
            </w:r>
          </w:p>
        </w:tc>
        <w:tc>
          <w:tcPr>
            <w:tcW w:w="7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8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89"/>
              </w:rPr>
              <w:t>Services</w:t>
            </w:r>
          </w:p>
        </w:tc>
        <w:tc>
          <w:tcPr>
            <w:tcW w:w="7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60" w:type="dxa"/>
            <w:vAlign w:val="bottom"/>
            <w:gridSpan w:val="2"/>
          </w:tcPr>
          <w:p>
            <w:pPr>
              <w:spacing w:after="0" w:line="130" w:lineRule="exact"/>
              <w:rPr>
                <w:sz w:val="20"/>
                <w:szCs w:val="20"/>
                <w:color w:val="auto"/>
              </w:rPr>
            </w:pPr>
            <w:r>
              <w:rPr>
                <w:rFonts w:ascii="Arial" w:cs="Arial" w:eastAsia="Arial" w:hAnsi="Arial"/>
                <w:sz w:val="14"/>
                <w:szCs w:val="14"/>
                <w:color w:val="auto"/>
              </w:rPr>
              <w:t>JF Acquisition, LLC</w:t>
            </w:r>
          </w:p>
        </w:tc>
        <w:tc>
          <w:tcPr>
            <w:tcW w:w="960" w:type="dxa"/>
            <w:vAlign w:val="bottom"/>
            <w:gridSpan w:val="2"/>
          </w:tcPr>
          <w:p>
            <w:pPr>
              <w:jc w:val="right"/>
              <w:ind w:right="260"/>
              <w:spacing w:after="0" w:line="130" w:lineRule="exact"/>
              <w:rPr>
                <w:sz w:val="20"/>
                <w:szCs w:val="20"/>
                <w:color w:val="auto"/>
              </w:rPr>
            </w:pPr>
            <w:r>
              <w:rPr>
                <w:rFonts w:ascii="Arial" w:cs="Arial" w:eastAsia="Arial" w:hAnsi="Arial"/>
                <w:sz w:val="14"/>
                <w:szCs w:val="14"/>
                <w:color w:val="auto"/>
                <w:w w:val="96"/>
              </w:rPr>
              <w:t>06/30/2017</w:t>
            </w:r>
          </w:p>
        </w:tc>
        <w:tc>
          <w:tcPr>
            <w:tcW w:w="1460" w:type="dxa"/>
            <w:vAlign w:val="bottom"/>
            <w:gridSpan w:val="2"/>
          </w:tcPr>
          <w:p>
            <w:pPr>
              <w:jc w:val="center"/>
              <w:ind w:right="200"/>
              <w:spacing w:after="0" w:line="130" w:lineRule="exact"/>
              <w:rPr>
                <w:sz w:val="20"/>
                <w:szCs w:val="20"/>
                <w:color w:val="auto"/>
              </w:rPr>
            </w:pPr>
            <w:r>
              <w:rPr>
                <w:rFonts w:ascii="Arial" w:cs="Arial" w:eastAsia="Arial" w:hAnsi="Arial"/>
                <w:sz w:val="14"/>
                <w:szCs w:val="14"/>
                <w:color w:val="auto"/>
                <w:w w:val="99"/>
              </w:rPr>
              <w:t>Distribution</w:t>
            </w:r>
          </w:p>
        </w:tc>
        <w:tc>
          <w:tcPr>
            <w:tcW w:w="1180" w:type="dxa"/>
            <w:vAlign w:val="bottom"/>
            <w:gridSpan w:val="2"/>
          </w:tcPr>
          <w:p>
            <w:pPr>
              <w:jc w:val="right"/>
              <w:ind w:right="360"/>
              <w:spacing w:after="0" w:line="130" w:lineRule="exact"/>
              <w:rPr>
                <w:sz w:val="20"/>
                <w:szCs w:val="20"/>
                <w:color w:val="auto"/>
              </w:rPr>
            </w:pPr>
            <w:r>
              <w:rPr>
                <w:rFonts w:ascii="Arial" w:cs="Arial" w:eastAsia="Arial" w:hAnsi="Arial"/>
                <w:sz w:val="14"/>
                <w:szCs w:val="14"/>
                <w:color w:val="auto"/>
              </w:rPr>
              <w:t>14.00%</w:t>
            </w:r>
          </w:p>
        </w:tc>
        <w:tc>
          <w:tcPr>
            <w:tcW w:w="96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40"/>
              <w:spacing w:after="0" w:line="130" w:lineRule="exact"/>
              <w:rPr>
                <w:sz w:val="20"/>
                <w:szCs w:val="20"/>
                <w:color w:val="auto"/>
              </w:rPr>
            </w:pPr>
            <w:r>
              <w:rPr>
                <w:rFonts w:ascii="Arial" w:cs="Arial" w:eastAsia="Arial" w:hAnsi="Arial"/>
                <w:sz w:val="14"/>
                <w:szCs w:val="14"/>
                <w:color w:val="auto"/>
                <w:w w:val="94"/>
              </w:rPr>
              <w:t>19,781,463</w:t>
            </w:r>
          </w:p>
        </w:tc>
        <w:tc>
          <w:tcPr>
            <w:tcW w:w="140" w:type="dxa"/>
            <w:vAlign w:val="bottom"/>
          </w:tcPr>
          <w:p>
            <w:pPr>
              <w:spacing w:after="0"/>
              <w:rPr>
                <w:sz w:val="11"/>
                <w:szCs w:val="11"/>
                <w:color w:val="auto"/>
              </w:rPr>
            </w:pPr>
          </w:p>
        </w:tc>
        <w:tc>
          <w:tcPr>
            <w:tcW w:w="92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19,427,752</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19,781,463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4"/>
                <w:szCs w:val="14"/>
                <w:color w:val="auto"/>
              </w:rPr>
              <w:t>(PIK 2.00%)</w:t>
            </w: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MSPark, Inc.</w:t>
            </w:r>
          </w:p>
        </w:tc>
        <w:tc>
          <w:tcPr>
            <w:tcW w:w="96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w w:val="96"/>
              </w:rPr>
              <w:t>06/15/2017</w:t>
            </w:r>
          </w:p>
        </w:tc>
        <w:tc>
          <w:tcPr>
            <w:tcW w:w="146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3"/>
              </w:rPr>
              <w:t>Printing and</w:t>
            </w:r>
          </w:p>
        </w:tc>
        <w:tc>
          <w:tcPr>
            <w:tcW w:w="118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14.50%</w:t>
            </w:r>
            <w:r>
              <w:rPr>
                <w:rFonts w:ascii="Arial" w:cs="Arial" w:eastAsia="Arial" w:hAnsi="Arial"/>
                <w:sz w:val="12"/>
                <w:szCs w:val="12"/>
                <w:color w:val="auto"/>
              </w:rPr>
              <w:t>(7)</w:t>
            </w:r>
          </w:p>
        </w:tc>
        <w:tc>
          <w:tcPr>
            <w:tcW w:w="96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40"/>
              <w:spacing w:after="0" w:line="130" w:lineRule="exact"/>
              <w:rPr>
                <w:sz w:val="20"/>
                <w:szCs w:val="20"/>
                <w:color w:val="auto"/>
              </w:rPr>
            </w:pPr>
            <w:r>
              <w:rPr>
                <w:rFonts w:ascii="Arial" w:cs="Arial" w:eastAsia="Arial" w:hAnsi="Arial"/>
                <w:sz w:val="14"/>
                <w:szCs w:val="14"/>
                <w:color w:val="auto"/>
                <w:w w:val="94"/>
              </w:rPr>
              <w:t>15,000,000</w:t>
            </w:r>
          </w:p>
        </w:tc>
        <w:tc>
          <w:tcPr>
            <w:tcW w:w="14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14,744,082</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15,000,000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8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95"/>
              </w:rPr>
              <w:t>Publishing</w:t>
            </w:r>
          </w:p>
        </w:tc>
        <w:tc>
          <w:tcPr>
            <w:tcW w:w="7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60" w:type="dxa"/>
            <w:vAlign w:val="bottom"/>
            <w:gridSpan w:val="2"/>
          </w:tcPr>
          <w:p>
            <w:pPr>
              <w:spacing w:after="0" w:line="130" w:lineRule="exact"/>
              <w:rPr>
                <w:sz w:val="20"/>
                <w:szCs w:val="20"/>
                <w:color w:val="auto"/>
              </w:rPr>
            </w:pPr>
            <w:r>
              <w:rPr>
                <w:rFonts w:ascii="Arial" w:cs="Arial" w:eastAsia="Arial" w:hAnsi="Arial"/>
                <w:sz w:val="14"/>
                <w:szCs w:val="14"/>
                <w:color w:val="auto"/>
              </w:rPr>
              <w:t>New Gulf Resources, LLC</w:t>
            </w:r>
            <w:r>
              <w:rPr>
                <w:rFonts w:ascii="Arial" w:cs="Arial" w:eastAsia="Arial" w:hAnsi="Arial"/>
                <w:sz w:val="12"/>
                <w:szCs w:val="12"/>
                <w:color w:val="auto"/>
              </w:rPr>
              <w:t>(5)</w:t>
            </w:r>
          </w:p>
        </w:tc>
        <w:tc>
          <w:tcPr>
            <w:tcW w:w="960" w:type="dxa"/>
            <w:vAlign w:val="bottom"/>
            <w:gridSpan w:val="2"/>
          </w:tcPr>
          <w:p>
            <w:pPr>
              <w:jc w:val="right"/>
              <w:ind w:right="260"/>
              <w:spacing w:after="0" w:line="130" w:lineRule="exact"/>
              <w:rPr>
                <w:sz w:val="20"/>
                <w:szCs w:val="20"/>
                <w:color w:val="auto"/>
              </w:rPr>
            </w:pPr>
            <w:r>
              <w:rPr>
                <w:rFonts w:ascii="Arial" w:cs="Arial" w:eastAsia="Arial" w:hAnsi="Arial"/>
                <w:sz w:val="14"/>
                <w:szCs w:val="14"/>
                <w:color w:val="auto"/>
                <w:w w:val="96"/>
              </w:rPr>
              <w:t>11/15/2019</w:t>
            </w:r>
          </w:p>
        </w:tc>
        <w:tc>
          <w:tcPr>
            <w:tcW w:w="1460" w:type="dxa"/>
            <w:vAlign w:val="bottom"/>
            <w:gridSpan w:val="2"/>
          </w:tcPr>
          <w:p>
            <w:pPr>
              <w:jc w:val="center"/>
              <w:ind w:right="180"/>
              <w:spacing w:after="0" w:line="130" w:lineRule="exact"/>
              <w:rPr>
                <w:sz w:val="20"/>
                <w:szCs w:val="20"/>
                <w:color w:val="auto"/>
              </w:rPr>
            </w:pPr>
            <w:r>
              <w:rPr>
                <w:rFonts w:ascii="Arial" w:cs="Arial" w:eastAsia="Arial" w:hAnsi="Arial"/>
                <w:sz w:val="14"/>
                <w:szCs w:val="14"/>
                <w:color w:val="auto"/>
                <w:w w:val="91"/>
              </w:rPr>
              <w:t>Oil and Gas</w:t>
            </w:r>
          </w:p>
        </w:tc>
        <w:tc>
          <w:tcPr>
            <w:tcW w:w="1180" w:type="dxa"/>
            <w:vAlign w:val="bottom"/>
            <w:gridSpan w:val="2"/>
          </w:tcPr>
          <w:p>
            <w:pPr>
              <w:jc w:val="right"/>
              <w:ind w:right="360"/>
              <w:spacing w:after="0" w:line="130" w:lineRule="exact"/>
              <w:rPr>
                <w:sz w:val="20"/>
                <w:szCs w:val="20"/>
                <w:color w:val="auto"/>
              </w:rPr>
            </w:pPr>
            <w:r>
              <w:rPr>
                <w:rFonts w:ascii="Arial" w:cs="Arial" w:eastAsia="Arial" w:hAnsi="Arial"/>
                <w:sz w:val="14"/>
                <w:szCs w:val="14"/>
                <w:color w:val="auto"/>
              </w:rPr>
              <w:t>12.00%</w:t>
            </w:r>
          </w:p>
        </w:tc>
        <w:tc>
          <w:tcPr>
            <w:tcW w:w="96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40"/>
              <w:spacing w:after="0" w:line="130" w:lineRule="exact"/>
              <w:rPr>
                <w:sz w:val="20"/>
                <w:szCs w:val="20"/>
                <w:color w:val="auto"/>
              </w:rPr>
            </w:pPr>
            <w:r>
              <w:rPr>
                <w:rFonts w:ascii="Arial" w:cs="Arial" w:eastAsia="Arial" w:hAnsi="Arial"/>
                <w:sz w:val="14"/>
                <w:szCs w:val="14"/>
                <w:color w:val="auto"/>
                <w:w w:val="94"/>
              </w:rPr>
              <w:t>13,500,000</w:t>
            </w:r>
          </w:p>
        </w:tc>
        <w:tc>
          <w:tcPr>
            <w:tcW w:w="140" w:type="dxa"/>
            <w:vAlign w:val="bottom"/>
          </w:tcPr>
          <w:p>
            <w:pPr>
              <w:spacing w:after="0"/>
              <w:rPr>
                <w:sz w:val="11"/>
                <w:szCs w:val="11"/>
                <w:color w:val="auto"/>
              </w:rPr>
            </w:pPr>
          </w:p>
        </w:tc>
        <w:tc>
          <w:tcPr>
            <w:tcW w:w="92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13,017,947</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11,745,000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4"/>
                <w:szCs w:val="14"/>
                <w:color w:val="auto"/>
              </w:rPr>
              <w:t>(PIK 12.00%)</w:t>
            </w: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Power Products, LLC</w:t>
            </w:r>
          </w:p>
        </w:tc>
        <w:tc>
          <w:tcPr>
            <w:tcW w:w="96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w w:val="96"/>
              </w:rPr>
              <w:t>12/11/2020</w:t>
            </w:r>
          </w:p>
        </w:tc>
        <w:tc>
          <w:tcPr>
            <w:tcW w:w="146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3"/>
              </w:rPr>
              <w:t>Electronics</w:t>
            </w:r>
          </w:p>
        </w:tc>
        <w:tc>
          <w:tcPr>
            <w:tcW w:w="1180" w:type="dxa"/>
            <w:vAlign w:val="bottom"/>
            <w:gridSpan w:val="2"/>
            <w:shd w:val="clear" w:color="auto" w:fill="CCEEFF"/>
          </w:tcPr>
          <w:p>
            <w:pPr>
              <w:jc w:val="right"/>
              <w:ind w:right="360"/>
              <w:spacing w:after="0" w:line="130" w:lineRule="exact"/>
              <w:rPr>
                <w:sz w:val="20"/>
                <w:szCs w:val="20"/>
                <w:color w:val="auto"/>
              </w:rPr>
            </w:pPr>
            <w:r>
              <w:rPr>
                <w:rFonts w:ascii="Arial" w:cs="Arial" w:eastAsia="Arial" w:hAnsi="Arial"/>
                <w:sz w:val="14"/>
                <w:szCs w:val="14"/>
                <w:color w:val="auto"/>
              </w:rPr>
              <w:t>12.75%</w:t>
            </w:r>
          </w:p>
        </w:tc>
        <w:tc>
          <w:tcPr>
            <w:tcW w:w="96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40"/>
              <w:spacing w:after="0" w:line="130" w:lineRule="exact"/>
              <w:rPr>
                <w:sz w:val="20"/>
                <w:szCs w:val="20"/>
                <w:color w:val="auto"/>
              </w:rPr>
            </w:pPr>
            <w:r>
              <w:rPr>
                <w:rFonts w:ascii="Arial" w:cs="Arial" w:eastAsia="Arial" w:hAnsi="Arial"/>
                <w:sz w:val="14"/>
                <w:szCs w:val="14"/>
                <w:color w:val="auto"/>
                <w:w w:val="94"/>
              </w:rPr>
              <w:t>15,000,000</w:t>
            </w:r>
          </w:p>
        </w:tc>
        <w:tc>
          <w:tcPr>
            <w:tcW w:w="14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14,777,756</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15,141,884</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8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(PIK 2.00%)</w:t>
            </w:r>
          </w:p>
        </w:tc>
        <w:tc>
          <w:tcPr>
            <w:tcW w:w="6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2"/>
          </w:tcPr>
          <w:p>
            <w:pPr>
              <w:spacing w:after="0" w:line="149" w:lineRule="exact"/>
              <w:rPr>
                <w:sz w:val="20"/>
                <w:szCs w:val="20"/>
                <w:color w:val="auto"/>
              </w:rPr>
            </w:pPr>
            <w:r>
              <w:rPr>
                <w:rFonts w:ascii="Arial" w:cs="Arial" w:eastAsia="Arial" w:hAnsi="Arial"/>
                <w:sz w:val="14"/>
                <w:szCs w:val="14"/>
                <w:color w:val="auto"/>
              </w:rPr>
              <w:t>Randall-Reilly Publishing Company, LLC</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6"/>
              </w:rPr>
              <w:t>04/15/2019</w:t>
            </w:r>
          </w:p>
        </w:tc>
        <w:tc>
          <w:tcPr>
            <w:tcW w:w="14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Other Media</w:t>
            </w:r>
          </w:p>
        </w:tc>
        <w:tc>
          <w:tcPr>
            <w:tcW w:w="11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12.50%</w:t>
            </w:r>
            <w:r>
              <w:rPr>
                <w:rFonts w:ascii="Arial" w:cs="Arial" w:eastAsia="Arial" w:hAnsi="Arial"/>
                <w:sz w:val="12"/>
                <w:szCs w:val="12"/>
                <w:color w:val="auto"/>
              </w:rPr>
              <w:t>(7)</w:t>
            </w:r>
          </w:p>
        </w:tc>
        <w:tc>
          <w:tcPr>
            <w:tcW w:w="9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4"/>
              </w:rPr>
              <w:t>30,400,000</w:t>
            </w:r>
          </w:p>
        </w:tc>
        <w:tc>
          <w:tcPr>
            <w:tcW w:w="14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29,838,372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30,604,892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Vestcom International, Inc.</w:t>
            </w:r>
          </w:p>
        </w:tc>
        <w:tc>
          <w:tcPr>
            <w:tcW w:w="96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w w:val="96"/>
              </w:rPr>
              <w:t>06/27/2019</w:t>
            </w:r>
          </w:p>
        </w:tc>
        <w:tc>
          <w:tcPr>
            <w:tcW w:w="146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3"/>
              </w:rPr>
              <w:t>Printing and</w:t>
            </w:r>
          </w:p>
        </w:tc>
        <w:tc>
          <w:tcPr>
            <w:tcW w:w="1180" w:type="dxa"/>
            <w:vAlign w:val="bottom"/>
            <w:gridSpan w:val="2"/>
            <w:shd w:val="clear" w:color="auto" w:fill="CCEEFF"/>
          </w:tcPr>
          <w:p>
            <w:pPr>
              <w:jc w:val="right"/>
              <w:ind w:right="360"/>
              <w:spacing w:after="0" w:line="130" w:lineRule="exact"/>
              <w:rPr>
                <w:sz w:val="20"/>
                <w:szCs w:val="20"/>
                <w:color w:val="auto"/>
              </w:rPr>
            </w:pPr>
            <w:r>
              <w:rPr>
                <w:rFonts w:ascii="Arial" w:cs="Arial" w:eastAsia="Arial" w:hAnsi="Arial"/>
                <w:sz w:val="14"/>
                <w:szCs w:val="14"/>
                <w:color w:val="auto"/>
              </w:rPr>
              <w:t>12.00%</w:t>
            </w:r>
          </w:p>
        </w:tc>
        <w:tc>
          <w:tcPr>
            <w:tcW w:w="96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40"/>
              <w:spacing w:after="0" w:line="130" w:lineRule="exact"/>
              <w:rPr>
                <w:sz w:val="20"/>
                <w:szCs w:val="20"/>
                <w:color w:val="auto"/>
              </w:rPr>
            </w:pPr>
            <w:r>
              <w:rPr>
                <w:rFonts w:ascii="Arial" w:cs="Arial" w:eastAsia="Arial" w:hAnsi="Arial"/>
                <w:sz w:val="14"/>
                <w:szCs w:val="14"/>
                <w:color w:val="auto"/>
                <w:w w:val="94"/>
              </w:rPr>
              <w:t>39,892,933</w:t>
            </w:r>
          </w:p>
        </w:tc>
        <w:tc>
          <w:tcPr>
            <w:tcW w:w="14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39,218,167</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40,491,327</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8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95"/>
              </w:rPr>
              <w:t>Publishing</w:t>
            </w:r>
          </w:p>
        </w:tc>
        <w:tc>
          <w:tcPr>
            <w:tcW w:w="7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5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Subordinated Debt/Corporate Notes</w:t>
            </w: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235,059,590</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240,879,565</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Preferred Equity/Partnership Interests—1.7%</w:t>
            </w:r>
            <w:r>
              <w:rPr>
                <w:rFonts w:ascii="Arial" w:cs="Arial" w:eastAsia="Arial" w:hAnsi="Arial"/>
                <w:sz w:val="12"/>
                <w:szCs w:val="12"/>
                <w:b w:val="1"/>
                <w:bCs w:val="1"/>
                <w:color w:val="auto"/>
              </w:rPr>
              <w:t>(6)</w:t>
            </w: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60" w:type="dxa"/>
            <w:vAlign w:val="bottom"/>
            <w:gridSpan w:val="2"/>
          </w:tcPr>
          <w:p>
            <w:pPr>
              <w:spacing w:after="0" w:line="130" w:lineRule="exact"/>
              <w:rPr>
                <w:sz w:val="20"/>
                <w:szCs w:val="20"/>
                <w:color w:val="auto"/>
              </w:rPr>
            </w:pPr>
            <w:r>
              <w:rPr>
                <w:rFonts w:ascii="Arial" w:cs="Arial" w:eastAsia="Arial" w:hAnsi="Arial"/>
                <w:sz w:val="14"/>
                <w:szCs w:val="14"/>
                <w:color w:val="auto"/>
              </w:rPr>
              <w:t>AH Holdings, Inc.</w:t>
            </w:r>
          </w:p>
        </w:tc>
        <w:tc>
          <w:tcPr>
            <w:tcW w:w="960" w:type="dxa"/>
            <w:vAlign w:val="bottom"/>
            <w:gridSpan w:val="2"/>
          </w:tcPr>
          <w:p>
            <w:pPr>
              <w:jc w:val="center"/>
              <w:ind w:right="300"/>
              <w:spacing w:after="0" w:line="130" w:lineRule="exact"/>
              <w:rPr>
                <w:sz w:val="20"/>
                <w:szCs w:val="20"/>
                <w:color w:val="auto"/>
              </w:rPr>
            </w:pPr>
            <w:r>
              <w:rPr>
                <w:rFonts w:ascii="Arial" w:cs="Arial" w:eastAsia="Arial" w:hAnsi="Arial"/>
                <w:sz w:val="14"/>
                <w:szCs w:val="14"/>
                <w:color w:val="auto"/>
                <w:w w:val="99"/>
              </w:rPr>
              <w:t>—</w:t>
            </w:r>
          </w:p>
        </w:tc>
        <w:tc>
          <w:tcPr>
            <w:tcW w:w="1460" w:type="dxa"/>
            <w:vAlign w:val="bottom"/>
            <w:gridSpan w:val="2"/>
          </w:tcPr>
          <w:p>
            <w:pPr>
              <w:jc w:val="center"/>
              <w:ind w:right="180"/>
              <w:spacing w:after="0" w:line="130" w:lineRule="exact"/>
              <w:rPr>
                <w:sz w:val="20"/>
                <w:szCs w:val="20"/>
                <w:color w:val="auto"/>
              </w:rPr>
            </w:pPr>
            <w:r>
              <w:rPr>
                <w:rFonts w:ascii="Arial" w:cs="Arial" w:eastAsia="Arial" w:hAnsi="Arial"/>
                <w:sz w:val="14"/>
                <w:szCs w:val="14"/>
                <w:color w:val="auto"/>
                <w:w w:val="92"/>
              </w:rPr>
              <w:t>Healthcare, Education</w:t>
            </w:r>
          </w:p>
        </w:tc>
        <w:tc>
          <w:tcPr>
            <w:tcW w:w="1180" w:type="dxa"/>
            <w:vAlign w:val="bottom"/>
            <w:gridSpan w:val="2"/>
          </w:tcPr>
          <w:p>
            <w:pPr>
              <w:jc w:val="right"/>
              <w:ind w:right="360"/>
              <w:spacing w:after="0" w:line="130" w:lineRule="exact"/>
              <w:rPr>
                <w:sz w:val="20"/>
                <w:szCs w:val="20"/>
                <w:color w:val="auto"/>
              </w:rPr>
            </w:pPr>
            <w:r>
              <w:rPr>
                <w:rFonts w:ascii="Arial" w:cs="Arial" w:eastAsia="Arial" w:hAnsi="Arial"/>
                <w:sz w:val="14"/>
                <w:szCs w:val="14"/>
                <w:color w:val="auto"/>
              </w:rPr>
              <w:t>6.00%</w:t>
            </w:r>
          </w:p>
        </w:tc>
        <w:tc>
          <w:tcPr>
            <w:tcW w:w="96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40"/>
              <w:spacing w:after="0" w:line="130" w:lineRule="exact"/>
              <w:rPr>
                <w:sz w:val="20"/>
                <w:szCs w:val="20"/>
                <w:color w:val="auto"/>
              </w:rPr>
            </w:pPr>
            <w:r>
              <w:rPr>
                <w:rFonts w:ascii="Arial" w:cs="Arial" w:eastAsia="Arial" w:hAnsi="Arial"/>
                <w:sz w:val="14"/>
                <w:szCs w:val="14"/>
                <w:color w:val="auto"/>
              </w:rPr>
              <w:t>211</w:t>
            </w:r>
          </w:p>
        </w:tc>
        <w:tc>
          <w:tcPr>
            <w:tcW w:w="140" w:type="dxa"/>
            <w:vAlign w:val="bottom"/>
          </w:tcPr>
          <w:p>
            <w:pPr>
              <w:spacing w:after="0"/>
              <w:rPr>
                <w:sz w:val="11"/>
                <w:szCs w:val="11"/>
                <w:color w:val="auto"/>
              </w:rPr>
            </w:pPr>
          </w:p>
        </w:tc>
        <w:tc>
          <w:tcPr>
            <w:tcW w:w="92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500,000</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4"/>
                <w:szCs w:val="14"/>
                <w:color w:val="auto"/>
                <w:w w:val="92"/>
              </w:rPr>
              <w:t>and Childcare</w:t>
            </w: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AHC Mezzanine, LLC</w:t>
            </w:r>
          </w:p>
        </w:tc>
        <w:tc>
          <w:tcPr>
            <w:tcW w:w="960" w:type="dxa"/>
            <w:vAlign w:val="bottom"/>
            <w:gridSpan w:val="2"/>
            <w:shd w:val="clear" w:color="auto" w:fill="CCEEFF"/>
          </w:tcPr>
          <w:p>
            <w:pPr>
              <w:jc w:val="center"/>
              <w:ind w:right="300"/>
              <w:spacing w:after="0" w:line="149" w:lineRule="exact"/>
              <w:rPr>
                <w:sz w:val="20"/>
                <w:szCs w:val="20"/>
                <w:color w:val="auto"/>
              </w:rPr>
            </w:pPr>
            <w:r>
              <w:rPr>
                <w:rFonts w:ascii="Arial" w:cs="Arial" w:eastAsia="Arial" w:hAnsi="Arial"/>
                <w:sz w:val="14"/>
                <w:szCs w:val="14"/>
                <w:color w:val="auto"/>
                <w:w w:val="99"/>
              </w:rPr>
              <w:t>—</w:t>
            </w:r>
          </w:p>
        </w:tc>
        <w:tc>
          <w:tcPr>
            <w:tcW w:w="146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6"/>
              </w:rPr>
              <w:t>Other Media</w:t>
            </w:r>
          </w:p>
        </w:tc>
        <w:tc>
          <w:tcPr>
            <w:tcW w:w="118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7,505</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318,896</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60" w:type="dxa"/>
            <w:vAlign w:val="bottom"/>
            <w:gridSpan w:val="2"/>
          </w:tcPr>
          <w:p>
            <w:pPr>
              <w:spacing w:after="0" w:line="130" w:lineRule="exact"/>
              <w:rPr>
                <w:sz w:val="20"/>
                <w:szCs w:val="20"/>
                <w:color w:val="auto"/>
              </w:rPr>
            </w:pPr>
            <w:r>
              <w:rPr>
                <w:rFonts w:ascii="Arial" w:cs="Arial" w:eastAsia="Arial" w:hAnsi="Arial"/>
                <w:sz w:val="14"/>
                <w:szCs w:val="14"/>
                <w:color w:val="auto"/>
              </w:rPr>
              <w:t>Alegeus Technologies Holdings Corp. (Alegeus</w:t>
            </w:r>
          </w:p>
        </w:tc>
        <w:tc>
          <w:tcPr>
            <w:tcW w:w="960" w:type="dxa"/>
            <w:vAlign w:val="bottom"/>
            <w:gridSpan w:val="2"/>
          </w:tcPr>
          <w:p>
            <w:pPr>
              <w:jc w:val="center"/>
              <w:ind w:right="300"/>
              <w:spacing w:after="0" w:line="130" w:lineRule="exact"/>
              <w:rPr>
                <w:sz w:val="20"/>
                <w:szCs w:val="20"/>
                <w:color w:val="auto"/>
              </w:rPr>
            </w:pPr>
            <w:r>
              <w:rPr>
                <w:rFonts w:ascii="Arial" w:cs="Arial" w:eastAsia="Arial" w:hAnsi="Arial"/>
                <w:sz w:val="14"/>
                <w:szCs w:val="14"/>
                <w:color w:val="auto"/>
                <w:w w:val="99"/>
              </w:rPr>
              <w:t>—</w:t>
            </w:r>
          </w:p>
        </w:tc>
        <w:tc>
          <w:tcPr>
            <w:tcW w:w="1460" w:type="dxa"/>
            <w:vAlign w:val="bottom"/>
            <w:gridSpan w:val="2"/>
          </w:tcPr>
          <w:p>
            <w:pPr>
              <w:jc w:val="center"/>
              <w:ind w:right="200"/>
              <w:spacing w:after="0" w:line="130" w:lineRule="exact"/>
              <w:rPr>
                <w:sz w:val="20"/>
                <w:szCs w:val="20"/>
                <w:color w:val="auto"/>
              </w:rPr>
            </w:pPr>
            <w:r>
              <w:rPr>
                <w:rFonts w:ascii="Arial" w:cs="Arial" w:eastAsia="Arial" w:hAnsi="Arial"/>
                <w:sz w:val="14"/>
                <w:szCs w:val="14"/>
                <w:color w:val="auto"/>
                <w:w w:val="93"/>
              </w:rPr>
              <w:t>Financial Services</w:t>
            </w:r>
          </w:p>
        </w:tc>
        <w:tc>
          <w:tcPr>
            <w:tcW w:w="1180" w:type="dxa"/>
            <w:vAlign w:val="bottom"/>
            <w:gridSpan w:val="2"/>
          </w:tcPr>
          <w:p>
            <w:pPr>
              <w:jc w:val="right"/>
              <w:ind w:right="56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40"/>
              <w:spacing w:after="0" w:line="130" w:lineRule="exact"/>
              <w:rPr>
                <w:sz w:val="20"/>
                <w:szCs w:val="20"/>
                <w:color w:val="auto"/>
              </w:rPr>
            </w:pPr>
            <w:r>
              <w:rPr>
                <w:rFonts w:ascii="Arial" w:cs="Arial" w:eastAsia="Arial" w:hAnsi="Arial"/>
                <w:sz w:val="14"/>
                <w:szCs w:val="14"/>
                <w:color w:val="auto"/>
              </w:rPr>
              <w:t>949</w:t>
            </w:r>
          </w:p>
        </w:tc>
        <w:tc>
          <w:tcPr>
            <w:tcW w:w="140" w:type="dxa"/>
            <w:vAlign w:val="bottom"/>
          </w:tcPr>
          <w:p>
            <w:pPr>
              <w:spacing w:after="0"/>
              <w:rPr>
                <w:sz w:val="11"/>
                <w:szCs w:val="11"/>
                <w:color w:val="auto"/>
              </w:rPr>
            </w:pPr>
          </w:p>
        </w:tc>
        <w:tc>
          <w:tcPr>
            <w:tcW w:w="92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949,050</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166,701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60" w:type="dxa"/>
            <w:vAlign w:val="bottom"/>
            <w:gridSpan w:val="2"/>
          </w:tcPr>
          <w:p>
            <w:pPr>
              <w:ind w:left="140"/>
              <w:spacing w:after="0"/>
              <w:rPr>
                <w:sz w:val="20"/>
                <w:szCs w:val="20"/>
                <w:color w:val="auto"/>
              </w:rPr>
            </w:pPr>
            <w:r>
              <w:rPr>
                <w:rFonts w:ascii="Arial" w:cs="Arial" w:eastAsia="Arial" w:hAnsi="Arial"/>
                <w:sz w:val="14"/>
                <w:szCs w:val="14"/>
                <w:color w:val="auto"/>
              </w:rPr>
              <w:t>Technologies, LLC)</w:t>
            </w: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CI (IHS) Investment Holdings, LLC</w:t>
            </w:r>
          </w:p>
        </w:tc>
        <w:tc>
          <w:tcPr>
            <w:tcW w:w="96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9"/>
              </w:rPr>
              <w:t>—</w:t>
            </w:r>
          </w:p>
        </w:tc>
        <w:tc>
          <w:tcPr>
            <w:tcW w:w="146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2"/>
              </w:rPr>
              <w:t>Healthcare, Education</w:t>
            </w:r>
          </w:p>
        </w:tc>
        <w:tc>
          <w:tcPr>
            <w:tcW w:w="1180" w:type="dxa"/>
            <w:vAlign w:val="bottom"/>
            <w:gridSpan w:val="2"/>
            <w:shd w:val="clear" w:color="auto" w:fill="CCEEFF"/>
          </w:tcPr>
          <w:p>
            <w:pPr>
              <w:jc w:val="right"/>
              <w:ind w:right="360"/>
              <w:spacing w:after="0" w:line="130" w:lineRule="exact"/>
              <w:rPr>
                <w:sz w:val="20"/>
                <w:szCs w:val="20"/>
                <w:color w:val="auto"/>
              </w:rPr>
            </w:pPr>
            <w:r>
              <w:rPr>
                <w:rFonts w:ascii="Arial" w:cs="Arial" w:eastAsia="Arial" w:hAnsi="Arial"/>
                <w:sz w:val="14"/>
                <w:szCs w:val="14"/>
                <w:color w:val="auto"/>
              </w:rPr>
              <w:t>8.00%</w:t>
            </w:r>
          </w:p>
        </w:tc>
        <w:tc>
          <w:tcPr>
            <w:tcW w:w="96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40"/>
              <w:spacing w:after="0" w:line="130" w:lineRule="exact"/>
              <w:rPr>
                <w:sz w:val="20"/>
                <w:szCs w:val="20"/>
                <w:color w:val="auto"/>
              </w:rPr>
            </w:pPr>
            <w:r>
              <w:rPr>
                <w:rFonts w:ascii="Arial" w:cs="Arial" w:eastAsia="Arial" w:hAnsi="Arial"/>
                <w:sz w:val="14"/>
                <w:szCs w:val="14"/>
                <w:color w:val="auto"/>
              </w:rPr>
              <w:t>76,357</w:t>
            </w:r>
          </w:p>
        </w:tc>
        <w:tc>
          <w:tcPr>
            <w:tcW w:w="14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765,307</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1,762,472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8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92"/>
              </w:rPr>
              <w:t>and Childcare</w:t>
            </w:r>
          </w:p>
        </w:tc>
        <w:tc>
          <w:tcPr>
            <w:tcW w:w="7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60" w:type="dxa"/>
            <w:vAlign w:val="bottom"/>
            <w:gridSpan w:val="2"/>
          </w:tcPr>
          <w:p>
            <w:pPr>
              <w:spacing w:after="0" w:line="130" w:lineRule="exact"/>
              <w:rPr>
                <w:sz w:val="20"/>
                <w:szCs w:val="20"/>
                <w:color w:val="auto"/>
              </w:rPr>
            </w:pPr>
            <w:r>
              <w:rPr>
                <w:rFonts w:ascii="Arial" w:cs="Arial" w:eastAsia="Arial" w:hAnsi="Arial"/>
                <w:sz w:val="14"/>
                <w:szCs w:val="14"/>
                <w:color w:val="auto"/>
              </w:rPr>
              <w:t>CI (IHS) Investment Holdings, LLC</w:t>
            </w:r>
            <w:r>
              <w:rPr>
                <w:rFonts w:ascii="Arial" w:cs="Arial" w:eastAsia="Arial" w:hAnsi="Arial"/>
                <w:sz w:val="12"/>
                <w:szCs w:val="12"/>
                <w:color w:val="auto"/>
              </w:rPr>
              <w:t>(9)</w:t>
            </w:r>
          </w:p>
        </w:tc>
        <w:tc>
          <w:tcPr>
            <w:tcW w:w="960" w:type="dxa"/>
            <w:vAlign w:val="bottom"/>
            <w:gridSpan w:val="2"/>
          </w:tcPr>
          <w:p>
            <w:pPr>
              <w:jc w:val="center"/>
              <w:ind w:right="300"/>
              <w:spacing w:after="0" w:line="130" w:lineRule="exact"/>
              <w:rPr>
                <w:sz w:val="20"/>
                <w:szCs w:val="20"/>
                <w:color w:val="auto"/>
              </w:rPr>
            </w:pPr>
            <w:r>
              <w:rPr>
                <w:rFonts w:ascii="Arial" w:cs="Arial" w:eastAsia="Arial" w:hAnsi="Arial"/>
                <w:sz w:val="14"/>
                <w:szCs w:val="14"/>
                <w:color w:val="auto"/>
                <w:w w:val="99"/>
              </w:rPr>
              <w:t>—</w:t>
            </w:r>
          </w:p>
        </w:tc>
        <w:tc>
          <w:tcPr>
            <w:tcW w:w="1460" w:type="dxa"/>
            <w:vAlign w:val="bottom"/>
            <w:gridSpan w:val="2"/>
          </w:tcPr>
          <w:p>
            <w:pPr>
              <w:jc w:val="center"/>
              <w:ind w:right="180"/>
              <w:spacing w:after="0" w:line="130" w:lineRule="exact"/>
              <w:rPr>
                <w:sz w:val="20"/>
                <w:szCs w:val="20"/>
                <w:color w:val="auto"/>
              </w:rPr>
            </w:pPr>
            <w:r>
              <w:rPr>
                <w:rFonts w:ascii="Arial" w:cs="Arial" w:eastAsia="Arial" w:hAnsi="Arial"/>
                <w:sz w:val="14"/>
                <w:szCs w:val="14"/>
                <w:color w:val="auto"/>
                <w:w w:val="92"/>
              </w:rPr>
              <w:t>Healthcare, Education</w:t>
            </w:r>
          </w:p>
        </w:tc>
        <w:tc>
          <w:tcPr>
            <w:tcW w:w="1180" w:type="dxa"/>
            <w:vAlign w:val="bottom"/>
            <w:gridSpan w:val="2"/>
          </w:tcPr>
          <w:p>
            <w:pPr>
              <w:jc w:val="right"/>
              <w:ind w:right="56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40"/>
              <w:spacing w:after="0" w:line="130" w:lineRule="exact"/>
              <w:rPr>
                <w:sz w:val="20"/>
                <w:szCs w:val="20"/>
                <w:color w:val="auto"/>
              </w:rPr>
            </w:pPr>
            <w:r>
              <w:rPr>
                <w:rFonts w:ascii="Arial" w:cs="Arial" w:eastAsia="Arial" w:hAnsi="Arial"/>
                <w:sz w:val="14"/>
                <w:szCs w:val="14"/>
                <w:color w:val="auto"/>
              </w:rPr>
              <w:t>38,179</w:t>
            </w:r>
          </w:p>
        </w:tc>
        <w:tc>
          <w:tcPr>
            <w:tcW w:w="140" w:type="dxa"/>
            <w:vAlign w:val="bottom"/>
          </w:tcPr>
          <w:p>
            <w:pPr>
              <w:spacing w:after="0"/>
              <w:rPr>
                <w:sz w:val="11"/>
                <w:szCs w:val="11"/>
                <w:color w:val="auto"/>
              </w:rPr>
            </w:pPr>
          </w:p>
        </w:tc>
        <w:tc>
          <w:tcPr>
            <w:tcW w:w="92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382,654</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881,236</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4"/>
                <w:szCs w:val="14"/>
                <w:color w:val="auto"/>
                <w:w w:val="92"/>
              </w:rPr>
              <w:t>and Childcare</w:t>
            </w: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Convergint Technologies Holdings, LLC (Convergint</w:t>
            </w:r>
          </w:p>
        </w:tc>
        <w:tc>
          <w:tcPr>
            <w:tcW w:w="96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9"/>
              </w:rPr>
              <w:t>—</w:t>
            </w:r>
          </w:p>
        </w:tc>
        <w:tc>
          <w:tcPr>
            <w:tcW w:w="146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3"/>
              </w:rPr>
              <w:t>Electronics</w:t>
            </w:r>
          </w:p>
        </w:tc>
        <w:tc>
          <w:tcPr>
            <w:tcW w:w="1180" w:type="dxa"/>
            <w:vAlign w:val="bottom"/>
            <w:gridSpan w:val="2"/>
            <w:shd w:val="clear" w:color="auto" w:fill="CCEEFF"/>
          </w:tcPr>
          <w:p>
            <w:pPr>
              <w:jc w:val="right"/>
              <w:ind w:right="360"/>
              <w:spacing w:after="0" w:line="130" w:lineRule="exact"/>
              <w:rPr>
                <w:sz w:val="20"/>
                <w:szCs w:val="20"/>
                <w:color w:val="auto"/>
              </w:rPr>
            </w:pPr>
            <w:r>
              <w:rPr>
                <w:rFonts w:ascii="Arial" w:cs="Arial" w:eastAsia="Arial" w:hAnsi="Arial"/>
                <w:sz w:val="14"/>
                <w:szCs w:val="14"/>
                <w:color w:val="auto"/>
              </w:rPr>
              <w:t>8.00%</w:t>
            </w:r>
          </w:p>
        </w:tc>
        <w:tc>
          <w:tcPr>
            <w:tcW w:w="96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40"/>
              <w:spacing w:after="0" w:line="130" w:lineRule="exact"/>
              <w:rPr>
                <w:sz w:val="20"/>
                <w:szCs w:val="20"/>
                <w:color w:val="auto"/>
              </w:rPr>
            </w:pPr>
            <w:r>
              <w:rPr>
                <w:rFonts w:ascii="Arial" w:cs="Arial" w:eastAsia="Arial" w:hAnsi="Arial"/>
                <w:sz w:val="14"/>
                <w:szCs w:val="14"/>
                <w:color w:val="auto"/>
              </w:rPr>
              <w:t>2,375</w:t>
            </w:r>
          </w:p>
        </w:tc>
        <w:tc>
          <w:tcPr>
            <w:tcW w:w="14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2,375,000</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2,737,419</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Technologies LLC)</w:t>
            </w:r>
          </w:p>
        </w:tc>
        <w:tc>
          <w:tcPr>
            <w:tcW w:w="7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2"/>
          </w:tcPr>
          <w:p>
            <w:pPr>
              <w:spacing w:after="0" w:line="149" w:lineRule="exact"/>
              <w:rPr>
                <w:sz w:val="20"/>
                <w:szCs w:val="20"/>
                <w:color w:val="auto"/>
              </w:rPr>
            </w:pPr>
            <w:r>
              <w:rPr>
                <w:rFonts w:ascii="Arial" w:cs="Arial" w:eastAsia="Arial" w:hAnsi="Arial"/>
                <w:sz w:val="14"/>
                <w:szCs w:val="14"/>
                <w:color w:val="auto"/>
              </w:rPr>
              <w:t>J.A. Cosmetics US, Inc. (J.A. Cosmetics Holdings, Inc.)</w:t>
            </w: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9"/>
              </w:rPr>
              <w:t>—</w:t>
            </w:r>
          </w:p>
        </w:tc>
        <w:tc>
          <w:tcPr>
            <w:tcW w:w="14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2"/>
              </w:rPr>
              <w:t>Consumer Products</w:t>
            </w:r>
          </w:p>
        </w:tc>
        <w:tc>
          <w:tcPr>
            <w:tcW w:w="11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8.00%</w:t>
            </w:r>
          </w:p>
        </w:tc>
        <w:tc>
          <w:tcPr>
            <w:tcW w:w="9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3,397</w:t>
            </w:r>
          </w:p>
        </w:tc>
        <w:tc>
          <w:tcPr>
            <w:tcW w:w="14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3,397,484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3,912,260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Red Point, LLC (f/k/a Hanley-Wood Holdings, LLC)</w:t>
            </w:r>
          </w:p>
        </w:tc>
        <w:tc>
          <w:tcPr>
            <w:tcW w:w="960" w:type="dxa"/>
            <w:vAlign w:val="bottom"/>
            <w:gridSpan w:val="2"/>
            <w:shd w:val="clear" w:color="auto" w:fill="CCEEFF"/>
          </w:tcPr>
          <w:p>
            <w:pPr>
              <w:jc w:val="center"/>
              <w:ind w:right="300"/>
              <w:spacing w:after="0" w:line="149" w:lineRule="exact"/>
              <w:rPr>
                <w:sz w:val="20"/>
                <w:szCs w:val="20"/>
                <w:color w:val="auto"/>
              </w:rPr>
            </w:pPr>
            <w:r>
              <w:rPr>
                <w:rFonts w:ascii="Arial" w:cs="Arial" w:eastAsia="Arial" w:hAnsi="Arial"/>
                <w:sz w:val="14"/>
                <w:szCs w:val="14"/>
                <w:color w:val="auto"/>
                <w:w w:val="99"/>
              </w:rPr>
              <w:t>—</w:t>
            </w:r>
          </w:p>
        </w:tc>
        <w:tc>
          <w:tcPr>
            <w:tcW w:w="146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6"/>
              </w:rPr>
              <w:t>Other Media</w:t>
            </w:r>
          </w:p>
        </w:tc>
        <w:tc>
          <w:tcPr>
            <w:tcW w:w="11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8.00%</w:t>
            </w:r>
          </w:p>
        </w:tc>
        <w:tc>
          <w:tcPr>
            <w:tcW w:w="9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3,591</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21,727</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40,583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60" w:type="dxa"/>
            <w:vAlign w:val="bottom"/>
            <w:gridSpan w:val="2"/>
          </w:tcPr>
          <w:p>
            <w:pPr>
              <w:spacing w:after="0" w:line="130" w:lineRule="exact"/>
              <w:rPr>
                <w:sz w:val="20"/>
                <w:szCs w:val="20"/>
                <w:color w:val="auto"/>
              </w:rPr>
            </w:pPr>
            <w:r>
              <w:rPr>
                <w:rFonts w:ascii="Arial" w:cs="Arial" w:eastAsia="Arial" w:hAnsi="Arial"/>
                <w:sz w:val="14"/>
                <w:szCs w:val="14"/>
                <w:color w:val="auto"/>
              </w:rPr>
              <w:t>Ride Holdings, Inc. (f/k/a VRide Holdings, Inc.)</w:t>
            </w:r>
          </w:p>
        </w:tc>
        <w:tc>
          <w:tcPr>
            <w:tcW w:w="960" w:type="dxa"/>
            <w:vAlign w:val="bottom"/>
            <w:gridSpan w:val="2"/>
          </w:tcPr>
          <w:p>
            <w:pPr>
              <w:jc w:val="center"/>
              <w:ind w:right="300"/>
              <w:spacing w:after="0" w:line="130" w:lineRule="exact"/>
              <w:rPr>
                <w:sz w:val="20"/>
                <w:szCs w:val="20"/>
                <w:color w:val="auto"/>
              </w:rPr>
            </w:pPr>
            <w:r>
              <w:rPr>
                <w:rFonts w:ascii="Arial" w:cs="Arial" w:eastAsia="Arial" w:hAnsi="Arial"/>
                <w:sz w:val="14"/>
                <w:szCs w:val="14"/>
                <w:color w:val="auto"/>
                <w:w w:val="99"/>
              </w:rPr>
              <w:t>—</w:t>
            </w:r>
          </w:p>
        </w:tc>
        <w:tc>
          <w:tcPr>
            <w:tcW w:w="1460" w:type="dxa"/>
            <w:vAlign w:val="bottom"/>
            <w:gridSpan w:val="2"/>
          </w:tcPr>
          <w:p>
            <w:pPr>
              <w:jc w:val="center"/>
              <w:ind w:right="200"/>
              <w:spacing w:after="0" w:line="130" w:lineRule="exact"/>
              <w:rPr>
                <w:sz w:val="20"/>
                <w:szCs w:val="20"/>
                <w:color w:val="auto"/>
              </w:rPr>
            </w:pPr>
            <w:r>
              <w:rPr>
                <w:rFonts w:ascii="Arial" w:cs="Arial" w:eastAsia="Arial" w:hAnsi="Arial"/>
                <w:sz w:val="14"/>
                <w:szCs w:val="14"/>
                <w:color w:val="auto"/>
                <w:w w:val="90"/>
              </w:rPr>
              <w:t>Personal</w:t>
            </w:r>
          </w:p>
        </w:tc>
        <w:tc>
          <w:tcPr>
            <w:tcW w:w="1180" w:type="dxa"/>
            <w:vAlign w:val="bottom"/>
            <w:gridSpan w:val="2"/>
          </w:tcPr>
          <w:p>
            <w:pPr>
              <w:jc w:val="right"/>
              <w:ind w:right="360"/>
              <w:spacing w:after="0" w:line="130" w:lineRule="exact"/>
              <w:rPr>
                <w:sz w:val="20"/>
                <w:szCs w:val="20"/>
                <w:color w:val="auto"/>
              </w:rPr>
            </w:pPr>
            <w:r>
              <w:rPr>
                <w:rFonts w:ascii="Arial" w:cs="Arial" w:eastAsia="Arial" w:hAnsi="Arial"/>
                <w:sz w:val="14"/>
                <w:szCs w:val="14"/>
                <w:color w:val="auto"/>
              </w:rPr>
              <w:t>8.00%</w:t>
            </w:r>
          </w:p>
        </w:tc>
        <w:tc>
          <w:tcPr>
            <w:tcW w:w="96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40"/>
              <w:spacing w:after="0" w:line="130" w:lineRule="exact"/>
              <w:rPr>
                <w:sz w:val="20"/>
                <w:szCs w:val="20"/>
                <w:color w:val="auto"/>
              </w:rPr>
            </w:pPr>
            <w:r>
              <w:rPr>
                <w:rFonts w:ascii="Arial" w:cs="Arial" w:eastAsia="Arial" w:hAnsi="Arial"/>
                <w:sz w:val="14"/>
                <w:szCs w:val="14"/>
                <w:color w:val="auto"/>
              </w:rPr>
              <w:t>1,966,667</w:t>
            </w:r>
          </w:p>
        </w:tc>
        <w:tc>
          <w:tcPr>
            <w:tcW w:w="140" w:type="dxa"/>
            <w:vAlign w:val="bottom"/>
          </w:tcPr>
          <w:p>
            <w:pPr>
              <w:spacing w:after="0"/>
              <w:rPr>
                <w:sz w:val="11"/>
                <w:szCs w:val="11"/>
                <w:color w:val="auto"/>
              </w:rPr>
            </w:pPr>
          </w:p>
        </w:tc>
        <w:tc>
          <w:tcPr>
            <w:tcW w:w="92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2,251,667</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1,029,295</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4"/>
                <w:szCs w:val="14"/>
                <w:color w:val="auto"/>
                <w:w w:val="93"/>
              </w:rPr>
              <w:t>Transportation</w:t>
            </w: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TZ Holdings, L.P., Series A</w:t>
            </w:r>
          </w:p>
        </w:tc>
        <w:tc>
          <w:tcPr>
            <w:tcW w:w="960" w:type="dxa"/>
            <w:vAlign w:val="bottom"/>
            <w:gridSpan w:val="2"/>
            <w:shd w:val="clear" w:color="auto" w:fill="CCEEFF"/>
          </w:tcPr>
          <w:p>
            <w:pPr>
              <w:jc w:val="center"/>
              <w:ind w:right="300"/>
              <w:spacing w:after="0" w:line="149" w:lineRule="exact"/>
              <w:rPr>
                <w:sz w:val="20"/>
                <w:szCs w:val="20"/>
                <w:color w:val="auto"/>
              </w:rPr>
            </w:pPr>
            <w:r>
              <w:rPr>
                <w:rFonts w:ascii="Arial" w:cs="Arial" w:eastAsia="Arial" w:hAnsi="Arial"/>
                <w:sz w:val="14"/>
                <w:szCs w:val="14"/>
                <w:color w:val="auto"/>
                <w:w w:val="99"/>
              </w:rPr>
              <w:t>—</w:t>
            </w:r>
          </w:p>
        </w:tc>
        <w:tc>
          <w:tcPr>
            <w:tcW w:w="146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1"/>
              </w:rPr>
              <w:t>Insurance</w:t>
            </w:r>
          </w:p>
        </w:tc>
        <w:tc>
          <w:tcPr>
            <w:tcW w:w="118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686</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685,820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685,820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2"/>
          </w:tcPr>
          <w:p>
            <w:pPr>
              <w:spacing w:after="0" w:line="149" w:lineRule="exact"/>
              <w:rPr>
                <w:sz w:val="20"/>
                <w:szCs w:val="20"/>
                <w:color w:val="auto"/>
              </w:rPr>
            </w:pPr>
            <w:r>
              <w:rPr>
                <w:rFonts w:ascii="Arial" w:cs="Arial" w:eastAsia="Arial" w:hAnsi="Arial"/>
                <w:sz w:val="14"/>
                <w:szCs w:val="14"/>
                <w:color w:val="auto"/>
              </w:rPr>
              <w:t>TZ Holdings, L.P., Series B</w:t>
            </w: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9"/>
              </w:rPr>
              <w:t>—</w:t>
            </w:r>
          </w:p>
        </w:tc>
        <w:tc>
          <w:tcPr>
            <w:tcW w:w="146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1"/>
              </w:rPr>
              <w:t>Insurance</w:t>
            </w:r>
          </w:p>
        </w:tc>
        <w:tc>
          <w:tcPr>
            <w:tcW w:w="11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6.50%</w:t>
            </w:r>
          </w:p>
        </w:tc>
        <w:tc>
          <w:tcPr>
            <w:tcW w:w="9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1,312</w:t>
            </w:r>
          </w:p>
        </w:tc>
        <w:tc>
          <w:tcPr>
            <w:tcW w:w="14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1,312,006</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1,799,366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Preferred Equity/Partnership Interests</w:t>
            </w: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12,959,611</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13,015,152</w:t>
            </w:r>
          </w:p>
        </w:tc>
        <w:tc>
          <w:tcPr>
            <w:tcW w:w="0" w:type="dxa"/>
            <w:vAlign w:val="bottom"/>
          </w:tcPr>
          <w:p>
            <w:pPr>
              <w:spacing w:after="0"/>
              <w:rPr>
                <w:sz w:val="1"/>
                <w:szCs w:val="1"/>
                <w:color w:val="auto"/>
              </w:rPr>
            </w:pPr>
          </w:p>
        </w:tc>
      </w:tr>
      <w:tr>
        <w:trPr>
          <w:trHeight w:val="156"/>
        </w:trPr>
        <w:tc>
          <w:tcPr>
            <w:tcW w:w="4540" w:type="dxa"/>
            <w:vAlign w:val="bottom"/>
            <w:gridSpan w:val="5"/>
          </w:tcPr>
          <w:p>
            <w:pPr>
              <w:spacing w:after="0" w:line="155" w:lineRule="exact"/>
              <w:rPr>
                <w:sz w:val="20"/>
                <w:szCs w:val="20"/>
                <w:color w:val="auto"/>
              </w:rPr>
            </w:pPr>
            <w:r>
              <w:rPr>
                <w:rFonts w:ascii="Arial" w:cs="Arial" w:eastAsia="Arial" w:hAnsi="Arial"/>
                <w:sz w:val="14"/>
                <w:szCs w:val="14"/>
                <w:b w:val="1"/>
                <w:bCs w:val="1"/>
                <w:color w:val="auto"/>
              </w:rPr>
              <w:t>Common Equity/Partnership Interests/Warrants—10.5%</w:t>
            </w:r>
            <w:r>
              <w:rPr>
                <w:rFonts w:ascii="Arial" w:cs="Arial" w:eastAsia="Arial" w:hAnsi="Arial"/>
                <w:sz w:val="12"/>
                <w:szCs w:val="12"/>
                <w:b w:val="1"/>
                <w:bCs w:val="1"/>
                <w:color w:val="auto"/>
              </w:rPr>
              <w:t>(6)</w:t>
            </w:r>
          </w:p>
        </w:tc>
        <w:tc>
          <w:tcPr>
            <w:tcW w:w="1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Acentia, LLC, Class A Units</w:t>
            </w:r>
            <w:r>
              <w:rPr>
                <w:rFonts w:ascii="Arial" w:cs="Arial" w:eastAsia="Arial" w:hAnsi="Arial"/>
                <w:sz w:val="12"/>
                <w:szCs w:val="12"/>
                <w:color w:val="auto"/>
              </w:rPr>
              <w:t>(11)</w:t>
            </w:r>
          </w:p>
        </w:tc>
        <w:tc>
          <w:tcPr>
            <w:tcW w:w="960" w:type="dxa"/>
            <w:vAlign w:val="bottom"/>
            <w:gridSpan w:val="2"/>
            <w:shd w:val="clear" w:color="auto" w:fill="CCEEFF"/>
          </w:tcPr>
          <w:p>
            <w:pPr>
              <w:jc w:val="center"/>
              <w:ind w:right="300"/>
              <w:spacing w:after="0" w:line="149" w:lineRule="exact"/>
              <w:rPr>
                <w:sz w:val="20"/>
                <w:szCs w:val="20"/>
                <w:color w:val="auto"/>
              </w:rPr>
            </w:pPr>
            <w:r>
              <w:rPr>
                <w:rFonts w:ascii="Arial" w:cs="Arial" w:eastAsia="Arial" w:hAnsi="Arial"/>
                <w:sz w:val="14"/>
                <w:szCs w:val="14"/>
                <w:color w:val="auto"/>
                <w:w w:val="99"/>
              </w:rPr>
              <w:t>—</w:t>
            </w:r>
          </w:p>
        </w:tc>
        <w:tc>
          <w:tcPr>
            <w:tcW w:w="146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3"/>
              </w:rPr>
              <w:t>Electronics</w:t>
            </w:r>
          </w:p>
        </w:tc>
        <w:tc>
          <w:tcPr>
            <w:tcW w:w="118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1,998</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2,000,000</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902,828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2"/>
          </w:tcPr>
          <w:p>
            <w:pPr>
              <w:spacing w:after="0" w:line="149" w:lineRule="exact"/>
              <w:rPr>
                <w:sz w:val="20"/>
                <w:szCs w:val="20"/>
                <w:color w:val="auto"/>
              </w:rPr>
            </w:pPr>
            <w:r>
              <w:rPr>
                <w:rFonts w:ascii="Arial" w:cs="Arial" w:eastAsia="Arial" w:hAnsi="Arial"/>
                <w:sz w:val="14"/>
                <w:szCs w:val="14"/>
                <w:color w:val="auto"/>
              </w:rPr>
              <w:t>Affinion Group Holdings, Inc., Series A (Warrants)</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12/12/2023</w:t>
            </w:r>
          </w:p>
        </w:tc>
        <w:tc>
          <w:tcPr>
            <w:tcW w:w="260" w:type="dxa"/>
            <w:vAlign w:val="bottom"/>
          </w:tcPr>
          <w:p>
            <w:pPr>
              <w:spacing w:after="0"/>
              <w:rPr>
                <w:sz w:val="12"/>
                <w:szCs w:val="12"/>
                <w:color w:val="auto"/>
              </w:rPr>
            </w:pPr>
          </w:p>
        </w:tc>
        <w:tc>
          <w:tcPr>
            <w:tcW w:w="14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2"/>
              </w:rPr>
              <w:t>Consumer Products</w:t>
            </w:r>
          </w:p>
        </w:tc>
        <w:tc>
          <w:tcPr>
            <w:tcW w:w="118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4,798,624</w:t>
            </w:r>
          </w:p>
        </w:tc>
        <w:tc>
          <w:tcPr>
            <w:tcW w:w="14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10,265,972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12,716,355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Affinion Group Holdings, Inc., Series B (Warrants)</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12/12/2023</w:t>
            </w:r>
          </w:p>
        </w:tc>
        <w:tc>
          <w:tcPr>
            <w:tcW w:w="26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2"/>
              </w:rPr>
              <w:t>Consumer Products</w:t>
            </w:r>
          </w:p>
        </w:tc>
        <w:tc>
          <w:tcPr>
            <w:tcW w:w="118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9,822,196</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196,444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60" w:type="dxa"/>
            <w:vAlign w:val="bottom"/>
            <w:gridSpan w:val="2"/>
          </w:tcPr>
          <w:p>
            <w:pPr>
              <w:spacing w:after="0" w:line="130" w:lineRule="exact"/>
              <w:rPr>
                <w:sz w:val="20"/>
                <w:szCs w:val="20"/>
                <w:color w:val="auto"/>
              </w:rPr>
            </w:pPr>
            <w:r>
              <w:rPr>
                <w:rFonts w:ascii="Arial" w:cs="Arial" w:eastAsia="Arial" w:hAnsi="Arial"/>
                <w:sz w:val="14"/>
                <w:szCs w:val="14"/>
                <w:color w:val="auto"/>
              </w:rPr>
              <w:t>AH Holdings, Inc. (Warrants)</w:t>
            </w:r>
          </w:p>
        </w:tc>
        <w:tc>
          <w:tcPr>
            <w:tcW w:w="700" w:type="dxa"/>
            <w:vAlign w:val="bottom"/>
          </w:tcPr>
          <w:p>
            <w:pPr>
              <w:jc w:val="right"/>
              <w:spacing w:after="0" w:line="130" w:lineRule="exact"/>
              <w:rPr>
                <w:sz w:val="20"/>
                <w:szCs w:val="20"/>
                <w:color w:val="auto"/>
              </w:rPr>
            </w:pPr>
            <w:r>
              <w:rPr>
                <w:rFonts w:ascii="Arial" w:cs="Arial" w:eastAsia="Arial" w:hAnsi="Arial"/>
                <w:sz w:val="14"/>
                <w:szCs w:val="14"/>
                <w:color w:val="auto"/>
                <w:w w:val="96"/>
              </w:rPr>
              <w:t>03/23/2021</w:t>
            </w:r>
          </w:p>
        </w:tc>
        <w:tc>
          <w:tcPr>
            <w:tcW w:w="260" w:type="dxa"/>
            <w:vAlign w:val="bottom"/>
          </w:tcPr>
          <w:p>
            <w:pPr>
              <w:spacing w:after="0"/>
              <w:rPr>
                <w:sz w:val="11"/>
                <w:szCs w:val="11"/>
                <w:color w:val="auto"/>
              </w:rPr>
            </w:pPr>
          </w:p>
        </w:tc>
        <w:tc>
          <w:tcPr>
            <w:tcW w:w="1460" w:type="dxa"/>
            <w:vAlign w:val="bottom"/>
            <w:gridSpan w:val="2"/>
          </w:tcPr>
          <w:p>
            <w:pPr>
              <w:jc w:val="center"/>
              <w:ind w:right="180"/>
              <w:spacing w:after="0" w:line="130" w:lineRule="exact"/>
              <w:rPr>
                <w:sz w:val="20"/>
                <w:szCs w:val="20"/>
                <w:color w:val="auto"/>
              </w:rPr>
            </w:pPr>
            <w:r>
              <w:rPr>
                <w:rFonts w:ascii="Arial" w:cs="Arial" w:eastAsia="Arial" w:hAnsi="Arial"/>
                <w:sz w:val="14"/>
                <w:szCs w:val="14"/>
                <w:color w:val="auto"/>
                <w:w w:val="92"/>
              </w:rPr>
              <w:t>Healthcare, Education</w:t>
            </w:r>
          </w:p>
        </w:tc>
        <w:tc>
          <w:tcPr>
            <w:tcW w:w="1180" w:type="dxa"/>
            <w:vAlign w:val="bottom"/>
            <w:gridSpan w:val="2"/>
          </w:tcPr>
          <w:p>
            <w:pPr>
              <w:jc w:val="right"/>
              <w:ind w:right="56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40"/>
              <w:spacing w:after="0" w:line="130" w:lineRule="exact"/>
              <w:rPr>
                <w:sz w:val="20"/>
                <w:szCs w:val="20"/>
                <w:color w:val="auto"/>
              </w:rPr>
            </w:pPr>
            <w:r>
              <w:rPr>
                <w:rFonts w:ascii="Arial" w:cs="Arial" w:eastAsia="Arial" w:hAnsi="Arial"/>
                <w:sz w:val="14"/>
                <w:szCs w:val="14"/>
                <w:color w:val="auto"/>
              </w:rPr>
              <w:t>753</w:t>
            </w:r>
          </w:p>
        </w:tc>
        <w:tc>
          <w:tcPr>
            <w:tcW w:w="140" w:type="dxa"/>
            <w:vAlign w:val="bottom"/>
          </w:tcPr>
          <w:p>
            <w:pPr>
              <w:spacing w:after="0"/>
              <w:rPr>
                <w:sz w:val="11"/>
                <w:szCs w:val="11"/>
                <w:color w:val="auto"/>
              </w:rPr>
            </w:pPr>
          </w:p>
        </w:tc>
        <w:tc>
          <w:tcPr>
            <w:tcW w:w="92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4"/>
                <w:szCs w:val="14"/>
                <w:color w:val="auto"/>
                <w:w w:val="92"/>
              </w:rPr>
              <w:t>and Childcare</w:t>
            </w: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Alegeus Technologies Holding Corp. (Alegeus</w:t>
            </w:r>
          </w:p>
        </w:tc>
        <w:tc>
          <w:tcPr>
            <w:tcW w:w="96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9"/>
              </w:rPr>
              <w:t>—</w:t>
            </w:r>
          </w:p>
        </w:tc>
        <w:tc>
          <w:tcPr>
            <w:tcW w:w="146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3"/>
              </w:rPr>
              <w:t>Financial Services</w:t>
            </w:r>
          </w:p>
        </w:tc>
        <w:tc>
          <w:tcPr>
            <w:tcW w:w="1180" w:type="dxa"/>
            <w:vAlign w:val="bottom"/>
            <w:gridSpan w:val="2"/>
            <w:shd w:val="clear" w:color="auto" w:fill="CCEEFF"/>
          </w:tcPr>
          <w:p>
            <w:pPr>
              <w:jc w:val="right"/>
              <w:ind w:right="56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40"/>
              <w:spacing w:after="0" w:line="130" w:lineRule="exact"/>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950</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Technologies, LLC)</w:t>
            </w:r>
          </w:p>
        </w:tc>
        <w:tc>
          <w:tcPr>
            <w:tcW w:w="7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60" w:type="dxa"/>
            <w:vAlign w:val="bottom"/>
            <w:gridSpan w:val="2"/>
          </w:tcPr>
          <w:p>
            <w:pPr>
              <w:spacing w:after="0" w:line="130" w:lineRule="exact"/>
              <w:rPr>
                <w:sz w:val="20"/>
                <w:szCs w:val="20"/>
                <w:color w:val="auto"/>
              </w:rPr>
            </w:pPr>
            <w:r>
              <w:rPr>
                <w:rFonts w:ascii="Arial" w:cs="Arial" w:eastAsia="Arial" w:hAnsi="Arial"/>
                <w:sz w:val="14"/>
                <w:szCs w:val="14"/>
                <w:color w:val="auto"/>
              </w:rPr>
              <w:t>ASP LCG Holdings, Inc. (f/k/a Learning Care Group (US)</w:t>
            </w:r>
          </w:p>
        </w:tc>
        <w:tc>
          <w:tcPr>
            <w:tcW w:w="700" w:type="dxa"/>
            <w:vAlign w:val="bottom"/>
          </w:tcPr>
          <w:p>
            <w:pPr>
              <w:jc w:val="right"/>
              <w:spacing w:after="0" w:line="130" w:lineRule="exact"/>
              <w:rPr>
                <w:sz w:val="20"/>
                <w:szCs w:val="20"/>
                <w:color w:val="auto"/>
              </w:rPr>
            </w:pPr>
            <w:r>
              <w:rPr>
                <w:rFonts w:ascii="Arial" w:cs="Arial" w:eastAsia="Arial" w:hAnsi="Arial"/>
                <w:sz w:val="14"/>
                <w:szCs w:val="14"/>
                <w:color w:val="auto"/>
                <w:w w:val="96"/>
              </w:rPr>
              <w:t>05/05/2026</w:t>
            </w:r>
          </w:p>
        </w:tc>
        <w:tc>
          <w:tcPr>
            <w:tcW w:w="260" w:type="dxa"/>
            <w:vAlign w:val="bottom"/>
          </w:tcPr>
          <w:p>
            <w:pPr>
              <w:spacing w:after="0"/>
              <w:rPr>
                <w:sz w:val="11"/>
                <w:szCs w:val="11"/>
                <w:color w:val="auto"/>
              </w:rPr>
            </w:pPr>
          </w:p>
        </w:tc>
        <w:tc>
          <w:tcPr>
            <w:tcW w:w="1460" w:type="dxa"/>
            <w:vAlign w:val="bottom"/>
            <w:gridSpan w:val="2"/>
          </w:tcPr>
          <w:p>
            <w:pPr>
              <w:jc w:val="center"/>
              <w:ind w:right="200"/>
              <w:spacing w:after="0" w:line="130" w:lineRule="exact"/>
              <w:rPr>
                <w:sz w:val="20"/>
                <w:szCs w:val="20"/>
                <w:color w:val="auto"/>
              </w:rPr>
            </w:pPr>
            <w:r>
              <w:rPr>
                <w:rFonts w:ascii="Arial" w:cs="Arial" w:eastAsia="Arial" w:hAnsi="Arial"/>
                <w:sz w:val="14"/>
                <w:szCs w:val="14"/>
                <w:color w:val="auto"/>
                <w:w w:val="93"/>
              </w:rPr>
              <w:t>Education</w:t>
            </w:r>
          </w:p>
        </w:tc>
        <w:tc>
          <w:tcPr>
            <w:tcW w:w="1180" w:type="dxa"/>
            <w:vAlign w:val="bottom"/>
            <w:gridSpan w:val="2"/>
          </w:tcPr>
          <w:p>
            <w:pPr>
              <w:jc w:val="right"/>
              <w:ind w:right="56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40"/>
              <w:spacing w:after="0" w:line="130" w:lineRule="exact"/>
              <w:rPr>
                <w:sz w:val="20"/>
                <w:szCs w:val="20"/>
                <w:color w:val="auto"/>
              </w:rPr>
            </w:pPr>
            <w:r>
              <w:rPr>
                <w:rFonts w:ascii="Arial" w:cs="Arial" w:eastAsia="Arial" w:hAnsi="Arial"/>
                <w:sz w:val="14"/>
                <w:szCs w:val="14"/>
                <w:color w:val="auto"/>
              </w:rPr>
              <w:t>933</w:t>
            </w:r>
          </w:p>
        </w:tc>
        <w:tc>
          <w:tcPr>
            <w:tcW w:w="140" w:type="dxa"/>
            <w:vAlign w:val="bottom"/>
          </w:tcPr>
          <w:p>
            <w:pPr>
              <w:spacing w:after="0"/>
              <w:rPr>
                <w:sz w:val="11"/>
                <w:szCs w:val="11"/>
                <w:color w:val="auto"/>
              </w:rPr>
            </w:pPr>
          </w:p>
        </w:tc>
        <w:tc>
          <w:tcPr>
            <w:tcW w:w="92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586,975</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545,114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560" w:type="dxa"/>
            <w:vAlign w:val="bottom"/>
            <w:gridSpan w:val="2"/>
          </w:tcPr>
          <w:p>
            <w:pPr>
              <w:ind w:left="140"/>
              <w:spacing w:after="0"/>
              <w:rPr>
                <w:sz w:val="20"/>
                <w:szCs w:val="20"/>
                <w:color w:val="auto"/>
              </w:rPr>
            </w:pPr>
            <w:r>
              <w:rPr>
                <w:rFonts w:ascii="Arial" w:cs="Arial" w:eastAsia="Arial" w:hAnsi="Arial"/>
                <w:sz w:val="14"/>
                <w:szCs w:val="14"/>
                <w:color w:val="auto"/>
              </w:rPr>
              <w:t>Inc.) (Warrants)</w:t>
            </w: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S-45</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Basis Point</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Maturity/</w:t>
            </w: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Current</w:t>
            </w: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Spread</w:t>
            </w: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8"/>
              </w:rPr>
              <w:t>Par/</w:t>
            </w: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Issuer Name</w:t>
            </w:r>
          </w:p>
        </w:tc>
        <w:tc>
          <w:tcPr>
            <w:tcW w:w="880" w:type="dxa"/>
            <w:vAlign w:val="bottom"/>
            <w:gridSpan w:val="2"/>
            <w:vMerge w:val="continue"/>
          </w:tcPr>
          <w:p>
            <w:pPr>
              <w:spacing w:after="0"/>
              <w:rPr>
                <w:sz w:val="12"/>
                <w:szCs w:val="12"/>
                <w:color w:val="auto"/>
              </w:rPr>
            </w:pPr>
          </w:p>
        </w:tc>
        <w:tc>
          <w:tcPr>
            <w:tcW w:w="14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7"/>
              </w:rPr>
              <w:t>Industry</w:t>
            </w:r>
          </w:p>
        </w:tc>
        <w:tc>
          <w:tcPr>
            <w:tcW w:w="800" w:type="dxa"/>
            <w:vAlign w:val="bottom"/>
            <w:gridSpan w:val="2"/>
            <w:vMerge w:val="continue"/>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Above</w:t>
            </w:r>
          </w:p>
        </w:tc>
        <w:tc>
          <w:tcPr>
            <w:tcW w:w="900" w:type="dxa"/>
            <w:vAlign w:val="bottom"/>
            <w:gridSpan w:val="2"/>
            <w:vMerge w:val="continue"/>
          </w:tcPr>
          <w:p>
            <w:pPr>
              <w:spacing w:after="0"/>
              <w:rPr>
                <w:sz w:val="12"/>
                <w:szCs w:val="12"/>
                <w:color w:val="auto"/>
              </w:rPr>
            </w:pPr>
          </w:p>
        </w:tc>
        <w:tc>
          <w:tcPr>
            <w:tcW w:w="116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Cost</w:t>
            </w:r>
          </w:p>
        </w:tc>
        <w:tc>
          <w:tcPr>
            <w:tcW w:w="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2"/>
                <w:szCs w:val="12"/>
                <w:b w:val="1"/>
                <w:bCs w:val="1"/>
                <w:color w:val="auto"/>
              </w:rPr>
              <w:t>(3)</w:t>
            </w:r>
          </w:p>
        </w:tc>
        <w:tc>
          <w:tcPr>
            <w:tcW w:w="0" w:type="dxa"/>
            <w:vAlign w:val="bottom"/>
          </w:tcPr>
          <w:p>
            <w:pPr>
              <w:spacing w:after="0"/>
              <w:rPr>
                <w:sz w:val="1"/>
                <w:szCs w:val="1"/>
                <w:color w:val="auto"/>
              </w:rPr>
            </w:pPr>
          </w:p>
        </w:tc>
      </w:tr>
      <w:tr>
        <w:trPr>
          <w:trHeight w:val="171"/>
        </w:trPr>
        <w:tc>
          <w:tcPr>
            <w:tcW w:w="4280" w:type="dxa"/>
            <w:vAlign w:val="bottom"/>
            <w:gridSpan w:val="3"/>
            <w:vMerge w:val="continue"/>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Expiration</w:t>
            </w:r>
          </w:p>
        </w:tc>
        <w:tc>
          <w:tcPr>
            <w:tcW w:w="1460" w:type="dxa"/>
            <w:vAlign w:val="bottom"/>
            <w:gridSpan w:val="2"/>
            <w:vMerge w:val="continue"/>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Coupon</w:t>
            </w: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Index</w:t>
            </w:r>
            <w:r>
              <w:rPr>
                <w:rFonts w:ascii="Arial" w:cs="Arial" w:eastAsia="Arial" w:hAnsi="Arial"/>
                <w:sz w:val="12"/>
                <w:szCs w:val="12"/>
                <w:b w:val="1"/>
                <w:bCs w:val="1"/>
                <w:color w:val="auto"/>
                <w:w w:val="97"/>
              </w:rPr>
              <w:t>(4)</w:t>
            </w: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Shares</w:t>
            </w:r>
          </w:p>
        </w:tc>
        <w:tc>
          <w:tcPr>
            <w:tcW w:w="116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5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4260" w:type="dxa"/>
            <w:vAlign w:val="bottom"/>
            <w:gridSpan w:val="2"/>
            <w:shd w:val="clear" w:color="auto" w:fill="CCEEFF"/>
          </w:tcPr>
          <w:p>
            <w:pPr>
              <w:spacing w:after="0" w:line="123" w:lineRule="exact"/>
              <w:rPr>
                <w:sz w:val="20"/>
                <w:szCs w:val="20"/>
                <w:color w:val="auto"/>
              </w:rPr>
            </w:pPr>
            <w:r>
              <w:rPr>
                <w:rFonts w:ascii="Arial" w:cs="Arial" w:eastAsia="Arial" w:hAnsi="Arial"/>
                <w:sz w:val="14"/>
                <w:szCs w:val="14"/>
                <w:color w:val="auto"/>
              </w:rPr>
              <w:t>Autumn Games, LLC</w:t>
            </w:r>
          </w:p>
        </w:tc>
        <w:tc>
          <w:tcPr>
            <w:tcW w:w="680" w:type="dxa"/>
            <w:vAlign w:val="bottom"/>
            <w:shd w:val="clear" w:color="auto" w:fill="CCEEFF"/>
          </w:tcPr>
          <w:p>
            <w:pPr>
              <w:ind w:left="240"/>
              <w:spacing w:after="0" w:line="123" w:lineRule="exact"/>
              <w:rPr>
                <w:sz w:val="20"/>
                <w:szCs w:val="20"/>
                <w:color w:val="auto"/>
              </w:rPr>
            </w:pPr>
            <w:r>
              <w:rPr>
                <w:rFonts w:ascii="Arial" w:cs="Arial" w:eastAsia="Arial" w:hAnsi="Arial"/>
                <w:sz w:val="14"/>
                <w:szCs w:val="14"/>
                <w:color w:val="auto"/>
              </w:rPr>
              <w:t>—</w:t>
            </w:r>
          </w:p>
        </w:tc>
        <w:tc>
          <w:tcPr>
            <w:tcW w:w="200" w:type="dxa"/>
            <w:vAlign w:val="bottom"/>
            <w:vMerge w:val="continue"/>
            <w:shd w:val="clear" w:color="auto" w:fill="CCEEFF"/>
          </w:tcPr>
          <w:p>
            <w:pPr>
              <w:spacing w:after="0"/>
              <w:rPr>
                <w:sz w:val="10"/>
                <w:szCs w:val="10"/>
                <w:color w:val="auto"/>
              </w:rPr>
            </w:pPr>
          </w:p>
        </w:tc>
        <w:tc>
          <w:tcPr>
            <w:tcW w:w="1280" w:type="dxa"/>
            <w:vAlign w:val="bottom"/>
            <w:shd w:val="clear" w:color="auto" w:fill="CCEEFF"/>
          </w:tcPr>
          <w:p>
            <w:pPr>
              <w:jc w:val="center"/>
              <w:spacing w:after="0" w:line="123" w:lineRule="exact"/>
              <w:rPr>
                <w:sz w:val="20"/>
                <w:szCs w:val="20"/>
                <w:color w:val="auto"/>
              </w:rPr>
            </w:pPr>
            <w:r>
              <w:rPr>
                <w:rFonts w:ascii="Arial" w:cs="Arial" w:eastAsia="Arial" w:hAnsi="Arial"/>
                <w:sz w:val="14"/>
                <w:szCs w:val="14"/>
                <w:color w:val="auto"/>
                <w:w w:val="91"/>
              </w:rPr>
              <w:t>Broadcasting and</w:t>
            </w:r>
          </w:p>
        </w:tc>
        <w:tc>
          <w:tcPr>
            <w:tcW w:w="180" w:type="dxa"/>
            <w:vAlign w:val="bottom"/>
            <w:vMerge w:val="continue"/>
            <w:shd w:val="clear" w:color="auto" w:fill="CCEEFF"/>
          </w:tcPr>
          <w:p>
            <w:pPr>
              <w:spacing w:after="0"/>
              <w:rPr>
                <w:sz w:val="10"/>
                <w:szCs w:val="10"/>
                <w:color w:val="auto"/>
              </w:rPr>
            </w:pPr>
          </w:p>
        </w:tc>
        <w:tc>
          <w:tcPr>
            <w:tcW w:w="520" w:type="dxa"/>
            <w:vAlign w:val="bottom"/>
            <w:shd w:val="clear" w:color="auto" w:fill="CCEEFF"/>
          </w:tcPr>
          <w:p>
            <w:pPr>
              <w:ind w:left="300"/>
              <w:spacing w:after="0" w:line="123" w:lineRule="exact"/>
              <w:rPr>
                <w:sz w:val="20"/>
                <w:szCs w:val="20"/>
                <w:color w:val="auto"/>
              </w:rPr>
            </w:pPr>
            <w:r>
              <w:rPr>
                <w:rFonts w:ascii="Arial" w:cs="Arial" w:eastAsia="Arial" w:hAnsi="Arial"/>
                <w:sz w:val="14"/>
                <w:szCs w:val="14"/>
                <w:color w:val="auto"/>
              </w:rPr>
              <w:t>—</w:t>
            </w:r>
          </w:p>
        </w:tc>
        <w:tc>
          <w:tcPr>
            <w:tcW w:w="280" w:type="dxa"/>
            <w:vAlign w:val="bottom"/>
            <w:vMerge w:val="continue"/>
            <w:shd w:val="clear" w:color="auto" w:fill="CCEEFF"/>
          </w:tcPr>
          <w:p>
            <w:pPr>
              <w:spacing w:after="0"/>
              <w:rPr>
                <w:sz w:val="10"/>
                <w:szCs w:val="10"/>
                <w:color w:val="auto"/>
              </w:rPr>
            </w:pPr>
          </w:p>
        </w:tc>
        <w:tc>
          <w:tcPr>
            <w:tcW w:w="700" w:type="dxa"/>
            <w:vAlign w:val="bottom"/>
            <w:shd w:val="clear" w:color="auto" w:fill="CCEEFF"/>
          </w:tcPr>
          <w:p>
            <w:pPr>
              <w:ind w:left="480"/>
              <w:spacing w:after="0" w:line="123" w:lineRule="exact"/>
              <w:rPr>
                <w:sz w:val="20"/>
                <w:szCs w:val="20"/>
                <w:color w:val="auto"/>
              </w:rPr>
            </w:pPr>
            <w:r>
              <w:rPr>
                <w:rFonts w:ascii="Arial" w:cs="Arial" w:eastAsia="Arial" w:hAnsi="Arial"/>
                <w:sz w:val="14"/>
                <w:szCs w:val="14"/>
                <w:color w:val="auto"/>
              </w:rPr>
              <w:t>—</w:t>
            </w:r>
          </w:p>
        </w:tc>
        <w:tc>
          <w:tcPr>
            <w:tcW w:w="280" w:type="dxa"/>
            <w:vAlign w:val="bottom"/>
            <w:vMerge w:val="continue"/>
            <w:shd w:val="clear" w:color="auto" w:fill="CCEEFF"/>
          </w:tcPr>
          <w:p>
            <w:pPr>
              <w:spacing w:after="0"/>
              <w:rPr>
                <w:sz w:val="10"/>
                <w:szCs w:val="10"/>
                <w:color w:val="auto"/>
              </w:rPr>
            </w:pPr>
          </w:p>
        </w:tc>
        <w:tc>
          <w:tcPr>
            <w:tcW w:w="620" w:type="dxa"/>
            <w:vAlign w:val="bottom"/>
            <w:shd w:val="clear" w:color="auto" w:fill="CCEEFF"/>
          </w:tcPr>
          <w:p>
            <w:pPr>
              <w:jc w:val="right"/>
              <w:spacing w:after="0" w:line="123" w:lineRule="exact"/>
              <w:rPr>
                <w:sz w:val="20"/>
                <w:szCs w:val="20"/>
                <w:color w:val="auto"/>
              </w:rPr>
            </w:pPr>
            <w:r>
              <w:rPr>
                <w:rFonts w:ascii="Arial" w:cs="Arial" w:eastAsia="Arial" w:hAnsi="Arial"/>
                <w:sz w:val="14"/>
                <w:szCs w:val="14"/>
                <w:color w:val="auto"/>
                <w:w w:val="96"/>
              </w:rPr>
              <w:t>1,333,330</w:t>
            </w:r>
          </w:p>
        </w:tc>
        <w:tc>
          <w:tcPr>
            <w:tcW w:w="280" w:type="dxa"/>
            <w:vAlign w:val="bottom"/>
            <w:vMerge w:val="continue"/>
            <w:shd w:val="clear" w:color="auto" w:fill="CCEEFF"/>
          </w:tcPr>
          <w:p>
            <w:pPr>
              <w:spacing w:after="0"/>
              <w:rPr>
                <w:sz w:val="10"/>
                <w:szCs w:val="10"/>
                <w:color w:val="auto"/>
              </w:rPr>
            </w:pPr>
          </w:p>
        </w:tc>
        <w:tc>
          <w:tcPr>
            <w:tcW w:w="880" w:type="dxa"/>
            <w:vAlign w:val="bottom"/>
            <w:shd w:val="clear" w:color="auto" w:fill="CCEEFF"/>
          </w:tcPr>
          <w:p>
            <w:pPr>
              <w:jc w:val="right"/>
              <w:spacing w:after="0" w:line="123" w:lineRule="exact"/>
              <w:rPr>
                <w:sz w:val="20"/>
                <w:szCs w:val="20"/>
                <w:color w:val="auto"/>
              </w:rPr>
            </w:pPr>
            <w:r>
              <w:rPr>
                <w:rFonts w:ascii="Arial" w:cs="Arial" w:eastAsia="Arial" w:hAnsi="Arial"/>
                <w:sz w:val="14"/>
                <w:szCs w:val="14"/>
                <w:color w:val="auto"/>
              </w:rPr>
              <w:t>3,000,000</w:t>
            </w:r>
          </w:p>
        </w:tc>
        <w:tc>
          <w:tcPr>
            <w:tcW w:w="280" w:type="dxa"/>
            <w:vAlign w:val="bottom"/>
            <w:vMerge w:val="continue"/>
            <w:shd w:val="clear" w:color="auto" w:fill="CCEEFF"/>
          </w:tcPr>
          <w:p>
            <w:pPr>
              <w:spacing w:after="0"/>
              <w:rPr>
                <w:sz w:val="10"/>
                <w:szCs w:val="10"/>
                <w:color w:val="auto"/>
              </w:rPr>
            </w:pPr>
          </w:p>
        </w:tc>
        <w:tc>
          <w:tcPr>
            <w:tcW w:w="880" w:type="dxa"/>
            <w:vAlign w:val="bottom"/>
            <w:shd w:val="clear" w:color="auto" w:fill="CCEEFF"/>
          </w:tcPr>
          <w:p>
            <w:pPr>
              <w:jc w:val="right"/>
              <w:ind w:right="8"/>
              <w:spacing w:after="0" w:line="123" w:lineRule="exact"/>
              <w:rPr>
                <w:sz w:val="20"/>
                <w:szCs w:val="20"/>
                <w:color w:val="auto"/>
              </w:rPr>
            </w:pPr>
            <w:r>
              <w:rPr>
                <w:rFonts w:ascii="Arial" w:cs="Arial" w:eastAsia="Arial" w:hAnsi="Arial"/>
                <w:sz w:val="14"/>
                <w:szCs w:val="14"/>
                <w:color w:val="auto"/>
              </w:rPr>
              <w:t>—</w:t>
            </w:r>
          </w:p>
        </w:tc>
        <w:tc>
          <w:tcPr>
            <w:tcW w:w="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5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94"/>
              </w:rPr>
              <w:t>Entertainment</w:t>
            </w:r>
          </w:p>
        </w:tc>
        <w:tc>
          <w:tcPr>
            <w:tcW w:w="5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tcPr>
          <w:p>
            <w:pPr>
              <w:spacing w:after="0" w:line="149" w:lineRule="exact"/>
              <w:rPr>
                <w:sz w:val="20"/>
                <w:szCs w:val="20"/>
                <w:color w:val="auto"/>
              </w:rPr>
            </w:pPr>
            <w:r>
              <w:rPr>
                <w:rFonts w:ascii="Arial" w:cs="Arial" w:eastAsia="Arial" w:hAnsi="Arial"/>
                <w:sz w:val="14"/>
                <w:szCs w:val="14"/>
                <w:color w:val="auto"/>
              </w:rPr>
              <w:t>CI (FBM) Holdings, LLC</w:t>
            </w:r>
            <w:r>
              <w:rPr>
                <w:rFonts w:ascii="Arial" w:cs="Arial" w:eastAsia="Arial" w:hAnsi="Arial"/>
                <w:sz w:val="12"/>
                <w:szCs w:val="12"/>
                <w:color w:val="auto"/>
              </w:rPr>
              <w:t>(11)</w:t>
            </w:r>
            <w:r>
              <w:rPr>
                <w:rFonts w:ascii="Arial" w:cs="Arial" w:eastAsia="Arial" w:hAnsi="Arial"/>
                <w:sz w:val="14"/>
                <w:szCs w:val="14"/>
                <w:color w:val="auto"/>
              </w:rPr>
              <w:t xml:space="preserve"> (Foundation Building Materials, LLC)</w:t>
            </w:r>
          </w:p>
        </w:tc>
        <w:tc>
          <w:tcPr>
            <w:tcW w:w="88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7"/>
              </w:rPr>
              <w:t>Building Materials</w:t>
            </w:r>
          </w:p>
        </w:tc>
        <w:tc>
          <w:tcPr>
            <w:tcW w:w="80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207,242</w:t>
            </w:r>
          </w:p>
        </w:tc>
        <w:tc>
          <w:tcPr>
            <w:tcW w:w="11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2,250,000</w:t>
            </w: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2,608,001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CI (FBM) Holdings, LLC</w:t>
            </w:r>
            <w:r>
              <w:rPr>
                <w:rFonts w:ascii="Arial" w:cs="Arial" w:eastAsia="Arial" w:hAnsi="Arial"/>
                <w:sz w:val="12"/>
                <w:szCs w:val="12"/>
                <w:color w:val="auto"/>
              </w:rPr>
              <w:t>(9),(11)</w:t>
            </w:r>
            <w:r>
              <w:rPr>
                <w:rFonts w:ascii="Arial" w:cs="Arial" w:eastAsia="Arial" w:hAnsi="Arial"/>
                <w:sz w:val="14"/>
                <w:szCs w:val="14"/>
                <w:color w:val="auto"/>
              </w:rPr>
              <w:t xml:space="preserve"> (Foundation Building Materials,</w:t>
            </w:r>
          </w:p>
        </w:tc>
        <w:tc>
          <w:tcPr>
            <w:tcW w:w="880" w:type="dxa"/>
            <w:vAlign w:val="bottom"/>
            <w:gridSpan w:val="2"/>
            <w:shd w:val="clear" w:color="auto" w:fill="CCEEFF"/>
          </w:tcPr>
          <w:p>
            <w:pPr>
              <w:ind w:left="240"/>
              <w:spacing w:after="0" w:line="130" w:lineRule="exact"/>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7"/>
              </w:rPr>
              <w:t>Building Materials</w:t>
            </w:r>
          </w:p>
        </w:tc>
        <w:tc>
          <w:tcPr>
            <w:tcW w:w="800" w:type="dxa"/>
            <w:vAlign w:val="bottom"/>
            <w:gridSpan w:val="2"/>
            <w:shd w:val="clear" w:color="auto" w:fill="CCEEFF"/>
          </w:tcPr>
          <w:p>
            <w:pPr>
              <w:ind w:left="300"/>
              <w:spacing w:after="0" w:line="130"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103,621</w:t>
            </w:r>
          </w:p>
        </w:tc>
        <w:tc>
          <w:tcPr>
            <w:tcW w:w="116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1,125,000</w:t>
            </w:r>
          </w:p>
        </w:tc>
        <w:tc>
          <w:tcPr>
            <w:tcW w:w="96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1,304,001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LLC)</w:t>
            </w: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tcPr>
          <w:p>
            <w:pPr>
              <w:spacing w:after="0" w:line="149" w:lineRule="exact"/>
              <w:rPr>
                <w:sz w:val="20"/>
                <w:szCs w:val="20"/>
                <w:color w:val="auto"/>
              </w:rPr>
            </w:pPr>
            <w:r>
              <w:rPr>
                <w:rFonts w:ascii="Arial" w:cs="Arial" w:eastAsia="Arial" w:hAnsi="Arial"/>
                <w:sz w:val="14"/>
                <w:szCs w:val="14"/>
                <w:color w:val="auto"/>
              </w:rPr>
              <w:t>CI (Galls) Prime Investment Holdings, LLC</w:t>
            </w:r>
            <w:r>
              <w:rPr>
                <w:rFonts w:ascii="Arial" w:cs="Arial" w:eastAsia="Arial" w:hAnsi="Arial"/>
                <w:sz w:val="12"/>
                <w:szCs w:val="12"/>
                <w:color w:val="auto"/>
              </w:rPr>
              <w:t>(11)</w:t>
            </w:r>
          </w:p>
        </w:tc>
        <w:tc>
          <w:tcPr>
            <w:tcW w:w="88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9"/>
              </w:rPr>
              <w:t>Distribution</w:t>
            </w:r>
          </w:p>
        </w:tc>
        <w:tc>
          <w:tcPr>
            <w:tcW w:w="80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1,505,000</w:t>
            </w:r>
          </w:p>
        </w:tc>
        <w:tc>
          <w:tcPr>
            <w:tcW w:w="280" w:type="dxa"/>
            <w:vAlign w:val="bottom"/>
          </w:tcPr>
          <w:p>
            <w:pPr>
              <w:spacing w:after="0"/>
              <w:rPr>
                <w:sz w:val="12"/>
                <w:szCs w:val="12"/>
                <w:color w:val="auto"/>
              </w:rPr>
            </w:pPr>
          </w:p>
        </w:tc>
        <w:tc>
          <w:tcPr>
            <w:tcW w:w="11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1,505,000</w:t>
            </w: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1,913,376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CI (IHS) Investment Holdings, LLC</w:t>
            </w:r>
          </w:p>
        </w:tc>
        <w:tc>
          <w:tcPr>
            <w:tcW w:w="880" w:type="dxa"/>
            <w:vAlign w:val="bottom"/>
            <w:gridSpan w:val="2"/>
            <w:shd w:val="clear" w:color="auto" w:fill="CCEEFF"/>
          </w:tcPr>
          <w:p>
            <w:pPr>
              <w:ind w:left="240"/>
              <w:spacing w:after="0" w:line="130" w:lineRule="exact"/>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2"/>
              </w:rPr>
              <w:t>Healthcare, Education</w:t>
            </w:r>
          </w:p>
        </w:tc>
        <w:tc>
          <w:tcPr>
            <w:tcW w:w="800" w:type="dxa"/>
            <w:vAlign w:val="bottom"/>
            <w:gridSpan w:val="2"/>
            <w:shd w:val="clear" w:color="auto" w:fill="CCEEFF"/>
          </w:tcPr>
          <w:p>
            <w:pPr>
              <w:ind w:left="300"/>
              <w:spacing w:after="0" w:line="130"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23,416</w:t>
            </w:r>
          </w:p>
        </w:tc>
        <w:tc>
          <w:tcPr>
            <w:tcW w:w="116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234,693</w:t>
            </w:r>
          </w:p>
        </w:tc>
        <w:tc>
          <w:tcPr>
            <w:tcW w:w="96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539,257</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5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92"/>
              </w:rPr>
              <w:t>and Childcare</w:t>
            </w:r>
          </w:p>
        </w:tc>
        <w:tc>
          <w:tcPr>
            <w:tcW w:w="5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60" w:type="dxa"/>
            <w:vAlign w:val="bottom"/>
            <w:gridSpan w:val="2"/>
          </w:tcPr>
          <w:p>
            <w:pPr>
              <w:spacing w:after="0" w:line="130" w:lineRule="exact"/>
              <w:rPr>
                <w:sz w:val="20"/>
                <w:szCs w:val="20"/>
                <w:color w:val="auto"/>
              </w:rPr>
            </w:pPr>
            <w:r>
              <w:rPr>
                <w:rFonts w:ascii="Arial" w:cs="Arial" w:eastAsia="Arial" w:hAnsi="Arial"/>
                <w:sz w:val="14"/>
                <w:szCs w:val="14"/>
                <w:color w:val="auto"/>
              </w:rPr>
              <w:t>CI (IHS) Investment Holdings, LLC</w:t>
            </w:r>
            <w:r>
              <w:rPr>
                <w:rFonts w:ascii="Arial" w:cs="Arial" w:eastAsia="Arial" w:hAnsi="Arial"/>
                <w:sz w:val="12"/>
                <w:szCs w:val="12"/>
                <w:color w:val="auto"/>
              </w:rPr>
              <w:t>(9)</w:t>
            </w:r>
          </w:p>
        </w:tc>
        <w:tc>
          <w:tcPr>
            <w:tcW w:w="880" w:type="dxa"/>
            <w:vAlign w:val="bottom"/>
            <w:gridSpan w:val="2"/>
          </w:tcPr>
          <w:p>
            <w:pPr>
              <w:ind w:left="240"/>
              <w:spacing w:after="0" w:line="130" w:lineRule="exact"/>
              <w:rPr>
                <w:sz w:val="20"/>
                <w:szCs w:val="20"/>
                <w:color w:val="auto"/>
              </w:rPr>
            </w:pPr>
            <w:r>
              <w:rPr>
                <w:rFonts w:ascii="Arial" w:cs="Arial" w:eastAsia="Arial" w:hAnsi="Arial"/>
                <w:sz w:val="14"/>
                <w:szCs w:val="14"/>
                <w:color w:val="auto"/>
              </w:rPr>
              <w:t>—</w:t>
            </w:r>
          </w:p>
        </w:tc>
        <w:tc>
          <w:tcPr>
            <w:tcW w:w="1460" w:type="dxa"/>
            <w:vAlign w:val="bottom"/>
            <w:gridSpan w:val="2"/>
          </w:tcPr>
          <w:p>
            <w:pPr>
              <w:jc w:val="center"/>
              <w:ind w:right="180"/>
              <w:spacing w:after="0" w:line="130" w:lineRule="exact"/>
              <w:rPr>
                <w:sz w:val="20"/>
                <w:szCs w:val="20"/>
                <w:color w:val="auto"/>
              </w:rPr>
            </w:pPr>
            <w:r>
              <w:rPr>
                <w:rFonts w:ascii="Arial" w:cs="Arial" w:eastAsia="Arial" w:hAnsi="Arial"/>
                <w:sz w:val="14"/>
                <w:szCs w:val="14"/>
                <w:color w:val="auto"/>
                <w:w w:val="92"/>
              </w:rPr>
              <w:t>Healthcare, Education</w:t>
            </w:r>
          </w:p>
        </w:tc>
        <w:tc>
          <w:tcPr>
            <w:tcW w:w="800" w:type="dxa"/>
            <w:vAlign w:val="bottom"/>
            <w:gridSpan w:val="2"/>
          </w:tcPr>
          <w:p>
            <w:pPr>
              <w:ind w:left="300"/>
              <w:spacing w:after="0" w:line="130" w:lineRule="exact"/>
              <w:rPr>
                <w:sz w:val="20"/>
                <w:szCs w:val="20"/>
                <w:color w:val="auto"/>
              </w:rPr>
            </w:pPr>
            <w:r>
              <w:rPr>
                <w:rFonts w:ascii="Arial" w:cs="Arial" w:eastAsia="Arial" w:hAnsi="Arial"/>
                <w:sz w:val="14"/>
                <w:szCs w:val="14"/>
                <w:color w:val="auto"/>
              </w:rPr>
              <w:t>—</w:t>
            </w:r>
          </w:p>
        </w:tc>
        <w:tc>
          <w:tcPr>
            <w:tcW w:w="98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30" w:lineRule="exact"/>
              <w:rPr>
                <w:sz w:val="20"/>
                <w:szCs w:val="20"/>
                <w:color w:val="auto"/>
              </w:rPr>
            </w:pPr>
            <w:r>
              <w:rPr>
                <w:rFonts w:ascii="Arial" w:cs="Arial" w:eastAsia="Arial" w:hAnsi="Arial"/>
                <w:sz w:val="14"/>
                <w:szCs w:val="14"/>
                <w:color w:val="auto"/>
              </w:rPr>
              <w:t>11,708</w:t>
            </w:r>
          </w:p>
        </w:tc>
        <w:tc>
          <w:tcPr>
            <w:tcW w:w="280" w:type="dxa"/>
            <w:vAlign w:val="bottom"/>
          </w:tcPr>
          <w:p>
            <w:pPr>
              <w:spacing w:after="0"/>
              <w:rPr>
                <w:sz w:val="11"/>
                <w:szCs w:val="11"/>
                <w:color w:val="auto"/>
              </w:rPr>
            </w:pPr>
          </w:p>
        </w:tc>
        <w:tc>
          <w:tcPr>
            <w:tcW w:w="1160" w:type="dxa"/>
            <w:vAlign w:val="bottom"/>
            <w:gridSpan w:val="2"/>
          </w:tcPr>
          <w:p>
            <w:pPr>
              <w:jc w:val="right"/>
              <w:ind w:right="280"/>
              <w:spacing w:after="0" w:line="130" w:lineRule="exact"/>
              <w:rPr>
                <w:sz w:val="20"/>
                <w:szCs w:val="20"/>
                <w:color w:val="auto"/>
              </w:rPr>
            </w:pPr>
            <w:r>
              <w:rPr>
                <w:rFonts w:ascii="Arial" w:cs="Arial" w:eastAsia="Arial" w:hAnsi="Arial"/>
                <w:sz w:val="14"/>
                <w:szCs w:val="14"/>
                <w:color w:val="auto"/>
              </w:rPr>
              <w:t>117,346</w:t>
            </w:r>
          </w:p>
        </w:tc>
        <w:tc>
          <w:tcPr>
            <w:tcW w:w="96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269,629</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4"/>
                <w:szCs w:val="14"/>
                <w:color w:val="auto"/>
                <w:w w:val="92"/>
              </w:rPr>
              <w:t>and Childcare</w:t>
            </w: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Convergint Technologies Holdings, LLC (Convergint Technologies</w:t>
            </w:r>
          </w:p>
        </w:tc>
        <w:tc>
          <w:tcPr>
            <w:tcW w:w="880" w:type="dxa"/>
            <w:vAlign w:val="bottom"/>
            <w:gridSpan w:val="2"/>
            <w:shd w:val="clear" w:color="auto" w:fill="CCEEFF"/>
          </w:tcPr>
          <w:p>
            <w:pPr>
              <w:ind w:left="240"/>
              <w:spacing w:after="0" w:line="130" w:lineRule="exact"/>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3"/>
              </w:rPr>
              <w:t>Electronics</w:t>
            </w:r>
          </w:p>
        </w:tc>
        <w:tc>
          <w:tcPr>
            <w:tcW w:w="800" w:type="dxa"/>
            <w:vAlign w:val="bottom"/>
            <w:gridSpan w:val="2"/>
            <w:shd w:val="clear" w:color="auto" w:fill="CCEEFF"/>
          </w:tcPr>
          <w:p>
            <w:pPr>
              <w:ind w:left="300"/>
              <w:spacing w:after="0" w:line="130"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2,375</w:t>
            </w:r>
          </w:p>
        </w:tc>
        <w:tc>
          <w:tcPr>
            <w:tcW w:w="1160" w:type="dxa"/>
            <w:vAlign w:val="bottom"/>
            <w:gridSpan w:val="2"/>
            <w:shd w:val="clear" w:color="auto" w:fill="CCEEFF"/>
          </w:tcPr>
          <w:p>
            <w:pPr>
              <w:ind w:left="66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686,666</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LLC)</w:t>
            </w: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60" w:type="dxa"/>
            <w:vAlign w:val="bottom"/>
            <w:gridSpan w:val="2"/>
          </w:tcPr>
          <w:p>
            <w:pPr>
              <w:spacing w:after="0" w:line="130" w:lineRule="exact"/>
              <w:rPr>
                <w:sz w:val="20"/>
                <w:szCs w:val="20"/>
                <w:color w:val="auto"/>
              </w:rPr>
            </w:pPr>
            <w:r>
              <w:rPr>
                <w:rFonts w:ascii="Arial" w:cs="Arial" w:eastAsia="Arial" w:hAnsi="Arial"/>
                <w:sz w:val="14"/>
                <w:szCs w:val="14"/>
                <w:color w:val="auto"/>
              </w:rPr>
              <w:t>CT Technologies Holdings, LLC (CT Technologies Intermediate</w:t>
            </w:r>
          </w:p>
        </w:tc>
        <w:tc>
          <w:tcPr>
            <w:tcW w:w="880" w:type="dxa"/>
            <w:vAlign w:val="bottom"/>
            <w:gridSpan w:val="2"/>
          </w:tcPr>
          <w:p>
            <w:pPr>
              <w:ind w:left="240"/>
              <w:spacing w:after="0" w:line="130" w:lineRule="exact"/>
              <w:rPr>
                <w:sz w:val="20"/>
                <w:szCs w:val="20"/>
                <w:color w:val="auto"/>
              </w:rPr>
            </w:pPr>
            <w:r>
              <w:rPr>
                <w:rFonts w:ascii="Arial" w:cs="Arial" w:eastAsia="Arial" w:hAnsi="Arial"/>
                <w:sz w:val="14"/>
                <w:szCs w:val="14"/>
                <w:color w:val="auto"/>
              </w:rPr>
              <w:t>—</w:t>
            </w:r>
          </w:p>
        </w:tc>
        <w:tc>
          <w:tcPr>
            <w:tcW w:w="1460" w:type="dxa"/>
            <w:vAlign w:val="bottom"/>
            <w:gridSpan w:val="2"/>
          </w:tcPr>
          <w:p>
            <w:pPr>
              <w:jc w:val="center"/>
              <w:ind w:right="180"/>
              <w:spacing w:after="0" w:line="130" w:lineRule="exact"/>
              <w:rPr>
                <w:sz w:val="20"/>
                <w:szCs w:val="20"/>
                <w:color w:val="auto"/>
              </w:rPr>
            </w:pPr>
            <w:r>
              <w:rPr>
                <w:rFonts w:ascii="Arial" w:cs="Arial" w:eastAsia="Arial" w:hAnsi="Arial"/>
                <w:sz w:val="14"/>
                <w:szCs w:val="14"/>
                <w:color w:val="auto"/>
                <w:w w:val="90"/>
              </w:rPr>
              <w:t>Business Services</w:t>
            </w:r>
          </w:p>
        </w:tc>
        <w:tc>
          <w:tcPr>
            <w:tcW w:w="800" w:type="dxa"/>
            <w:vAlign w:val="bottom"/>
            <w:gridSpan w:val="2"/>
          </w:tcPr>
          <w:p>
            <w:pPr>
              <w:ind w:left="300"/>
              <w:spacing w:after="0" w:line="130" w:lineRule="exact"/>
              <w:rPr>
                <w:sz w:val="20"/>
                <w:szCs w:val="20"/>
                <w:color w:val="auto"/>
              </w:rPr>
            </w:pPr>
            <w:r>
              <w:rPr>
                <w:rFonts w:ascii="Arial" w:cs="Arial" w:eastAsia="Arial" w:hAnsi="Arial"/>
                <w:sz w:val="14"/>
                <w:szCs w:val="14"/>
                <w:color w:val="auto"/>
              </w:rPr>
              <w:t>—</w:t>
            </w:r>
          </w:p>
        </w:tc>
        <w:tc>
          <w:tcPr>
            <w:tcW w:w="98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80"/>
              <w:spacing w:after="0" w:line="130" w:lineRule="exact"/>
              <w:rPr>
                <w:sz w:val="20"/>
                <w:szCs w:val="20"/>
                <w:color w:val="auto"/>
              </w:rPr>
            </w:pPr>
            <w:r>
              <w:rPr>
                <w:rFonts w:ascii="Arial" w:cs="Arial" w:eastAsia="Arial" w:hAnsi="Arial"/>
                <w:sz w:val="14"/>
                <w:szCs w:val="14"/>
                <w:color w:val="auto"/>
              </w:rPr>
              <w:t>5,556</w:t>
            </w:r>
          </w:p>
        </w:tc>
        <w:tc>
          <w:tcPr>
            <w:tcW w:w="1160" w:type="dxa"/>
            <w:vAlign w:val="bottom"/>
            <w:gridSpan w:val="2"/>
          </w:tcPr>
          <w:p>
            <w:pPr>
              <w:jc w:val="right"/>
              <w:ind w:right="280"/>
              <w:spacing w:after="0" w:line="130" w:lineRule="exact"/>
              <w:rPr>
                <w:sz w:val="20"/>
                <w:szCs w:val="20"/>
                <w:color w:val="auto"/>
              </w:rPr>
            </w:pPr>
            <w:r>
              <w:rPr>
                <w:rFonts w:ascii="Arial" w:cs="Arial" w:eastAsia="Arial" w:hAnsi="Arial"/>
                <w:sz w:val="14"/>
                <w:szCs w:val="14"/>
                <w:color w:val="auto"/>
              </w:rPr>
              <w:t>545,887</w:t>
            </w:r>
          </w:p>
        </w:tc>
        <w:tc>
          <w:tcPr>
            <w:tcW w:w="96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4,210,946</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60" w:type="dxa"/>
            <w:vAlign w:val="bottom"/>
            <w:gridSpan w:val="2"/>
          </w:tcPr>
          <w:p>
            <w:pPr>
              <w:ind w:left="140"/>
              <w:spacing w:after="0"/>
              <w:rPr>
                <w:sz w:val="20"/>
                <w:szCs w:val="20"/>
                <w:color w:val="auto"/>
              </w:rPr>
            </w:pPr>
            <w:r>
              <w:rPr>
                <w:rFonts w:ascii="Arial" w:cs="Arial" w:eastAsia="Arial" w:hAnsi="Arial"/>
                <w:sz w:val="14"/>
                <w:szCs w:val="14"/>
                <w:color w:val="auto"/>
              </w:rPr>
              <w:t>Holdings, Inc.)</w:t>
            </w: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J.A. Cosmetics US, Inc. (J.A. Cosmetics Holdings, Inc.)</w:t>
            </w:r>
          </w:p>
        </w:tc>
        <w:tc>
          <w:tcPr>
            <w:tcW w:w="8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2"/>
              </w:rPr>
              <w:t>Consumer Products</w:t>
            </w:r>
          </w:p>
        </w:tc>
        <w:tc>
          <w:tcPr>
            <w:tcW w:w="80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252</w:t>
            </w:r>
          </w:p>
        </w:tc>
        <w:tc>
          <w:tcPr>
            <w:tcW w:w="2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2,516</w:t>
            </w: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204,342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60" w:type="dxa"/>
            <w:vAlign w:val="bottom"/>
            <w:gridSpan w:val="2"/>
          </w:tcPr>
          <w:p>
            <w:pPr>
              <w:spacing w:after="0" w:line="130" w:lineRule="exact"/>
              <w:rPr>
                <w:sz w:val="20"/>
                <w:szCs w:val="20"/>
                <w:color w:val="auto"/>
              </w:rPr>
            </w:pPr>
            <w:r>
              <w:rPr>
                <w:rFonts w:ascii="Arial" w:cs="Arial" w:eastAsia="Arial" w:hAnsi="Arial"/>
                <w:sz w:val="14"/>
                <w:szCs w:val="14"/>
                <w:color w:val="auto"/>
              </w:rPr>
              <w:t>Kadmon Holdings, LLC, Class A</w:t>
            </w:r>
          </w:p>
        </w:tc>
        <w:tc>
          <w:tcPr>
            <w:tcW w:w="880" w:type="dxa"/>
            <w:vAlign w:val="bottom"/>
            <w:gridSpan w:val="2"/>
          </w:tcPr>
          <w:p>
            <w:pPr>
              <w:ind w:left="240"/>
              <w:spacing w:after="0" w:line="130" w:lineRule="exact"/>
              <w:rPr>
                <w:sz w:val="20"/>
                <w:szCs w:val="20"/>
                <w:color w:val="auto"/>
              </w:rPr>
            </w:pPr>
            <w:r>
              <w:rPr>
                <w:rFonts w:ascii="Arial" w:cs="Arial" w:eastAsia="Arial" w:hAnsi="Arial"/>
                <w:sz w:val="14"/>
                <w:szCs w:val="14"/>
                <w:color w:val="auto"/>
              </w:rPr>
              <w:t>—</w:t>
            </w:r>
          </w:p>
        </w:tc>
        <w:tc>
          <w:tcPr>
            <w:tcW w:w="1460" w:type="dxa"/>
            <w:vAlign w:val="bottom"/>
            <w:gridSpan w:val="2"/>
          </w:tcPr>
          <w:p>
            <w:pPr>
              <w:jc w:val="center"/>
              <w:ind w:right="180"/>
              <w:spacing w:after="0" w:line="130" w:lineRule="exact"/>
              <w:rPr>
                <w:sz w:val="20"/>
                <w:szCs w:val="20"/>
                <w:color w:val="auto"/>
              </w:rPr>
            </w:pPr>
            <w:r>
              <w:rPr>
                <w:rFonts w:ascii="Arial" w:cs="Arial" w:eastAsia="Arial" w:hAnsi="Arial"/>
                <w:sz w:val="14"/>
                <w:szCs w:val="14"/>
                <w:color w:val="auto"/>
                <w:w w:val="92"/>
              </w:rPr>
              <w:t>Healthcare, Education</w:t>
            </w:r>
          </w:p>
        </w:tc>
        <w:tc>
          <w:tcPr>
            <w:tcW w:w="800" w:type="dxa"/>
            <w:vAlign w:val="bottom"/>
            <w:gridSpan w:val="2"/>
          </w:tcPr>
          <w:p>
            <w:pPr>
              <w:ind w:left="300"/>
              <w:spacing w:after="0" w:line="130" w:lineRule="exact"/>
              <w:rPr>
                <w:sz w:val="20"/>
                <w:szCs w:val="20"/>
                <w:color w:val="auto"/>
              </w:rPr>
            </w:pPr>
            <w:r>
              <w:rPr>
                <w:rFonts w:ascii="Arial" w:cs="Arial" w:eastAsia="Arial" w:hAnsi="Arial"/>
                <w:sz w:val="14"/>
                <w:szCs w:val="14"/>
                <w:color w:val="auto"/>
              </w:rPr>
              <w:t>—</w:t>
            </w:r>
          </w:p>
        </w:tc>
        <w:tc>
          <w:tcPr>
            <w:tcW w:w="98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30" w:lineRule="exact"/>
              <w:rPr>
                <w:sz w:val="20"/>
                <w:szCs w:val="20"/>
                <w:color w:val="auto"/>
              </w:rPr>
            </w:pPr>
            <w:r>
              <w:rPr>
                <w:rFonts w:ascii="Arial" w:cs="Arial" w:eastAsia="Arial" w:hAnsi="Arial"/>
                <w:sz w:val="14"/>
                <w:szCs w:val="14"/>
                <w:color w:val="auto"/>
                <w:w w:val="96"/>
              </w:rPr>
              <w:t>1,079,920</w:t>
            </w:r>
          </w:p>
        </w:tc>
        <w:tc>
          <w:tcPr>
            <w:tcW w:w="280" w:type="dxa"/>
            <w:vAlign w:val="bottom"/>
          </w:tcPr>
          <w:p>
            <w:pPr>
              <w:spacing w:after="0"/>
              <w:rPr>
                <w:sz w:val="11"/>
                <w:szCs w:val="11"/>
                <w:color w:val="auto"/>
              </w:rPr>
            </w:pPr>
          </w:p>
        </w:tc>
        <w:tc>
          <w:tcPr>
            <w:tcW w:w="1160" w:type="dxa"/>
            <w:vAlign w:val="bottom"/>
            <w:gridSpan w:val="2"/>
          </w:tcPr>
          <w:p>
            <w:pPr>
              <w:jc w:val="right"/>
              <w:ind w:right="280"/>
              <w:spacing w:after="0" w:line="130" w:lineRule="exact"/>
              <w:rPr>
                <w:sz w:val="20"/>
                <w:szCs w:val="20"/>
                <w:color w:val="auto"/>
              </w:rPr>
            </w:pPr>
            <w:r>
              <w:rPr>
                <w:rFonts w:ascii="Arial" w:cs="Arial" w:eastAsia="Arial" w:hAnsi="Arial"/>
                <w:sz w:val="14"/>
                <w:szCs w:val="14"/>
                <w:color w:val="auto"/>
              </w:rPr>
              <w:t>1,236,832</w:t>
            </w:r>
          </w:p>
        </w:tc>
        <w:tc>
          <w:tcPr>
            <w:tcW w:w="96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10,056,948</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4"/>
                <w:szCs w:val="14"/>
                <w:color w:val="auto"/>
                <w:w w:val="92"/>
              </w:rPr>
              <w:t>and Childcare</w:t>
            </w: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Kadmon Holdings, LLC, Class D</w:t>
            </w:r>
          </w:p>
        </w:tc>
        <w:tc>
          <w:tcPr>
            <w:tcW w:w="880" w:type="dxa"/>
            <w:vAlign w:val="bottom"/>
            <w:gridSpan w:val="2"/>
            <w:shd w:val="clear" w:color="auto" w:fill="CCEEFF"/>
          </w:tcPr>
          <w:p>
            <w:pPr>
              <w:ind w:left="240"/>
              <w:spacing w:after="0" w:line="130" w:lineRule="exact"/>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2"/>
              </w:rPr>
              <w:t>Healthcare, Education</w:t>
            </w:r>
          </w:p>
        </w:tc>
        <w:tc>
          <w:tcPr>
            <w:tcW w:w="800" w:type="dxa"/>
            <w:vAlign w:val="bottom"/>
            <w:gridSpan w:val="2"/>
            <w:shd w:val="clear" w:color="auto" w:fill="CCEEFF"/>
          </w:tcPr>
          <w:p>
            <w:pPr>
              <w:ind w:left="300"/>
              <w:spacing w:after="0" w:line="130"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96"/>
              </w:rPr>
              <w:t>1,079,920</w:t>
            </w:r>
          </w:p>
        </w:tc>
        <w:tc>
          <w:tcPr>
            <w:tcW w:w="2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1,028,807</w:t>
            </w:r>
          </w:p>
        </w:tc>
        <w:tc>
          <w:tcPr>
            <w:tcW w:w="96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1,028,807</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5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92"/>
              </w:rPr>
              <w:t>and Childcare</w:t>
            </w:r>
          </w:p>
        </w:tc>
        <w:tc>
          <w:tcPr>
            <w:tcW w:w="5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60" w:type="dxa"/>
            <w:vAlign w:val="bottom"/>
            <w:gridSpan w:val="2"/>
          </w:tcPr>
          <w:p>
            <w:pPr>
              <w:spacing w:after="0" w:line="130" w:lineRule="exact"/>
              <w:rPr>
                <w:sz w:val="20"/>
                <w:szCs w:val="20"/>
                <w:color w:val="auto"/>
              </w:rPr>
            </w:pPr>
            <w:r>
              <w:rPr>
                <w:rFonts w:ascii="Arial" w:cs="Arial" w:eastAsia="Arial" w:hAnsi="Arial"/>
                <w:sz w:val="14"/>
                <w:szCs w:val="14"/>
                <w:color w:val="auto"/>
              </w:rPr>
              <w:t>Lariat ecoserv Co-Invest Holdings, LLC</w:t>
            </w:r>
          </w:p>
        </w:tc>
        <w:tc>
          <w:tcPr>
            <w:tcW w:w="880" w:type="dxa"/>
            <w:vAlign w:val="bottom"/>
            <w:gridSpan w:val="2"/>
          </w:tcPr>
          <w:p>
            <w:pPr>
              <w:ind w:left="240"/>
              <w:spacing w:after="0" w:line="130" w:lineRule="exact"/>
              <w:rPr>
                <w:sz w:val="20"/>
                <w:szCs w:val="20"/>
                <w:color w:val="auto"/>
              </w:rPr>
            </w:pPr>
            <w:r>
              <w:rPr>
                <w:rFonts w:ascii="Arial" w:cs="Arial" w:eastAsia="Arial" w:hAnsi="Arial"/>
                <w:sz w:val="14"/>
                <w:szCs w:val="14"/>
                <w:color w:val="auto"/>
              </w:rPr>
              <w:t>—</w:t>
            </w:r>
          </w:p>
        </w:tc>
        <w:tc>
          <w:tcPr>
            <w:tcW w:w="1460" w:type="dxa"/>
            <w:vAlign w:val="bottom"/>
            <w:gridSpan w:val="2"/>
          </w:tcPr>
          <w:p>
            <w:pPr>
              <w:jc w:val="center"/>
              <w:ind w:right="200"/>
              <w:spacing w:after="0" w:line="130" w:lineRule="exact"/>
              <w:rPr>
                <w:sz w:val="20"/>
                <w:szCs w:val="20"/>
                <w:color w:val="auto"/>
              </w:rPr>
            </w:pPr>
            <w:r>
              <w:rPr>
                <w:rFonts w:ascii="Arial" w:cs="Arial" w:eastAsia="Arial" w:hAnsi="Arial"/>
                <w:sz w:val="14"/>
                <w:szCs w:val="14"/>
                <w:color w:val="auto"/>
                <w:w w:val="96"/>
              </w:rPr>
              <w:t>Environmental</w:t>
            </w:r>
          </w:p>
        </w:tc>
        <w:tc>
          <w:tcPr>
            <w:tcW w:w="800" w:type="dxa"/>
            <w:vAlign w:val="bottom"/>
            <w:gridSpan w:val="2"/>
          </w:tcPr>
          <w:p>
            <w:pPr>
              <w:ind w:left="300"/>
              <w:spacing w:after="0" w:line="130" w:lineRule="exact"/>
              <w:rPr>
                <w:sz w:val="20"/>
                <w:szCs w:val="20"/>
                <w:color w:val="auto"/>
              </w:rPr>
            </w:pPr>
            <w:r>
              <w:rPr>
                <w:rFonts w:ascii="Arial" w:cs="Arial" w:eastAsia="Arial" w:hAnsi="Arial"/>
                <w:sz w:val="14"/>
                <w:szCs w:val="14"/>
                <w:color w:val="auto"/>
              </w:rPr>
              <w:t>—</w:t>
            </w:r>
          </w:p>
        </w:tc>
        <w:tc>
          <w:tcPr>
            <w:tcW w:w="98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30" w:lineRule="exact"/>
              <w:rPr>
                <w:sz w:val="20"/>
                <w:szCs w:val="20"/>
                <w:color w:val="auto"/>
              </w:rPr>
            </w:pPr>
            <w:r>
              <w:rPr>
                <w:rFonts w:ascii="Arial" w:cs="Arial" w:eastAsia="Arial" w:hAnsi="Arial"/>
                <w:sz w:val="14"/>
                <w:szCs w:val="14"/>
                <w:color w:val="auto"/>
                <w:w w:val="96"/>
              </w:rPr>
              <w:t>1,000,000</w:t>
            </w:r>
          </w:p>
        </w:tc>
        <w:tc>
          <w:tcPr>
            <w:tcW w:w="280" w:type="dxa"/>
            <w:vAlign w:val="bottom"/>
          </w:tcPr>
          <w:p>
            <w:pPr>
              <w:spacing w:after="0"/>
              <w:rPr>
                <w:sz w:val="11"/>
                <w:szCs w:val="11"/>
                <w:color w:val="auto"/>
              </w:rPr>
            </w:pPr>
          </w:p>
        </w:tc>
        <w:tc>
          <w:tcPr>
            <w:tcW w:w="1160" w:type="dxa"/>
            <w:vAlign w:val="bottom"/>
            <w:gridSpan w:val="2"/>
          </w:tcPr>
          <w:p>
            <w:pPr>
              <w:jc w:val="right"/>
              <w:ind w:right="280"/>
              <w:spacing w:after="0" w:line="130" w:lineRule="exact"/>
              <w:rPr>
                <w:sz w:val="20"/>
                <w:szCs w:val="20"/>
                <w:color w:val="auto"/>
              </w:rPr>
            </w:pPr>
            <w:r>
              <w:rPr>
                <w:rFonts w:ascii="Arial" w:cs="Arial" w:eastAsia="Arial" w:hAnsi="Arial"/>
                <w:sz w:val="14"/>
                <w:szCs w:val="14"/>
                <w:color w:val="auto"/>
              </w:rPr>
              <w:t>1,000,000</w:t>
            </w:r>
          </w:p>
        </w:tc>
        <w:tc>
          <w:tcPr>
            <w:tcW w:w="96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1,000,000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4"/>
                <w:szCs w:val="14"/>
                <w:color w:val="auto"/>
                <w:w w:val="89"/>
              </w:rPr>
              <w:t>Services</w:t>
            </w: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Magnum Hunter Resources Corporation (Warrants)</w:t>
            </w:r>
          </w:p>
        </w:tc>
        <w:tc>
          <w:tcPr>
            <w:tcW w:w="6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91"/>
              </w:rPr>
              <w:t>04/16/2016</w:t>
            </w:r>
          </w:p>
        </w:tc>
        <w:tc>
          <w:tcPr>
            <w:tcW w:w="20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1"/>
              </w:rPr>
              <w:t>Oil and Gas</w:t>
            </w:r>
          </w:p>
        </w:tc>
        <w:tc>
          <w:tcPr>
            <w:tcW w:w="80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122,192</w:t>
            </w:r>
          </w:p>
        </w:tc>
        <w:tc>
          <w:tcPr>
            <w:tcW w:w="11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182,498</w:t>
            </w: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277,379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tcPr>
          <w:p>
            <w:pPr>
              <w:spacing w:after="0" w:line="149" w:lineRule="exact"/>
              <w:rPr>
                <w:sz w:val="20"/>
                <w:szCs w:val="20"/>
                <w:color w:val="auto"/>
              </w:rPr>
            </w:pPr>
            <w:r>
              <w:rPr>
                <w:rFonts w:ascii="Arial" w:cs="Arial" w:eastAsia="Arial" w:hAnsi="Arial"/>
                <w:sz w:val="14"/>
                <w:szCs w:val="14"/>
                <w:color w:val="auto"/>
              </w:rPr>
              <w:t>MidOcean JF Holdings Corp. (JF Acquisitions, LLC)</w:t>
            </w:r>
          </w:p>
        </w:tc>
        <w:tc>
          <w:tcPr>
            <w:tcW w:w="88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9"/>
              </w:rPr>
              <w:t>Distribution</w:t>
            </w:r>
          </w:p>
        </w:tc>
        <w:tc>
          <w:tcPr>
            <w:tcW w:w="80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1,850</w:t>
            </w:r>
          </w:p>
        </w:tc>
        <w:tc>
          <w:tcPr>
            <w:tcW w:w="11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1,850,294</w:t>
            </w: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881,603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MidOcean PPL Holdings, Corp. (Pre-Paid Legal Services, Inc.)</w:t>
            </w:r>
          </w:p>
        </w:tc>
        <w:tc>
          <w:tcPr>
            <w:tcW w:w="880" w:type="dxa"/>
            <w:vAlign w:val="bottom"/>
            <w:gridSpan w:val="2"/>
            <w:shd w:val="clear" w:color="auto" w:fill="CCEEFF"/>
          </w:tcPr>
          <w:p>
            <w:pPr>
              <w:ind w:left="240"/>
              <w:spacing w:after="0" w:line="130" w:lineRule="exact"/>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89"/>
              </w:rPr>
              <w:t>Personal, Food and</w:t>
            </w:r>
          </w:p>
        </w:tc>
        <w:tc>
          <w:tcPr>
            <w:tcW w:w="800" w:type="dxa"/>
            <w:vAlign w:val="bottom"/>
            <w:gridSpan w:val="2"/>
            <w:shd w:val="clear" w:color="auto" w:fill="CCEEFF"/>
          </w:tcPr>
          <w:p>
            <w:pPr>
              <w:ind w:left="300"/>
              <w:spacing w:after="0" w:line="130"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3,000</w:t>
            </w:r>
          </w:p>
        </w:tc>
        <w:tc>
          <w:tcPr>
            <w:tcW w:w="116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3,000,000</w:t>
            </w:r>
          </w:p>
        </w:tc>
        <w:tc>
          <w:tcPr>
            <w:tcW w:w="96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5,997,138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5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4"/>
              </w:rPr>
              <w:t>Miscellaneous</w:t>
            </w:r>
          </w:p>
        </w:tc>
        <w:tc>
          <w:tcPr>
            <w:tcW w:w="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5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89"/>
              </w:rPr>
              <w:t>Services</w:t>
            </w:r>
          </w:p>
        </w:tc>
        <w:tc>
          <w:tcPr>
            <w:tcW w:w="5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tcPr>
          <w:p>
            <w:pPr>
              <w:spacing w:after="0" w:line="149" w:lineRule="exact"/>
              <w:rPr>
                <w:sz w:val="20"/>
                <w:szCs w:val="20"/>
                <w:color w:val="auto"/>
              </w:rPr>
            </w:pPr>
            <w:r>
              <w:rPr>
                <w:rFonts w:ascii="Arial" w:cs="Arial" w:eastAsia="Arial" w:hAnsi="Arial"/>
                <w:sz w:val="14"/>
                <w:szCs w:val="14"/>
                <w:color w:val="auto"/>
              </w:rPr>
              <w:t>New Gulf Resources, LLC (Warrants)</w:t>
            </w:r>
          </w:p>
        </w:tc>
        <w:tc>
          <w:tcPr>
            <w:tcW w:w="680" w:type="dxa"/>
            <w:vAlign w:val="bottom"/>
          </w:tcPr>
          <w:p>
            <w:pPr>
              <w:ind w:left="20"/>
              <w:spacing w:after="0" w:line="149" w:lineRule="exact"/>
              <w:rPr>
                <w:sz w:val="20"/>
                <w:szCs w:val="20"/>
                <w:color w:val="auto"/>
              </w:rPr>
            </w:pPr>
            <w:r>
              <w:rPr>
                <w:rFonts w:ascii="Arial" w:cs="Arial" w:eastAsia="Arial" w:hAnsi="Arial"/>
                <w:sz w:val="14"/>
                <w:szCs w:val="14"/>
                <w:color w:val="auto"/>
                <w:w w:val="91"/>
              </w:rPr>
              <w:t>05/09/2024</w:t>
            </w:r>
          </w:p>
        </w:tc>
        <w:tc>
          <w:tcPr>
            <w:tcW w:w="200" w:type="dxa"/>
            <w:vAlign w:val="bottom"/>
          </w:tcPr>
          <w:p>
            <w:pPr>
              <w:spacing w:after="0"/>
              <w:rPr>
                <w:sz w:val="12"/>
                <w:szCs w:val="12"/>
                <w:color w:val="auto"/>
              </w:rPr>
            </w:pPr>
          </w:p>
        </w:tc>
        <w:tc>
          <w:tcPr>
            <w:tcW w:w="146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1"/>
              </w:rPr>
              <w:t>Oil and Gas</w:t>
            </w:r>
          </w:p>
        </w:tc>
        <w:tc>
          <w:tcPr>
            <w:tcW w:w="80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13,500</w:t>
            </w:r>
          </w:p>
        </w:tc>
        <w:tc>
          <w:tcPr>
            <w:tcW w:w="11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495,000</w:t>
            </w: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1,687,355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Old Guard Risk Services, Inc. (Warrants)</w:t>
            </w:r>
          </w:p>
        </w:tc>
        <w:tc>
          <w:tcPr>
            <w:tcW w:w="6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91"/>
              </w:rPr>
              <w:t>11/27/2023</w:t>
            </w:r>
          </w:p>
        </w:tc>
        <w:tc>
          <w:tcPr>
            <w:tcW w:w="20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1"/>
              </w:rPr>
              <w:t>Insurance</w:t>
            </w:r>
          </w:p>
        </w:tc>
        <w:tc>
          <w:tcPr>
            <w:tcW w:w="80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35,490</w:t>
            </w:r>
          </w:p>
        </w:tc>
        <w:tc>
          <w:tcPr>
            <w:tcW w:w="11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495,086</w:t>
            </w: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876,364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60" w:type="dxa"/>
            <w:vAlign w:val="bottom"/>
            <w:gridSpan w:val="2"/>
          </w:tcPr>
          <w:p>
            <w:pPr>
              <w:spacing w:after="0" w:line="130" w:lineRule="exact"/>
              <w:rPr>
                <w:sz w:val="20"/>
                <w:szCs w:val="20"/>
                <w:color w:val="auto"/>
              </w:rPr>
            </w:pPr>
            <w:r>
              <w:rPr>
                <w:rFonts w:ascii="Arial" w:cs="Arial" w:eastAsia="Arial" w:hAnsi="Arial"/>
                <w:sz w:val="14"/>
                <w:szCs w:val="14"/>
                <w:color w:val="auto"/>
              </w:rPr>
              <w:t>Paradigm Acquisition Corp.</w:t>
            </w:r>
          </w:p>
        </w:tc>
        <w:tc>
          <w:tcPr>
            <w:tcW w:w="880" w:type="dxa"/>
            <w:vAlign w:val="bottom"/>
            <w:gridSpan w:val="2"/>
          </w:tcPr>
          <w:p>
            <w:pPr>
              <w:ind w:left="240"/>
              <w:spacing w:after="0" w:line="130" w:lineRule="exact"/>
              <w:rPr>
                <w:sz w:val="20"/>
                <w:szCs w:val="20"/>
                <w:color w:val="auto"/>
              </w:rPr>
            </w:pPr>
            <w:r>
              <w:rPr>
                <w:rFonts w:ascii="Arial" w:cs="Arial" w:eastAsia="Arial" w:hAnsi="Arial"/>
                <w:sz w:val="14"/>
                <w:szCs w:val="14"/>
                <w:color w:val="auto"/>
              </w:rPr>
              <w:t>—</w:t>
            </w:r>
          </w:p>
        </w:tc>
        <w:tc>
          <w:tcPr>
            <w:tcW w:w="1460" w:type="dxa"/>
            <w:vAlign w:val="bottom"/>
            <w:gridSpan w:val="2"/>
          </w:tcPr>
          <w:p>
            <w:pPr>
              <w:jc w:val="center"/>
              <w:ind w:right="180"/>
              <w:spacing w:after="0" w:line="130" w:lineRule="exact"/>
              <w:rPr>
                <w:sz w:val="20"/>
                <w:szCs w:val="20"/>
                <w:color w:val="auto"/>
              </w:rPr>
            </w:pPr>
            <w:r>
              <w:rPr>
                <w:rFonts w:ascii="Arial" w:cs="Arial" w:eastAsia="Arial" w:hAnsi="Arial"/>
                <w:sz w:val="14"/>
                <w:szCs w:val="14"/>
                <w:color w:val="auto"/>
                <w:w w:val="92"/>
              </w:rPr>
              <w:t>Healthcare, Education</w:t>
            </w:r>
          </w:p>
        </w:tc>
        <w:tc>
          <w:tcPr>
            <w:tcW w:w="800" w:type="dxa"/>
            <w:vAlign w:val="bottom"/>
            <w:gridSpan w:val="2"/>
          </w:tcPr>
          <w:p>
            <w:pPr>
              <w:ind w:left="300"/>
              <w:spacing w:after="0" w:line="130" w:lineRule="exact"/>
              <w:rPr>
                <w:sz w:val="20"/>
                <w:szCs w:val="20"/>
                <w:color w:val="auto"/>
              </w:rPr>
            </w:pPr>
            <w:r>
              <w:rPr>
                <w:rFonts w:ascii="Arial" w:cs="Arial" w:eastAsia="Arial" w:hAnsi="Arial"/>
                <w:sz w:val="14"/>
                <w:szCs w:val="14"/>
                <w:color w:val="auto"/>
              </w:rPr>
              <w:t>—</w:t>
            </w:r>
          </w:p>
        </w:tc>
        <w:tc>
          <w:tcPr>
            <w:tcW w:w="98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80"/>
              <w:spacing w:after="0" w:line="130" w:lineRule="exact"/>
              <w:rPr>
                <w:sz w:val="20"/>
                <w:szCs w:val="20"/>
                <w:color w:val="auto"/>
              </w:rPr>
            </w:pPr>
            <w:r>
              <w:rPr>
                <w:rFonts w:ascii="Arial" w:cs="Arial" w:eastAsia="Arial" w:hAnsi="Arial"/>
                <w:sz w:val="14"/>
                <w:szCs w:val="14"/>
                <w:color w:val="auto"/>
              </w:rPr>
              <w:t>20,000</w:t>
            </w:r>
          </w:p>
        </w:tc>
        <w:tc>
          <w:tcPr>
            <w:tcW w:w="1160" w:type="dxa"/>
            <w:vAlign w:val="bottom"/>
            <w:gridSpan w:val="2"/>
          </w:tcPr>
          <w:p>
            <w:pPr>
              <w:jc w:val="right"/>
              <w:ind w:right="280"/>
              <w:spacing w:after="0" w:line="130" w:lineRule="exact"/>
              <w:rPr>
                <w:sz w:val="20"/>
                <w:szCs w:val="20"/>
                <w:color w:val="auto"/>
              </w:rPr>
            </w:pPr>
            <w:r>
              <w:rPr>
                <w:rFonts w:ascii="Arial" w:cs="Arial" w:eastAsia="Arial" w:hAnsi="Arial"/>
                <w:sz w:val="14"/>
                <w:szCs w:val="14"/>
                <w:color w:val="auto"/>
              </w:rPr>
              <w:t>1,171,851</w:t>
            </w:r>
          </w:p>
        </w:tc>
        <w:tc>
          <w:tcPr>
            <w:tcW w:w="96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2,817,200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4"/>
                <w:szCs w:val="14"/>
                <w:color w:val="auto"/>
                <w:w w:val="92"/>
              </w:rPr>
              <w:t>and Childcare</w:t>
            </w: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Power Products Holdings, LLC, Class A Units</w:t>
            </w:r>
            <w:r>
              <w:rPr>
                <w:rFonts w:ascii="Arial" w:cs="Arial" w:eastAsia="Arial" w:hAnsi="Arial"/>
                <w:sz w:val="12"/>
                <w:szCs w:val="12"/>
                <w:color w:val="auto"/>
              </w:rPr>
              <w:t>(11)</w:t>
            </w:r>
            <w:r>
              <w:rPr>
                <w:rFonts w:ascii="Arial" w:cs="Arial" w:eastAsia="Arial" w:hAnsi="Arial"/>
                <w:sz w:val="14"/>
                <w:szCs w:val="14"/>
                <w:color w:val="auto"/>
              </w:rPr>
              <w:t xml:space="preserve"> (Power Products,</w:t>
            </w:r>
          </w:p>
        </w:tc>
        <w:tc>
          <w:tcPr>
            <w:tcW w:w="880" w:type="dxa"/>
            <w:vAlign w:val="bottom"/>
            <w:gridSpan w:val="2"/>
            <w:shd w:val="clear" w:color="auto" w:fill="CCEEFF"/>
          </w:tcPr>
          <w:p>
            <w:pPr>
              <w:ind w:left="240"/>
              <w:spacing w:after="0" w:line="130" w:lineRule="exact"/>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3"/>
              </w:rPr>
              <w:t>Electronics</w:t>
            </w:r>
          </w:p>
        </w:tc>
        <w:tc>
          <w:tcPr>
            <w:tcW w:w="800" w:type="dxa"/>
            <w:vAlign w:val="bottom"/>
            <w:gridSpan w:val="2"/>
            <w:shd w:val="clear" w:color="auto" w:fill="CCEEFF"/>
          </w:tcPr>
          <w:p>
            <w:pPr>
              <w:ind w:left="300"/>
              <w:spacing w:after="0" w:line="130"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96"/>
              </w:rPr>
              <w:t>1,350,000</w:t>
            </w:r>
          </w:p>
        </w:tc>
        <w:tc>
          <w:tcPr>
            <w:tcW w:w="2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1,350,000</w:t>
            </w:r>
          </w:p>
        </w:tc>
        <w:tc>
          <w:tcPr>
            <w:tcW w:w="96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1,289,705</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LLC)</w:t>
            </w: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60" w:type="dxa"/>
            <w:vAlign w:val="bottom"/>
            <w:gridSpan w:val="2"/>
          </w:tcPr>
          <w:p>
            <w:pPr>
              <w:spacing w:after="0" w:line="130" w:lineRule="exact"/>
              <w:rPr>
                <w:sz w:val="20"/>
                <w:szCs w:val="20"/>
                <w:color w:val="auto"/>
              </w:rPr>
            </w:pPr>
            <w:r>
              <w:rPr>
                <w:rFonts w:ascii="Arial" w:cs="Arial" w:eastAsia="Arial" w:hAnsi="Arial"/>
                <w:sz w:val="14"/>
                <w:szCs w:val="14"/>
                <w:color w:val="auto"/>
              </w:rPr>
              <w:t>Power Products Holdings, LLC, Class B Units</w:t>
            </w:r>
            <w:r>
              <w:rPr>
                <w:rFonts w:ascii="Arial" w:cs="Arial" w:eastAsia="Arial" w:hAnsi="Arial"/>
                <w:sz w:val="12"/>
                <w:szCs w:val="12"/>
                <w:color w:val="auto"/>
              </w:rPr>
              <w:t>(11)</w:t>
            </w:r>
            <w:r>
              <w:rPr>
                <w:rFonts w:ascii="Arial" w:cs="Arial" w:eastAsia="Arial" w:hAnsi="Arial"/>
                <w:sz w:val="14"/>
                <w:szCs w:val="14"/>
                <w:color w:val="auto"/>
              </w:rPr>
              <w:t xml:space="preserve"> (Power Products,</w:t>
            </w:r>
          </w:p>
        </w:tc>
        <w:tc>
          <w:tcPr>
            <w:tcW w:w="880" w:type="dxa"/>
            <w:vAlign w:val="bottom"/>
            <w:gridSpan w:val="2"/>
          </w:tcPr>
          <w:p>
            <w:pPr>
              <w:ind w:left="240"/>
              <w:spacing w:after="0" w:line="130" w:lineRule="exact"/>
              <w:rPr>
                <w:sz w:val="20"/>
                <w:szCs w:val="20"/>
                <w:color w:val="auto"/>
              </w:rPr>
            </w:pPr>
            <w:r>
              <w:rPr>
                <w:rFonts w:ascii="Arial" w:cs="Arial" w:eastAsia="Arial" w:hAnsi="Arial"/>
                <w:sz w:val="14"/>
                <w:szCs w:val="14"/>
                <w:color w:val="auto"/>
              </w:rPr>
              <w:t>—</w:t>
            </w:r>
          </w:p>
        </w:tc>
        <w:tc>
          <w:tcPr>
            <w:tcW w:w="1460" w:type="dxa"/>
            <w:vAlign w:val="bottom"/>
            <w:gridSpan w:val="2"/>
          </w:tcPr>
          <w:p>
            <w:pPr>
              <w:jc w:val="center"/>
              <w:ind w:right="180"/>
              <w:spacing w:after="0" w:line="130" w:lineRule="exact"/>
              <w:rPr>
                <w:sz w:val="20"/>
                <w:szCs w:val="20"/>
                <w:color w:val="auto"/>
              </w:rPr>
            </w:pPr>
            <w:r>
              <w:rPr>
                <w:rFonts w:ascii="Arial" w:cs="Arial" w:eastAsia="Arial" w:hAnsi="Arial"/>
                <w:sz w:val="14"/>
                <w:szCs w:val="14"/>
                <w:color w:val="auto"/>
                <w:w w:val="93"/>
              </w:rPr>
              <w:t>Electronics</w:t>
            </w:r>
          </w:p>
        </w:tc>
        <w:tc>
          <w:tcPr>
            <w:tcW w:w="800" w:type="dxa"/>
            <w:vAlign w:val="bottom"/>
            <w:gridSpan w:val="2"/>
          </w:tcPr>
          <w:p>
            <w:pPr>
              <w:ind w:left="300"/>
              <w:spacing w:after="0" w:line="130" w:lineRule="exact"/>
              <w:rPr>
                <w:sz w:val="20"/>
                <w:szCs w:val="20"/>
                <w:color w:val="auto"/>
              </w:rPr>
            </w:pPr>
            <w:r>
              <w:rPr>
                <w:rFonts w:ascii="Arial" w:cs="Arial" w:eastAsia="Arial" w:hAnsi="Arial"/>
                <w:sz w:val="14"/>
                <w:szCs w:val="14"/>
                <w:color w:val="auto"/>
              </w:rPr>
              <w:t>—</w:t>
            </w:r>
          </w:p>
        </w:tc>
        <w:tc>
          <w:tcPr>
            <w:tcW w:w="98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80"/>
              <w:spacing w:after="0" w:line="130" w:lineRule="exact"/>
              <w:rPr>
                <w:sz w:val="20"/>
                <w:szCs w:val="20"/>
                <w:color w:val="auto"/>
              </w:rPr>
            </w:pPr>
            <w:r>
              <w:rPr>
                <w:rFonts w:ascii="Arial" w:cs="Arial" w:eastAsia="Arial" w:hAnsi="Arial"/>
                <w:sz w:val="14"/>
                <w:szCs w:val="14"/>
                <w:color w:val="auto"/>
              </w:rPr>
              <w:t>150,000</w:t>
            </w:r>
          </w:p>
        </w:tc>
        <w:tc>
          <w:tcPr>
            <w:tcW w:w="1160" w:type="dxa"/>
            <w:vAlign w:val="bottom"/>
            <w:gridSpan w:val="2"/>
          </w:tcPr>
          <w:p>
            <w:pPr>
              <w:jc w:val="right"/>
              <w:ind w:right="280"/>
              <w:spacing w:after="0" w:line="130" w:lineRule="exact"/>
              <w:rPr>
                <w:sz w:val="20"/>
                <w:szCs w:val="20"/>
                <w:color w:val="auto"/>
              </w:rPr>
            </w:pPr>
            <w:r>
              <w:rPr>
                <w:rFonts w:ascii="Arial" w:cs="Arial" w:eastAsia="Arial" w:hAnsi="Arial"/>
                <w:sz w:val="14"/>
                <w:szCs w:val="14"/>
                <w:color w:val="auto"/>
              </w:rPr>
              <w:t>150,000</w:t>
            </w:r>
          </w:p>
        </w:tc>
        <w:tc>
          <w:tcPr>
            <w:tcW w:w="96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143,301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60" w:type="dxa"/>
            <w:vAlign w:val="bottom"/>
            <w:gridSpan w:val="2"/>
          </w:tcPr>
          <w:p>
            <w:pPr>
              <w:ind w:left="140"/>
              <w:spacing w:after="0"/>
              <w:rPr>
                <w:sz w:val="20"/>
                <w:szCs w:val="20"/>
                <w:color w:val="auto"/>
              </w:rPr>
            </w:pPr>
            <w:r>
              <w:rPr>
                <w:rFonts w:ascii="Arial" w:cs="Arial" w:eastAsia="Arial" w:hAnsi="Arial"/>
                <w:sz w:val="14"/>
                <w:szCs w:val="14"/>
                <w:color w:val="auto"/>
              </w:rPr>
              <w:t>LLC)</w:t>
            </w: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QMG HoldCo, LLC, Class A (Questex Media Group, LLC)</w:t>
            </w:r>
          </w:p>
        </w:tc>
        <w:tc>
          <w:tcPr>
            <w:tcW w:w="8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6"/>
              </w:rPr>
              <w:t>Other Media</w:t>
            </w:r>
          </w:p>
        </w:tc>
        <w:tc>
          <w:tcPr>
            <w:tcW w:w="80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4,325</w:t>
            </w:r>
          </w:p>
        </w:tc>
        <w:tc>
          <w:tcPr>
            <w:tcW w:w="11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1,306,167</w:t>
            </w: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2,743,823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tcPr>
          <w:p>
            <w:pPr>
              <w:spacing w:after="0" w:line="149" w:lineRule="exact"/>
              <w:rPr>
                <w:sz w:val="20"/>
                <w:szCs w:val="20"/>
                <w:color w:val="auto"/>
              </w:rPr>
            </w:pPr>
            <w:r>
              <w:rPr>
                <w:rFonts w:ascii="Arial" w:cs="Arial" w:eastAsia="Arial" w:hAnsi="Arial"/>
                <w:sz w:val="14"/>
                <w:szCs w:val="14"/>
                <w:color w:val="auto"/>
              </w:rPr>
              <w:t>QMG HoldCo, LLC, Class B (Questex Media Group, LLC)</w:t>
            </w:r>
          </w:p>
        </w:tc>
        <w:tc>
          <w:tcPr>
            <w:tcW w:w="88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Other Media</w:t>
            </w:r>
          </w:p>
        </w:tc>
        <w:tc>
          <w:tcPr>
            <w:tcW w:w="80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531</w:t>
            </w:r>
          </w:p>
        </w:tc>
        <w:tc>
          <w:tcPr>
            <w:tcW w:w="280" w:type="dxa"/>
            <w:vAlign w:val="bottom"/>
          </w:tcPr>
          <w:p>
            <w:pPr>
              <w:spacing w:after="0"/>
              <w:rPr>
                <w:sz w:val="12"/>
                <w:szCs w:val="12"/>
                <w:color w:val="auto"/>
              </w:rPr>
            </w:pPr>
          </w:p>
        </w:tc>
        <w:tc>
          <w:tcPr>
            <w:tcW w:w="116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336,872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Red Point, LLC (f/k/a Hanley-Wood Holdings, LLC)</w:t>
            </w:r>
          </w:p>
        </w:tc>
        <w:tc>
          <w:tcPr>
            <w:tcW w:w="8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6"/>
              </w:rPr>
              <w:t>Other Media</w:t>
            </w:r>
          </w:p>
        </w:tc>
        <w:tc>
          <w:tcPr>
            <w:tcW w:w="80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388,378</w:t>
            </w:r>
          </w:p>
        </w:tc>
        <w:tc>
          <w:tcPr>
            <w:tcW w:w="11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1,629,791</w:t>
            </w: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3,810,570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60" w:type="dxa"/>
            <w:vAlign w:val="bottom"/>
            <w:gridSpan w:val="2"/>
          </w:tcPr>
          <w:p>
            <w:pPr>
              <w:spacing w:after="0" w:line="130" w:lineRule="exact"/>
              <w:rPr>
                <w:sz w:val="20"/>
                <w:szCs w:val="20"/>
                <w:color w:val="auto"/>
              </w:rPr>
            </w:pPr>
            <w:r>
              <w:rPr>
                <w:rFonts w:ascii="Arial" w:cs="Arial" w:eastAsia="Arial" w:hAnsi="Arial"/>
                <w:sz w:val="14"/>
                <w:szCs w:val="14"/>
                <w:color w:val="auto"/>
              </w:rPr>
              <w:t>Ride Holdings, Inc. (f/k/a VRide Holdings, Inc.)</w:t>
            </w:r>
          </w:p>
        </w:tc>
        <w:tc>
          <w:tcPr>
            <w:tcW w:w="880" w:type="dxa"/>
            <w:vAlign w:val="bottom"/>
            <w:gridSpan w:val="2"/>
          </w:tcPr>
          <w:p>
            <w:pPr>
              <w:ind w:left="240"/>
              <w:spacing w:after="0" w:line="130" w:lineRule="exact"/>
              <w:rPr>
                <w:sz w:val="20"/>
                <w:szCs w:val="20"/>
                <w:color w:val="auto"/>
              </w:rPr>
            </w:pPr>
            <w:r>
              <w:rPr>
                <w:rFonts w:ascii="Arial" w:cs="Arial" w:eastAsia="Arial" w:hAnsi="Arial"/>
                <w:sz w:val="14"/>
                <w:szCs w:val="14"/>
                <w:color w:val="auto"/>
              </w:rPr>
              <w:t>—</w:t>
            </w:r>
          </w:p>
        </w:tc>
        <w:tc>
          <w:tcPr>
            <w:tcW w:w="1460" w:type="dxa"/>
            <w:vAlign w:val="bottom"/>
            <w:gridSpan w:val="2"/>
          </w:tcPr>
          <w:p>
            <w:pPr>
              <w:jc w:val="center"/>
              <w:ind w:right="200"/>
              <w:spacing w:after="0" w:line="130" w:lineRule="exact"/>
              <w:rPr>
                <w:sz w:val="20"/>
                <w:szCs w:val="20"/>
                <w:color w:val="auto"/>
              </w:rPr>
            </w:pPr>
            <w:r>
              <w:rPr>
                <w:rFonts w:ascii="Arial" w:cs="Arial" w:eastAsia="Arial" w:hAnsi="Arial"/>
                <w:sz w:val="14"/>
                <w:szCs w:val="14"/>
                <w:color w:val="auto"/>
                <w:w w:val="90"/>
              </w:rPr>
              <w:t>Personal</w:t>
            </w:r>
          </w:p>
        </w:tc>
        <w:tc>
          <w:tcPr>
            <w:tcW w:w="800" w:type="dxa"/>
            <w:vAlign w:val="bottom"/>
            <w:gridSpan w:val="2"/>
          </w:tcPr>
          <w:p>
            <w:pPr>
              <w:ind w:left="300"/>
              <w:spacing w:after="0" w:line="130" w:lineRule="exact"/>
              <w:rPr>
                <w:sz w:val="20"/>
                <w:szCs w:val="20"/>
                <w:color w:val="auto"/>
              </w:rPr>
            </w:pPr>
            <w:r>
              <w:rPr>
                <w:rFonts w:ascii="Arial" w:cs="Arial" w:eastAsia="Arial" w:hAnsi="Arial"/>
                <w:sz w:val="14"/>
                <w:szCs w:val="14"/>
                <w:color w:val="auto"/>
              </w:rPr>
              <w:t>—</w:t>
            </w:r>
          </w:p>
        </w:tc>
        <w:tc>
          <w:tcPr>
            <w:tcW w:w="98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80"/>
              <w:spacing w:after="0" w:line="130" w:lineRule="exact"/>
              <w:rPr>
                <w:sz w:val="20"/>
                <w:szCs w:val="20"/>
                <w:color w:val="auto"/>
              </w:rPr>
            </w:pPr>
            <w:r>
              <w:rPr>
                <w:rFonts w:ascii="Arial" w:cs="Arial" w:eastAsia="Arial" w:hAnsi="Arial"/>
                <w:sz w:val="14"/>
                <w:szCs w:val="14"/>
                <w:color w:val="auto"/>
              </w:rPr>
              <w:t>9,882</w:t>
            </w:r>
          </w:p>
        </w:tc>
        <w:tc>
          <w:tcPr>
            <w:tcW w:w="1160" w:type="dxa"/>
            <w:vAlign w:val="bottom"/>
            <w:gridSpan w:val="2"/>
          </w:tcPr>
          <w:p>
            <w:pPr>
              <w:jc w:val="right"/>
              <w:ind w:right="280"/>
              <w:spacing w:after="0" w:line="130" w:lineRule="exact"/>
              <w:rPr>
                <w:sz w:val="20"/>
                <w:szCs w:val="20"/>
                <w:color w:val="auto"/>
              </w:rPr>
            </w:pPr>
            <w:r>
              <w:rPr>
                <w:rFonts w:ascii="Arial" w:cs="Arial" w:eastAsia="Arial" w:hAnsi="Arial"/>
                <w:sz w:val="14"/>
                <w:szCs w:val="14"/>
                <w:color w:val="auto"/>
              </w:rPr>
              <w:t>11,314</w:t>
            </w:r>
          </w:p>
        </w:tc>
        <w:tc>
          <w:tcPr>
            <w:tcW w:w="96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4"/>
                <w:szCs w:val="14"/>
                <w:color w:val="auto"/>
                <w:w w:val="93"/>
              </w:rPr>
              <w:t>Transportation</w:t>
            </w: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SPG Boyd Holdings Corp.</w:t>
            </w:r>
          </w:p>
        </w:tc>
        <w:tc>
          <w:tcPr>
            <w:tcW w:w="880" w:type="dxa"/>
            <w:vAlign w:val="bottom"/>
            <w:gridSpan w:val="2"/>
            <w:shd w:val="clear" w:color="auto" w:fill="CCEEFF"/>
          </w:tcPr>
          <w:p>
            <w:pPr>
              <w:ind w:left="240"/>
              <w:spacing w:after="0" w:line="130" w:lineRule="exact"/>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3"/>
              </w:rPr>
              <w:t>Chemical, Plastic and</w:t>
            </w:r>
          </w:p>
        </w:tc>
        <w:tc>
          <w:tcPr>
            <w:tcW w:w="800" w:type="dxa"/>
            <w:vAlign w:val="bottom"/>
            <w:gridSpan w:val="2"/>
            <w:shd w:val="clear" w:color="auto" w:fill="CCEEFF"/>
          </w:tcPr>
          <w:p>
            <w:pPr>
              <w:ind w:left="300"/>
              <w:spacing w:after="0" w:line="130"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3,000</w:t>
            </w:r>
          </w:p>
        </w:tc>
        <w:tc>
          <w:tcPr>
            <w:tcW w:w="116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2,419,203</w:t>
            </w:r>
          </w:p>
        </w:tc>
        <w:tc>
          <w:tcPr>
            <w:tcW w:w="96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8,115,035</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5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91"/>
              </w:rPr>
              <w:t>Rubber</w:t>
            </w:r>
          </w:p>
        </w:tc>
        <w:tc>
          <w:tcPr>
            <w:tcW w:w="5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tcPr>
          <w:p>
            <w:pPr>
              <w:spacing w:after="0" w:line="149" w:lineRule="exact"/>
              <w:rPr>
                <w:sz w:val="20"/>
                <w:szCs w:val="20"/>
                <w:color w:val="auto"/>
              </w:rPr>
            </w:pPr>
            <w:r>
              <w:rPr>
                <w:rFonts w:ascii="Arial" w:cs="Arial" w:eastAsia="Arial" w:hAnsi="Arial"/>
                <w:sz w:val="14"/>
                <w:szCs w:val="14"/>
                <w:color w:val="auto"/>
              </w:rPr>
              <w:t>TRAK Acquisition Corp. (Warrants)</w:t>
            </w:r>
          </w:p>
        </w:tc>
        <w:tc>
          <w:tcPr>
            <w:tcW w:w="680" w:type="dxa"/>
            <w:vAlign w:val="bottom"/>
          </w:tcPr>
          <w:p>
            <w:pPr>
              <w:ind w:left="20"/>
              <w:spacing w:after="0" w:line="149" w:lineRule="exact"/>
              <w:rPr>
                <w:sz w:val="20"/>
                <w:szCs w:val="20"/>
                <w:color w:val="auto"/>
              </w:rPr>
            </w:pPr>
            <w:r>
              <w:rPr>
                <w:rFonts w:ascii="Arial" w:cs="Arial" w:eastAsia="Arial" w:hAnsi="Arial"/>
                <w:sz w:val="14"/>
                <w:szCs w:val="14"/>
                <w:color w:val="auto"/>
                <w:w w:val="91"/>
              </w:rPr>
              <w:t>12/29/2019</w:t>
            </w:r>
          </w:p>
        </w:tc>
        <w:tc>
          <w:tcPr>
            <w:tcW w:w="200" w:type="dxa"/>
            <w:vAlign w:val="bottom"/>
          </w:tcPr>
          <w:p>
            <w:pPr>
              <w:spacing w:after="0"/>
              <w:rPr>
                <w:sz w:val="12"/>
                <w:szCs w:val="12"/>
                <w:color w:val="auto"/>
              </w:rPr>
            </w:pPr>
          </w:p>
        </w:tc>
        <w:tc>
          <w:tcPr>
            <w:tcW w:w="146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0"/>
              </w:rPr>
              <w:t>Business Services</w:t>
            </w:r>
          </w:p>
        </w:tc>
        <w:tc>
          <w:tcPr>
            <w:tcW w:w="80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3,500</w:t>
            </w:r>
          </w:p>
        </w:tc>
        <w:tc>
          <w:tcPr>
            <w:tcW w:w="11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29,400</w:t>
            </w: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660,380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Transportation 100 Holdco, L.L.C.</w:t>
            </w:r>
            <w:r>
              <w:rPr>
                <w:rFonts w:ascii="Arial" w:cs="Arial" w:eastAsia="Arial" w:hAnsi="Arial"/>
                <w:sz w:val="12"/>
                <w:szCs w:val="12"/>
                <w:color w:val="auto"/>
              </w:rPr>
              <w:t>(11)</w:t>
            </w:r>
          </w:p>
        </w:tc>
        <w:tc>
          <w:tcPr>
            <w:tcW w:w="880" w:type="dxa"/>
            <w:vAlign w:val="bottom"/>
            <w:gridSpan w:val="2"/>
            <w:shd w:val="clear" w:color="auto" w:fill="CCEEFF"/>
          </w:tcPr>
          <w:p>
            <w:pPr>
              <w:ind w:left="240"/>
              <w:spacing w:after="0" w:line="130" w:lineRule="exact"/>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2"/>
              </w:rPr>
              <w:t>Cargo Transport</w:t>
            </w:r>
          </w:p>
        </w:tc>
        <w:tc>
          <w:tcPr>
            <w:tcW w:w="800" w:type="dxa"/>
            <w:vAlign w:val="bottom"/>
            <w:gridSpan w:val="2"/>
            <w:shd w:val="clear" w:color="auto" w:fill="CCEEFF"/>
          </w:tcPr>
          <w:p>
            <w:pPr>
              <w:ind w:left="300"/>
              <w:spacing w:after="0" w:line="130"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137,923</w:t>
            </w:r>
          </w:p>
        </w:tc>
        <w:tc>
          <w:tcPr>
            <w:tcW w:w="116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2,111,588</w:t>
            </w:r>
          </w:p>
        </w:tc>
        <w:tc>
          <w:tcPr>
            <w:tcW w:w="96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(Intermediate Transportation 100, L.L.C.)</w:t>
            </w: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tcPr>
          <w:p>
            <w:pPr>
              <w:spacing w:after="0" w:line="149" w:lineRule="exact"/>
              <w:rPr>
                <w:sz w:val="20"/>
                <w:szCs w:val="20"/>
                <w:color w:val="auto"/>
              </w:rPr>
            </w:pPr>
            <w:r>
              <w:rPr>
                <w:rFonts w:ascii="Arial" w:cs="Arial" w:eastAsia="Arial" w:hAnsi="Arial"/>
                <w:sz w:val="14"/>
                <w:szCs w:val="14"/>
                <w:color w:val="auto"/>
              </w:rPr>
              <w:t>TZ Holdings, L.P.</w:t>
            </w:r>
          </w:p>
        </w:tc>
        <w:tc>
          <w:tcPr>
            <w:tcW w:w="88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1"/>
              </w:rPr>
              <w:t>Insurance</w:t>
            </w:r>
          </w:p>
        </w:tc>
        <w:tc>
          <w:tcPr>
            <w:tcW w:w="80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280" w:type="dxa"/>
            <w:vAlign w:val="bottom"/>
          </w:tcPr>
          <w:p>
            <w:pPr>
              <w:spacing w:after="0"/>
              <w:rPr>
                <w:sz w:val="12"/>
                <w:szCs w:val="12"/>
                <w:color w:val="auto"/>
              </w:rPr>
            </w:pPr>
          </w:p>
        </w:tc>
        <w:tc>
          <w:tcPr>
            <w:tcW w:w="11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9,567</w:t>
            </w: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486,865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Vestcom Parent Holdings, Inc. (Vestcom International, Inc.)</w:t>
            </w:r>
          </w:p>
        </w:tc>
        <w:tc>
          <w:tcPr>
            <w:tcW w:w="880" w:type="dxa"/>
            <w:vAlign w:val="bottom"/>
            <w:gridSpan w:val="2"/>
            <w:shd w:val="clear" w:color="auto" w:fill="CCEEFF"/>
          </w:tcPr>
          <w:p>
            <w:pPr>
              <w:ind w:left="240"/>
              <w:spacing w:after="0" w:line="130" w:lineRule="exact"/>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3"/>
              </w:rPr>
              <w:t>Printing and</w:t>
            </w:r>
          </w:p>
        </w:tc>
        <w:tc>
          <w:tcPr>
            <w:tcW w:w="800" w:type="dxa"/>
            <w:vAlign w:val="bottom"/>
            <w:gridSpan w:val="2"/>
            <w:shd w:val="clear" w:color="auto" w:fill="CCEEFF"/>
          </w:tcPr>
          <w:p>
            <w:pPr>
              <w:ind w:left="300"/>
              <w:spacing w:after="0" w:line="130"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211,797</w:t>
            </w:r>
          </w:p>
        </w:tc>
        <w:tc>
          <w:tcPr>
            <w:tcW w:w="2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2,325,555</w:t>
            </w:r>
          </w:p>
        </w:tc>
        <w:tc>
          <w:tcPr>
            <w:tcW w:w="96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5,878,900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5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95"/>
              </w:rPr>
              <w:t>Publishing</w:t>
            </w:r>
          </w:p>
        </w:tc>
        <w:tc>
          <w:tcPr>
            <w:tcW w:w="5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tcPr>
          <w:p>
            <w:pPr>
              <w:spacing w:after="0" w:line="149" w:lineRule="exact"/>
              <w:rPr>
                <w:sz w:val="20"/>
                <w:szCs w:val="20"/>
                <w:color w:val="auto"/>
              </w:rPr>
            </w:pPr>
            <w:r>
              <w:rPr>
                <w:rFonts w:ascii="Arial" w:cs="Arial" w:eastAsia="Arial" w:hAnsi="Arial"/>
                <w:sz w:val="14"/>
                <w:szCs w:val="14"/>
                <w:color w:val="auto"/>
              </w:rPr>
              <w:t>VText Holdings, Inc.</w:t>
            </w:r>
          </w:p>
        </w:tc>
        <w:tc>
          <w:tcPr>
            <w:tcW w:w="88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0"/>
              </w:rPr>
              <w:t>Business Services</w:t>
            </w:r>
          </w:p>
        </w:tc>
        <w:tc>
          <w:tcPr>
            <w:tcW w:w="80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35,526</w:t>
            </w:r>
          </w:p>
        </w:tc>
        <w:tc>
          <w:tcPr>
            <w:tcW w:w="11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4,050,000</w:t>
            </w: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4,897,658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Z Wireless Holdings, Inc. (Warrants)</w:t>
            </w:r>
          </w:p>
        </w:tc>
        <w:tc>
          <w:tcPr>
            <w:tcW w:w="6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91"/>
              </w:rPr>
              <w:t>10/21/2021</w:t>
            </w:r>
          </w:p>
        </w:tc>
        <w:tc>
          <w:tcPr>
            <w:tcW w:w="20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4"/>
              </w:rPr>
              <w:t>Retail</w:t>
            </w:r>
          </w:p>
        </w:tc>
        <w:tc>
          <w:tcPr>
            <w:tcW w:w="80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1,736</w:t>
            </w:r>
          </w:p>
        </w:tc>
        <w:tc>
          <w:tcPr>
            <w:tcW w:w="11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168,799</w:t>
            </w: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236,890</w:t>
            </w:r>
          </w:p>
        </w:tc>
        <w:tc>
          <w:tcPr>
            <w:tcW w:w="0" w:type="dxa"/>
            <w:vAlign w:val="bottom"/>
          </w:tcPr>
          <w:p>
            <w:pPr>
              <w:spacing w:after="0"/>
              <w:rPr>
                <w:sz w:val="1"/>
                <w:szCs w:val="1"/>
                <w:color w:val="auto"/>
              </w:rPr>
            </w:pPr>
          </w:p>
        </w:tc>
      </w:tr>
      <w:tr>
        <w:trPr>
          <w:trHeight w:val="163"/>
        </w:trPr>
        <w:tc>
          <w:tcPr>
            <w:tcW w:w="42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Common Equity/Partnership Interests/Warrants</w:t>
            </w: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47,656,091</w:t>
            </w:r>
          </w:p>
        </w:tc>
        <w:tc>
          <w:tcPr>
            <w:tcW w:w="280" w:type="dxa"/>
            <w:vAlign w:val="bottom"/>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79,319,919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 in Non-Controlled, Non-Affiliated Portfolio Companies</w:t>
            </w:r>
          </w:p>
        </w:tc>
        <w:tc>
          <w:tcPr>
            <w:tcW w:w="1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1,028,125,032</w:t>
            </w:r>
          </w:p>
        </w:tc>
        <w:tc>
          <w:tcPr>
            <w:tcW w:w="280" w:type="dxa"/>
            <w:vAlign w:val="bottom"/>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1,089,476,729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S-46</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Basis Point</w:t>
            </w: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Maturity/</w:t>
            </w: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Current</w:t>
            </w: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Spread</w:t>
            </w: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8"/>
              </w:rPr>
              <w:t>Par/</w:t>
            </w: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Issuer Name</w:t>
            </w:r>
          </w:p>
        </w:tc>
        <w:tc>
          <w:tcPr>
            <w:tcW w:w="780" w:type="dxa"/>
            <w:vAlign w:val="bottom"/>
            <w:gridSpan w:val="2"/>
            <w:vMerge w:val="continue"/>
          </w:tcPr>
          <w:p>
            <w:pPr>
              <w:spacing w:after="0"/>
              <w:rPr>
                <w:sz w:val="12"/>
                <w:szCs w:val="12"/>
                <w:color w:val="auto"/>
              </w:rPr>
            </w:pPr>
          </w:p>
        </w:tc>
        <w:tc>
          <w:tcPr>
            <w:tcW w:w="14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Industry</w:t>
            </w:r>
          </w:p>
        </w:tc>
        <w:tc>
          <w:tcPr>
            <w:tcW w:w="1100" w:type="dxa"/>
            <w:vAlign w:val="bottom"/>
            <w:gridSpan w:val="2"/>
            <w:vMerge w:val="continue"/>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Above</w:t>
            </w: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2"/>
                <w:szCs w:val="12"/>
                <w:color w:val="auto"/>
              </w:rPr>
            </w:pPr>
          </w:p>
        </w:tc>
        <w:tc>
          <w:tcPr>
            <w:tcW w:w="102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2"/>
                <w:szCs w:val="12"/>
                <w:b w:val="1"/>
                <w:bCs w:val="1"/>
                <w:color w:val="auto"/>
              </w:rPr>
              <w:t>(3)</w:t>
            </w:r>
          </w:p>
        </w:tc>
        <w:tc>
          <w:tcPr>
            <w:tcW w:w="0" w:type="dxa"/>
            <w:vAlign w:val="bottom"/>
          </w:tcPr>
          <w:p>
            <w:pPr>
              <w:spacing w:after="0"/>
              <w:rPr>
                <w:sz w:val="1"/>
                <w:szCs w:val="1"/>
                <w:color w:val="auto"/>
              </w:rPr>
            </w:pPr>
          </w:p>
        </w:tc>
      </w:tr>
      <w:tr>
        <w:trPr>
          <w:trHeight w:val="171"/>
        </w:trPr>
        <w:tc>
          <w:tcPr>
            <w:tcW w:w="4160" w:type="dxa"/>
            <w:vAlign w:val="bottom"/>
            <w:gridSpan w:val="3"/>
            <w:vMerge w:val="continue"/>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Expiration</w:t>
            </w:r>
          </w:p>
        </w:tc>
        <w:tc>
          <w:tcPr>
            <w:tcW w:w="1480" w:type="dxa"/>
            <w:vAlign w:val="bottom"/>
            <w:gridSpan w:val="2"/>
            <w:vMerge w:val="continue"/>
          </w:tcPr>
          <w:p>
            <w:pPr>
              <w:spacing w:after="0"/>
              <w:rPr>
                <w:sz w:val="14"/>
                <w:szCs w:val="14"/>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Coupon</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Index</w:t>
            </w:r>
            <w:r>
              <w:rPr>
                <w:rFonts w:ascii="Arial" w:cs="Arial" w:eastAsia="Arial" w:hAnsi="Arial"/>
                <w:sz w:val="12"/>
                <w:szCs w:val="12"/>
                <w:b w:val="1"/>
                <w:bCs w:val="1"/>
                <w:color w:val="auto"/>
                <w:w w:val="93"/>
              </w:rPr>
              <w:t>(4)</w:t>
            </w: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Shares</w:t>
            </w: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6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90"/>
              </w:rPr>
              <w:t>Investments</w:t>
            </w:r>
          </w:p>
        </w:tc>
        <w:tc>
          <w:tcPr>
            <w:tcW w:w="338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90"/>
              </w:rPr>
              <w:t>in Non-Controlled, Affiliated Portfolio Companies—9.5%</w:t>
            </w:r>
          </w:p>
        </w:tc>
        <w:tc>
          <w:tcPr>
            <w:tcW w:w="68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2"/>
                <w:szCs w:val="12"/>
                <w:b w:val="1"/>
                <w:bCs w:val="1"/>
                <w:color w:val="auto"/>
                <w:w w:val="94"/>
              </w:rPr>
              <w:t>(1), (2)</w:t>
            </w:r>
          </w:p>
        </w:tc>
        <w:tc>
          <w:tcPr>
            <w:tcW w:w="100" w:type="dxa"/>
            <w:vAlign w:val="bottom"/>
            <w:tcBorders>
              <w:top w:val="single" w:sz="8" w:color="CCEEFF"/>
            </w:tcBorders>
            <w:shd w:val="clear" w:color="auto" w:fill="CCEEFF"/>
          </w:tcPr>
          <w:p>
            <w:pPr>
              <w:spacing w:after="0"/>
              <w:rPr>
                <w:sz w:val="11"/>
                <w:szCs w:val="11"/>
                <w:color w:val="auto"/>
              </w:rPr>
            </w:pPr>
          </w:p>
        </w:tc>
        <w:tc>
          <w:tcPr>
            <w:tcW w:w="13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Second Lien Secured Debt—1.2%</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EnviroSolutions Real Property Holdings, Inc.</w:t>
            </w:r>
          </w:p>
        </w:tc>
        <w:tc>
          <w:tcPr>
            <w:tcW w:w="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12/26/2017</w:t>
            </w:r>
          </w:p>
        </w:tc>
        <w:tc>
          <w:tcPr>
            <w:tcW w:w="10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3"/>
              </w:rPr>
              <w:t>Environmental Services</w:t>
            </w: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9.00%</w:t>
            </w: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L+800</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9,409,740</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9,154,475</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9,127,448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1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Subordinated Debt/Corporate Notes—5.2%</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1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DirectBuy Holdings, Inc.</w:t>
            </w:r>
          </w:p>
        </w:tc>
        <w:tc>
          <w:tcPr>
            <w:tcW w:w="6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11/05/2019</w:t>
            </w:r>
          </w:p>
        </w:tc>
        <w:tc>
          <w:tcPr>
            <w:tcW w:w="100" w:type="dxa"/>
            <w:vAlign w:val="bottom"/>
            <w:shd w:val="clear" w:color="auto" w:fill="CCEEFF"/>
          </w:tcPr>
          <w:p>
            <w:pPr>
              <w:spacing w:after="0"/>
              <w:rPr>
                <w:sz w:val="11"/>
                <w:szCs w:val="11"/>
                <w:color w:val="auto"/>
              </w:rPr>
            </w:pPr>
          </w:p>
        </w:tc>
        <w:tc>
          <w:tcPr>
            <w:tcW w:w="148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2"/>
              </w:rPr>
              <w:t>Consumer Products</w:t>
            </w:r>
          </w:p>
        </w:tc>
        <w:tc>
          <w:tcPr>
            <w:tcW w:w="110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12.00%</w:t>
            </w:r>
          </w:p>
        </w:tc>
        <w:tc>
          <w:tcPr>
            <w:tcW w:w="86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w w:val="96"/>
              </w:rPr>
              <w:t>11,293,336</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11,293,337</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11,293,336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3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(PIK 12.00%)</w:t>
            </w: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40" w:type="dxa"/>
            <w:vAlign w:val="bottom"/>
            <w:gridSpan w:val="2"/>
          </w:tcPr>
          <w:p>
            <w:pPr>
              <w:spacing w:after="0" w:line="149" w:lineRule="exact"/>
              <w:rPr>
                <w:sz w:val="20"/>
                <w:szCs w:val="20"/>
                <w:color w:val="auto"/>
              </w:rPr>
            </w:pPr>
            <w:r>
              <w:rPr>
                <w:rFonts w:ascii="Arial" w:cs="Arial" w:eastAsia="Arial" w:hAnsi="Arial"/>
                <w:sz w:val="14"/>
                <w:szCs w:val="14"/>
                <w:color w:val="auto"/>
              </w:rPr>
              <w:t>Service Champ, Inc.</w:t>
            </w: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4"/>
              </w:rPr>
              <w:t>10/02/2017</w:t>
            </w:r>
          </w:p>
        </w:tc>
        <w:tc>
          <w:tcPr>
            <w:tcW w:w="100" w:type="dxa"/>
            <w:vAlign w:val="bottom"/>
          </w:tcPr>
          <w:p>
            <w:pPr>
              <w:spacing w:after="0"/>
              <w:rPr>
                <w:sz w:val="13"/>
                <w:szCs w:val="13"/>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5"/>
              </w:rPr>
              <w:t>Auto Sector</w:t>
            </w: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12.50%</w:t>
            </w: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28,000,000</w:t>
            </w: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27,553,644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28,280,000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Subordinated Debt/Corporate Notes</w:t>
            </w: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38,846,981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39,573,336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1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Preferred Equity –0.1%</w:t>
            </w:r>
            <w:r>
              <w:rPr>
                <w:rFonts w:ascii="Arial" w:cs="Arial" w:eastAsia="Arial" w:hAnsi="Arial"/>
                <w:sz w:val="12"/>
                <w:szCs w:val="12"/>
                <w:b w:val="1"/>
                <w:bCs w:val="1"/>
                <w:color w:val="auto"/>
              </w:rPr>
              <w:t>(6)</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PAS International Holdings, Inc.</w:t>
            </w:r>
          </w:p>
        </w:tc>
        <w:tc>
          <w:tcPr>
            <w:tcW w:w="7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0"/>
              </w:rPr>
              <w:t>Aerospace and Defense</w:t>
            </w:r>
          </w:p>
        </w:tc>
        <w:tc>
          <w:tcPr>
            <w:tcW w:w="11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53,071</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20,059,340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806,679</w:t>
            </w:r>
          </w:p>
        </w:tc>
        <w:tc>
          <w:tcPr>
            <w:tcW w:w="0" w:type="dxa"/>
            <w:vAlign w:val="bottom"/>
          </w:tcPr>
          <w:p>
            <w:pPr>
              <w:spacing w:after="0"/>
              <w:rPr>
                <w:sz w:val="1"/>
                <w:szCs w:val="1"/>
                <w:color w:val="auto"/>
              </w:rPr>
            </w:pPr>
          </w:p>
        </w:tc>
      </w:tr>
      <w:tr>
        <w:trPr>
          <w:trHeight w:val="156"/>
        </w:trPr>
        <w:tc>
          <w:tcPr>
            <w:tcW w:w="41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Common Equity/Partnership Interest/Warrants—3.0%</w:t>
            </w:r>
            <w:r>
              <w:rPr>
                <w:rFonts w:ascii="Arial" w:cs="Arial" w:eastAsia="Arial" w:hAnsi="Arial"/>
                <w:sz w:val="12"/>
                <w:szCs w:val="12"/>
                <w:b w:val="1"/>
                <w:bCs w:val="1"/>
                <w:color w:val="auto"/>
              </w:rPr>
              <w:t>(6)</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DirectBuy Holdings, Inc.</w:t>
            </w:r>
          </w:p>
        </w:tc>
        <w:tc>
          <w:tcPr>
            <w:tcW w:w="7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2"/>
              </w:rPr>
              <w:t>Consumer Products</w:t>
            </w:r>
          </w:p>
        </w:tc>
        <w:tc>
          <w:tcPr>
            <w:tcW w:w="11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104,719</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21,492,822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1,275,305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tcPr>
          <w:p>
            <w:pPr>
              <w:spacing w:after="0" w:line="149" w:lineRule="exact"/>
              <w:rPr>
                <w:sz w:val="20"/>
                <w:szCs w:val="20"/>
                <w:color w:val="auto"/>
              </w:rPr>
            </w:pPr>
            <w:r>
              <w:rPr>
                <w:rFonts w:ascii="Arial" w:cs="Arial" w:eastAsia="Arial" w:hAnsi="Arial"/>
                <w:sz w:val="14"/>
                <w:szCs w:val="14"/>
                <w:color w:val="auto"/>
              </w:rPr>
              <w:t>DirectBuy Holdings, Inc. (Warrants)</w:t>
            </w: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4"/>
              </w:rPr>
              <w:t>11/05/2022</w:t>
            </w:r>
          </w:p>
        </w:tc>
        <w:tc>
          <w:tcPr>
            <w:tcW w:w="10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2"/>
              </w:rPr>
              <w:t>Consumer Products</w:t>
            </w:r>
          </w:p>
        </w:tc>
        <w:tc>
          <w:tcPr>
            <w:tcW w:w="11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15,486</w:t>
            </w:r>
          </w:p>
        </w:tc>
        <w:tc>
          <w:tcPr>
            <w:tcW w:w="80" w:type="dxa"/>
            <w:vAlign w:val="bottom"/>
          </w:tcPr>
          <w:p>
            <w:pPr>
              <w:spacing w:after="0"/>
              <w:rPr>
                <w:sz w:val="12"/>
                <w:szCs w:val="12"/>
                <w:color w:val="auto"/>
              </w:rPr>
            </w:pPr>
          </w:p>
        </w:tc>
        <w:tc>
          <w:tcPr>
            <w:tcW w:w="92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188,439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1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EnviroSolutions Holdings, Inc.</w:t>
            </w:r>
          </w:p>
        </w:tc>
        <w:tc>
          <w:tcPr>
            <w:tcW w:w="780" w:type="dxa"/>
            <w:vAlign w:val="bottom"/>
            <w:gridSpan w:val="2"/>
            <w:shd w:val="clear" w:color="auto" w:fill="CCEEFF"/>
          </w:tcPr>
          <w:p>
            <w:pPr>
              <w:ind w:left="240"/>
              <w:spacing w:after="0" w:line="130"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3"/>
              </w:rPr>
              <w:t>Environmental Services</w:t>
            </w:r>
          </w:p>
        </w:tc>
        <w:tc>
          <w:tcPr>
            <w:tcW w:w="1100" w:type="dxa"/>
            <w:vAlign w:val="bottom"/>
            <w:gridSpan w:val="2"/>
            <w:shd w:val="clear" w:color="auto" w:fill="CCEEFF"/>
          </w:tcPr>
          <w:p>
            <w:pPr>
              <w:jc w:val="right"/>
              <w:ind w:right="480"/>
              <w:spacing w:after="0" w:line="130"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143,668</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11,960,702</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15,435,690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1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(EnviroSolutions Real Property Holdings, Inc.)</w:t>
            </w: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140" w:type="dxa"/>
            <w:vAlign w:val="bottom"/>
            <w:gridSpan w:val="2"/>
          </w:tcPr>
          <w:p>
            <w:pPr>
              <w:spacing w:after="0" w:line="130" w:lineRule="exact"/>
              <w:rPr>
                <w:sz w:val="20"/>
                <w:szCs w:val="20"/>
                <w:color w:val="auto"/>
              </w:rPr>
            </w:pPr>
            <w:r>
              <w:rPr>
                <w:rFonts w:ascii="Arial" w:cs="Arial" w:eastAsia="Arial" w:hAnsi="Arial"/>
                <w:sz w:val="14"/>
                <w:szCs w:val="14"/>
                <w:color w:val="auto"/>
              </w:rPr>
              <w:t>NCP-Performance, L.P.</w:t>
            </w:r>
          </w:p>
        </w:tc>
        <w:tc>
          <w:tcPr>
            <w:tcW w:w="780" w:type="dxa"/>
            <w:vAlign w:val="bottom"/>
            <w:gridSpan w:val="2"/>
          </w:tcPr>
          <w:p>
            <w:pPr>
              <w:ind w:left="240"/>
              <w:spacing w:after="0" w:line="130" w:lineRule="exact"/>
              <w:rPr>
                <w:sz w:val="20"/>
                <w:szCs w:val="20"/>
                <w:color w:val="auto"/>
              </w:rPr>
            </w:pPr>
            <w:r>
              <w:rPr>
                <w:rFonts w:ascii="Arial" w:cs="Arial" w:eastAsia="Arial" w:hAnsi="Arial"/>
                <w:sz w:val="14"/>
                <w:szCs w:val="14"/>
                <w:color w:val="auto"/>
              </w:rPr>
              <w:t>—</w:t>
            </w:r>
          </w:p>
        </w:tc>
        <w:tc>
          <w:tcPr>
            <w:tcW w:w="1480" w:type="dxa"/>
            <w:vAlign w:val="bottom"/>
            <w:gridSpan w:val="2"/>
          </w:tcPr>
          <w:p>
            <w:pPr>
              <w:jc w:val="center"/>
              <w:ind w:right="80"/>
              <w:spacing w:after="0" w:line="130" w:lineRule="exact"/>
              <w:rPr>
                <w:sz w:val="20"/>
                <w:szCs w:val="20"/>
                <w:color w:val="auto"/>
              </w:rPr>
            </w:pPr>
            <w:r>
              <w:rPr>
                <w:rFonts w:ascii="Arial" w:cs="Arial" w:eastAsia="Arial" w:hAnsi="Arial"/>
                <w:sz w:val="14"/>
                <w:szCs w:val="14"/>
                <w:color w:val="auto"/>
                <w:w w:val="93"/>
              </w:rPr>
              <w:t>Leisure, Amusement,</w:t>
            </w:r>
          </w:p>
        </w:tc>
        <w:tc>
          <w:tcPr>
            <w:tcW w:w="1100" w:type="dxa"/>
            <w:vAlign w:val="bottom"/>
            <w:gridSpan w:val="2"/>
          </w:tcPr>
          <w:p>
            <w:pPr>
              <w:jc w:val="right"/>
              <w:ind w:right="480"/>
              <w:spacing w:after="0" w:line="130"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rPr>
              <w:t>375,000</w:t>
            </w:r>
          </w:p>
        </w:tc>
        <w:tc>
          <w:tcPr>
            <w:tcW w:w="80" w:type="dxa"/>
            <w:vAlign w:val="bottom"/>
          </w:tcPr>
          <w:p>
            <w:pPr>
              <w:spacing w:after="0"/>
              <w:rPr>
                <w:sz w:val="11"/>
                <w:szCs w:val="11"/>
                <w:color w:val="auto"/>
              </w:rPr>
            </w:pPr>
          </w:p>
        </w:tc>
        <w:tc>
          <w:tcPr>
            <w:tcW w:w="92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3,750,000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157,518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5"/>
              </w:rPr>
              <w:t>Motion Pictures and</w:t>
            </w: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Entertainment</w:t>
            </w: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New Service Champ Holdings, Inc. (Service Champ, Inc.)</w:t>
            </w:r>
          </w:p>
        </w:tc>
        <w:tc>
          <w:tcPr>
            <w:tcW w:w="7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5"/>
              </w:rPr>
              <w:t>Auto Sector</w:t>
            </w:r>
          </w:p>
        </w:tc>
        <w:tc>
          <w:tcPr>
            <w:tcW w:w="11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16,800</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2,721,600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5,375,320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40" w:type="dxa"/>
            <w:vAlign w:val="bottom"/>
            <w:gridSpan w:val="2"/>
          </w:tcPr>
          <w:p>
            <w:pPr>
              <w:spacing w:after="0" w:line="149" w:lineRule="exact"/>
              <w:rPr>
                <w:sz w:val="20"/>
                <w:szCs w:val="20"/>
                <w:color w:val="auto"/>
              </w:rPr>
            </w:pPr>
            <w:r>
              <w:rPr>
                <w:rFonts w:ascii="Arial" w:cs="Arial" w:eastAsia="Arial" w:hAnsi="Arial"/>
                <w:sz w:val="14"/>
                <w:szCs w:val="14"/>
                <w:color w:val="auto"/>
              </w:rPr>
              <w:t>PAS International Holdings, Inc.</w:t>
            </w:r>
          </w:p>
        </w:tc>
        <w:tc>
          <w:tcPr>
            <w:tcW w:w="78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0"/>
              </w:rPr>
              <w:t>Aerospace and Defense</w:t>
            </w:r>
          </w:p>
        </w:tc>
        <w:tc>
          <w:tcPr>
            <w:tcW w:w="11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53,071</w:t>
            </w: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202,620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Common Equity/Partnership Interest/Warrants</w:t>
            </w: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40,127,744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22,432,272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940" w:type="dxa"/>
            <w:vAlign w:val="bottom"/>
            <w:gridSpan w:val="5"/>
          </w:tcPr>
          <w:p>
            <w:pPr>
              <w:spacing w:after="0" w:line="155" w:lineRule="exact"/>
              <w:rPr>
                <w:sz w:val="20"/>
                <w:szCs w:val="20"/>
                <w:color w:val="auto"/>
              </w:rPr>
            </w:pPr>
            <w:r>
              <w:rPr>
                <w:rFonts w:ascii="Arial" w:cs="Arial" w:eastAsia="Arial" w:hAnsi="Arial"/>
                <w:sz w:val="14"/>
                <w:szCs w:val="14"/>
                <w:b w:val="1"/>
                <w:bCs w:val="1"/>
                <w:color w:val="auto"/>
              </w:rPr>
              <w:t>Total Investments in Non-Controlled, Affiliated Portfolio Companies</w:t>
            </w: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108,188,540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71,939,735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2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Investments in Controlled, Affiliated Portfolio Companies—5.0%</w:t>
            </w:r>
            <w:r>
              <w:rPr>
                <w:rFonts w:ascii="Arial" w:cs="Arial" w:eastAsia="Arial" w:hAnsi="Arial"/>
                <w:sz w:val="12"/>
                <w:szCs w:val="12"/>
                <w:b w:val="1"/>
                <w:bCs w:val="1"/>
                <w:color w:val="auto"/>
              </w:rPr>
              <w:t>(1),(2)</w:t>
            </w:r>
          </w:p>
        </w:tc>
        <w:tc>
          <w:tcPr>
            <w:tcW w:w="1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First Lien Secured Debt—4.1%</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Superior Digital Displays, LLC</w:t>
            </w:r>
          </w:p>
        </w:tc>
        <w:tc>
          <w:tcPr>
            <w:tcW w:w="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12/31/2018</w:t>
            </w:r>
          </w:p>
        </w:tc>
        <w:tc>
          <w:tcPr>
            <w:tcW w:w="10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9"/>
              </w:rPr>
              <w:t>Media</w:t>
            </w: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13.50%</w:t>
            </w: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L+1,250</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19,250,000</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17,236,708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16,461,023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tcPr>
          <w:p>
            <w:pPr>
              <w:spacing w:after="0" w:line="149" w:lineRule="exact"/>
              <w:rPr>
                <w:sz w:val="20"/>
                <w:szCs w:val="20"/>
                <w:color w:val="auto"/>
              </w:rPr>
            </w:pPr>
            <w:r>
              <w:rPr>
                <w:rFonts w:ascii="Arial" w:cs="Arial" w:eastAsia="Arial" w:hAnsi="Arial"/>
                <w:sz w:val="14"/>
                <w:szCs w:val="14"/>
                <w:color w:val="auto"/>
              </w:rPr>
              <w:t>Superior Digital Displays, LLC</w:t>
            </w:r>
            <w:r>
              <w:rPr>
                <w:rFonts w:ascii="Arial" w:cs="Arial" w:eastAsia="Arial" w:hAnsi="Arial"/>
                <w:sz w:val="12"/>
                <w:szCs w:val="12"/>
                <w:color w:val="auto"/>
              </w:rPr>
              <w:t>(9)</w:t>
            </w: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4"/>
              </w:rPr>
              <w:t>12/31/2018</w:t>
            </w:r>
          </w:p>
        </w:tc>
        <w:tc>
          <w:tcPr>
            <w:tcW w:w="10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9"/>
              </w:rPr>
              <w:t>Media</w:t>
            </w:r>
          </w:p>
        </w:tc>
        <w:tc>
          <w:tcPr>
            <w:tcW w:w="11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5,750,000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5,159,437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4,916,929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SuttonPark Holdings, Inc.</w:t>
            </w:r>
          </w:p>
        </w:tc>
        <w:tc>
          <w:tcPr>
            <w:tcW w:w="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06/30/2020</w:t>
            </w:r>
          </w:p>
        </w:tc>
        <w:tc>
          <w:tcPr>
            <w:tcW w:w="10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0"/>
              </w:rPr>
              <w:t>Business Services</w:t>
            </w:r>
          </w:p>
        </w:tc>
        <w:tc>
          <w:tcPr>
            <w:tcW w:w="11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14.00%</w:t>
            </w:r>
            <w:r>
              <w:rPr>
                <w:rFonts w:ascii="Arial" w:cs="Arial" w:eastAsia="Arial" w:hAnsi="Arial"/>
                <w:sz w:val="12"/>
                <w:szCs w:val="12"/>
                <w:color w:val="auto"/>
              </w:rPr>
              <w:t>(7)</w:t>
            </w: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9,250,000</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9,250,000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9,534,077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1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First Lien Secured Debt</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31,646,145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30,912,029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Subordinated Debt/Corporate Notes—0.3%</w:t>
            </w: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40" w:type="dxa"/>
            <w:vAlign w:val="bottom"/>
            <w:gridSpan w:val="2"/>
          </w:tcPr>
          <w:p>
            <w:pPr>
              <w:spacing w:after="0" w:line="149" w:lineRule="exact"/>
              <w:rPr>
                <w:sz w:val="20"/>
                <w:szCs w:val="20"/>
                <w:color w:val="auto"/>
              </w:rPr>
            </w:pPr>
            <w:r>
              <w:rPr>
                <w:rFonts w:ascii="Arial" w:cs="Arial" w:eastAsia="Arial" w:hAnsi="Arial"/>
                <w:sz w:val="14"/>
                <w:szCs w:val="14"/>
                <w:color w:val="auto"/>
              </w:rPr>
              <w:t>SuttonPark Holdings, Inc.</w:t>
            </w: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3"/>
              </w:rPr>
              <w:t>6/30/2020</w:t>
            </w:r>
          </w:p>
        </w:tc>
        <w:tc>
          <w:tcPr>
            <w:tcW w:w="100" w:type="dxa"/>
            <w:vAlign w:val="bottom"/>
          </w:tcPr>
          <w:p>
            <w:pPr>
              <w:spacing w:after="0"/>
              <w:rPr>
                <w:sz w:val="13"/>
                <w:szCs w:val="13"/>
                <w:color w:val="auto"/>
              </w:rPr>
            </w:pPr>
          </w:p>
        </w:tc>
        <w:tc>
          <w:tcPr>
            <w:tcW w:w="14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0"/>
              </w:rPr>
              <w:t>Business Services</w:t>
            </w:r>
          </w:p>
        </w:tc>
        <w:tc>
          <w:tcPr>
            <w:tcW w:w="11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14.00%</w:t>
            </w:r>
            <w:r>
              <w:rPr>
                <w:rFonts w:ascii="Arial" w:cs="Arial" w:eastAsia="Arial" w:hAnsi="Arial"/>
                <w:sz w:val="12"/>
                <w:szCs w:val="12"/>
                <w:color w:val="auto"/>
              </w:rPr>
              <w:t>(7)</w:t>
            </w: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2,250,000</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2,250,000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1,979,975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Preferred Equity—0.3%</w:t>
            </w:r>
            <w:r>
              <w:rPr>
                <w:rFonts w:ascii="Arial" w:cs="Arial" w:eastAsia="Arial" w:hAnsi="Arial"/>
                <w:sz w:val="12"/>
                <w:szCs w:val="12"/>
                <w:b w:val="1"/>
                <w:bCs w:val="1"/>
                <w:color w:val="auto"/>
              </w:rPr>
              <w:t>(6)</w:t>
            </w: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40" w:type="dxa"/>
            <w:vAlign w:val="bottom"/>
            <w:gridSpan w:val="2"/>
          </w:tcPr>
          <w:p>
            <w:pPr>
              <w:spacing w:after="0" w:line="149" w:lineRule="exact"/>
              <w:rPr>
                <w:sz w:val="20"/>
                <w:szCs w:val="20"/>
                <w:color w:val="auto"/>
              </w:rPr>
            </w:pPr>
            <w:r>
              <w:rPr>
                <w:rFonts w:ascii="Arial" w:cs="Arial" w:eastAsia="Arial" w:hAnsi="Arial"/>
                <w:sz w:val="14"/>
                <w:szCs w:val="14"/>
                <w:color w:val="auto"/>
              </w:rPr>
              <w:t>SuttonPark Holdings, Inc.</w:t>
            </w:r>
          </w:p>
        </w:tc>
        <w:tc>
          <w:tcPr>
            <w:tcW w:w="78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0"/>
              </w:rPr>
              <w:t>Business Services</w:t>
            </w: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14.00%</w:t>
            </w: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2,000</w:t>
            </w:r>
          </w:p>
        </w:tc>
        <w:tc>
          <w:tcPr>
            <w:tcW w:w="80" w:type="dxa"/>
            <w:vAlign w:val="bottom"/>
          </w:tcPr>
          <w:p>
            <w:pPr>
              <w:spacing w:after="0"/>
              <w:rPr>
                <w:sz w:val="13"/>
                <w:szCs w:val="13"/>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2,000,000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1,985,947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Common Equity—0.3%</w:t>
            </w:r>
            <w:r>
              <w:rPr>
                <w:rFonts w:ascii="Arial" w:cs="Arial" w:eastAsia="Arial" w:hAnsi="Arial"/>
                <w:sz w:val="12"/>
                <w:szCs w:val="12"/>
                <w:b w:val="1"/>
                <w:bCs w:val="1"/>
                <w:color w:val="auto"/>
              </w:rPr>
              <w:t>(6)</w:t>
            </w: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140" w:type="dxa"/>
            <w:vAlign w:val="bottom"/>
            <w:gridSpan w:val="2"/>
          </w:tcPr>
          <w:p>
            <w:pPr>
              <w:spacing w:after="0" w:line="130" w:lineRule="exact"/>
              <w:rPr>
                <w:sz w:val="20"/>
                <w:szCs w:val="20"/>
                <w:color w:val="auto"/>
              </w:rPr>
            </w:pPr>
            <w:r>
              <w:rPr>
                <w:rFonts w:ascii="Arial" w:cs="Arial" w:eastAsia="Arial" w:hAnsi="Arial"/>
                <w:sz w:val="14"/>
                <w:szCs w:val="14"/>
                <w:color w:val="auto"/>
              </w:rPr>
              <w:t>Superior Digital Displays Holdings, Inc.</w:t>
            </w:r>
          </w:p>
        </w:tc>
        <w:tc>
          <w:tcPr>
            <w:tcW w:w="780" w:type="dxa"/>
            <w:vAlign w:val="bottom"/>
            <w:gridSpan w:val="2"/>
          </w:tcPr>
          <w:p>
            <w:pPr>
              <w:ind w:left="240"/>
              <w:spacing w:after="0" w:line="130" w:lineRule="exact"/>
              <w:rPr>
                <w:sz w:val="20"/>
                <w:szCs w:val="20"/>
                <w:color w:val="auto"/>
              </w:rPr>
            </w:pPr>
            <w:r>
              <w:rPr>
                <w:rFonts w:ascii="Arial" w:cs="Arial" w:eastAsia="Arial" w:hAnsi="Arial"/>
                <w:sz w:val="14"/>
                <w:szCs w:val="14"/>
                <w:color w:val="auto"/>
              </w:rPr>
              <w:t>—</w:t>
            </w:r>
          </w:p>
        </w:tc>
        <w:tc>
          <w:tcPr>
            <w:tcW w:w="1480" w:type="dxa"/>
            <w:vAlign w:val="bottom"/>
            <w:gridSpan w:val="2"/>
          </w:tcPr>
          <w:p>
            <w:pPr>
              <w:jc w:val="center"/>
              <w:ind w:right="100"/>
              <w:spacing w:after="0" w:line="130" w:lineRule="exact"/>
              <w:rPr>
                <w:sz w:val="20"/>
                <w:szCs w:val="20"/>
                <w:color w:val="auto"/>
              </w:rPr>
            </w:pPr>
            <w:r>
              <w:rPr>
                <w:rFonts w:ascii="Arial" w:cs="Arial" w:eastAsia="Arial" w:hAnsi="Arial"/>
                <w:sz w:val="14"/>
                <w:szCs w:val="14"/>
                <w:color w:val="auto"/>
                <w:w w:val="99"/>
              </w:rPr>
              <w:t>Media</w:t>
            </w:r>
          </w:p>
        </w:tc>
        <w:tc>
          <w:tcPr>
            <w:tcW w:w="1100" w:type="dxa"/>
            <w:vAlign w:val="bottom"/>
            <w:gridSpan w:val="2"/>
          </w:tcPr>
          <w:p>
            <w:pPr>
              <w:jc w:val="right"/>
              <w:ind w:right="480"/>
              <w:spacing w:after="0" w:line="130"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rPr>
              <w:t>4,750</w:t>
            </w:r>
          </w:p>
        </w:tc>
        <w:tc>
          <w:tcPr>
            <w:tcW w:w="80" w:type="dxa"/>
            <w:vAlign w:val="bottom"/>
          </w:tcPr>
          <w:p>
            <w:pPr>
              <w:spacing w:after="0"/>
              <w:rPr>
                <w:sz w:val="11"/>
                <w:szCs w:val="11"/>
                <w:color w:val="auto"/>
              </w:rPr>
            </w:pPr>
          </w:p>
        </w:tc>
        <w:tc>
          <w:tcPr>
            <w:tcW w:w="92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2,211,000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2,113,140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140" w:type="dxa"/>
            <w:vAlign w:val="bottom"/>
            <w:gridSpan w:val="2"/>
          </w:tcPr>
          <w:p>
            <w:pPr>
              <w:ind w:left="140"/>
              <w:spacing w:after="0"/>
              <w:rPr>
                <w:sz w:val="20"/>
                <w:szCs w:val="20"/>
                <w:color w:val="auto"/>
              </w:rPr>
            </w:pPr>
            <w:r>
              <w:rPr>
                <w:rFonts w:ascii="Arial" w:cs="Arial" w:eastAsia="Arial" w:hAnsi="Arial"/>
                <w:sz w:val="14"/>
                <w:szCs w:val="14"/>
                <w:color w:val="auto"/>
              </w:rPr>
              <w:t>(Superior Digital Displays, LLC)</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SuttonPark Holdings, Inc.</w:t>
            </w:r>
          </w:p>
        </w:tc>
        <w:tc>
          <w:tcPr>
            <w:tcW w:w="7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0"/>
              </w:rPr>
              <w:t>Business Services</w:t>
            </w:r>
          </w:p>
        </w:tc>
        <w:tc>
          <w:tcPr>
            <w:tcW w:w="11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41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Common Equity</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2,211,100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2,113,140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8"/>
              </w:rPr>
              <w:t>Total Investments in Controlled, Affiliated Portfolio Companies</w:t>
            </w: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38,107,245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36,991,091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1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Investments—158.8%</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1"/>
              </w:rPr>
              <w:t>1,174,420,817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1"/>
              </w:rPr>
              <w:t>1,198,407,555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and Cash Equivalents—8.6%</w:t>
            </w: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tcPr>
          <w:p>
            <w:pPr>
              <w:spacing w:after="0" w:line="149" w:lineRule="exact"/>
              <w:rPr>
                <w:sz w:val="20"/>
                <w:szCs w:val="20"/>
                <w:color w:val="auto"/>
              </w:rPr>
            </w:pPr>
            <w:r>
              <w:rPr>
                <w:rFonts w:ascii="Arial" w:cs="Arial" w:eastAsia="Arial" w:hAnsi="Arial"/>
                <w:sz w:val="14"/>
                <w:szCs w:val="14"/>
                <w:color w:val="auto"/>
              </w:rPr>
              <w:t>BlackRock Liquidity Funds, Temp Cash, Institutional Shares</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1,186,186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1,186,186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BNY Mellon Cash Reserve and Cash</w:t>
            </w: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63,163,423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63,204,601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1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Cash and Cash Equivalents</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64,349,609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64,390,787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 and Cash Equivalents—167.4%</w:t>
            </w: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1,238,770,426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1"/>
              </w:rPr>
              <w:t>1,262,798,342</w:t>
            </w:r>
          </w:p>
        </w:tc>
        <w:tc>
          <w:tcPr>
            <w:tcW w:w="0" w:type="dxa"/>
            <w:vAlign w:val="bottom"/>
          </w:tcPr>
          <w:p>
            <w:pPr>
              <w:spacing w:after="0"/>
              <w:rPr>
                <w:sz w:val="1"/>
                <w:szCs w:val="1"/>
                <w:color w:val="auto"/>
              </w:rPr>
            </w:pPr>
          </w:p>
        </w:tc>
      </w:tr>
      <w:tr>
        <w:trPr>
          <w:trHeight w:val="20"/>
        </w:trPr>
        <w:tc>
          <w:tcPr>
            <w:tcW w:w="4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Liabilities in Excess of Other Assets—(67.4%)</w:t>
            </w: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160" w:type="dxa"/>
            <w:vAlign w:val="bottom"/>
            <w:gridSpan w:val="3"/>
            <w:vMerge w:val="continue"/>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3" w:lineRule="exact"/>
              <w:rPr>
                <w:sz w:val="20"/>
                <w:szCs w:val="20"/>
                <w:color w:val="auto"/>
              </w:rPr>
            </w:pPr>
            <w:r>
              <w:rPr>
                <w:rFonts w:ascii="Arial" w:cs="Arial" w:eastAsia="Arial" w:hAnsi="Arial"/>
                <w:sz w:val="14"/>
                <w:szCs w:val="14"/>
                <w:color w:val="auto"/>
                <w:w w:val="94"/>
              </w:rPr>
              <w:t>(508,325,549)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Assets—100.0%</w:t>
            </w: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754,472,793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S-47</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JUNE 30, 2014</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289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340" w:hanging="332"/>
        <w:spacing w:after="0" w:line="248" w:lineRule="auto"/>
        <w:tabs>
          <w:tab w:leader="none" w:pos="3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340" w:right="280" w:hanging="332"/>
        <w:spacing w:after="0" w:line="221" w:lineRule="auto"/>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 (see Note 6).</w:t>
      </w:r>
    </w:p>
    <w:p>
      <w:pPr>
        <w:ind w:left="340" w:hanging="332"/>
        <w:spacing w:after="0" w:line="221" w:lineRule="auto"/>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Valued based on our accounting policy (see Note 2).</w:t>
      </w:r>
    </w:p>
    <w:p>
      <w:pPr>
        <w:ind w:left="340" w:right="80" w:hanging="332"/>
        <w:spacing w:after="0" w:line="221" w:lineRule="auto"/>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Represents floating rate instruments that accrue interest at a predetermined spread relative to an index, typically the applicable London InterBank Offered Rate, or LIBOR, or “L” or Prime, or “P” rate. The spread provided includes payment-in-kind, or PIK, interest and other fee rates, if any.</w:t>
      </w:r>
    </w:p>
    <w:p>
      <w:pPr>
        <w:ind w:left="340" w:right="320" w:hanging="332"/>
        <w:spacing w:after="0" w:line="221" w:lineRule="auto"/>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of 1933, as amended, or the Securities Act. The security may be resold in transactions that are exempt from registration, normally to qualified institutional buyers.</w:t>
      </w:r>
    </w:p>
    <w:p>
      <w:pPr>
        <w:ind w:left="340" w:hanging="332"/>
        <w:spacing w:after="0" w:line="221" w:lineRule="auto"/>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Non-income producing securities.</w:t>
      </w:r>
    </w:p>
    <w:p>
      <w:pPr>
        <w:ind w:left="340" w:hanging="332"/>
        <w:spacing w:after="0" w:line="221" w:lineRule="auto"/>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Coupon is payable in cash and/or PIK.</w:t>
      </w:r>
    </w:p>
    <w:p>
      <w:pPr>
        <w:ind w:left="340" w:hanging="332"/>
        <w:spacing w:after="0" w:line="221" w:lineRule="auto"/>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Coupon is not subject to a LIBOR or Prime rate floor.</w:t>
      </w:r>
    </w:p>
    <w:p>
      <w:pPr>
        <w:ind w:left="340" w:right="200" w:hanging="332"/>
        <w:spacing w:after="0" w:line="221" w:lineRule="auto"/>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Represents the purchase of a security with delayed settlement or a revolving line of credit that is currently an unfunded investment. This security does not earn a basis point spread above an index while it is unfunded.</w:t>
      </w:r>
    </w:p>
    <w:p>
      <w:pPr>
        <w:ind w:left="340" w:hanging="332"/>
        <w:spacing w:after="0" w:line="221" w:lineRule="auto"/>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Non-U.S. company or principal place of business outside the U.S.</w:t>
      </w:r>
    </w:p>
    <w:p>
      <w:pPr>
        <w:ind w:left="340" w:hanging="332"/>
        <w:spacing w:after="0" w:line="221" w:lineRule="auto"/>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Investment is held through a consolidated taxable subsidiary (See Note 1).</w:t>
      </w:r>
    </w:p>
    <w:p>
      <w:pPr>
        <w:ind w:left="340" w:hanging="332"/>
        <w:spacing w:after="0"/>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Par amount is denominated in British Pound.</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S-48</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PENNANTPARK INVESTMENT CORPORATION AND SUBSIDIARIES CONSOLIDATED SCHEDULE OF INVESTMENTS SEPTEMBER 30, 2013</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Basis Point</w:t>
            </w: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Current</w:t>
            </w: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Spread</w:t>
            </w: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8"/>
              </w:rPr>
              <w:t>Par /</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Issuer Name</w:t>
            </w:r>
          </w:p>
        </w:tc>
        <w:tc>
          <w:tcPr>
            <w:tcW w:w="94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Maturity</w:t>
            </w:r>
          </w:p>
        </w:tc>
        <w:tc>
          <w:tcPr>
            <w:tcW w:w="20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Industry</w:t>
            </w:r>
          </w:p>
        </w:tc>
        <w:tc>
          <w:tcPr>
            <w:tcW w:w="1000" w:type="dxa"/>
            <w:vAlign w:val="bottom"/>
            <w:gridSpan w:val="2"/>
            <w:vMerge w:val="continue"/>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Above</w:t>
            </w: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2"/>
                <w:szCs w:val="12"/>
                <w:color w:val="auto"/>
              </w:rPr>
            </w:pPr>
          </w:p>
        </w:tc>
        <w:tc>
          <w:tcPr>
            <w:tcW w:w="10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2"/>
                <w:szCs w:val="12"/>
                <w:b w:val="1"/>
                <w:bCs w:val="1"/>
                <w:color w:val="auto"/>
              </w:rPr>
              <w:t>(3)</w:t>
            </w:r>
          </w:p>
        </w:tc>
        <w:tc>
          <w:tcPr>
            <w:tcW w:w="0" w:type="dxa"/>
            <w:vAlign w:val="bottom"/>
          </w:tcPr>
          <w:p>
            <w:pPr>
              <w:spacing w:after="0"/>
              <w:rPr>
                <w:sz w:val="1"/>
                <w:szCs w:val="1"/>
                <w:color w:val="auto"/>
              </w:rPr>
            </w:pPr>
          </w:p>
        </w:tc>
      </w:tr>
      <w:tr>
        <w:trPr>
          <w:trHeight w:val="171"/>
        </w:trPr>
        <w:tc>
          <w:tcPr>
            <w:tcW w:w="3340" w:type="dxa"/>
            <w:vAlign w:val="bottom"/>
            <w:gridSpan w:val="3"/>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2080" w:type="dxa"/>
            <w:vAlign w:val="bottom"/>
            <w:gridSpan w:val="2"/>
            <w:vMerge w:val="continue"/>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Coupon</w:t>
            </w: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Index</w:t>
            </w:r>
            <w:r>
              <w:rPr>
                <w:rFonts w:ascii="Arial" w:cs="Arial" w:eastAsia="Arial" w:hAnsi="Arial"/>
                <w:sz w:val="12"/>
                <w:szCs w:val="12"/>
                <w:b w:val="1"/>
                <w:bCs w:val="1"/>
                <w:color w:val="auto"/>
                <w:w w:val="93"/>
              </w:rPr>
              <w:t>(4)</w:t>
            </w: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Shares</w:t>
            </w:r>
          </w:p>
        </w:tc>
        <w:tc>
          <w:tcPr>
            <w:tcW w:w="1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56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76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90"/>
              </w:rPr>
              <w:t>Investments</w:t>
            </w:r>
          </w:p>
        </w:tc>
        <w:tc>
          <w:tcPr>
            <w:tcW w:w="5500" w:type="dxa"/>
            <w:vAlign w:val="bottom"/>
            <w:gridSpan w:val="4"/>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in Non-Controlled, Non-Affiliated Portfolio Companies—138.9%</w:t>
            </w:r>
            <w:r>
              <w:rPr>
                <w:rFonts w:ascii="Arial" w:cs="Arial" w:eastAsia="Arial" w:hAnsi="Arial"/>
                <w:sz w:val="12"/>
                <w:szCs w:val="12"/>
                <w:b w:val="1"/>
                <w:bCs w:val="1"/>
                <w:color w:val="auto"/>
              </w:rPr>
              <w:t>(1),(2)</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First Lien Secured Debt—41.3%</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Aircell Business Aviation Services LLC</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06/21/2017</w:t>
            </w:r>
          </w:p>
        </w:tc>
        <w:tc>
          <w:tcPr>
            <w:tcW w:w="240" w:type="dxa"/>
            <w:vAlign w:val="bottom"/>
            <w:shd w:val="clear" w:color="auto" w:fill="CCEEFF"/>
          </w:tcPr>
          <w:p>
            <w:pPr>
              <w:spacing w:after="0"/>
              <w:rPr>
                <w:sz w:val="12"/>
                <w:szCs w:val="12"/>
                <w:color w:val="auto"/>
              </w:rPr>
            </w:pPr>
          </w:p>
        </w:tc>
        <w:tc>
          <w:tcPr>
            <w:tcW w:w="2080" w:type="dxa"/>
            <w:vAlign w:val="bottom"/>
            <w:gridSpan w:val="2"/>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93"/>
              </w:rPr>
              <w:t>Communications</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11.25%</w:t>
            </w:r>
          </w:p>
        </w:tc>
        <w:tc>
          <w:tcPr>
            <w:tcW w:w="9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L+975</w:t>
            </w:r>
            <w:r>
              <w:rPr>
                <w:rFonts w:ascii="Arial" w:cs="Arial" w:eastAsia="Arial" w:hAnsi="Arial"/>
                <w:sz w:val="12"/>
                <w:szCs w:val="12"/>
                <w:color w:val="auto"/>
              </w:rPr>
              <w:t>(8)</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23,912,894</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23,012,057</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25,347,668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20" w:type="dxa"/>
            <w:vAlign w:val="bottom"/>
            <w:gridSpan w:val="2"/>
          </w:tcPr>
          <w:p>
            <w:pPr>
              <w:spacing w:after="0" w:line="130" w:lineRule="exact"/>
              <w:rPr>
                <w:sz w:val="20"/>
                <w:szCs w:val="20"/>
                <w:color w:val="auto"/>
              </w:rPr>
            </w:pPr>
            <w:r>
              <w:rPr>
                <w:rFonts w:ascii="Arial" w:cs="Arial" w:eastAsia="Arial" w:hAnsi="Arial"/>
                <w:sz w:val="14"/>
                <w:szCs w:val="14"/>
                <w:color w:val="auto"/>
              </w:rPr>
              <w:t>AKA Diversified Holdings, Inc.</w:t>
            </w:r>
          </w:p>
        </w:tc>
        <w:tc>
          <w:tcPr>
            <w:tcW w:w="700" w:type="dxa"/>
            <w:vAlign w:val="bottom"/>
          </w:tcPr>
          <w:p>
            <w:pPr>
              <w:jc w:val="right"/>
              <w:spacing w:after="0" w:line="130" w:lineRule="exact"/>
              <w:rPr>
                <w:sz w:val="20"/>
                <w:szCs w:val="20"/>
                <w:color w:val="auto"/>
              </w:rPr>
            </w:pPr>
            <w:r>
              <w:rPr>
                <w:rFonts w:ascii="Arial" w:cs="Arial" w:eastAsia="Arial" w:hAnsi="Arial"/>
                <w:sz w:val="14"/>
                <w:szCs w:val="14"/>
                <w:color w:val="auto"/>
                <w:w w:val="96"/>
              </w:rPr>
              <w:t>12/21/2016</w:t>
            </w:r>
          </w:p>
        </w:tc>
        <w:tc>
          <w:tcPr>
            <w:tcW w:w="240" w:type="dxa"/>
            <w:vAlign w:val="bottom"/>
          </w:tcPr>
          <w:p>
            <w:pPr>
              <w:spacing w:after="0"/>
              <w:rPr>
                <w:sz w:val="11"/>
                <w:szCs w:val="11"/>
                <w:color w:val="auto"/>
              </w:rPr>
            </w:pPr>
          </w:p>
        </w:tc>
        <w:tc>
          <w:tcPr>
            <w:tcW w:w="2080" w:type="dxa"/>
            <w:vAlign w:val="bottom"/>
            <w:gridSpan w:val="2"/>
          </w:tcPr>
          <w:p>
            <w:pPr>
              <w:jc w:val="center"/>
              <w:ind w:right="60"/>
              <w:spacing w:after="0" w:line="130" w:lineRule="exact"/>
              <w:rPr>
                <w:sz w:val="20"/>
                <w:szCs w:val="20"/>
                <w:color w:val="auto"/>
              </w:rPr>
            </w:pPr>
            <w:r>
              <w:rPr>
                <w:rFonts w:ascii="Arial" w:cs="Arial" w:eastAsia="Arial" w:hAnsi="Arial"/>
                <w:sz w:val="14"/>
                <w:szCs w:val="14"/>
                <w:color w:val="auto"/>
                <w:w w:val="94"/>
              </w:rPr>
              <w:t>Retail</w:t>
            </w:r>
          </w:p>
        </w:tc>
        <w:tc>
          <w:tcPr>
            <w:tcW w:w="100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12.50%</w:t>
            </w:r>
          </w:p>
        </w:tc>
        <w:tc>
          <w:tcPr>
            <w:tcW w:w="960" w:type="dxa"/>
            <w:vAlign w:val="bottom"/>
            <w:gridSpan w:val="2"/>
          </w:tcPr>
          <w:p>
            <w:pPr>
              <w:jc w:val="right"/>
              <w:ind w:right="280"/>
              <w:spacing w:after="0" w:line="130" w:lineRule="exact"/>
              <w:rPr>
                <w:sz w:val="20"/>
                <w:szCs w:val="20"/>
                <w:color w:val="auto"/>
              </w:rPr>
            </w:pPr>
            <w:r>
              <w:rPr>
                <w:rFonts w:ascii="Arial" w:cs="Arial" w:eastAsia="Arial" w:hAnsi="Arial"/>
                <w:sz w:val="14"/>
                <w:szCs w:val="14"/>
                <w:color w:val="auto"/>
              </w:rPr>
              <w:t>L+1,225</w:t>
            </w:r>
          </w:p>
        </w:tc>
        <w:tc>
          <w:tcPr>
            <w:tcW w:w="700" w:type="dxa"/>
            <w:vAlign w:val="bottom"/>
          </w:tcPr>
          <w:p>
            <w:pPr>
              <w:jc w:val="right"/>
              <w:spacing w:after="0" w:line="130" w:lineRule="exact"/>
              <w:rPr>
                <w:sz w:val="20"/>
                <w:szCs w:val="20"/>
                <w:color w:val="auto"/>
              </w:rPr>
            </w:pPr>
            <w:r>
              <w:rPr>
                <w:rFonts w:ascii="Arial" w:cs="Arial" w:eastAsia="Arial" w:hAnsi="Arial"/>
                <w:sz w:val="14"/>
                <w:szCs w:val="14"/>
                <w:color w:val="auto"/>
                <w:w w:val="96"/>
              </w:rPr>
              <w:t>14,550,084</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14,310,552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14,694,828</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(PIK 1.50%)</w:t>
            </w: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CEVA Group PLC</w:t>
            </w:r>
            <w:r>
              <w:rPr>
                <w:rFonts w:ascii="Arial" w:cs="Arial" w:eastAsia="Arial" w:hAnsi="Arial"/>
                <w:sz w:val="12"/>
                <w:szCs w:val="12"/>
                <w:color w:val="auto"/>
              </w:rPr>
              <w:t>(5),(10)</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10/01/2016</w:t>
            </w:r>
          </w:p>
        </w:tc>
        <w:tc>
          <w:tcPr>
            <w:tcW w:w="240" w:type="dxa"/>
            <w:vAlign w:val="bottom"/>
            <w:shd w:val="clear" w:color="auto" w:fill="CCEEFF"/>
          </w:tcPr>
          <w:p>
            <w:pPr>
              <w:spacing w:after="0"/>
              <w:rPr>
                <w:sz w:val="12"/>
                <w:szCs w:val="12"/>
                <w:color w:val="auto"/>
              </w:rPr>
            </w:pPr>
          </w:p>
        </w:tc>
        <w:tc>
          <w:tcPr>
            <w:tcW w:w="2080" w:type="dxa"/>
            <w:vAlign w:val="bottom"/>
            <w:gridSpan w:val="2"/>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92"/>
              </w:rPr>
              <w:t>Cargo Transport</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11.63%</w:t>
            </w:r>
          </w:p>
        </w:tc>
        <w:tc>
          <w:tcPr>
            <w:tcW w:w="9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7,500,000</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7,385,251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7,725,000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tcPr>
          <w:p>
            <w:pPr>
              <w:spacing w:after="0" w:line="149" w:lineRule="exact"/>
              <w:rPr>
                <w:sz w:val="20"/>
                <w:szCs w:val="20"/>
                <w:color w:val="auto"/>
              </w:rPr>
            </w:pPr>
            <w:r>
              <w:rPr>
                <w:rFonts w:ascii="Arial" w:cs="Arial" w:eastAsia="Arial" w:hAnsi="Arial"/>
                <w:sz w:val="14"/>
                <w:szCs w:val="14"/>
                <w:color w:val="auto"/>
              </w:rPr>
              <w:t>Columbus International, Inc.</w:t>
            </w:r>
            <w:r>
              <w:rPr>
                <w:rFonts w:ascii="Arial" w:cs="Arial" w:eastAsia="Arial" w:hAnsi="Arial"/>
                <w:sz w:val="12"/>
                <w:szCs w:val="12"/>
                <w:color w:val="auto"/>
              </w:rPr>
              <w:t>(5),(10)</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11/20/2014</w:t>
            </w:r>
          </w:p>
        </w:tc>
        <w:tc>
          <w:tcPr>
            <w:tcW w:w="240" w:type="dxa"/>
            <w:vAlign w:val="bottom"/>
          </w:tcPr>
          <w:p>
            <w:pPr>
              <w:spacing w:after="0"/>
              <w:rPr>
                <w:sz w:val="12"/>
                <w:szCs w:val="12"/>
                <w:color w:val="auto"/>
              </w:rPr>
            </w:pPr>
          </w:p>
        </w:tc>
        <w:tc>
          <w:tcPr>
            <w:tcW w:w="208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3"/>
              </w:rPr>
              <w:t>Communications</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11.50%</w:t>
            </w:r>
          </w:p>
        </w:tc>
        <w:tc>
          <w:tcPr>
            <w:tcW w:w="9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10,000,000</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10,000,000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10,750,000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Cydcor LLC</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06/12/2017</w:t>
            </w:r>
          </w:p>
        </w:tc>
        <w:tc>
          <w:tcPr>
            <w:tcW w:w="240" w:type="dxa"/>
            <w:vAlign w:val="bottom"/>
            <w:shd w:val="clear" w:color="auto" w:fill="CCEEFF"/>
          </w:tcPr>
          <w:p>
            <w:pPr>
              <w:spacing w:after="0"/>
              <w:rPr>
                <w:sz w:val="12"/>
                <w:szCs w:val="12"/>
                <w:color w:val="auto"/>
              </w:rPr>
            </w:pPr>
          </w:p>
        </w:tc>
        <w:tc>
          <w:tcPr>
            <w:tcW w:w="208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0"/>
              </w:rPr>
              <w:t>Business Services</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9.75%</w:t>
            </w:r>
          </w:p>
        </w:tc>
        <w:tc>
          <w:tcPr>
            <w:tcW w:w="9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L+725</w:t>
            </w:r>
            <w:r>
              <w:rPr>
                <w:rFonts w:ascii="Arial" w:cs="Arial" w:eastAsia="Arial" w:hAnsi="Arial"/>
                <w:sz w:val="12"/>
                <w:szCs w:val="12"/>
                <w:color w:val="auto"/>
              </w:rPr>
              <w:t>(8)</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7,342,967</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7,342,967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7,342,967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tcPr>
          <w:p>
            <w:pPr>
              <w:spacing w:after="0" w:line="149" w:lineRule="exact"/>
              <w:rPr>
                <w:sz w:val="20"/>
                <w:szCs w:val="20"/>
                <w:color w:val="auto"/>
              </w:rPr>
            </w:pPr>
            <w:r>
              <w:rPr>
                <w:rFonts w:ascii="Arial" w:cs="Arial" w:eastAsia="Arial" w:hAnsi="Arial"/>
                <w:sz w:val="14"/>
                <w:szCs w:val="14"/>
                <w:color w:val="auto"/>
              </w:rPr>
              <w:t>Good Sam Enterprises, LLC</w:t>
            </w:r>
            <w:r>
              <w:rPr>
                <w:rFonts w:ascii="Arial" w:cs="Arial" w:eastAsia="Arial" w:hAnsi="Arial"/>
                <w:sz w:val="12"/>
                <w:szCs w:val="12"/>
                <w:color w:val="auto"/>
              </w:rPr>
              <w:t>(5)</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12/01/2016</w:t>
            </w:r>
          </w:p>
        </w:tc>
        <w:tc>
          <w:tcPr>
            <w:tcW w:w="240" w:type="dxa"/>
            <w:vAlign w:val="bottom"/>
          </w:tcPr>
          <w:p>
            <w:pPr>
              <w:spacing w:after="0"/>
              <w:rPr>
                <w:sz w:val="12"/>
                <w:szCs w:val="12"/>
                <w:color w:val="auto"/>
              </w:rPr>
            </w:pPr>
          </w:p>
        </w:tc>
        <w:tc>
          <w:tcPr>
            <w:tcW w:w="20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0"/>
              </w:rPr>
              <w:t>Consumer Products</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11.50%</w:t>
            </w:r>
          </w:p>
        </w:tc>
        <w:tc>
          <w:tcPr>
            <w:tcW w:w="9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12,000,000</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11,835,907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12,900,000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IDQ Holdings, Inc.</w:t>
            </w:r>
            <w:r>
              <w:rPr>
                <w:rFonts w:ascii="Arial" w:cs="Arial" w:eastAsia="Arial" w:hAnsi="Arial"/>
                <w:sz w:val="12"/>
                <w:szCs w:val="12"/>
                <w:color w:val="auto"/>
              </w:rPr>
              <w:t>(5)</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03/30/2017</w:t>
            </w:r>
          </w:p>
        </w:tc>
        <w:tc>
          <w:tcPr>
            <w:tcW w:w="240" w:type="dxa"/>
            <w:vAlign w:val="bottom"/>
            <w:shd w:val="clear" w:color="auto" w:fill="CCEEFF"/>
          </w:tcPr>
          <w:p>
            <w:pPr>
              <w:spacing w:after="0"/>
              <w:rPr>
                <w:sz w:val="12"/>
                <w:szCs w:val="12"/>
                <w:color w:val="auto"/>
              </w:rPr>
            </w:pPr>
          </w:p>
        </w:tc>
        <w:tc>
          <w:tcPr>
            <w:tcW w:w="208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2"/>
              </w:rPr>
              <w:t>Auto Sector</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11.50%</w:t>
            </w:r>
          </w:p>
        </w:tc>
        <w:tc>
          <w:tcPr>
            <w:tcW w:w="9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6"/>
              </w:rPr>
              <w:t>11,500,000</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11,326,110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12,391,250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20" w:type="dxa"/>
            <w:vAlign w:val="bottom"/>
            <w:gridSpan w:val="2"/>
          </w:tcPr>
          <w:p>
            <w:pPr>
              <w:spacing w:after="0" w:line="130" w:lineRule="exact"/>
              <w:rPr>
                <w:sz w:val="20"/>
                <w:szCs w:val="20"/>
                <w:color w:val="auto"/>
              </w:rPr>
            </w:pPr>
            <w:r>
              <w:rPr>
                <w:rFonts w:ascii="Arial" w:cs="Arial" w:eastAsia="Arial" w:hAnsi="Arial"/>
                <w:sz w:val="14"/>
                <w:szCs w:val="14"/>
                <w:color w:val="auto"/>
              </w:rPr>
              <w:t>InfuSystem Holdings, Inc.</w:t>
            </w:r>
          </w:p>
        </w:tc>
        <w:tc>
          <w:tcPr>
            <w:tcW w:w="700" w:type="dxa"/>
            <w:vAlign w:val="bottom"/>
          </w:tcPr>
          <w:p>
            <w:pPr>
              <w:jc w:val="right"/>
              <w:spacing w:after="0" w:line="130" w:lineRule="exact"/>
              <w:rPr>
                <w:sz w:val="20"/>
                <w:szCs w:val="20"/>
                <w:color w:val="auto"/>
              </w:rPr>
            </w:pPr>
            <w:r>
              <w:rPr>
                <w:rFonts w:ascii="Arial" w:cs="Arial" w:eastAsia="Arial" w:hAnsi="Arial"/>
                <w:sz w:val="14"/>
                <w:szCs w:val="14"/>
                <w:color w:val="auto"/>
                <w:w w:val="96"/>
              </w:rPr>
              <w:t>11/30/2016</w:t>
            </w:r>
          </w:p>
        </w:tc>
        <w:tc>
          <w:tcPr>
            <w:tcW w:w="240" w:type="dxa"/>
            <w:vAlign w:val="bottom"/>
          </w:tcPr>
          <w:p>
            <w:pPr>
              <w:spacing w:after="0"/>
              <w:rPr>
                <w:sz w:val="11"/>
                <w:szCs w:val="11"/>
                <w:color w:val="auto"/>
              </w:rPr>
            </w:pPr>
          </w:p>
        </w:tc>
        <w:tc>
          <w:tcPr>
            <w:tcW w:w="2080" w:type="dxa"/>
            <w:vAlign w:val="bottom"/>
            <w:gridSpan w:val="2"/>
          </w:tcPr>
          <w:p>
            <w:pPr>
              <w:jc w:val="center"/>
              <w:ind w:right="80"/>
              <w:spacing w:after="0" w:line="130" w:lineRule="exact"/>
              <w:rPr>
                <w:sz w:val="20"/>
                <w:szCs w:val="20"/>
                <w:color w:val="auto"/>
              </w:rPr>
            </w:pPr>
            <w:r>
              <w:rPr>
                <w:rFonts w:ascii="Arial" w:cs="Arial" w:eastAsia="Arial" w:hAnsi="Arial"/>
                <w:sz w:val="14"/>
                <w:szCs w:val="14"/>
                <w:color w:val="auto"/>
                <w:w w:val="92"/>
              </w:rPr>
              <w:t>Healthcare, Education and</w:t>
            </w:r>
          </w:p>
        </w:tc>
        <w:tc>
          <w:tcPr>
            <w:tcW w:w="100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11.95%</w:t>
            </w:r>
          </w:p>
        </w:tc>
        <w:tc>
          <w:tcPr>
            <w:tcW w:w="96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P+625</w:t>
            </w:r>
            <w:r>
              <w:rPr>
                <w:rFonts w:ascii="Arial" w:cs="Arial" w:eastAsia="Arial" w:hAnsi="Arial"/>
                <w:sz w:val="12"/>
                <w:szCs w:val="12"/>
                <w:color w:val="auto"/>
              </w:rPr>
              <w:t>(8)</w:t>
            </w:r>
          </w:p>
        </w:tc>
        <w:tc>
          <w:tcPr>
            <w:tcW w:w="94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w w:val="96"/>
              </w:rPr>
              <w:t>11,600,000</w:t>
            </w:r>
          </w:p>
        </w:tc>
        <w:tc>
          <w:tcPr>
            <w:tcW w:w="140" w:type="dxa"/>
            <w:vAlign w:val="bottom"/>
          </w:tcPr>
          <w:p>
            <w:pPr>
              <w:spacing w:after="0"/>
              <w:rPr>
                <w:sz w:val="11"/>
                <w:szCs w:val="11"/>
                <w:color w:val="auto"/>
              </w:rPr>
            </w:pPr>
          </w:p>
        </w:tc>
        <w:tc>
          <w:tcPr>
            <w:tcW w:w="86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11,600,000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11,708,430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Childcare</w:t>
            </w: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Instant Web, Inc.</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08/07/2014</w:t>
            </w:r>
          </w:p>
        </w:tc>
        <w:tc>
          <w:tcPr>
            <w:tcW w:w="240" w:type="dxa"/>
            <w:vAlign w:val="bottom"/>
            <w:shd w:val="clear" w:color="auto" w:fill="CCEEFF"/>
          </w:tcPr>
          <w:p>
            <w:pPr>
              <w:spacing w:after="0"/>
              <w:rPr>
                <w:sz w:val="12"/>
                <w:szCs w:val="12"/>
                <w:color w:val="auto"/>
              </w:rPr>
            </w:pPr>
          </w:p>
        </w:tc>
        <w:tc>
          <w:tcPr>
            <w:tcW w:w="208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4"/>
              </w:rPr>
              <w:t>Printing and Publishing</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14.50%</w:t>
            </w:r>
          </w:p>
        </w:tc>
        <w:tc>
          <w:tcPr>
            <w:tcW w:w="9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L+950</w:t>
            </w:r>
            <w:r>
              <w:rPr>
                <w:rFonts w:ascii="Arial" w:cs="Arial" w:eastAsia="Arial" w:hAnsi="Arial"/>
                <w:sz w:val="12"/>
                <w:szCs w:val="12"/>
                <w:color w:val="auto"/>
              </w:rPr>
              <w:t>(8)</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23,934,268</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23,788,980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22,976,897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tcPr>
          <w:p>
            <w:pPr>
              <w:spacing w:after="0" w:line="149" w:lineRule="exact"/>
              <w:rPr>
                <w:sz w:val="20"/>
                <w:szCs w:val="20"/>
                <w:color w:val="auto"/>
              </w:rPr>
            </w:pPr>
            <w:r>
              <w:rPr>
                <w:rFonts w:ascii="Arial" w:cs="Arial" w:eastAsia="Arial" w:hAnsi="Arial"/>
                <w:sz w:val="14"/>
                <w:szCs w:val="14"/>
                <w:color w:val="auto"/>
              </w:rPr>
              <w:t>Instant Web, Inc.</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08/07/2014</w:t>
            </w:r>
          </w:p>
        </w:tc>
        <w:tc>
          <w:tcPr>
            <w:tcW w:w="240" w:type="dxa"/>
            <w:vAlign w:val="bottom"/>
          </w:tcPr>
          <w:p>
            <w:pPr>
              <w:spacing w:after="0"/>
              <w:rPr>
                <w:sz w:val="12"/>
                <w:szCs w:val="12"/>
                <w:color w:val="auto"/>
              </w:rPr>
            </w:pPr>
          </w:p>
        </w:tc>
        <w:tc>
          <w:tcPr>
            <w:tcW w:w="20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4"/>
              </w:rPr>
              <w:t>Printing and Publishing</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3.55%</w:t>
            </w: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L+338</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18,199,679</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13,917,288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14,559,743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Interactive Health Solutions, Inc.</w:t>
            </w:r>
          </w:p>
        </w:tc>
        <w:tc>
          <w:tcPr>
            <w:tcW w:w="7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96"/>
              </w:rPr>
              <w:t>10/04/2016</w:t>
            </w:r>
          </w:p>
        </w:tc>
        <w:tc>
          <w:tcPr>
            <w:tcW w:w="240" w:type="dxa"/>
            <w:vAlign w:val="bottom"/>
            <w:shd w:val="clear" w:color="auto" w:fill="CCEEFF"/>
          </w:tcPr>
          <w:p>
            <w:pPr>
              <w:spacing w:after="0"/>
              <w:rPr>
                <w:sz w:val="11"/>
                <w:szCs w:val="11"/>
                <w:color w:val="auto"/>
              </w:rPr>
            </w:pPr>
          </w:p>
        </w:tc>
        <w:tc>
          <w:tcPr>
            <w:tcW w:w="2080" w:type="dxa"/>
            <w:vAlign w:val="bottom"/>
            <w:gridSpan w:val="2"/>
            <w:shd w:val="clear" w:color="auto" w:fill="CCEEFF"/>
          </w:tcPr>
          <w:p>
            <w:pPr>
              <w:jc w:val="center"/>
              <w:ind w:right="80"/>
              <w:spacing w:after="0" w:line="130" w:lineRule="exact"/>
              <w:rPr>
                <w:sz w:val="20"/>
                <w:szCs w:val="20"/>
                <w:color w:val="auto"/>
              </w:rPr>
            </w:pPr>
            <w:r>
              <w:rPr>
                <w:rFonts w:ascii="Arial" w:cs="Arial" w:eastAsia="Arial" w:hAnsi="Arial"/>
                <w:sz w:val="14"/>
                <w:szCs w:val="14"/>
                <w:color w:val="auto"/>
                <w:w w:val="92"/>
              </w:rPr>
              <w:t>Healthcare, Education and</w:t>
            </w:r>
          </w:p>
        </w:tc>
        <w:tc>
          <w:tcPr>
            <w:tcW w:w="100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11.50%</w:t>
            </w:r>
          </w:p>
        </w:tc>
        <w:tc>
          <w:tcPr>
            <w:tcW w:w="96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L+950</w:t>
            </w:r>
            <w:r>
              <w:rPr>
                <w:rFonts w:ascii="Arial" w:cs="Arial" w:eastAsia="Arial" w:hAnsi="Arial"/>
                <w:sz w:val="12"/>
                <w:szCs w:val="12"/>
                <w:color w:val="auto"/>
              </w:rPr>
              <w:t>(8)</w:t>
            </w:r>
          </w:p>
        </w:tc>
        <w:tc>
          <w:tcPr>
            <w:tcW w:w="7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96"/>
              </w:rPr>
              <w:t>18,050,000</w:t>
            </w: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17,770,705</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18,050,000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5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8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4"/>
              </w:rPr>
              <w:t>Childcare</w:t>
            </w:r>
          </w:p>
        </w:tc>
        <w:tc>
          <w:tcPr>
            <w:tcW w:w="6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20" w:type="dxa"/>
            <w:vAlign w:val="bottom"/>
            <w:gridSpan w:val="2"/>
          </w:tcPr>
          <w:p>
            <w:pPr>
              <w:spacing w:after="0" w:line="130" w:lineRule="exact"/>
              <w:rPr>
                <w:sz w:val="20"/>
                <w:szCs w:val="20"/>
                <w:color w:val="auto"/>
              </w:rPr>
            </w:pPr>
            <w:r>
              <w:rPr>
                <w:rFonts w:ascii="Arial" w:cs="Arial" w:eastAsia="Arial" w:hAnsi="Arial"/>
                <w:sz w:val="14"/>
                <w:szCs w:val="14"/>
                <w:color w:val="auto"/>
              </w:rPr>
              <w:t>Jackson Hewitt Tax Service Inc.</w:t>
            </w:r>
          </w:p>
        </w:tc>
        <w:tc>
          <w:tcPr>
            <w:tcW w:w="700" w:type="dxa"/>
            <w:vAlign w:val="bottom"/>
          </w:tcPr>
          <w:p>
            <w:pPr>
              <w:jc w:val="right"/>
              <w:spacing w:after="0" w:line="130" w:lineRule="exact"/>
              <w:rPr>
                <w:sz w:val="20"/>
                <w:szCs w:val="20"/>
                <w:color w:val="auto"/>
              </w:rPr>
            </w:pPr>
            <w:r>
              <w:rPr>
                <w:rFonts w:ascii="Arial" w:cs="Arial" w:eastAsia="Arial" w:hAnsi="Arial"/>
                <w:sz w:val="14"/>
                <w:szCs w:val="14"/>
                <w:color w:val="auto"/>
                <w:w w:val="96"/>
              </w:rPr>
              <w:t>10/16/2017</w:t>
            </w:r>
          </w:p>
        </w:tc>
        <w:tc>
          <w:tcPr>
            <w:tcW w:w="240" w:type="dxa"/>
            <w:vAlign w:val="bottom"/>
          </w:tcPr>
          <w:p>
            <w:pPr>
              <w:spacing w:after="0"/>
              <w:rPr>
                <w:sz w:val="11"/>
                <w:szCs w:val="11"/>
                <w:color w:val="auto"/>
              </w:rPr>
            </w:pPr>
          </w:p>
        </w:tc>
        <w:tc>
          <w:tcPr>
            <w:tcW w:w="2080" w:type="dxa"/>
            <w:vAlign w:val="bottom"/>
            <w:gridSpan w:val="2"/>
          </w:tcPr>
          <w:p>
            <w:pPr>
              <w:jc w:val="center"/>
              <w:ind w:right="80"/>
              <w:spacing w:after="0" w:line="130" w:lineRule="exact"/>
              <w:rPr>
                <w:sz w:val="20"/>
                <w:szCs w:val="20"/>
                <w:color w:val="auto"/>
              </w:rPr>
            </w:pPr>
            <w:r>
              <w:rPr>
                <w:rFonts w:ascii="Arial" w:cs="Arial" w:eastAsia="Arial" w:hAnsi="Arial"/>
                <w:sz w:val="14"/>
                <w:szCs w:val="14"/>
                <w:color w:val="auto"/>
                <w:w w:val="91"/>
              </w:rPr>
              <w:t>Personal, Food and Miscellaneous</w:t>
            </w:r>
          </w:p>
        </w:tc>
        <w:tc>
          <w:tcPr>
            <w:tcW w:w="100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10.00%</w:t>
            </w:r>
          </w:p>
        </w:tc>
        <w:tc>
          <w:tcPr>
            <w:tcW w:w="96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L+850</w:t>
            </w:r>
            <w:r>
              <w:rPr>
                <w:rFonts w:ascii="Arial" w:cs="Arial" w:eastAsia="Arial" w:hAnsi="Arial"/>
                <w:sz w:val="12"/>
                <w:szCs w:val="12"/>
                <w:color w:val="auto"/>
              </w:rPr>
              <w:t>(8)</w:t>
            </w:r>
          </w:p>
        </w:tc>
        <w:tc>
          <w:tcPr>
            <w:tcW w:w="700" w:type="dxa"/>
            <w:vAlign w:val="bottom"/>
          </w:tcPr>
          <w:p>
            <w:pPr>
              <w:jc w:val="right"/>
              <w:spacing w:after="0" w:line="130" w:lineRule="exact"/>
              <w:rPr>
                <w:sz w:val="20"/>
                <w:szCs w:val="20"/>
                <w:color w:val="auto"/>
              </w:rPr>
            </w:pPr>
            <w:r>
              <w:rPr>
                <w:rFonts w:ascii="Arial" w:cs="Arial" w:eastAsia="Arial" w:hAnsi="Arial"/>
                <w:sz w:val="14"/>
                <w:szCs w:val="14"/>
                <w:color w:val="auto"/>
              </w:rPr>
              <w:t>8,355,469</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8,349,704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8,230,137</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gridSpan w:val="2"/>
          </w:tcPr>
          <w:p>
            <w:pPr>
              <w:jc w:val="center"/>
              <w:ind w:right="80"/>
              <w:spacing w:after="0"/>
              <w:rPr>
                <w:sz w:val="20"/>
                <w:szCs w:val="20"/>
                <w:color w:val="auto"/>
              </w:rPr>
            </w:pPr>
            <w:r>
              <w:rPr>
                <w:rFonts w:ascii="Arial" w:cs="Arial" w:eastAsia="Arial" w:hAnsi="Arial"/>
                <w:sz w:val="14"/>
                <w:szCs w:val="14"/>
                <w:color w:val="auto"/>
                <w:w w:val="89"/>
              </w:rPr>
              <w:t>Services</w:t>
            </w: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K2 Pure Solutions NoCal, L.P.</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08/19/2019</w:t>
            </w:r>
          </w:p>
        </w:tc>
        <w:tc>
          <w:tcPr>
            <w:tcW w:w="240" w:type="dxa"/>
            <w:vAlign w:val="bottom"/>
            <w:shd w:val="clear" w:color="auto" w:fill="CCEEFF"/>
          </w:tcPr>
          <w:p>
            <w:pPr>
              <w:spacing w:after="0"/>
              <w:rPr>
                <w:sz w:val="12"/>
                <w:szCs w:val="12"/>
                <w:color w:val="auto"/>
              </w:rPr>
            </w:pPr>
          </w:p>
        </w:tc>
        <w:tc>
          <w:tcPr>
            <w:tcW w:w="2080" w:type="dxa"/>
            <w:vAlign w:val="bottom"/>
            <w:gridSpan w:val="2"/>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91"/>
              </w:rPr>
              <w:t>Chemicals, Plastics and Rubber</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10.00%</w:t>
            </w:r>
          </w:p>
        </w:tc>
        <w:tc>
          <w:tcPr>
            <w:tcW w:w="9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L+900</w:t>
            </w:r>
            <w:r>
              <w:rPr>
                <w:rFonts w:ascii="Arial" w:cs="Arial" w:eastAsia="Arial" w:hAnsi="Arial"/>
                <w:sz w:val="12"/>
                <w:szCs w:val="12"/>
                <w:color w:val="auto"/>
              </w:rPr>
              <w:t>(8)</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22,342,352</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21,899,258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22,007,217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20" w:type="dxa"/>
            <w:vAlign w:val="bottom"/>
            <w:gridSpan w:val="2"/>
          </w:tcPr>
          <w:p>
            <w:pPr>
              <w:spacing w:after="0" w:line="130" w:lineRule="exact"/>
              <w:rPr>
                <w:sz w:val="20"/>
                <w:szCs w:val="20"/>
                <w:color w:val="auto"/>
              </w:rPr>
            </w:pPr>
            <w:r>
              <w:rPr>
                <w:rFonts w:ascii="Arial" w:cs="Arial" w:eastAsia="Arial" w:hAnsi="Arial"/>
                <w:sz w:val="14"/>
                <w:szCs w:val="14"/>
                <w:color w:val="auto"/>
              </w:rPr>
              <w:t>Penton Media, Inc.</w:t>
            </w:r>
          </w:p>
        </w:tc>
        <w:tc>
          <w:tcPr>
            <w:tcW w:w="700" w:type="dxa"/>
            <w:vAlign w:val="bottom"/>
          </w:tcPr>
          <w:p>
            <w:pPr>
              <w:jc w:val="right"/>
              <w:spacing w:after="0" w:line="130" w:lineRule="exact"/>
              <w:rPr>
                <w:sz w:val="20"/>
                <w:szCs w:val="20"/>
                <w:color w:val="auto"/>
              </w:rPr>
            </w:pPr>
            <w:r>
              <w:rPr>
                <w:rFonts w:ascii="Arial" w:cs="Arial" w:eastAsia="Arial" w:hAnsi="Arial"/>
                <w:sz w:val="14"/>
                <w:szCs w:val="14"/>
                <w:color w:val="auto"/>
                <w:w w:val="96"/>
              </w:rPr>
              <w:t>08/01/2014</w:t>
            </w:r>
          </w:p>
        </w:tc>
        <w:tc>
          <w:tcPr>
            <w:tcW w:w="240" w:type="dxa"/>
            <w:vAlign w:val="bottom"/>
          </w:tcPr>
          <w:p>
            <w:pPr>
              <w:spacing w:after="0"/>
              <w:rPr>
                <w:sz w:val="11"/>
                <w:szCs w:val="11"/>
                <w:color w:val="auto"/>
              </w:rPr>
            </w:pPr>
          </w:p>
        </w:tc>
        <w:tc>
          <w:tcPr>
            <w:tcW w:w="2080" w:type="dxa"/>
            <w:vAlign w:val="bottom"/>
            <w:gridSpan w:val="2"/>
          </w:tcPr>
          <w:p>
            <w:pPr>
              <w:jc w:val="center"/>
              <w:ind w:right="80"/>
              <w:spacing w:after="0" w:line="130" w:lineRule="exact"/>
              <w:rPr>
                <w:sz w:val="20"/>
                <w:szCs w:val="20"/>
                <w:color w:val="auto"/>
              </w:rPr>
            </w:pPr>
            <w:r>
              <w:rPr>
                <w:rFonts w:ascii="Arial" w:cs="Arial" w:eastAsia="Arial" w:hAnsi="Arial"/>
                <w:sz w:val="14"/>
                <w:szCs w:val="14"/>
                <w:color w:val="auto"/>
                <w:w w:val="93"/>
              </w:rPr>
              <w:t>Other Media</w:t>
            </w:r>
          </w:p>
        </w:tc>
        <w:tc>
          <w:tcPr>
            <w:tcW w:w="100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6.00%</w:t>
            </w:r>
          </w:p>
        </w:tc>
        <w:tc>
          <w:tcPr>
            <w:tcW w:w="96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L+500</w:t>
            </w:r>
            <w:r>
              <w:rPr>
                <w:rFonts w:ascii="Arial" w:cs="Arial" w:eastAsia="Arial" w:hAnsi="Arial"/>
                <w:sz w:val="12"/>
                <w:szCs w:val="12"/>
                <w:color w:val="auto"/>
              </w:rPr>
              <w:t>(8)</w:t>
            </w:r>
          </w:p>
        </w:tc>
        <w:tc>
          <w:tcPr>
            <w:tcW w:w="700" w:type="dxa"/>
            <w:vAlign w:val="bottom"/>
          </w:tcPr>
          <w:p>
            <w:pPr>
              <w:jc w:val="right"/>
              <w:spacing w:after="0" w:line="130" w:lineRule="exact"/>
              <w:rPr>
                <w:sz w:val="20"/>
                <w:szCs w:val="20"/>
                <w:color w:val="auto"/>
              </w:rPr>
            </w:pPr>
            <w:r>
              <w:rPr>
                <w:rFonts w:ascii="Arial" w:cs="Arial" w:eastAsia="Arial" w:hAnsi="Arial"/>
                <w:sz w:val="14"/>
                <w:szCs w:val="14"/>
                <w:color w:val="auto"/>
                <w:w w:val="96"/>
              </w:rPr>
              <w:t>37,950,152</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36,110,124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37,523,212</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(PIK 2.00%)</w:t>
            </w: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Prince Mineral Holding Corp.</w:t>
            </w:r>
            <w:r>
              <w:rPr>
                <w:rFonts w:ascii="Arial" w:cs="Arial" w:eastAsia="Arial" w:hAnsi="Arial"/>
                <w:sz w:val="12"/>
                <w:szCs w:val="12"/>
                <w:color w:val="auto"/>
              </w:rPr>
              <w:t>(5)</w:t>
            </w:r>
          </w:p>
        </w:tc>
        <w:tc>
          <w:tcPr>
            <w:tcW w:w="7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96"/>
              </w:rPr>
              <w:t>12/16/2019</w:t>
            </w:r>
          </w:p>
        </w:tc>
        <w:tc>
          <w:tcPr>
            <w:tcW w:w="240" w:type="dxa"/>
            <w:vAlign w:val="bottom"/>
            <w:shd w:val="clear" w:color="auto" w:fill="CCEEFF"/>
          </w:tcPr>
          <w:p>
            <w:pPr>
              <w:spacing w:after="0"/>
              <w:rPr>
                <w:sz w:val="11"/>
                <w:szCs w:val="11"/>
                <w:color w:val="auto"/>
              </w:rPr>
            </w:pPr>
          </w:p>
        </w:tc>
        <w:tc>
          <w:tcPr>
            <w:tcW w:w="2080" w:type="dxa"/>
            <w:vAlign w:val="bottom"/>
            <w:gridSpan w:val="2"/>
            <w:shd w:val="clear" w:color="auto" w:fill="CCEEFF"/>
          </w:tcPr>
          <w:p>
            <w:pPr>
              <w:jc w:val="center"/>
              <w:ind w:right="80"/>
              <w:spacing w:after="0" w:line="130" w:lineRule="exact"/>
              <w:rPr>
                <w:sz w:val="20"/>
                <w:szCs w:val="20"/>
                <w:color w:val="auto"/>
              </w:rPr>
            </w:pPr>
            <w:r>
              <w:rPr>
                <w:rFonts w:ascii="Arial" w:cs="Arial" w:eastAsia="Arial" w:hAnsi="Arial"/>
                <w:sz w:val="14"/>
                <w:szCs w:val="14"/>
                <w:color w:val="auto"/>
                <w:w w:val="96"/>
              </w:rPr>
              <w:t>Mining, Steel, Iron and Non-</w:t>
            </w:r>
          </w:p>
        </w:tc>
        <w:tc>
          <w:tcPr>
            <w:tcW w:w="100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11.50%</w:t>
            </w:r>
          </w:p>
        </w:tc>
        <w:tc>
          <w:tcPr>
            <w:tcW w:w="960" w:type="dxa"/>
            <w:vAlign w:val="bottom"/>
            <w:gridSpan w:val="2"/>
            <w:shd w:val="clear" w:color="auto" w:fill="CCEEFF"/>
          </w:tcPr>
          <w:p>
            <w:pPr>
              <w:jc w:val="right"/>
              <w:ind w:right="340"/>
              <w:spacing w:after="0" w:line="130"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96"/>
              </w:rPr>
              <w:t>14,250,000</w:t>
            </w: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14,096,169</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15,176,250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5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8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2"/>
              </w:rPr>
              <w:t>Precious Metals</w:t>
            </w:r>
          </w:p>
        </w:tc>
        <w:tc>
          <w:tcPr>
            <w:tcW w:w="6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tcPr>
          <w:p>
            <w:pPr>
              <w:spacing w:after="0" w:line="149" w:lineRule="exact"/>
              <w:rPr>
                <w:sz w:val="20"/>
                <w:szCs w:val="20"/>
                <w:color w:val="auto"/>
              </w:rPr>
            </w:pPr>
            <w:r>
              <w:rPr>
                <w:rFonts w:ascii="Arial" w:cs="Arial" w:eastAsia="Arial" w:hAnsi="Arial"/>
                <w:sz w:val="14"/>
                <w:szCs w:val="14"/>
                <w:color w:val="auto"/>
              </w:rPr>
              <w:t>TRAK Acquisition Corp.</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04/30/2018</w:t>
            </w:r>
          </w:p>
        </w:tc>
        <w:tc>
          <w:tcPr>
            <w:tcW w:w="240" w:type="dxa"/>
            <w:vAlign w:val="bottom"/>
          </w:tcPr>
          <w:p>
            <w:pPr>
              <w:spacing w:after="0"/>
              <w:rPr>
                <w:sz w:val="12"/>
                <w:szCs w:val="12"/>
                <w:color w:val="auto"/>
              </w:rPr>
            </w:pPr>
          </w:p>
        </w:tc>
        <w:tc>
          <w:tcPr>
            <w:tcW w:w="20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0"/>
              </w:rPr>
              <w:t>Business Services</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12.00%</w:t>
            </w:r>
          </w:p>
        </w:tc>
        <w:tc>
          <w:tcPr>
            <w:tcW w:w="9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L+1,050</w:t>
            </w:r>
            <w:r>
              <w:rPr>
                <w:rFonts w:ascii="Arial" w:cs="Arial" w:eastAsia="Arial" w:hAnsi="Arial"/>
                <w:sz w:val="12"/>
                <w:szCs w:val="12"/>
                <w:color w:val="auto"/>
              </w:rPr>
              <w:t>(8)</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34,270,800</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33,766,321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34,270,800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Worley Claims Services, LLC</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07/06/2017</w:t>
            </w:r>
          </w:p>
        </w:tc>
        <w:tc>
          <w:tcPr>
            <w:tcW w:w="240" w:type="dxa"/>
            <w:vAlign w:val="bottom"/>
            <w:shd w:val="clear" w:color="auto" w:fill="CCEEFF"/>
          </w:tcPr>
          <w:p>
            <w:pPr>
              <w:spacing w:after="0"/>
              <w:rPr>
                <w:sz w:val="12"/>
                <w:szCs w:val="12"/>
                <w:color w:val="auto"/>
              </w:rPr>
            </w:pPr>
          </w:p>
        </w:tc>
        <w:tc>
          <w:tcPr>
            <w:tcW w:w="208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1"/>
              </w:rPr>
              <w:t>Insurance</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12.50%</w:t>
            </w:r>
          </w:p>
        </w:tc>
        <w:tc>
          <w:tcPr>
            <w:tcW w:w="9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L+1,100</w:t>
            </w:r>
            <w:r>
              <w:rPr>
                <w:rFonts w:ascii="Arial" w:cs="Arial" w:eastAsia="Arial" w:hAnsi="Arial"/>
                <w:sz w:val="12"/>
                <w:szCs w:val="12"/>
                <w:color w:val="auto"/>
              </w:rPr>
              <w:t>(8)</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12,451,096</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12,451,096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12,388,840</w:t>
            </w:r>
          </w:p>
        </w:tc>
        <w:tc>
          <w:tcPr>
            <w:tcW w:w="0" w:type="dxa"/>
            <w:vAlign w:val="bottom"/>
          </w:tcPr>
          <w:p>
            <w:pPr>
              <w:spacing w:after="0"/>
              <w:rPr>
                <w:sz w:val="1"/>
                <w:szCs w:val="1"/>
                <w:color w:val="auto"/>
              </w:rPr>
            </w:pPr>
          </w:p>
        </w:tc>
      </w:tr>
      <w:tr>
        <w:trPr>
          <w:trHeight w:val="163"/>
        </w:trPr>
        <w:tc>
          <w:tcPr>
            <w:tcW w:w="33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First Lien Secured Debt</w:t>
            </w: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278,962,489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288,043,239</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Second Lien Secured Debt—48.9%</w:t>
            </w: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20" w:type="dxa"/>
            <w:vAlign w:val="bottom"/>
            <w:gridSpan w:val="2"/>
          </w:tcPr>
          <w:p>
            <w:pPr>
              <w:spacing w:after="0" w:line="130" w:lineRule="exact"/>
              <w:rPr>
                <w:sz w:val="20"/>
                <w:szCs w:val="20"/>
                <w:color w:val="auto"/>
              </w:rPr>
            </w:pPr>
            <w:r>
              <w:rPr>
                <w:rFonts w:ascii="Arial" w:cs="Arial" w:eastAsia="Arial" w:hAnsi="Arial"/>
                <w:sz w:val="14"/>
                <w:szCs w:val="14"/>
                <w:color w:val="auto"/>
              </w:rPr>
              <w:t>American Gilsonite Company</w:t>
            </w:r>
            <w:r>
              <w:rPr>
                <w:rFonts w:ascii="Arial" w:cs="Arial" w:eastAsia="Arial" w:hAnsi="Arial"/>
                <w:sz w:val="12"/>
                <w:szCs w:val="12"/>
                <w:color w:val="auto"/>
              </w:rPr>
              <w:t>(5)</w:t>
            </w:r>
          </w:p>
        </w:tc>
        <w:tc>
          <w:tcPr>
            <w:tcW w:w="700" w:type="dxa"/>
            <w:vAlign w:val="bottom"/>
          </w:tcPr>
          <w:p>
            <w:pPr>
              <w:jc w:val="right"/>
              <w:spacing w:after="0" w:line="130" w:lineRule="exact"/>
              <w:rPr>
                <w:sz w:val="20"/>
                <w:szCs w:val="20"/>
                <w:color w:val="auto"/>
              </w:rPr>
            </w:pPr>
            <w:r>
              <w:rPr>
                <w:rFonts w:ascii="Arial" w:cs="Arial" w:eastAsia="Arial" w:hAnsi="Arial"/>
                <w:sz w:val="14"/>
                <w:szCs w:val="14"/>
                <w:color w:val="auto"/>
                <w:w w:val="96"/>
              </w:rPr>
              <w:t>09/01/2017</w:t>
            </w:r>
          </w:p>
        </w:tc>
        <w:tc>
          <w:tcPr>
            <w:tcW w:w="240" w:type="dxa"/>
            <w:vAlign w:val="bottom"/>
          </w:tcPr>
          <w:p>
            <w:pPr>
              <w:spacing w:after="0"/>
              <w:rPr>
                <w:sz w:val="11"/>
                <w:szCs w:val="11"/>
                <w:color w:val="auto"/>
              </w:rPr>
            </w:pPr>
          </w:p>
        </w:tc>
        <w:tc>
          <w:tcPr>
            <w:tcW w:w="2080" w:type="dxa"/>
            <w:vAlign w:val="bottom"/>
            <w:gridSpan w:val="2"/>
          </w:tcPr>
          <w:p>
            <w:pPr>
              <w:jc w:val="center"/>
              <w:ind w:right="60"/>
              <w:spacing w:after="0" w:line="130" w:lineRule="exact"/>
              <w:rPr>
                <w:sz w:val="20"/>
                <w:szCs w:val="20"/>
                <w:color w:val="auto"/>
              </w:rPr>
            </w:pPr>
            <w:r>
              <w:rPr>
                <w:rFonts w:ascii="Arial" w:cs="Arial" w:eastAsia="Arial" w:hAnsi="Arial"/>
                <w:sz w:val="14"/>
                <w:szCs w:val="14"/>
                <w:color w:val="auto"/>
                <w:w w:val="94"/>
              </w:rPr>
              <w:t>Diversified Natural Resources,</w:t>
            </w:r>
          </w:p>
        </w:tc>
        <w:tc>
          <w:tcPr>
            <w:tcW w:w="100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11.50%</w:t>
            </w:r>
          </w:p>
        </w:tc>
        <w:tc>
          <w:tcPr>
            <w:tcW w:w="960" w:type="dxa"/>
            <w:vAlign w:val="bottom"/>
            <w:gridSpan w:val="2"/>
          </w:tcPr>
          <w:p>
            <w:pPr>
              <w:jc w:val="right"/>
              <w:ind w:right="340"/>
              <w:spacing w:after="0" w:line="130"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30" w:lineRule="exact"/>
              <w:rPr>
                <w:sz w:val="20"/>
                <w:szCs w:val="20"/>
                <w:color w:val="auto"/>
              </w:rPr>
            </w:pPr>
            <w:r>
              <w:rPr>
                <w:rFonts w:ascii="Arial" w:cs="Arial" w:eastAsia="Arial" w:hAnsi="Arial"/>
                <w:sz w:val="14"/>
                <w:szCs w:val="14"/>
                <w:color w:val="auto"/>
                <w:w w:val="96"/>
              </w:rPr>
              <w:t>25,400,000</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25,400,000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25,971,500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gridSpan w:val="2"/>
          </w:tcPr>
          <w:p>
            <w:pPr>
              <w:jc w:val="center"/>
              <w:ind w:right="80"/>
              <w:spacing w:after="0"/>
              <w:rPr>
                <w:sz w:val="20"/>
                <w:szCs w:val="20"/>
                <w:color w:val="auto"/>
              </w:rPr>
            </w:pPr>
            <w:r>
              <w:rPr>
                <w:rFonts w:ascii="Arial" w:cs="Arial" w:eastAsia="Arial" w:hAnsi="Arial"/>
                <w:sz w:val="14"/>
                <w:szCs w:val="14"/>
                <w:color w:val="auto"/>
                <w:w w:val="93"/>
              </w:rPr>
              <w:t>Precious Metals and Minerals</w:t>
            </w: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Arsloane Acquisition, LLC</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10/01/2020</w:t>
            </w:r>
          </w:p>
        </w:tc>
        <w:tc>
          <w:tcPr>
            <w:tcW w:w="240" w:type="dxa"/>
            <w:vAlign w:val="bottom"/>
            <w:shd w:val="clear" w:color="auto" w:fill="CCEEFF"/>
          </w:tcPr>
          <w:p>
            <w:pPr>
              <w:spacing w:after="0"/>
              <w:rPr>
                <w:sz w:val="12"/>
                <w:szCs w:val="12"/>
                <w:color w:val="auto"/>
              </w:rPr>
            </w:pPr>
          </w:p>
        </w:tc>
        <w:tc>
          <w:tcPr>
            <w:tcW w:w="208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0"/>
              </w:rPr>
              <w:t>Business Services</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11.75%</w:t>
            </w:r>
          </w:p>
        </w:tc>
        <w:tc>
          <w:tcPr>
            <w:tcW w:w="9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L+1,050</w:t>
            </w:r>
            <w:r>
              <w:rPr>
                <w:rFonts w:ascii="Arial" w:cs="Arial" w:eastAsia="Arial" w:hAnsi="Arial"/>
                <w:sz w:val="12"/>
                <w:szCs w:val="12"/>
                <w:color w:val="auto"/>
              </w:rPr>
              <w:t>(8)</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18,750,000</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18,375,000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18,687,563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tcPr>
          <w:p>
            <w:pPr>
              <w:spacing w:after="0" w:line="149" w:lineRule="exact"/>
              <w:rPr>
                <w:sz w:val="20"/>
                <w:szCs w:val="20"/>
                <w:color w:val="auto"/>
              </w:rPr>
            </w:pPr>
            <w:r>
              <w:rPr>
                <w:rFonts w:ascii="Arial" w:cs="Arial" w:eastAsia="Arial" w:hAnsi="Arial"/>
                <w:sz w:val="14"/>
                <w:szCs w:val="14"/>
                <w:color w:val="auto"/>
              </w:rPr>
              <w:t>Brand Energy and Infrastructure Services, Inc.</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10/23/2019</w:t>
            </w:r>
          </w:p>
        </w:tc>
        <w:tc>
          <w:tcPr>
            <w:tcW w:w="240" w:type="dxa"/>
            <w:vAlign w:val="bottom"/>
          </w:tcPr>
          <w:p>
            <w:pPr>
              <w:spacing w:after="0"/>
              <w:rPr>
                <w:sz w:val="12"/>
                <w:szCs w:val="12"/>
                <w:color w:val="auto"/>
              </w:rPr>
            </w:pPr>
          </w:p>
        </w:tc>
        <w:tc>
          <w:tcPr>
            <w:tcW w:w="20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8"/>
              </w:rPr>
              <w:t>Energy / Utilities</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11.00%</w:t>
            </w:r>
          </w:p>
        </w:tc>
        <w:tc>
          <w:tcPr>
            <w:tcW w:w="9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L+975</w:t>
            </w:r>
            <w:r>
              <w:rPr>
                <w:rFonts w:ascii="Arial" w:cs="Arial" w:eastAsia="Arial" w:hAnsi="Arial"/>
                <w:sz w:val="12"/>
                <w:szCs w:val="12"/>
                <w:color w:val="auto"/>
              </w:rPr>
              <w:t>(8)</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42,278,570</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41,471,524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43,159,233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Carolina Beverage Group, LLC</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08/01/2018</w:t>
            </w:r>
          </w:p>
        </w:tc>
        <w:tc>
          <w:tcPr>
            <w:tcW w:w="240" w:type="dxa"/>
            <w:vAlign w:val="bottom"/>
            <w:shd w:val="clear" w:color="auto" w:fill="CCEEFF"/>
          </w:tcPr>
          <w:p>
            <w:pPr>
              <w:spacing w:after="0"/>
              <w:rPr>
                <w:sz w:val="12"/>
                <w:szCs w:val="12"/>
                <w:color w:val="auto"/>
              </w:rPr>
            </w:pPr>
          </w:p>
        </w:tc>
        <w:tc>
          <w:tcPr>
            <w:tcW w:w="208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1"/>
              </w:rPr>
              <w:t>Beverage, Food and Tobacco</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10.63%</w:t>
            </w:r>
          </w:p>
        </w:tc>
        <w:tc>
          <w:tcPr>
            <w:tcW w:w="9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13,125,000</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13,125,000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13,420,313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20" w:type="dxa"/>
            <w:vAlign w:val="bottom"/>
            <w:gridSpan w:val="2"/>
          </w:tcPr>
          <w:p>
            <w:pPr>
              <w:spacing w:after="0" w:line="130" w:lineRule="exact"/>
              <w:rPr>
                <w:sz w:val="20"/>
                <w:szCs w:val="20"/>
                <w:color w:val="auto"/>
              </w:rPr>
            </w:pPr>
            <w:r>
              <w:rPr>
                <w:rFonts w:ascii="Arial" w:cs="Arial" w:eastAsia="Arial" w:hAnsi="Arial"/>
                <w:sz w:val="14"/>
                <w:szCs w:val="14"/>
                <w:color w:val="auto"/>
              </w:rPr>
              <w:t>Envision Acquisition Company, LLC</w:t>
            </w:r>
          </w:p>
        </w:tc>
        <w:tc>
          <w:tcPr>
            <w:tcW w:w="700" w:type="dxa"/>
            <w:vAlign w:val="bottom"/>
          </w:tcPr>
          <w:p>
            <w:pPr>
              <w:jc w:val="right"/>
              <w:spacing w:after="0" w:line="130" w:lineRule="exact"/>
              <w:rPr>
                <w:sz w:val="20"/>
                <w:szCs w:val="20"/>
                <w:color w:val="auto"/>
              </w:rPr>
            </w:pPr>
            <w:r>
              <w:rPr>
                <w:rFonts w:ascii="Arial" w:cs="Arial" w:eastAsia="Arial" w:hAnsi="Arial"/>
                <w:sz w:val="14"/>
                <w:szCs w:val="14"/>
                <w:color w:val="auto"/>
                <w:w w:val="96"/>
              </w:rPr>
              <w:t>11/04/2021</w:t>
            </w:r>
          </w:p>
        </w:tc>
        <w:tc>
          <w:tcPr>
            <w:tcW w:w="240" w:type="dxa"/>
            <w:vAlign w:val="bottom"/>
          </w:tcPr>
          <w:p>
            <w:pPr>
              <w:spacing w:after="0"/>
              <w:rPr>
                <w:sz w:val="11"/>
                <w:szCs w:val="11"/>
                <w:color w:val="auto"/>
              </w:rPr>
            </w:pPr>
          </w:p>
        </w:tc>
        <w:tc>
          <w:tcPr>
            <w:tcW w:w="2080" w:type="dxa"/>
            <w:vAlign w:val="bottom"/>
            <w:gridSpan w:val="2"/>
          </w:tcPr>
          <w:p>
            <w:pPr>
              <w:jc w:val="center"/>
              <w:ind w:right="80"/>
              <w:spacing w:after="0" w:line="130" w:lineRule="exact"/>
              <w:rPr>
                <w:sz w:val="20"/>
                <w:szCs w:val="20"/>
                <w:color w:val="auto"/>
              </w:rPr>
            </w:pPr>
            <w:r>
              <w:rPr>
                <w:rFonts w:ascii="Arial" w:cs="Arial" w:eastAsia="Arial" w:hAnsi="Arial"/>
                <w:sz w:val="14"/>
                <w:szCs w:val="14"/>
                <w:color w:val="auto"/>
                <w:w w:val="92"/>
              </w:rPr>
              <w:t>Healthcare, Education and</w:t>
            </w:r>
          </w:p>
        </w:tc>
        <w:tc>
          <w:tcPr>
            <w:tcW w:w="100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9.75%</w:t>
            </w:r>
          </w:p>
        </w:tc>
        <w:tc>
          <w:tcPr>
            <w:tcW w:w="96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L+875</w:t>
            </w:r>
            <w:r>
              <w:rPr>
                <w:rFonts w:ascii="Arial" w:cs="Arial" w:eastAsia="Arial" w:hAnsi="Arial"/>
                <w:sz w:val="12"/>
                <w:szCs w:val="12"/>
                <w:color w:val="auto"/>
              </w:rPr>
              <w:t>(8)</w:t>
            </w:r>
          </w:p>
        </w:tc>
        <w:tc>
          <w:tcPr>
            <w:tcW w:w="700" w:type="dxa"/>
            <w:vAlign w:val="bottom"/>
          </w:tcPr>
          <w:p>
            <w:pPr>
              <w:jc w:val="right"/>
              <w:spacing w:after="0" w:line="130" w:lineRule="exact"/>
              <w:rPr>
                <w:sz w:val="20"/>
                <w:szCs w:val="20"/>
                <w:color w:val="auto"/>
              </w:rPr>
            </w:pPr>
            <w:r>
              <w:rPr>
                <w:rFonts w:ascii="Arial" w:cs="Arial" w:eastAsia="Arial" w:hAnsi="Arial"/>
                <w:sz w:val="14"/>
                <w:szCs w:val="14"/>
                <w:color w:val="auto"/>
                <w:w w:val="96"/>
              </w:rPr>
              <w:t>19,000,000</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18,620,000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18,905,000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Childcare</w:t>
            </w: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Eureka Hunter Pipeline, LLC</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08/16/2018</w:t>
            </w:r>
          </w:p>
        </w:tc>
        <w:tc>
          <w:tcPr>
            <w:tcW w:w="240" w:type="dxa"/>
            <w:vAlign w:val="bottom"/>
            <w:shd w:val="clear" w:color="auto" w:fill="CCEEFF"/>
          </w:tcPr>
          <w:p>
            <w:pPr>
              <w:spacing w:after="0"/>
              <w:rPr>
                <w:sz w:val="12"/>
                <w:szCs w:val="12"/>
                <w:color w:val="auto"/>
              </w:rPr>
            </w:pPr>
          </w:p>
        </w:tc>
        <w:tc>
          <w:tcPr>
            <w:tcW w:w="208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8"/>
              </w:rPr>
              <w:t>Energy / Utilities</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12.50%</w:t>
            </w:r>
          </w:p>
        </w:tc>
        <w:tc>
          <w:tcPr>
            <w:tcW w:w="9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45,000,000</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44,599,796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46,575,000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tcPr>
          <w:p>
            <w:pPr>
              <w:spacing w:after="0" w:line="149" w:lineRule="exact"/>
              <w:rPr>
                <w:sz w:val="20"/>
                <w:szCs w:val="20"/>
                <w:color w:val="auto"/>
              </w:rPr>
            </w:pPr>
            <w:r>
              <w:rPr>
                <w:rFonts w:ascii="Arial" w:cs="Arial" w:eastAsia="Arial" w:hAnsi="Arial"/>
                <w:sz w:val="14"/>
                <w:szCs w:val="14"/>
                <w:color w:val="auto"/>
              </w:rPr>
              <w:t>ILC Industries, LLC</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06/14/2019</w:t>
            </w:r>
          </w:p>
        </w:tc>
        <w:tc>
          <w:tcPr>
            <w:tcW w:w="240" w:type="dxa"/>
            <w:vAlign w:val="bottom"/>
          </w:tcPr>
          <w:p>
            <w:pPr>
              <w:spacing w:after="0"/>
              <w:rPr>
                <w:sz w:val="12"/>
                <w:szCs w:val="12"/>
                <w:color w:val="auto"/>
              </w:rPr>
            </w:pPr>
          </w:p>
        </w:tc>
        <w:tc>
          <w:tcPr>
            <w:tcW w:w="20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3"/>
              </w:rPr>
              <w:t>Electronics</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11.50%</w:t>
            </w:r>
          </w:p>
        </w:tc>
        <w:tc>
          <w:tcPr>
            <w:tcW w:w="9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L+1,000</w:t>
            </w:r>
            <w:r>
              <w:rPr>
                <w:rFonts w:ascii="Arial" w:cs="Arial" w:eastAsia="Arial" w:hAnsi="Arial"/>
                <w:sz w:val="12"/>
                <w:szCs w:val="12"/>
                <w:color w:val="auto"/>
              </w:rPr>
              <w:t>(8)</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7,500,000</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7,200,000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6,900,000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Intermediate Transportation 100, L.L.C.</w:t>
            </w:r>
          </w:p>
        </w:tc>
        <w:tc>
          <w:tcPr>
            <w:tcW w:w="7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96"/>
              </w:rPr>
              <w:t>03/01/2017</w:t>
            </w:r>
          </w:p>
        </w:tc>
        <w:tc>
          <w:tcPr>
            <w:tcW w:w="240" w:type="dxa"/>
            <w:vAlign w:val="bottom"/>
            <w:shd w:val="clear" w:color="auto" w:fill="CCEEFF"/>
          </w:tcPr>
          <w:p>
            <w:pPr>
              <w:spacing w:after="0"/>
              <w:rPr>
                <w:sz w:val="11"/>
                <w:szCs w:val="11"/>
                <w:color w:val="auto"/>
              </w:rPr>
            </w:pPr>
          </w:p>
        </w:tc>
        <w:tc>
          <w:tcPr>
            <w:tcW w:w="2080" w:type="dxa"/>
            <w:vAlign w:val="bottom"/>
            <w:gridSpan w:val="2"/>
            <w:shd w:val="clear" w:color="auto" w:fill="CCEEFF"/>
          </w:tcPr>
          <w:p>
            <w:pPr>
              <w:jc w:val="center"/>
              <w:ind w:right="60"/>
              <w:spacing w:after="0" w:line="130" w:lineRule="exact"/>
              <w:rPr>
                <w:sz w:val="20"/>
                <w:szCs w:val="20"/>
                <w:color w:val="auto"/>
              </w:rPr>
            </w:pPr>
            <w:r>
              <w:rPr>
                <w:rFonts w:ascii="Arial" w:cs="Arial" w:eastAsia="Arial" w:hAnsi="Arial"/>
                <w:sz w:val="14"/>
                <w:szCs w:val="14"/>
                <w:color w:val="auto"/>
                <w:w w:val="92"/>
              </w:rPr>
              <w:t>Cargo Transport</w:t>
            </w:r>
          </w:p>
        </w:tc>
        <w:tc>
          <w:tcPr>
            <w:tcW w:w="100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11.00%</w:t>
            </w:r>
          </w:p>
        </w:tc>
        <w:tc>
          <w:tcPr>
            <w:tcW w:w="96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L+700</w:t>
            </w:r>
            <w:r>
              <w:rPr>
                <w:rFonts w:ascii="Arial" w:cs="Arial" w:eastAsia="Arial" w:hAnsi="Arial"/>
                <w:sz w:val="12"/>
                <w:szCs w:val="12"/>
                <w:color w:val="auto"/>
              </w:rPr>
              <w:t>(8)</w:t>
            </w:r>
          </w:p>
        </w:tc>
        <w:tc>
          <w:tcPr>
            <w:tcW w:w="7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3,544,833</w:t>
            </w: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3,544,836</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3,544,833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5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(PIK 11.00%)</w:t>
            </w:r>
          </w:p>
        </w:tc>
        <w:tc>
          <w:tcPr>
            <w:tcW w:w="6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tcPr>
          <w:p>
            <w:pPr>
              <w:spacing w:after="0" w:line="149" w:lineRule="exact"/>
              <w:rPr>
                <w:sz w:val="20"/>
                <w:szCs w:val="20"/>
                <w:color w:val="auto"/>
              </w:rPr>
            </w:pPr>
            <w:r>
              <w:rPr>
                <w:rFonts w:ascii="Arial" w:cs="Arial" w:eastAsia="Arial" w:hAnsi="Arial"/>
                <w:sz w:val="14"/>
                <w:szCs w:val="14"/>
                <w:color w:val="auto"/>
              </w:rPr>
              <w:t>Jacobs Entertainment, Inc.</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10/29/2019</w:t>
            </w:r>
          </w:p>
        </w:tc>
        <w:tc>
          <w:tcPr>
            <w:tcW w:w="240" w:type="dxa"/>
            <w:vAlign w:val="bottom"/>
          </w:tcPr>
          <w:p>
            <w:pPr>
              <w:spacing w:after="0"/>
              <w:rPr>
                <w:sz w:val="12"/>
                <w:szCs w:val="12"/>
                <w:color w:val="auto"/>
              </w:rPr>
            </w:pPr>
          </w:p>
        </w:tc>
        <w:tc>
          <w:tcPr>
            <w:tcW w:w="20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4"/>
              </w:rPr>
              <w:t>Hotels, Motels, Inns and Gaming</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13.00%</w:t>
            </w:r>
          </w:p>
        </w:tc>
        <w:tc>
          <w:tcPr>
            <w:tcW w:w="9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L+1,175</w:t>
            </w:r>
            <w:r>
              <w:rPr>
                <w:rFonts w:ascii="Arial" w:cs="Arial" w:eastAsia="Arial" w:hAnsi="Arial"/>
                <w:sz w:val="12"/>
                <w:szCs w:val="12"/>
                <w:color w:val="auto"/>
              </w:rPr>
              <w:t>(8)</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38,950,000</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38,287,499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39,096,063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Language Line, LLC</w:t>
            </w:r>
          </w:p>
        </w:tc>
        <w:tc>
          <w:tcPr>
            <w:tcW w:w="7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96"/>
              </w:rPr>
              <w:t>12/20/2016</w:t>
            </w:r>
          </w:p>
        </w:tc>
        <w:tc>
          <w:tcPr>
            <w:tcW w:w="240" w:type="dxa"/>
            <w:vAlign w:val="bottom"/>
            <w:shd w:val="clear" w:color="auto" w:fill="CCEEFF"/>
          </w:tcPr>
          <w:p>
            <w:pPr>
              <w:spacing w:after="0"/>
              <w:rPr>
                <w:sz w:val="11"/>
                <w:szCs w:val="11"/>
                <w:color w:val="auto"/>
              </w:rPr>
            </w:pPr>
          </w:p>
        </w:tc>
        <w:tc>
          <w:tcPr>
            <w:tcW w:w="2080" w:type="dxa"/>
            <w:vAlign w:val="bottom"/>
            <w:gridSpan w:val="2"/>
            <w:shd w:val="clear" w:color="auto" w:fill="CCEEFF"/>
          </w:tcPr>
          <w:p>
            <w:pPr>
              <w:jc w:val="center"/>
              <w:ind w:right="80"/>
              <w:spacing w:after="0" w:line="130" w:lineRule="exact"/>
              <w:rPr>
                <w:sz w:val="20"/>
                <w:szCs w:val="20"/>
                <w:color w:val="auto"/>
              </w:rPr>
            </w:pPr>
            <w:r>
              <w:rPr>
                <w:rFonts w:ascii="Arial" w:cs="Arial" w:eastAsia="Arial" w:hAnsi="Arial"/>
                <w:sz w:val="14"/>
                <w:szCs w:val="14"/>
                <w:color w:val="auto"/>
                <w:w w:val="91"/>
              </w:rPr>
              <w:t>Personal, Food and Miscellaneous</w:t>
            </w:r>
          </w:p>
        </w:tc>
        <w:tc>
          <w:tcPr>
            <w:tcW w:w="100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10.50%</w:t>
            </w:r>
          </w:p>
        </w:tc>
        <w:tc>
          <w:tcPr>
            <w:tcW w:w="96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L+875</w:t>
            </w:r>
            <w:r>
              <w:rPr>
                <w:rFonts w:ascii="Arial" w:cs="Arial" w:eastAsia="Arial" w:hAnsi="Arial"/>
                <w:sz w:val="12"/>
                <w:szCs w:val="12"/>
                <w:color w:val="auto"/>
              </w:rPr>
              <w:t>(8)</w:t>
            </w:r>
          </w:p>
        </w:tc>
        <w:tc>
          <w:tcPr>
            <w:tcW w:w="7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96"/>
              </w:rPr>
              <w:t>33,750,000</w:t>
            </w: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33,265,829</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33,187,388</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5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8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89"/>
              </w:rPr>
              <w:t>Services</w:t>
            </w:r>
          </w:p>
        </w:tc>
        <w:tc>
          <w:tcPr>
            <w:tcW w:w="6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tcPr>
          <w:p>
            <w:pPr>
              <w:spacing w:after="0" w:line="149" w:lineRule="exact"/>
              <w:rPr>
                <w:sz w:val="20"/>
                <w:szCs w:val="20"/>
                <w:color w:val="auto"/>
              </w:rPr>
            </w:pPr>
            <w:r>
              <w:rPr>
                <w:rFonts w:ascii="Arial" w:cs="Arial" w:eastAsia="Arial" w:hAnsi="Arial"/>
                <w:sz w:val="14"/>
                <w:szCs w:val="14"/>
                <w:color w:val="auto"/>
              </w:rPr>
              <w:t>Linc USA GP and Linc Energy Finance (USA), Inc.</w:t>
            </w:r>
            <w:r>
              <w:rPr>
                <w:rFonts w:ascii="Arial" w:cs="Arial" w:eastAsia="Arial" w:hAnsi="Arial"/>
                <w:sz w:val="12"/>
                <w:szCs w:val="12"/>
                <w:color w:val="auto"/>
              </w:rPr>
              <w:t>(5)</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10/31/2017</w:t>
            </w:r>
          </w:p>
        </w:tc>
        <w:tc>
          <w:tcPr>
            <w:tcW w:w="240" w:type="dxa"/>
            <w:vAlign w:val="bottom"/>
          </w:tcPr>
          <w:p>
            <w:pPr>
              <w:spacing w:after="0"/>
              <w:rPr>
                <w:sz w:val="12"/>
                <w:szCs w:val="12"/>
                <w:color w:val="auto"/>
              </w:rPr>
            </w:pPr>
          </w:p>
        </w:tc>
        <w:tc>
          <w:tcPr>
            <w:tcW w:w="20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1"/>
              </w:rPr>
              <w:t>Oil and Gas</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12.50%</w:t>
            </w:r>
          </w:p>
        </w:tc>
        <w:tc>
          <w:tcPr>
            <w:tcW w:w="9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6"/>
              </w:rPr>
              <w:t>11,875,000</w:t>
            </w:r>
          </w:p>
        </w:tc>
        <w:tc>
          <w:tcPr>
            <w:tcW w:w="14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11,511,878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13,062,500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Pre-Paid Legal Services, Inc.</w:t>
            </w:r>
          </w:p>
        </w:tc>
        <w:tc>
          <w:tcPr>
            <w:tcW w:w="7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96"/>
              </w:rPr>
              <w:t>07/01/2020</w:t>
            </w:r>
          </w:p>
        </w:tc>
        <w:tc>
          <w:tcPr>
            <w:tcW w:w="240" w:type="dxa"/>
            <w:vAlign w:val="bottom"/>
            <w:shd w:val="clear" w:color="auto" w:fill="CCEEFF"/>
          </w:tcPr>
          <w:p>
            <w:pPr>
              <w:spacing w:after="0"/>
              <w:rPr>
                <w:sz w:val="11"/>
                <w:szCs w:val="11"/>
                <w:color w:val="auto"/>
              </w:rPr>
            </w:pPr>
          </w:p>
        </w:tc>
        <w:tc>
          <w:tcPr>
            <w:tcW w:w="2080" w:type="dxa"/>
            <w:vAlign w:val="bottom"/>
            <w:gridSpan w:val="2"/>
            <w:shd w:val="clear" w:color="auto" w:fill="CCEEFF"/>
          </w:tcPr>
          <w:p>
            <w:pPr>
              <w:jc w:val="center"/>
              <w:ind w:right="80"/>
              <w:spacing w:after="0" w:line="130" w:lineRule="exact"/>
              <w:rPr>
                <w:sz w:val="20"/>
                <w:szCs w:val="20"/>
                <w:color w:val="auto"/>
              </w:rPr>
            </w:pPr>
            <w:r>
              <w:rPr>
                <w:rFonts w:ascii="Arial" w:cs="Arial" w:eastAsia="Arial" w:hAnsi="Arial"/>
                <w:sz w:val="14"/>
                <w:szCs w:val="14"/>
                <w:color w:val="auto"/>
                <w:w w:val="91"/>
              </w:rPr>
              <w:t>Personal, Food and Miscellaneous</w:t>
            </w:r>
          </w:p>
        </w:tc>
        <w:tc>
          <w:tcPr>
            <w:tcW w:w="100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9.75%</w:t>
            </w:r>
          </w:p>
        </w:tc>
        <w:tc>
          <w:tcPr>
            <w:tcW w:w="96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L+850</w:t>
            </w:r>
            <w:r>
              <w:rPr>
                <w:rFonts w:ascii="Arial" w:cs="Arial" w:eastAsia="Arial" w:hAnsi="Arial"/>
                <w:sz w:val="12"/>
                <w:szCs w:val="12"/>
                <w:color w:val="auto"/>
              </w:rPr>
              <w:t>(8)</w:t>
            </w:r>
          </w:p>
        </w:tc>
        <w:tc>
          <w:tcPr>
            <w:tcW w:w="7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96"/>
              </w:rPr>
              <w:t>56,750,000</w:t>
            </w: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55,923,621</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56,040,625</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5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8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89"/>
              </w:rPr>
              <w:t>Services</w:t>
            </w:r>
          </w:p>
        </w:tc>
        <w:tc>
          <w:tcPr>
            <w:tcW w:w="6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tcPr>
          <w:p>
            <w:pPr>
              <w:spacing w:after="0" w:line="149" w:lineRule="exact"/>
              <w:rPr>
                <w:sz w:val="20"/>
                <w:szCs w:val="20"/>
                <w:color w:val="auto"/>
              </w:rPr>
            </w:pPr>
            <w:r>
              <w:rPr>
                <w:rFonts w:ascii="Arial" w:cs="Arial" w:eastAsia="Arial" w:hAnsi="Arial"/>
                <w:sz w:val="14"/>
                <w:szCs w:val="14"/>
                <w:color w:val="auto"/>
              </w:rPr>
              <w:t>Questex Media Group LLC, Term Loan A</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12/15/2014</w:t>
            </w:r>
          </w:p>
        </w:tc>
        <w:tc>
          <w:tcPr>
            <w:tcW w:w="240" w:type="dxa"/>
            <w:vAlign w:val="bottom"/>
          </w:tcPr>
          <w:p>
            <w:pPr>
              <w:spacing w:after="0"/>
              <w:rPr>
                <w:sz w:val="12"/>
                <w:szCs w:val="12"/>
                <w:color w:val="auto"/>
              </w:rPr>
            </w:pPr>
          </w:p>
        </w:tc>
        <w:tc>
          <w:tcPr>
            <w:tcW w:w="20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3"/>
              </w:rPr>
              <w:t>Other Media</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9.50%</w:t>
            </w:r>
          </w:p>
        </w:tc>
        <w:tc>
          <w:tcPr>
            <w:tcW w:w="9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L+550</w:t>
            </w:r>
            <w:r>
              <w:rPr>
                <w:rFonts w:ascii="Arial" w:cs="Arial" w:eastAsia="Arial" w:hAnsi="Arial"/>
                <w:sz w:val="12"/>
                <w:szCs w:val="12"/>
                <w:color w:val="auto"/>
              </w:rPr>
              <w:t>(8)</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2,395,378</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2,395,378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2,371,424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Questex Media Group LLC, Term Loan B</w:t>
            </w:r>
          </w:p>
        </w:tc>
        <w:tc>
          <w:tcPr>
            <w:tcW w:w="7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96"/>
              </w:rPr>
              <w:t>12/15/2015</w:t>
            </w:r>
          </w:p>
        </w:tc>
        <w:tc>
          <w:tcPr>
            <w:tcW w:w="240" w:type="dxa"/>
            <w:vAlign w:val="bottom"/>
            <w:shd w:val="clear" w:color="auto" w:fill="CCEEFF"/>
          </w:tcPr>
          <w:p>
            <w:pPr>
              <w:spacing w:after="0"/>
              <w:rPr>
                <w:sz w:val="11"/>
                <w:szCs w:val="11"/>
                <w:color w:val="auto"/>
              </w:rPr>
            </w:pPr>
          </w:p>
        </w:tc>
        <w:tc>
          <w:tcPr>
            <w:tcW w:w="2080" w:type="dxa"/>
            <w:vAlign w:val="bottom"/>
            <w:gridSpan w:val="2"/>
            <w:shd w:val="clear" w:color="auto" w:fill="CCEEFF"/>
          </w:tcPr>
          <w:p>
            <w:pPr>
              <w:jc w:val="center"/>
              <w:ind w:right="80"/>
              <w:spacing w:after="0" w:line="130" w:lineRule="exact"/>
              <w:rPr>
                <w:sz w:val="20"/>
                <w:szCs w:val="20"/>
                <w:color w:val="auto"/>
              </w:rPr>
            </w:pPr>
            <w:r>
              <w:rPr>
                <w:rFonts w:ascii="Arial" w:cs="Arial" w:eastAsia="Arial" w:hAnsi="Arial"/>
                <w:sz w:val="14"/>
                <w:szCs w:val="14"/>
                <w:color w:val="auto"/>
                <w:w w:val="93"/>
              </w:rPr>
              <w:t>Other Media</w:t>
            </w:r>
          </w:p>
        </w:tc>
        <w:tc>
          <w:tcPr>
            <w:tcW w:w="100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11.50%</w:t>
            </w:r>
          </w:p>
        </w:tc>
        <w:tc>
          <w:tcPr>
            <w:tcW w:w="96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P+750</w:t>
            </w:r>
            <w:r>
              <w:rPr>
                <w:rFonts w:ascii="Arial" w:cs="Arial" w:eastAsia="Arial" w:hAnsi="Arial"/>
                <w:sz w:val="12"/>
                <w:szCs w:val="12"/>
                <w:color w:val="auto"/>
              </w:rPr>
              <w:t>(8)</w:t>
            </w:r>
          </w:p>
        </w:tc>
        <w:tc>
          <w:tcPr>
            <w:tcW w:w="7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2,502,333</w:t>
            </w: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2,502,333</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2,452,286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5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(PIK 11.50%)</w:t>
            </w:r>
          </w:p>
        </w:tc>
        <w:tc>
          <w:tcPr>
            <w:tcW w:w="6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20" w:type="dxa"/>
            <w:vAlign w:val="bottom"/>
            <w:gridSpan w:val="2"/>
          </w:tcPr>
          <w:p>
            <w:pPr>
              <w:spacing w:after="0" w:line="149" w:lineRule="exact"/>
              <w:rPr>
                <w:sz w:val="20"/>
                <w:szCs w:val="20"/>
                <w:color w:val="auto"/>
              </w:rPr>
            </w:pPr>
            <w:r>
              <w:rPr>
                <w:rFonts w:ascii="Arial" w:cs="Arial" w:eastAsia="Arial" w:hAnsi="Arial"/>
                <w:sz w:val="14"/>
                <w:szCs w:val="14"/>
                <w:color w:val="auto"/>
              </w:rPr>
              <w:t>ROC Finance LLC and ROC Finance 1 Corp.</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08/31/2018</w:t>
            </w:r>
          </w:p>
        </w:tc>
        <w:tc>
          <w:tcPr>
            <w:tcW w:w="240" w:type="dxa"/>
            <w:vAlign w:val="bottom"/>
          </w:tcPr>
          <w:p>
            <w:pPr>
              <w:spacing w:after="0"/>
              <w:rPr>
                <w:sz w:val="13"/>
                <w:szCs w:val="13"/>
                <w:color w:val="auto"/>
              </w:rPr>
            </w:pPr>
          </w:p>
        </w:tc>
        <w:tc>
          <w:tcPr>
            <w:tcW w:w="20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4"/>
              </w:rPr>
              <w:t>Hotels, Motels, Inns and Gaming</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12.13%</w:t>
            </w:r>
          </w:p>
        </w:tc>
        <w:tc>
          <w:tcPr>
            <w:tcW w:w="9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16,000,000</w:t>
            </w:r>
          </w:p>
        </w:tc>
        <w:tc>
          <w:tcPr>
            <w:tcW w:w="2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15,785,252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17,720,000</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Second Lien Secured Debt</w:t>
            </w: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7"/>
              </w:rPr>
              <w:t>332,007,946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341,093,728</w:t>
            </w:r>
          </w:p>
        </w:tc>
        <w:tc>
          <w:tcPr>
            <w:tcW w:w="0" w:type="dxa"/>
            <w:vAlign w:val="bottom"/>
          </w:tcPr>
          <w:p>
            <w:pPr>
              <w:spacing w:after="0"/>
              <w:rPr>
                <w:sz w:val="1"/>
                <w:szCs w:val="1"/>
                <w:color w:val="auto"/>
              </w:rPr>
            </w:pPr>
          </w:p>
        </w:tc>
      </w:tr>
      <w:tr>
        <w:trPr>
          <w:trHeight w:val="156"/>
        </w:trPr>
        <w:tc>
          <w:tcPr>
            <w:tcW w:w="33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Subordinated Debt/Corporate Notes—37.4%</w:t>
            </w: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Acentia, LLC</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6"/>
              </w:rPr>
              <w:t>10/02/2017</w:t>
            </w:r>
          </w:p>
        </w:tc>
        <w:tc>
          <w:tcPr>
            <w:tcW w:w="208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3"/>
              </w:rPr>
              <w:t>Electronics</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13.75%</w:t>
            </w:r>
          </w:p>
        </w:tc>
        <w:tc>
          <w:tcPr>
            <w:tcW w:w="9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19,000,000</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18,629,082</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18,879,139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tcPr>
          <w:p>
            <w:pPr>
              <w:spacing w:after="0" w:line="149" w:lineRule="exact"/>
              <w:rPr>
                <w:sz w:val="20"/>
                <w:szCs w:val="20"/>
                <w:color w:val="auto"/>
              </w:rPr>
            </w:pPr>
            <w:r>
              <w:rPr>
                <w:rFonts w:ascii="Arial" w:cs="Arial" w:eastAsia="Arial" w:hAnsi="Arial"/>
                <w:sz w:val="14"/>
                <w:szCs w:val="14"/>
                <w:color w:val="auto"/>
              </w:rPr>
              <w:t>Affinion Group Holdings, Inc.</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6"/>
              </w:rPr>
              <w:t>11/15/2015</w:t>
            </w:r>
          </w:p>
        </w:tc>
        <w:tc>
          <w:tcPr>
            <w:tcW w:w="20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0"/>
              </w:rPr>
              <w:t>Consumer Products</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11.63%</w:t>
            </w:r>
          </w:p>
        </w:tc>
        <w:tc>
          <w:tcPr>
            <w:tcW w:w="9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35,552,000</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34,570,664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20,442,400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Alegeus Technologies, LLC</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6"/>
              </w:rPr>
              <w:t>02/15/2019</w:t>
            </w:r>
          </w:p>
        </w:tc>
        <w:tc>
          <w:tcPr>
            <w:tcW w:w="2080" w:type="dxa"/>
            <w:vAlign w:val="bottom"/>
            <w:gridSpan w:val="2"/>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93"/>
              </w:rPr>
              <w:t>Financial Services</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12.00%</w:t>
            </w:r>
          </w:p>
        </w:tc>
        <w:tc>
          <w:tcPr>
            <w:tcW w:w="9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8,930,000</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8,773,751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8,888,617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20" w:type="dxa"/>
            <w:vAlign w:val="bottom"/>
            <w:gridSpan w:val="2"/>
          </w:tcPr>
          <w:p>
            <w:pPr>
              <w:spacing w:after="0" w:line="130" w:lineRule="exact"/>
              <w:rPr>
                <w:sz w:val="20"/>
                <w:szCs w:val="20"/>
                <w:color w:val="auto"/>
              </w:rPr>
            </w:pPr>
            <w:r>
              <w:rPr>
                <w:rFonts w:ascii="Arial" w:cs="Arial" w:eastAsia="Arial" w:hAnsi="Arial"/>
                <w:sz w:val="14"/>
                <w:szCs w:val="14"/>
                <w:color w:val="auto"/>
              </w:rPr>
              <w:t>Convergint Technologies LLC</w:t>
            </w:r>
          </w:p>
        </w:tc>
        <w:tc>
          <w:tcPr>
            <w:tcW w:w="94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w w:val="96"/>
              </w:rPr>
              <w:t>03/26/2018</w:t>
            </w:r>
          </w:p>
        </w:tc>
        <w:tc>
          <w:tcPr>
            <w:tcW w:w="2080" w:type="dxa"/>
            <w:vAlign w:val="bottom"/>
            <w:gridSpan w:val="2"/>
          </w:tcPr>
          <w:p>
            <w:pPr>
              <w:jc w:val="center"/>
              <w:ind w:right="80"/>
              <w:spacing w:after="0" w:line="130" w:lineRule="exact"/>
              <w:rPr>
                <w:sz w:val="20"/>
                <w:szCs w:val="20"/>
                <w:color w:val="auto"/>
              </w:rPr>
            </w:pPr>
            <w:r>
              <w:rPr>
                <w:rFonts w:ascii="Arial" w:cs="Arial" w:eastAsia="Arial" w:hAnsi="Arial"/>
                <w:sz w:val="14"/>
                <w:szCs w:val="14"/>
                <w:color w:val="auto"/>
                <w:w w:val="93"/>
              </w:rPr>
              <w:t>Electronics</w:t>
            </w:r>
          </w:p>
        </w:tc>
        <w:tc>
          <w:tcPr>
            <w:tcW w:w="100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12.00%</w:t>
            </w:r>
          </w:p>
        </w:tc>
        <w:tc>
          <w:tcPr>
            <w:tcW w:w="960" w:type="dxa"/>
            <w:vAlign w:val="bottom"/>
            <w:gridSpan w:val="2"/>
          </w:tcPr>
          <w:p>
            <w:pPr>
              <w:jc w:val="right"/>
              <w:ind w:right="340"/>
              <w:spacing w:after="0" w:line="130"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30" w:lineRule="exact"/>
              <w:rPr>
                <w:sz w:val="20"/>
                <w:szCs w:val="20"/>
                <w:color w:val="auto"/>
              </w:rPr>
            </w:pPr>
            <w:r>
              <w:rPr>
                <w:rFonts w:ascii="Arial" w:cs="Arial" w:eastAsia="Arial" w:hAnsi="Arial"/>
                <w:sz w:val="14"/>
                <w:szCs w:val="14"/>
                <w:color w:val="auto"/>
                <w:w w:val="96"/>
              </w:rPr>
              <w:t>23,514,494</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23,114,286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23,867,211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(PIK 1.00 %)</w:t>
            </w: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S-49</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PENNANTPARK INVESTMENT CORPORATION AND SUBSIDIARIES CONSOLIDATED SCHEDULE OF INVESTMENTS—(Continued) SEPTEMBER 30, 2013</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Basis Point</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restart"/>
          </w:tcPr>
          <w:p>
            <w:pPr>
              <w:jc w:val="right"/>
              <w:ind w:right="488"/>
              <w:spacing w:after="0"/>
              <w:rPr>
                <w:sz w:val="20"/>
                <w:szCs w:val="20"/>
                <w:color w:val="auto"/>
              </w:rPr>
            </w:pPr>
            <w:r>
              <w:rPr>
                <w:rFonts w:ascii="Arial" w:cs="Arial" w:eastAsia="Arial" w:hAnsi="Arial"/>
                <w:sz w:val="14"/>
                <w:szCs w:val="14"/>
                <w:b w:val="1"/>
                <w:bCs w:val="1"/>
                <w:color w:val="auto"/>
              </w:rPr>
              <w:t>Current</w:t>
            </w: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Spread</w:t>
            </w:r>
          </w:p>
        </w:tc>
        <w:tc>
          <w:tcPr>
            <w:tcW w:w="8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Par /</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Issuer Name</w:t>
            </w:r>
          </w:p>
        </w:tc>
        <w:tc>
          <w:tcPr>
            <w:tcW w:w="9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Maturity</w:t>
            </w:r>
          </w:p>
        </w:tc>
        <w:tc>
          <w:tcPr>
            <w:tcW w:w="22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7"/>
              </w:rPr>
              <w:t>Industry</w:t>
            </w:r>
          </w:p>
        </w:tc>
        <w:tc>
          <w:tcPr>
            <w:tcW w:w="1160" w:type="dxa"/>
            <w:vAlign w:val="bottom"/>
            <w:gridSpan w:val="2"/>
            <w:vMerge w:val="continue"/>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Above</w:t>
            </w: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2"/>
                <w:szCs w:val="12"/>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2"/>
                <w:szCs w:val="12"/>
                <w:b w:val="1"/>
                <w:bCs w:val="1"/>
                <w:color w:val="auto"/>
              </w:rPr>
              <w:t>(3)</w:t>
            </w:r>
          </w:p>
        </w:tc>
        <w:tc>
          <w:tcPr>
            <w:tcW w:w="0" w:type="dxa"/>
            <w:vAlign w:val="bottom"/>
          </w:tcPr>
          <w:p>
            <w:pPr>
              <w:spacing w:after="0"/>
              <w:rPr>
                <w:sz w:val="1"/>
                <w:szCs w:val="1"/>
                <w:color w:val="auto"/>
              </w:rPr>
            </w:pPr>
          </w:p>
        </w:tc>
      </w:tr>
      <w:tr>
        <w:trPr>
          <w:trHeight w:val="171"/>
        </w:trPr>
        <w:tc>
          <w:tcPr>
            <w:tcW w:w="3200" w:type="dxa"/>
            <w:vAlign w:val="bottom"/>
            <w:gridSpan w:val="3"/>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2280" w:type="dxa"/>
            <w:vAlign w:val="bottom"/>
            <w:gridSpan w:val="2"/>
            <w:vMerge w:val="continue"/>
          </w:tcPr>
          <w:p>
            <w:pPr>
              <w:spacing w:after="0"/>
              <w:rPr>
                <w:sz w:val="14"/>
                <w:szCs w:val="14"/>
                <w:color w:val="auto"/>
              </w:rPr>
            </w:pPr>
          </w:p>
        </w:tc>
        <w:tc>
          <w:tcPr>
            <w:tcW w:w="1160" w:type="dxa"/>
            <w:vAlign w:val="bottom"/>
            <w:gridSpan w:val="2"/>
          </w:tcPr>
          <w:p>
            <w:pPr>
              <w:jc w:val="right"/>
              <w:ind w:right="508"/>
              <w:spacing w:after="0"/>
              <w:rPr>
                <w:sz w:val="20"/>
                <w:szCs w:val="20"/>
                <w:color w:val="auto"/>
              </w:rPr>
            </w:pPr>
            <w:r>
              <w:rPr>
                <w:rFonts w:ascii="Arial" w:cs="Arial" w:eastAsia="Arial" w:hAnsi="Arial"/>
                <w:sz w:val="14"/>
                <w:szCs w:val="14"/>
                <w:b w:val="1"/>
                <w:bCs w:val="1"/>
                <w:color w:val="auto"/>
              </w:rPr>
              <w:t>Coupon</w:t>
            </w: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Index</w:t>
            </w:r>
            <w:r>
              <w:rPr>
                <w:rFonts w:ascii="Arial" w:cs="Arial" w:eastAsia="Arial" w:hAnsi="Arial"/>
                <w:sz w:val="12"/>
                <w:szCs w:val="12"/>
                <w:b w:val="1"/>
                <w:bCs w:val="1"/>
                <w:color w:val="auto"/>
                <w:w w:val="93"/>
              </w:rPr>
              <w:t>(4)</w:t>
            </w: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6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w w:val="84"/>
              </w:rPr>
              <w:t>Credit Infonet,</w:t>
            </w:r>
          </w:p>
        </w:tc>
        <w:tc>
          <w:tcPr>
            <w:tcW w:w="2420" w:type="dxa"/>
            <w:vAlign w:val="bottom"/>
            <w:tcBorders>
              <w:top w:val="single" w:sz="8" w:color="CCEEFF"/>
            </w:tcBorders>
            <w:shd w:val="clear" w:color="auto" w:fill="CCEEFF"/>
          </w:tcPr>
          <w:p>
            <w:pPr>
              <w:ind w:left="120"/>
              <w:spacing w:after="0" w:line="123" w:lineRule="exact"/>
              <w:rPr>
                <w:sz w:val="20"/>
                <w:szCs w:val="20"/>
                <w:color w:val="auto"/>
              </w:rPr>
            </w:pPr>
            <w:r>
              <w:rPr>
                <w:rFonts w:ascii="Arial" w:cs="Arial" w:eastAsia="Arial" w:hAnsi="Arial"/>
                <w:sz w:val="14"/>
                <w:szCs w:val="14"/>
                <w:color w:val="auto"/>
              </w:rPr>
              <w:t>Inc.</w:t>
            </w:r>
          </w:p>
        </w:tc>
        <w:tc>
          <w:tcPr>
            <w:tcW w:w="72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w w:val="99"/>
              </w:rPr>
              <w:t>10/26/2018</w:t>
            </w:r>
          </w:p>
        </w:tc>
        <w:tc>
          <w:tcPr>
            <w:tcW w:w="240" w:type="dxa"/>
            <w:vAlign w:val="bottom"/>
            <w:tcBorders>
              <w:top w:val="single" w:sz="8" w:color="CCEEFF"/>
            </w:tcBorders>
            <w:shd w:val="clear" w:color="auto" w:fill="CCEEFF"/>
          </w:tcPr>
          <w:p>
            <w:pPr>
              <w:spacing w:after="0"/>
              <w:rPr>
                <w:sz w:val="10"/>
                <w:szCs w:val="10"/>
                <w:color w:val="auto"/>
              </w:rPr>
            </w:pPr>
          </w:p>
        </w:tc>
        <w:tc>
          <w:tcPr>
            <w:tcW w:w="2120" w:type="dxa"/>
            <w:vAlign w:val="bottom"/>
            <w:tcBorders>
              <w:top w:val="single" w:sz="8" w:color="auto"/>
            </w:tcBorders>
            <w:shd w:val="clear" w:color="auto" w:fill="CCEEFF"/>
          </w:tcPr>
          <w:p>
            <w:pPr>
              <w:jc w:val="center"/>
              <w:spacing w:after="0" w:line="123" w:lineRule="exact"/>
              <w:rPr>
                <w:sz w:val="20"/>
                <w:szCs w:val="20"/>
                <w:color w:val="auto"/>
              </w:rPr>
            </w:pPr>
            <w:r>
              <w:rPr>
                <w:rFonts w:ascii="Arial" w:cs="Arial" w:eastAsia="Arial" w:hAnsi="Arial"/>
                <w:sz w:val="14"/>
                <w:szCs w:val="14"/>
                <w:color w:val="auto"/>
                <w:w w:val="89"/>
              </w:rPr>
              <w:t>Personal, Food and</w:t>
            </w:r>
          </w:p>
        </w:tc>
        <w:tc>
          <w:tcPr>
            <w:tcW w:w="16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12.25</w:t>
            </w:r>
          </w:p>
        </w:tc>
        <w:tc>
          <w:tcPr>
            <w:tcW w:w="480" w:type="dxa"/>
            <w:vAlign w:val="bottom"/>
            <w:tcBorders>
              <w:top w:val="single" w:sz="8" w:color="CCEEFF"/>
            </w:tcBorders>
            <w:shd w:val="clear" w:color="auto" w:fill="CCEEFF"/>
          </w:tcPr>
          <w:p>
            <w:pPr>
              <w:jc w:val="right"/>
              <w:ind w:right="288"/>
              <w:spacing w:after="0" w:line="123" w:lineRule="exact"/>
              <w:rPr>
                <w:sz w:val="20"/>
                <w:szCs w:val="20"/>
                <w:color w:val="auto"/>
              </w:rPr>
            </w:pPr>
            <w:r>
              <w:rPr>
                <w:rFonts w:ascii="Arial" w:cs="Arial" w:eastAsia="Arial" w:hAnsi="Arial"/>
                <w:sz w:val="14"/>
                <w:szCs w:val="14"/>
                <w:color w:val="auto"/>
                <w:w w:val="79"/>
              </w:rPr>
              <w:t>%</w:t>
            </w:r>
          </w:p>
        </w:tc>
        <w:tc>
          <w:tcPr>
            <w:tcW w:w="680" w:type="dxa"/>
            <w:vAlign w:val="bottom"/>
            <w:tcBorders>
              <w:top w:val="single" w:sz="8" w:color="auto"/>
            </w:tcBorders>
            <w:shd w:val="clear" w:color="auto" w:fill="CCEEFF"/>
          </w:tcPr>
          <w:p>
            <w:pPr>
              <w:ind w:left="480"/>
              <w:spacing w:after="0" w:line="123"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w w:val="96"/>
              </w:rPr>
              <w:t>10,600,000</w:t>
            </w:r>
          </w:p>
        </w:tc>
        <w:tc>
          <w:tcPr>
            <w:tcW w:w="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10,399,101</w:t>
            </w:r>
          </w:p>
        </w:tc>
        <w:tc>
          <w:tcPr>
            <w:tcW w:w="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10,653,423</w:t>
            </w: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8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2"/>
              </w:rPr>
              <w:t>Miscellaneous Services</w:t>
            </w:r>
          </w:p>
        </w:tc>
        <w:tc>
          <w:tcPr>
            <w:tcW w:w="6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80" w:type="dxa"/>
            <w:vAlign w:val="bottom"/>
            <w:gridSpan w:val="2"/>
          </w:tcPr>
          <w:p>
            <w:pPr>
              <w:spacing w:after="0" w:line="130" w:lineRule="exact"/>
              <w:rPr>
                <w:sz w:val="20"/>
                <w:szCs w:val="20"/>
                <w:color w:val="auto"/>
              </w:rPr>
            </w:pPr>
            <w:r>
              <w:rPr>
                <w:rFonts w:ascii="Arial" w:cs="Arial" w:eastAsia="Arial" w:hAnsi="Arial"/>
                <w:sz w:val="14"/>
                <w:szCs w:val="14"/>
                <w:color w:val="auto"/>
              </w:rPr>
              <w:t>Escort, Inc.</w:t>
            </w:r>
          </w:p>
        </w:tc>
        <w:tc>
          <w:tcPr>
            <w:tcW w:w="96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w w:val="99"/>
              </w:rPr>
              <w:t>06/01/2016</w:t>
            </w:r>
          </w:p>
        </w:tc>
        <w:tc>
          <w:tcPr>
            <w:tcW w:w="228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93"/>
              </w:rPr>
              <w:t>Electronics</w:t>
            </w:r>
          </w:p>
        </w:tc>
        <w:tc>
          <w:tcPr>
            <w:tcW w:w="1160" w:type="dxa"/>
            <w:vAlign w:val="bottom"/>
            <w:gridSpan w:val="2"/>
          </w:tcPr>
          <w:p>
            <w:pPr>
              <w:jc w:val="right"/>
              <w:ind w:right="288"/>
              <w:spacing w:after="0" w:line="130" w:lineRule="exact"/>
              <w:rPr>
                <w:sz w:val="20"/>
                <w:szCs w:val="20"/>
                <w:color w:val="auto"/>
              </w:rPr>
            </w:pPr>
            <w:r>
              <w:rPr>
                <w:rFonts w:ascii="Arial" w:cs="Arial" w:eastAsia="Arial" w:hAnsi="Arial"/>
                <w:sz w:val="14"/>
                <w:szCs w:val="14"/>
                <w:color w:val="auto"/>
              </w:rPr>
              <w:t>14.75%</w:t>
            </w:r>
          </w:p>
        </w:tc>
        <w:tc>
          <w:tcPr>
            <w:tcW w:w="92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30" w:lineRule="exact"/>
              <w:rPr>
                <w:sz w:val="20"/>
                <w:szCs w:val="20"/>
                <w:color w:val="auto"/>
              </w:rPr>
            </w:pPr>
            <w:r>
              <w:rPr>
                <w:rFonts w:ascii="Arial" w:cs="Arial" w:eastAsia="Arial" w:hAnsi="Arial"/>
                <w:sz w:val="14"/>
                <w:szCs w:val="14"/>
                <w:color w:val="auto"/>
                <w:w w:val="96"/>
              </w:rPr>
              <w:t>25,965,563</w:t>
            </w:r>
          </w:p>
        </w:tc>
        <w:tc>
          <w:tcPr>
            <w:tcW w:w="120" w:type="dxa"/>
            <w:vAlign w:val="bottom"/>
          </w:tcPr>
          <w:p>
            <w:pPr>
              <w:spacing w:after="0"/>
              <w:rPr>
                <w:sz w:val="11"/>
                <w:szCs w:val="11"/>
                <w:color w:val="auto"/>
              </w:rPr>
            </w:pPr>
          </w:p>
        </w:tc>
        <w:tc>
          <w:tcPr>
            <w:tcW w:w="94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25,579,621</w:t>
            </w:r>
          </w:p>
        </w:tc>
        <w:tc>
          <w:tcPr>
            <w:tcW w:w="120" w:type="dxa"/>
            <w:vAlign w:val="bottom"/>
          </w:tcPr>
          <w:p>
            <w:pPr>
              <w:spacing w:after="0"/>
              <w:rPr>
                <w:sz w:val="11"/>
                <w:szCs w:val="11"/>
                <w:color w:val="auto"/>
              </w:rPr>
            </w:pPr>
          </w:p>
        </w:tc>
        <w:tc>
          <w:tcPr>
            <w:tcW w:w="1020" w:type="dxa"/>
            <w:vAlign w:val="bottom"/>
            <w:gridSpan w:val="3"/>
          </w:tcPr>
          <w:p>
            <w:pPr>
              <w:jc w:val="right"/>
              <w:ind w:right="80"/>
              <w:spacing w:after="0" w:line="130" w:lineRule="exact"/>
              <w:rPr>
                <w:sz w:val="20"/>
                <w:szCs w:val="20"/>
                <w:color w:val="auto"/>
              </w:rPr>
            </w:pPr>
            <w:r>
              <w:rPr>
                <w:rFonts w:ascii="Arial" w:cs="Arial" w:eastAsia="Arial" w:hAnsi="Arial"/>
                <w:sz w:val="14"/>
                <w:szCs w:val="14"/>
                <w:color w:val="auto"/>
              </w:rPr>
              <w:t>26,484,875</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right"/>
              <w:ind w:right="228"/>
              <w:spacing w:after="0"/>
              <w:rPr>
                <w:sz w:val="20"/>
                <w:szCs w:val="20"/>
                <w:color w:val="auto"/>
              </w:rPr>
            </w:pPr>
            <w:r>
              <w:rPr>
                <w:rFonts w:ascii="Arial" w:cs="Arial" w:eastAsia="Arial" w:hAnsi="Arial"/>
                <w:sz w:val="14"/>
                <w:szCs w:val="14"/>
                <w:color w:val="auto"/>
              </w:rPr>
              <w:t>(PIK 2.75 %)</w:t>
            </w: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JF Acquisition, LLC</w:t>
            </w: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288"/>
              <w:spacing w:after="0" w:line="130" w:lineRule="exact"/>
              <w:rPr>
                <w:sz w:val="20"/>
                <w:szCs w:val="20"/>
                <w:color w:val="auto"/>
              </w:rPr>
            </w:pPr>
            <w:r>
              <w:rPr>
                <w:rFonts w:ascii="Arial" w:cs="Arial" w:eastAsia="Arial" w:hAnsi="Arial"/>
                <w:sz w:val="14"/>
                <w:szCs w:val="14"/>
                <w:color w:val="auto"/>
              </w:rPr>
              <w:t>14.00%</w:t>
            </w:r>
          </w:p>
        </w:tc>
        <w:tc>
          <w:tcPr>
            <w:tcW w:w="92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96"/>
              </w:rPr>
              <w:t>17,517,386</w:t>
            </w: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17,160,955</w:t>
            </w:r>
          </w:p>
        </w:tc>
        <w:tc>
          <w:tcPr>
            <w:tcW w:w="120" w:type="dxa"/>
            <w:vAlign w:val="bottom"/>
            <w:shd w:val="clear" w:color="auto" w:fill="CCEEFF"/>
          </w:tcPr>
          <w:p>
            <w:pPr>
              <w:spacing w:after="0"/>
              <w:rPr>
                <w:sz w:val="11"/>
                <w:szCs w:val="11"/>
                <w:color w:val="auto"/>
              </w:rPr>
            </w:pPr>
          </w:p>
        </w:tc>
        <w:tc>
          <w:tcPr>
            <w:tcW w:w="1020" w:type="dxa"/>
            <w:vAlign w:val="bottom"/>
            <w:gridSpan w:val="3"/>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17,517,386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4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9"/>
              </w:rPr>
              <w:t>06/30/2017</w:t>
            </w:r>
          </w:p>
        </w:tc>
        <w:tc>
          <w:tcPr>
            <w:tcW w:w="228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99"/>
              </w:rPr>
              <w:t>Distribution</w:t>
            </w:r>
          </w:p>
        </w:tc>
        <w:tc>
          <w:tcPr>
            <w:tcW w:w="1160" w:type="dxa"/>
            <w:vAlign w:val="bottom"/>
            <w:gridSpan w:val="2"/>
            <w:shd w:val="clear" w:color="auto" w:fill="CCEEFF"/>
          </w:tcPr>
          <w:p>
            <w:pPr>
              <w:jc w:val="right"/>
              <w:ind w:right="228"/>
              <w:spacing w:after="0"/>
              <w:rPr>
                <w:sz w:val="20"/>
                <w:szCs w:val="20"/>
                <w:color w:val="auto"/>
              </w:rPr>
            </w:pPr>
            <w:r>
              <w:rPr>
                <w:rFonts w:ascii="Arial" w:cs="Arial" w:eastAsia="Arial" w:hAnsi="Arial"/>
                <w:sz w:val="14"/>
                <w:szCs w:val="14"/>
                <w:color w:val="auto"/>
              </w:rPr>
              <w:t>(PIK 2.00 %)</w:t>
            </w:r>
          </w:p>
        </w:tc>
        <w:tc>
          <w:tcPr>
            <w:tcW w:w="6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80" w:type="dxa"/>
            <w:vAlign w:val="bottom"/>
            <w:gridSpan w:val="2"/>
          </w:tcPr>
          <w:p>
            <w:pPr>
              <w:spacing w:after="0" w:line="130" w:lineRule="exact"/>
              <w:rPr>
                <w:sz w:val="20"/>
                <w:szCs w:val="20"/>
                <w:color w:val="auto"/>
              </w:rPr>
            </w:pPr>
            <w:r>
              <w:rPr>
                <w:rFonts w:ascii="Arial" w:cs="Arial" w:eastAsia="Arial" w:hAnsi="Arial"/>
                <w:sz w:val="14"/>
                <w:szCs w:val="14"/>
                <w:color w:val="auto"/>
              </w:rPr>
              <w:t>Learning Care Group (US) Inc.</w:t>
            </w: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jc w:val="right"/>
              <w:ind w:right="288"/>
              <w:spacing w:after="0" w:line="130" w:lineRule="exact"/>
              <w:rPr>
                <w:sz w:val="20"/>
                <w:szCs w:val="20"/>
                <w:color w:val="auto"/>
              </w:rPr>
            </w:pPr>
            <w:r>
              <w:rPr>
                <w:rFonts w:ascii="Arial" w:cs="Arial" w:eastAsia="Arial" w:hAnsi="Arial"/>
                <w:sz w:val="14"/>
                <w:szCs w:val="14"/>
                <w:color w:val="auto"/>
              </w:rPr>
              <w:t>15.00%</w:t>
            </w:r>
          </w:p>
        </w:tc>
        <w:tc>
          <w:tcPr>
            <w:tcW w:w="92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30" w:lineRule="exact"/>
              <w:rPr>
                <w:sz w:val="20"/>
                <w:szCs w:val="20"/>
                <w:color w:val="auto"/>
              </w:rPr>
            </w:pPr>
            <w:r>
              <w:rPr>
                <w:rFonts w:ascii="Arial" w:cs="Arial" w:eastAsia="Arial" w:hAnsi="Arial"/>
                <w:sz w:val="14"/>
                <w:szCs w:val="14"/>
                <w:color w:val="auto"/>
              </w:rPr>
              <w:t>7,215,989</w:t>
            </w:r>
          </w:p>
        </w:tc>
        <w:tc>
          <w:tcPr>
            <w:tcW w:w="120" w:type="dxa"/>
            <w:vAlign w:val="bottom"/>
          </w:tcPr>
          <w:p>
            <w:pPr>
              <w:spacing w:after="0"/>
              <w:rPr>
                <w:sz w:val="11"/>
                <w:szCs w:val="11"/>
                <w:color w:val="auto"/>
              </w:rPr>
            </w:pPr>
          </w:p>
        </w:tc>
        <w:tc>
          <w:tcPr>
            <w:tcW w:w="94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6,754,246</w:t>
            </w:r>
          </w:p>
        </w:tc>
        <w:tc>
          <w:tcPr>
            <w:tcW w:w="120" w:type="dxa"/>
            <w:vAlign w:val="bottom"/>
          </w:tcPr>
          <w:p>
            <w:pPr>
              <w:spacing w:after="0"/>
              <w:rPr>
                <w:sz w:val="11"/>
                <w:szCs w:val="11"/>
                <w:color w:val="auto"/>
              </w:rPr>
            </w:pPr>
          </w:p>
        </w:tc>
        <w:tc>
          <w:tcPr>
            <w:tcW w:w="1020" w:type="dxa"/>
            <w:vAlign w:val="bottom"/>
            <w:gridSpan w:val="3"/>
          </w:tcPr>
          <w:p>
            <w:pPr>
              <w:jc w:val="right"/>
              <w:ind w:right="80"/>
              <w:spacing w:after="0" w:line="130" w:lineRule="exact"/>
              <w:rPr>
                <w:sz w:val="20"/>
                <w:szCs w:val="20"/>
                <w:color w:val="auto"/>
              </w:rPr>
            </w:pPr>
            <w:r>
              <w:rPr>
                <w:rFonts w:ascii="Arial" w:cs="Arial" w:eastAsia="Arial" w:hAnsi="Arial"/>
                <w:sz w:val="14"/>
                <w:szCs w:val="14"/>
                <w:color w:val="auto"/>
              </w:rPr>
              <w:t>7,215,989</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05/08/2020</w:t>
            </w:r>
          </w:p>
        </w:tc>
        <w:tc>
          <w:tcPr>
            <w:tcW w:w="2280" w:type="dxa"/>
            <w:vAlign w:val="bottom"/>
            <w:gridSpan w:val="2"/>
          </w:tcPr>
          <w:p>
            <w:pPr>
              <w:jc w:val="center"/>
              <w:ind w:right="180"/>
              <w:spacing w:after="0"/>
              <w:rPr>
                <w:sz w:val="20"/>
                <w:szCs w:val="20"/>
                <w:color w:val="auto"/>
              </w:rPr>
            </w:pPr>
            <w:r>
              <w:rPr>
                <w:rFonts w:ascii="Arial" w:cs="Arial" w:eastAsia="Arial" w:hAnsi="Arial"/>
                <w:sz w:val="14"/>
                <w:szCs w:val="14"/>
                <w:color w:val="auto"/>
                <w:w w:val="93"/>
              </w:rPr>
              <w:t>Education</w:t>
            </w:r>
          </w:p>
        </w:tc>
        <w:tc>
          <w:tcPr>
            <w:tcW w:w="1160" w:type="dxa"/>
            <w:vAlign w:val="bottom"/>
            <w:gridSpan w:val="2"/>
          </w:tcPr>
          <w:p>
            <w:pPr>
              <w:jc w:val="right"/>
              <w:ind w:right="228"/>
              <w:spacing w:after="0"/>
              <w:rPr>
                <w:sz w:val="20"/>
                <w:szCs w:val="20"/>
                <w:color w:val="auto"/>
              </w:rPr>
            </w:pPr>
            <w:r>
              <w:rPr>
                <w:rFonts w:ascii="Arial" w:cs="Arial" w:eastAsia="Arial" w:hAnsi="Arial"/>
                <w:sz w:val="14"/>
                <w:szCs w:val="14"/>
                <w:color w:val="auto"/>
              </w:rPr>
              <w:t>(PIK 15.00%)</w:t>
            </w: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LTI Flexible Products, Inc.</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9"/>
              </w:rPr>
              <w:t>01/19/2019</w:t>
            </w:r>
          </w:p>
        </w:tc>
        <w:tc>
          <w:tcPr>
            <w:tcW w:w="22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1"/>
              </w:rPr>
              <w:t>Chemicals, Plastics and Rubber</w:t>
            </w:r>
          </w:p>
        </w:tc>
        <w:tc>
          <w:tcPr>
            <w:tcW w:w="1160" w:type="dxa"/>
            <w:vAlign w:val="bottom"/>
            <w:gridSpan w:val="2"/>
            <w:shd w:val="clear" w:color="auto" w:fill="CCEEFF"/>
          </w:tcPr>
          <w:p>
            <w:pPr>
              <w:jc w:val="right"/>
              <w:ind w:right="288"/>
              <w:spacing w:after="0" w:line="149" w:lineRule="exact"/>
              <w:rPr>
                <w:sz w:val="20"/>
                <w:szCs w:val="20"/>
                <w:color w:val="auto"/>
              </w:rPr>
            </w:pPr>
            <w:r>
              <w:rPr>
                <w:rFonts w:ascii="Arial" w:cs="Arial" w:eastAsia="Arial" w:hAnsi="Arial"/>
                <w:sz w:val="14"/>
                <w:szCs w:val="14"/>
                <w:color w:val="auto"/>
              </w:rPr>
              <w:t>12.50%</w:t>
            </w:r>
          </w:p>
        </w:tc>
        <w:tc>
          <w:tcPr>
            <w:tcW w:w="92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30,000,000</w:t>
            </w: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30,000,000</w:t>
            </w:r>
          </w:p>
        </w:tc>
        <w:tc>
          <w:tcPr>
            <w:tcW w:w="12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30,525,000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tcPr>
          <w:p>
            <w:pPr>
              <w:spacing w:after="0" w:line="149" w:lineRule="exact"/>
              <w:rPr>
                <w:sz w:val="20"/>
                <w:szCs w:val="20"/>
                <w:color w:val="auto"/>
              </w:rPr>
            </w:pPr>
            <w:r>
              <w:rPr>
                <w:rFonts w:ascii="Arial" w:cs="Arial" w:eastAsia="Arial" w:hAnsi="Arial"/>
                <w:sz w:val="14"/>
                <w:szCs w:val="14"/>
                <w:color w:val="auto"/>
              </w:rPr>
              <w:t>LTI Flexible Products, Inc.</w:t>
            </w:r>
            <w:r>
              <w:rPr>
                <w:rFonts w:ascii="Arial" w:cs="Arial" w:eastAsia="Arial" w:hAnsi="Arial"/>
                <w:sz w:val="12"/>
                <w:szCs w:val="12"/>
                <w:color w:val="auto"/>
              </w:rPr>
              <w:t>(9)</w:t>
            </w: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9"/>
              </w:rPr>
              <w:t>01/11/2014</w:t>
            </w:r>
          </w:p>
        </w:tc>
        <w:tc>
          <w:tcPr>
            <w:tcW w:w="22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1"/>
              </w:rPr>
              <w:t>Chemicals, Plastics and Rubber</w:t>
            </w:r>
          </w:p>
        </w:tc>
        <w:tc>
          <w:tcPr>
            <w:tcW w:w="1160" w:type="dxa"/>
            <w:vAlign w:val="bottom"/>
            <w:gridSpan w:val="2"/>
          </w:tcPr>
          <w:p>
            <w:pPr>
              <w:jc w:val="right"/>
              <w:ind w:right="468"/>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5,000,000</w:t>
            </w:r>
          </w:p>
        </w:tc>
        <w:tc>
          <w:tcPr>
            <w:tcW w:w="120" w:type="dxa"/>
            <w:vAlign w:val="bottom"/>
          </w:tcPr>
          <w:p>
            <w:pPr>
              <w:spacing w:after="0"/>
              <w:rPr>
                <w:sz w:val="12"/>
                <w:szCs w:val="12"/>
                <w:color w:val="auto"/>
              </w:rPr>
            </w:pP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4,825,000</w:t>
            </w:r>
          </w:p>
        </w:tc>
        <w:tc>
          <w:tcPr>
            <w:tcW w:w="120" w:type="dxa"/>
            <w:vAlign w:val="bottom"/>
          </w:tcPr>
          <w:p>
            <w:pPr>
              <w:spacing w:after="0"/>
              <w:rPr>
                <w:sz w:val="12"/>
                <w:szCs w:val="12"/>
                <w:color w:val="auto"/>
              </w:rPr>
            </w:pPr>
          </w:p>
        </w:tc>
        <w:tc>
          <w:tcPr>
            <w:tcW w:w="10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5,087,500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MSPark, Inc.</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9"/>
              </w:rPr>
              <w:t>06/15/2017</w:t>
            </w:r>
          </w:p>
        </w:tc>
        <w:tc>
          <w:tcPr>
            <w:tcW w:w="228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4"/>
              </w:rPr>
              <w:t>Printing and Publishing</w:t>
            </w:r>
          </w:p>
        </w:tc>
        <w:tc>
          <w:tcPr>
            <w:tcW w:w="116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14.50%</w:t>
            </w:r>
            <w:r>
              <w:rPr>
                <w:rFonts w:ascii="Arial" w:cs="Arial" w:eastAsia="Arial" w:hAnsi="Arial"/>
                <w:sz w:val="12"/>
                <w:szCs w:val="12"/>
                <w:color w:val="auto"/>
              </w:rPr>
              <w:t>(7)</w:t>
            </w:r>
          </w:p>
        </w:tc>
        <w:tc>
          <w:tcPr>
            <w:tcW w:w="92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15,000,000</w:t>
            </w: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14,691,342</w:t>
            </w:r>
          </w:p>
        </w:tc>
        <w:tc>
          <w:tcPr>
            <w:tcW w:w="12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14,700,000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80" w:type="dxa"/>
            <w:vAlign w:val="bottom"/>
            <w:gridSpan w:val="2"/>
          </w:tcPr>
          <w:p>
            <w:pPr>
              <w:spacing w:after="0" w:line="130" w:lineRule="exact"/>
              <w:rPr>
                <w:sz w:val="20"/>
                <w:szCs w:val="20"/>
                <w:color w:val="auto"/>
              </w:rPr>
            </w:pPr>
            <w:r>
              <w:rPr>
                <w:rFonts w:ascii="Arial" w:cs="Arial" w:eastAsia="Arial" w:hAnsi="Arial"/>
                <w:sz w:val="14"/>
                <w:szCs w:val="14"/>
                <w:color w:val="auto"/>
              </w:rPr>
              <w:t>Varel International Energy Mezzanine Funding</w:t>
            </w: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jc w:val="right"/>
              <w:ind w:right="288"/>
              <w:spacing w:after="0" w:line="130" w:lineRule="exact"/>
              <w:rPr>
                <w:sz w:val="20"/>
                <w:szCs w:val="20"/>
                <w:color w:val="auto"/>
              </w:rPr>
            </w:pPr>
            <w:r>
              <w:rPr>
                <w:rFonts w:ascii="Arial" w:cs="Arial" w:eastAsia="Arial" w:hAnsi="Arial"/>
                <w:sz w:val="14"/>
                <w:szCs w:val="14"/>
                <w:color w:val="auto"/>
              </w:rPr>
              <w:t>14.00%</w:t>
            </w:r>
          </w:p>
        </w:tc>
        <w:tc>
          <w:tcPr>
            <w:tcW w:w="92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30" w:lineRule="exact"/>
              <w:rPr>
                <w:sz w:val="20"/>
                <w:szCs w:val="20"/>
                <w:color w:val="auto"/>
              </w:rPr>
            </w:pPr>
            <w:r>
              <w:rPr>
                <w:rFonts w:ascii="Arial" w:cs="Arial" w:eastAsia="Arial" w:hAnsi="Arial"/>
                <w:sz w:val="14"/>
                <w:szCs w:val="14"/>
                <w:color w:val="auto"/>
                <w:w w:val="96"/>
              </w:rPr>
              <w:t>37,070,637</w:t>
            </w:r>
          </w:p>
        </w:tc>
        <w:tc>
          <w:tcPr>
            <w:tcW w:w="120" w:type="dxa"/>
            <w:vAlign w:val="bottom"/>
          </w:tcPr>
          <w:p>
            <w:pPr>
              <w:spacing w:after="0"/>
              <w:rPr>
                <w:sz w:val="11"/>
                <w:szCs w:val="11"/>
                <w:color w:val="auto"/>
              </w:rPr>
            </w:pPr>
          </w:p>
        </w:tc>
        <w:tc>
          <w:tcPr>
            <w:tcW w:w="94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36,441,726</w:t>
            </w:r>
          </w:p>
        </w:tc>
        <w:tc>
          <w:tcPr>
            <w:tcW w:w="120" w:type="dxa"/>
            <w:vAlign w:val="bottom"/>
          </w:tcPr>
          <w:p>
            <w:pPr>
              <w:spacing w:after="0"/>
              <w:rPr>
                <w:sz w:val="11"/>
                <w:szCs w:val="11"/>
                <w:color w:val="auto"/>
              </w:rPr>
            </w:pPr>
          </w:p>
        </w:tc>
        <w:tc>
          <w:tcPr>
            <w:tcW w:w="1020" w:type="dxa"/>
            <w:vAlign w:val="bottom"/>
            <w:gridSpan w:val="3"/>
          </w:tcPr>
          <w:p>
            <w:pPr>
              <w:jc w:val="right"/>
              <w:ind w:right="80"/>
              <w:spacing w:after="0" w:line="130" w:lineRule="exact"/>
              <w:rPr>
                <w:sz w:val="20"/>
                <w:szCs w:val="20"/>
                <w:color w:val="auto"/>
              </w:rPr>
            </w:pPr>
            <w:r>
              <w:rPr>
                <w:rFonts w:ascii="Arial" w:cs="Arial" w:eastAsia="Arial" w:hAnsi="Arial"/>
                <w:sz w:val="14"/>
                <w:szCs w:val="14"/>
                <w:color w:val="auto"/>
              </w:rPr>
              <w:t>36,720,586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180" w:type="dxa"/>
            <w:vAlign w:val="bottom"/>
            <w:gridSpan w:val="2"/>
          </w:tcPr>
          <w:p>
            <w:pPr>
              <w:ind w:left="140"/>
              <w:spacing w:after="0"/>
              <w:rPr>
                <w:sz w:val="20"/>
                <w:szCs w:val="20"/>
                <w:color w:val="auto"/>
              </w:rPr>
            </w:pPr>
            <w:r>
              <w:rPr>
                <w:rFonts w:ascii="Arial" w:cs="Arial" w:eastAsia="Arial" w:hAnsi="Arial"/>
                <w:sz w:val="14"/>
                <w:szCs w:val="14"/>
                <w:color w:val="auto"/>
              </w:rPr>
              <w:t>Corp.</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01/15/2018</w:t>
            </w:r>
          </w:p>
        </w:tc>
        <w:tc>
          <w:tcPr>
            <w:tcW w:w="2280" w:type="dxa"/>
            <w:vAlign w:val="bottom"/>
            <w:gridSpan w:val="2"/>
          </w:tcPr>
          <w:p>
            <w:pPr>
              <w:jc w:val="center"/>
              <w:ind w:right="160"/>
              <w:spacing w:after="0"/>
              <w:rPr>
                <w:sz w:val="20"/>
                <w:szCs w:val="20"/>
                <w:color w:val="auto"/>
              </w:rPr>
            </w:pPr>
            <w:r>
              <w:rPr>
                <w:rFonts w:ascii="Arial" w:cs="Arial" w:eastAsia="Arial" w:hAnsi="Arial"/>
                <w:sz w:val="14"/>
                <w:szCs w:val="14"/>
                <w:color w:val="auto"/>
                <w:w w:val="91"/>
              </w:rPr>
              <w:t>Oil and Gas</w:t>
            </w:r>
          </w:p>
        </w:tc>
        <w:tc>
          <w:tcPr>
            <w:tcW w:w="1160" w:type="dxa"/>
            <w:vAlign w:val="bottom"/>
            <w:gridSpan w:val="2"/>
          </w:tcPr>
          <w:p>
            <w:pPr>
              <w:jc w:val="right"/>
              <w:ind w:right="228"/>
              <w:spacing w:after="0"/>
              <w:rPr>
                <w:sz w:val="20"/>
                <w:szCs w:val="20"/>
                <w:color w:val="auto"/>
              </w:rPr>
            </w:pPr>
            <w:r>
              <w:rPr>
                <w:rFonts w:ascii="Arial" w:cs="Arial" w:eastAsia="Arial" w:hAnsi="Arial"/>
                <w:sz w:val="14"/>
                <w:szCs w:val="14"/>
                <w:color w:val="auto"/>
              </w:rPr>
              <w:t>(PIK 4.00%)</w:t>
            </w: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Vestcom International, Inc.</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9"/>
              </w:rPr>
              <w:t>06/27/2019</w:t>
            </w:r>
          </w:p>
        </w:tc>
        <w:tc>
          <w:tcPr>
            <w:tcW w:w="228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4"/>
              </w:rPr>
              <w:t>Printing and Publishing</w:t>
            </w:r>
          </w:p>
        </w:tc>
        <w:tc>
          <w:tcPr>
            <w:tcW w:w="1160" w:type="dxa"/>
            <w:vAlign w:val="bottom"/>
            <w:gridSpan w:val="2"/>
            <w:shd w:val="clear" w:color="auto" w:fill="CCEEFF"/>
          </w:tcPr>
          <w:p>
            <w:pPr>
              <w:jc w:val="right"/>
              <w:ind w:right="288"/>
              <w:spacing w:after="0" w:line="149" w:lineRule="exact"/>
              <w:rPr>
                <w:sz w:val="20"/>
                <w:szCs w:val="20"/>
                <w:color w:val="auto"/>
              </w:rPr>
            </w:pPr>
            <w:r>
              <w:rPr>
                <w:rFonts w:ascii="Arial" w:cs="Arial" w:eastAsia="Arial" w:hAnsi="Arial"/>
                <w:sz w:val="14"/>
                <w:szCs w:val="14"/>
                <w:color w:val="auto"/>
              </w:rPr>
              <w:t>12.00%</w:t>
            </w:r>
          </w:p>
        </w:tc>
        <w:tc>
          <w:tcPr>
            <w:tcW w:w="92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39,892,933</w:t>
            </w: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39,147,926</w:t>
            </w:r>
          </w:p>
        </w:tc>
        <w:tc>
          <w:tcPr>
            <w:tcW w:w="12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39,827,248</w:t>
            </w:r>
          </w:p>
        </w:tc>
        <w:tc>
          <w:tcPr>
            <w:tcW w:w="0" w:type="dxa"/>
            <w:vAlign w:val="bottom"/>
          </w:tcPr>
          <w:p>
            <w:pPr>
              <w:spacing w:after="0"/>
              <w:rPr>
                <w:sz w:val="1"/>
                <w:szCs w:val="1"/>
                <w:color w:val="auto"/>
              </w:rPr>
            </w:pPr>
          </w:p>
        </w:tc>
      </w:tr>
      <w:tr>
        <w:trPr>
          <w:trHeight w:val="163"/>
        </w:trPr>
        <w:tc>
          <w:tcPr>
            <w:tcW w:w="32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Subordinated Debt/Corporate Notes</w:t>
            </w: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270,087,700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260,809,374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9"/>
              </w:rPr>
              <w:t>Preferred Equity/Partnership Interests —1.2%</w:t>
            </w:r>
            <w:r>
              <w:rPr>
                <w:rFonts w:ascii="Arial" w:cs="Arial" w:eastAsia="Arial" w:hAnsi="Arial"/>
                <w:sz w:val="12"/>
                <w:szCs w:val="12"/>
                <w:b w:val="1"/>
                <w:bCs w:val="1"/>
                <w:color w:val="auto"/>
                <w:w w:val="99"/>
              </w:rPr>
              <w:t>(6)</w:t>
            </w: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tcPr>
          <w:p>
            <w:pPr>
              <w:spacing w:after="0" w:line="149" w:lineRule="exact"/>
              <w:rPr>
                <w:sz w:val="20"/>
                <w:szCs w:val="20"/>
                <w:color w:val="auto"/>
              </w:rPr>
            </w:pPr>
            <w:r>
              <w:rPr>
                <w:rFonts w:ascii="Arial" w:cs="Arial" w:eastAsia="Arial" w:hAnsi="Arial"/>
                <w:sz w:val="14"/>
                <w:szCs w:val="14"/>
                <w:color w:val="auto"/>
              </w:rPr>
              <w:t>AH Holdings, Inc.</w:t>
            </w:r>
          </w:p>
        </w:tc>
        <w:tc>
          <w:tcPr>
            <w:tcW w:w="9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28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2"/>
              </w:rPr>
              <w:t>Healthcare, Education and Childcare</w:t>
            </w:r>
          </w:p>
        </w:tc>
        <w:tc>
          <w:tcPr>
            <w:tcW w:w="1160" w:type="dxa"/>
            <w:vAlign w:val="bottom"/>
            <w:gridSpan w:val="2"/>
          </w:tcPr>
          <w:p>
            <w:pPr>
              <w:jc w:val="right"/>
              <w:ind w:right="288"/>
              <w:spacing w:after="0" w:line="149" w:lineRule="exact"/>
              <w:rPr>
                <w:sz w:val="20"/>
                <w:szCs w:val="20"/>
                <w:color w:val="auto"/>
              </w:rPr>
            </w:pPr>
            <w:r>
              <w:rPr>
                <w:rFonts w:ascii="Arial" w:cs="Arial" w:eastAsia="Arial" w:hAnsi="Arial"/>
                <w:sz w:val="14"/>
                <w:szCs w:val="14"/>
                <w:color w:val="auto"/>
              </w:rPr>
              <w:t>6.00%</w:t>
            </w:r>
          </w:p>
        </w:tc>
        <w:tc>
          <w:tcPr>
            <w:tcW w:w="92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211</w:t>
            </w:r>
          </w:p>
        </w:tc>
        <w:tc>
          <w:tcPr>
            <w:tcW w:w="10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500,000</w:t>
            </w:r>
          </w:p>
        </w:tc>
        <w:tc>
          <w:tcPr>
            <w:tcW w:w="10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815,133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AHC Mezzanine, LLC</w:t>
            </w:r>
          </w:p>
        </w:tc>
        <w:tc>
          <w:tcPr>
            <w:tcW w:w="9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2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6"/>
              </w:rPr>
              <w:t>Other Media</w:t>
            </w:r>
          </w:p>
        </w:tc>
        <w:tc>
          <w:tcPr>
            <w:tcW w:w="1160" w:type="dxa"/>
            <w:vAlign w:val="bottom"/>
            <w:gridSpan w:val="2"/>
            <w:shd w:val="clear" w:color="auto" w:fill="CCEEFF"/>
          </w:tcPr>
          <w:p>
            <w:pPr>
              <w:jc w:val="right"/>
              <w:ind w:right="468"/>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7,505</w:t>
            </w:r>
          </w:p>
        </w:tc>
        <w:tc>
          <w:tcPr>
            <w:tcW w:w="10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318,896</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80" w:type="dxa"/>
            <w:vAlign w:val="bottom"/>
            <w:gridSpan w:val="2"/>
          </w:tcPr>
          <w:p>
            <w:pPr>
              <w:spacing w:after="0" w:line="130" w:lineRule="exact"/>
              <w:rPr>
                <w:sz w:val="20"/>
                <w:szCs w:val="20"/>
                <w:color w:val="auto"/>
              </w:rPr>
            </w:pPr>
            <w:r>
              <w:rPr>
                <w:rFonts w:ascii="Arial" w:cs="Arial" w:eastAsia="Arial" w:hAnsi="Arial"/>
                <w:sz w:val="14"/>
                <w:szCs w:val="14"/>
                <w:color w:val="auto"/>
              </w:rPr>
              <w:t>Alegeus Technologies Holdings Corp., Series A</w:t>
            </w: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80" w:type="dxa"/>
            <w:vAlign w:val="bottom"/>
            <w:gridSpan w:val="2"/>
          </w:tcPr>
          <w:p>
            <w:pPr>
              <w:ind w:left="140"/>
              <w:spacing w:after="0"/>
              <w:rPr>
                <w:sz w:val="20"/>
                <w:szCs w:val="20"/>
                <w:color w:val="auto"/>
              </w:rPr>
            </w:pPr>
            <w:r>
              <w:rPr>
                <w:rFonts w:ascii="Arial" w:cs="Arial" w:eastAsia="Arial" w:hAnsi="Arial"/>
                <w:sz w:val="14"/>
                <w:szCs w:val="14"/>
                <w:color w:val="auto"/>
              </w:rPr>
              <w:t>(Alegeus Technologies, LLC)</w:t>
            </w:r>
          </w:p>
        </w:tc>
        <w:tc>
          <w:tcPr>
            <w:tcW w:w="9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280" w:type="dxa"/>
            <w:vAlign w:val="bottom"/>
            <w:gridSpan w:val="2"/>
          </w:tcPr>
          <w:p>
            <w:pPr>
              <w:jc w:val="center"/>
              <w:ind w:right="180"/>
              <w:spacing w:after="0"/>
              <w:rPr>
                <w:sz w:val="20"/>
                <w:szCs w:val="20"/>
                <w:color w:val="auto"/>
              </w:rPr>
            </w:pPr>
            <w:r>
              <w:rPr>
                <w:rFonts w:ascii="Arial" w:cs="Arial" w:eastAsia="Arial" w:hAnsi="Arial"/>
                <w:sz w:val="14"/>
                <w:szCs w:val="14"/>
                <w:color w:val="auto"/>
                <w:w w:val="93"/>
              </w:rPr>
              <w:t>Financial Services</w:t>
            </w:r>
          </w:p>
        </w:tc>
        <w:tc>
          <w:tcPr>
            <w:tcW w:w="1160" w:type="dxa"/>
            <w:vAlign w:val="bottom"/>
            <w:gridSpan w:val="2"/>
          </w:tcPr>
          <w:p>
            <w:pPr>
              <w:jc w:val="right"/>
              <w:ind w:right="468"/>
              <w:spacing w:after="0"/>
              <w:rPr>
                <w:sz w:val="20"/>
                <w:szCs w:val="20"/>
                <w:color w:val="auto"/>
              </w:rPr>
            </w:pPr>
            <w:r>
              <w:rPr>
                <w:rFonts w:ascii="Arial" w:cs="Arial" w:eastAsia="Arial" w:hAnsi="Arial"/>
                <w:sz w:val="14"/>
                <w:szCs w:val="14"/>
                <w:color w:val="auto"/>
              </w:rPr>
              <w:t>—</w:t>
            </w:r>
          </w:p>
        </w:tc>
        <w:tc>
          <w:tcPr>
            <w:tcW w:w="92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949</w:t>
            </w:r>
          </w:p>
        </w:tc>
        <w:tc>
          <w:tcPr>
            <w:tcW w:w="120" w:type="dxa"/>
            <w:vAlign w:val="bottom"/>
          </w:tcPr>
          <w:p>
            <w:pPr>
              <w:spacing w:after="0"/>
              <w:rPr>
                <w:sz w:val="14"/>
                <w:szCs w:val="14"/>
                <w:color w:val="auto"/>
              </w:rPr>
            </w:pPr>
          </w:p>
        </w:tc>
        <w:tc>
          <w:tcPr>
            <w:tcW w:w="1060" w:type="dxa"/>
            <w:vAlign w:val="bottom"/>
            <w:gridSpan w:val="3"/>
          </w:tcPr>
          <w:p>
            <w:pPr>
              <w:jc w:val="right"/>
              <w:ind w:right="120"/>
              <w:spacing w:after="0"/>
              <w:rPr>
                <w:sz w:val="20"/>
                <w:szCs w:val="20"/>
                <w:color w:val="auto"/>
              </w:rPr>
            </w:pPr>
            <w:r>
              <w:rPr>
                <w:rFonts w:ascii="Arial" w:cs="Arial" w:eastAsia="Arial" w:hAnsi="Arial"/>
                <w:sz w:val="14"/>
                <w:szCs w:val="14"/>
                <w:color w:val="auto"/>
              </w:rPr>
              <w:t>949,050</w:t>
            </w:r>
          </w:p>
        </w:tc>
        <w:tc>
          <w:tcPr>
            <w:tcW w:w="1020" w:type="dxa"/>
            <w:vAlign w:val="bottom"/>
            <w:gridSpan w:val="3"/>
          </w:tcPr>
          <w:p>
            <w:pPr>
              <w:jc w:val="right"/>
              <w:ind w:right="80"/>
              <w:spacing w:after="0"/>
              <w:rPr>
                <w:sz w:val="20"/>
                <w:szCs w:val="20"/>
                <w:color w:val="auto"/>
              </w:rPr>
            </w:pPr>
            <w:r>
              <w:rPr>
                <w:rFonts w:ascii="Arial" w:cs="Arial" w:eastAsia="Arial" w:hAnsi="Arial"/>
                <w:sz w:val="14"/>
                <w:szCs w:val="14"/>
                <w:color w:val="auto"/>
              </w:rPr>
              <w:t>805,697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CI (IHS) Investment Holdings, LLC (Interactive</w:t>
            </w: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Health Solutions, Inc.)</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228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2"/>
              </w:rPr>
              <w:t>Healthcare, Education and Childcare</w:t>
            </w:r>
          </w:p>
        </w:tc>
        <w:tc>
          <w:tcPr>
            <w:tcW w:w="1160" w:type="dxa"/>
            <w:vAlign w:val="bottom"/>
            <w:gridSpan w:val="2"/>
            <w:shd w:val="clear" w:color="auto" w:fill="CCEEFF"/>
          </w:tcPr>
          <w:p>
            <w:pPr>
              <w:jc w:val="right"/>
              <w:ind w:right="288"/>
              <w:spacing w:after="0"/>
              <w:rPr>
                <w:sz w:val="20"/>
                <w:szCs w:val="20"/>
                <w:color w:val="auto"/>
              </w:rPr>
            </w:pPr>
            <w:r>
              <w:rPr>
                <w:rFonts w:ascii="Arial" w:cs="Arial" w:eastAsia="Arial" w:hAnsi="Arial"/>
                <w:sz w:val="14"/>
                <w:szCs w:val="14"/>
                <w:color w:val="auto"/>
              </w:rPr>
              <w:t>8.00%</w:t>
            </w:r>
          </w:p>
        </w:tc>
        <w:tc>
          <w:tcPr>
            <w:tcW w:w="92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76,357</w:t>
            </w: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765,307</w:t>
            </w: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1,187,410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80" w:type="dxa"/>
            <w:vAlign w:val="bottom"/>
            <w:gridSpan w:val="2"/>
          </w:tcPr>
          <w:p>
            <w:pPr>
              <w:spacing w:after="0" w:line="130" w:lineRule="exact"/>
              <w:rPr>
                <w:sz w:val="20"/>
                <w:szCs w:val="20"/>
                <w:color w:val="auto"/>
              </w:rPr>
            </w:pPr>
            <w:r>
              <w:rPr>
                <w:rFonts w:ascii="Arial" w:cs="Arial" w:eastAsia="Arial" w:hAnsi="Arial"/>
                <w:sz w:val="14"/>
                <w:szCs w:val="14"/>
                <w:color w:val="auto"/>
              </w:rPr>
              <w:t>CI (IHS) Investment Holdings, LLC</w:t>
            </w:r>
            <w:r>
              <w:rPr>
                <w:rFonts w:ascii="Arial" w:cs="Arial" w:eastAsia="Arial" w:hAnsi="Arial"/>
                <w:sz w:val="12"/>
                <w:szCs w:val="12"/>
                <w:color w:val="auto"/>
              </w:rPr>
              <w:t>(9)</w:t>
            </w:r>
            <w:r>
              <w:rPr>
                <w:rFonts w:ascii="Arial" w:cs="Arial" w:eastAsia="Arial" w:hAnsi="Arial"/>
                <w:sz w:val="14"/>
                <w:szCs w:val="14"/>
                <w:color w:val="auto"/>
              </w:rPr>
              <w:t xml:space="preserve"> (Interactive</w:t>
            </w: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80" w:type="dxa"/>
            <w:vAlign w:val="bottom"/>
            <w:gridSpan w:val="2"/>
          </w:tcPr>
          <w:p>
            <w:pPr>
              <w:ind w:left="140"/>
              <w:spacing w:after="0"/>
              <w:rPr>
                <w:sz w:val="20"/>
                <w:szCs w:val="20"/>
                <w:color w:val="auto"/>
              </w:rPr>
            </w:pPr>
            <w:r>
              <w:rPr>
                <w:rFonts w:ascii="Arial" w:cs="Arial" w:eastAsia="Arial" w:hAnsi="Arial"/>
                <w:sz w:val="14"/>
                <w:szCs w:val="14"/>
                <w:color w:val="auto"/>
              </w:rPr>
              <w:t>Health Solutions, Inc.)</w:t>
            </w:r>
          </w:p>
        </w:tc>
        <w:tc>
          <w:tcPr>
            <w:tcW w:w="9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280" w:type="dxa"/>
            <w:vAlign w:val="bottom"/>
            <w:gridSpan w:val="2"/>
          </w:tcPr>
          <w:p>
            <w:pPr>
              <w:jc w:val="center"/>
              <w:ind w:right="160"/>
              <w:spacing w:after="0"/>
              <w:rPr>
                <w:sz w:val="20"/>
                <w:szCs w:val="20"/>
                <w:color w:val="auto"/>
              </w:rPr>
            </w:pPr>
            <w:r>
              <w:rPr>
                <w:rFonts w:ascii="Arial" w:cs="Arial" w:eastAsia="Arial" w:hAnsi="Arial"/>
                <w:sz w:val="14"/>
                <w:szCs w:val="14"/>
                <w:color w:val="auto"/>
                <w:w w:val="92"/>
              </w:rPr>
              <w:t>Healthcare, Education and Childcare</w:t>
            </w:r>
          </w:p>
        </w:tc>
        <w:tc>
          <w:tcPr>
            <w:tcW w:w="1160" w:type="dxa"/>
            <w:vAlign w:val="bottom"/>
            <w:gridSpan w:val="2"/>
          </w:tcPr>
          <w:p>
            <w:pPr>
              <w:jc w:val="right"/>
              <w:ind w:right="468"/>
              <w:spacing w:after="0"/>
              <w:rPr>
                <w:sz w:val="20"/>
                <w:szCs w:val="20"/>
                <w:color w:val="auto"/>
              </w:rPr>
            </w:pPr>
            <w:r>
              <w:rPr>
                <w:rFonts w:ascii="Arial" w:cs="Arial" w:eastAsia="Arial" w:hAnsi="Arial"/>
                <w:sz w:val="14"/>
                <w:szCs w:val="14"/>
                <w:color w:val="auto"/>
              </w:rPr>
              <w:t>—</w:t>
            </w:r>
          </w:p>
        </w:tc>
        <w:tc>
          <w:tcPr>
            <w:tcW w:w="92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38,179</w:t>
            </w:r>
          </w:p>
        </w:tc>
        <w:tc>
          <w:tcPr>
            <w:tcW w:w="1060" w:type="dxa"/>
            <w:vAlign w:val="bottom"/>
            <w:gridSpan w:val="3"/>
          </w:tcPr>
          <w:p>
            <w:pPr>
              <w:jc w:val="right"/>
              <w:ind w:right="120"/>
              <w:spacing w:after="0"/>
              <w:rPr>
                <w:sz w:val="20"/>
                <w:szCs w:val="20"/>
                <w:color w:val="auto"/>
              </w:rPr>
            </w:pPr>
            <w:r>
              <w:rPr>
                <w:rFonts w:ascii="Arial" w:cs="Arial" w:eastAsia="Arial" w:hAnsi="Arial"/>
                <w:sz w:val="14"/>
                <w:szCs w:val="14"/>
                <w:color w:val="auto"/>
              </w:rPr>
              <w:t>382,654</w:t>
            </w:r>
          </w:p>
        </w:tc>
        <w:tc>
          <w:tcPr>
            <w:tcW w:w="1020" w:type="dxa"/>
            <w:vAlign w:val="bottom"/>
            <w:gridSpan w:val="3"/>
          </w:tcPr>
          <w:p>
            <w:pPr>
              <w:jc w:val="right"/>
              <w:ind w:right="80"/>
              <w:spacing w:after="0"/>
              <w:rPr>
                <w:sz w:val="20"/>
                <w:szCs w:val="20"/>
                <w:color w:val="auto"/>
              </w:rPr>
            </w:pPr>
            <w:r>
              <w:rPr>
                <w:rFonts w:ascii="Arial" w:cs="Arial" w:eastAsia="Arial" w:hAnsi="Arial"/>
                <w:sz w:val="14"/>
                <w:szCs w:val="14"/>
                <w:color w:val="auto"/>
              </w:rPr>
              <w:t>593,705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Convergint Technologies Holdings, LLC</w:t>
            </w: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(Convergint Technologies LLC)</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228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3"/>
              </w:rPr>
              <w:t>Electronics</w:t>
            </w:r>
          </w:p>
        </w:tc>
        <w:tc>
          <w:tcPr>
            <w:tcW w:w="1160" w:type="dxa"/>
            <w:vAlign w:val="bottom"/>
            <w:gridSpan w:val="2"/>
            <w:shd w:val="clear" w:color="auto" w:fill="CCEEFF"/>
          </w:tcPr>
          <w:p>
            <w:pPr>
              <w:jc w:val="right"/>
              <w:ind w:right="288"/>
              <w:spacing w:after="0"/>
              <w:rPr>
                <w:sz w:val="20"/>
                <w:szCs w:val="20"/>
                <w:color w:val="auto"/>
              </w:rPr>
            </w:pPr>
            <w:r>
              <w:rPr>
                <w:rFonts w:ascii="Arial" w:cs="Arial" w:eastAsia="Arial" w:hAnsi="Arial"/>
                <w:sz w:val="14"/>
                <w:szCs w:val="14"/>
                <w:color w:val="auto"/>
              </w:rPr>
              <w:t>8.00%</w:t>
            </w:r>
          </w:p>
        </w:tc>
        <w:tc>
          <w:tcPr>
            <w:tcW w:w="92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2,375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2,375,000</w:t>
            </w:r>
          </w:p>
        </w:tc>
        <w:tc>
          <w:tcPr>
            <w:tcW w:w="120" w:type="dxa"/>
            <w:vAlign w:val="bottom"/>
            <w:shd w:val="clear" w:color="auto" w:fill="CCEEFF"/>
          </w:tcPr>
          <w:p>
            <w:pPr>
              <w:spacing w:after="0"/>
              <w:rPr>
                <w:sz w:val="14"/>
                <w:szCs w:val="14"/>
                <w:color w:val="auto"/>
              </w:rPr>
            </w:pP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2,584,106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tcPr>
          <w:p>
            <w:pPr>
              <w:spacing w:after="0" w:line="149" w:lineRule="exact"/>
              <w:rPr>
                <w:sz w:val="20"/>
                <w:szCs w:val="20"/>
                <w:color w:val="auto"/>
              </w:rPr>
            </w:pPr>
            <w:r>
              <w:rPr>
                <w:rFonts w:ascii="Arial" w:cs="Arial" w:eastAsia="Arial" w:hAnsi="Arial"/>
                <w:sz w:val="14"/>
                <w:szCs w:val="14"/>
                <w:color w:val="auto"/>
              </w:rPr>
              <w:t>CT Technologies Holdings, LLC</w:t>
            </w:r>
          </w:p>
        </w:tc>
        <w:tc>
          <w:tcPr>
            <w:tcW w:w="9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28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0"/>
              </w:rPr>
              <w:t>Business Services</w:t>
            </w:r>
          </w:p>
        </w:tc>
        <w:tc>
          <w:tcPr>
            <w:tcW w:w="1160" w:type="dxa"/>
            <w:vAlign w:val="bottom"/>
            <w:gridSpan w:val="2"/>
          </w:tcPr>
          <w:p>
            <w:pPr>
              <w:jc w:val="right"/>
              <w:ind w:right="288"/>
              <w:spacing w:after="0" w:line="149" w:lineRule="exact"/>
              <w:rPr>
                <w:sz w:val="20"/>
                <w:szCs w:val="20"/>
                <w:color w:val="auto"/>
              </w:rPr>
            </w:pPr>
            <w:r>
              <w:rPr>
                <w:rFonts w:ascii="Arial" w:cs="Arial" w:eastAsia="Arial" w:hAnsi="Arial"/>
                <w:sz w:val="14"/>
                <w:szCs w:val="14"/>
                <w:color w:val="auto"/>
              </w:rPr>
              <w:t>9.00%</w:t>
            </w:r>
          </w:p>
        </w:tc>
        <w:tc>
          <w:tcPr>
            <w:tcW w:w="92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326,215</w:t>
            </w:r>
          </w:p>
        </w:tc>
        <w:tc>
          <w:tcPr>
            <w:tcW w:w="10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326,215</w:t>
            </w:r>
          </w:p>
        </w:tc>
        <w:tc>
          <w:tcPr>
            <w:tcW w:w="10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326,215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HW Topco, Inc.</w:t>
            </w:r>
          </w:p>
        </w:tc>
        <w:tc>
          <w:tcPr>
            <w:tcW w:w="9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2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6"/>
              </w:rPr>
              <w:t>Other Media</w:t>
            </w:r>
          </w:p>
        </w:tc>
        <w:tc>
          <w:tcPr>
            <w:tcW w:w="1160" w:type="dxa"/>
            <w:vAlign w:val="bottom"/>
            <w:gridSpan w:val="2"/>
            <w:shd w:val="clear" w:color="auto" w:fill="CCEEFF"/>
          </w:tcPr>
          <w:p>
            <w:pPr>
              <w:jc w:val="right"/>
              <w:ind w:right="288"/>
              <w:spacing w:after="0" w:line="149" w:lineRule="exact"/>
              <w:rPr>
                <w:sz w:val="20"/>
                <w:szCs w:val="20"/>
                <w:color w:val="auto"/>
              </w:rPr>
            </w:pPr>
            <w:r>
              <w:rPr>
                <w:rFonts w:ascii="Arial" w:cs="Arial" w:eastAsia="Arial" w:hAnsi="Arial"/>
                <w:sz w:val="14"/>
                <w:szCs w:val="14"/>
                <w:color w:val="auto"/>
              </w:rPr>
              <w:t>8.00%</w:t>
            </w:r>
          </w:p>
        </w:tc>
        <w:tc>
          <w:tcPr>
            <w:tcW w:w="92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3,591</w:t>
            </w:r>
          </w:p>
        </w:tc>
        <w:tc>
          <w:tcPr>
            <w:tcW w:w="10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24,177</w:t>
            </w:r>
          </w:p>
        </w:tc>
        <w:tc>
          <w:tcPr>
            <w:tcW w:w="10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35,091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tcPr>
          <w:p>
            <w:pPr>
              <w:spacing w:after="0" w:line="149" w:lineRule="exact"/>
              <w:rPr>
                <w:sz w:val="20"/>
                <w:szCs w:val="20"/>
                <w:color w:val="auto"/>
              </w:rPr>
            </w:pPr>
            <w:r>
              <w:rPr>
                <w:rFonts w:ascii="Arial" w:cs="Arial" w:eastAsia="Arial" w:hAnsi="Arial"/>
                <w:sz w:val="14"/>
                <w:szCs w:val="14"/>
                <w:color w:val="auto"/>
              </w:rPr>
              <w:t>TZ Holdings, L.P., Series A</w:t>
            </w:r>
          </w:p>
        </w:tc>
        <w:tc>
          <w:tcPr>
            <w:tcW w:w="9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28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1"/>
              </w:rPr>
              <w:t>Insurance</w:t>
            </w:r>
          </w:p>
        </w:tc>
        <w:tc>
          <w:tcPr>
            <w:tcW w:w="1160" w:type="dxa"/>
            <w:vAlign w:val="bottom"/>
            <w:gridSpan w:val="2"/>
          </w:tcPr>
          <w:p>
            <w:pPr>
              <w:jc w:val="right"/>
              <w:ind w:right="468"/>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686</w:t>
            </w:r>
          </w:p>
        </w:tc>
        <w:tc>
          <w:tcPr>
            <w:tcW w:w="120" w:type="dxa"/>
            <w:vAlign w:val="bottom"/>
          </w:tcPr>
          <w:p>
            <w:pPr>
              <w:spacing w:after="0"/>
              <w:rPr>
                <w:sz w:val="12"/>
                <w:szCs w:val="12"/>
                <w:color w:val="auto"/>
              </w:rPr>
            </w:pPr>
          </w:p>
        </w:tc>
        <w:tc>
          <w:tcPr>
            <w:tcW w:w="10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685,820</w:t>
            </w:r>
          </w:p>
        </w:tc>
        <w:tc>
          <w:tcPr>
            <w:tcW w:w="10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685,820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TZ Holdings, L.P., Series B</w:t>
            </w:r>
          </w:p>
        </w:tc>
        <w:tc>
          <w:tcPr>
            <w:tcW w:w="9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28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1"/>
              </w:rPr>
              <w:t>Insurance</w:t>
            </w:r>
          </w:p>
        </w:tc>
        <w:tc>
          <w:tcPr>
            <w:tcW w:w="1160" w:type="dxa"/>
            <w:vAlign w:val="bottom"/>
            <w:gridSpan w:val="2"/>
            <w:shd w:val="clear" w:color="auto" w:fill="CCEEFF"/>
          </w:tcPr>
          <w:p>
            <w:pPr>
              <w:jc w:val="right"/>
              <w:ind w:right="288"/>
              <w:spacing w:after="0" w:line="149" w:lineRule="exact"/>
              <w:rPr>
                <w:sz w:val="20"/>
                <w:szCs w:val="20"/>
                <w:color w:val="auto"/>
              </w:rPr>
            </w:pPr>
            <w:r>
              <w:rPr>
                <w:rFonts w:ascii="Arial" w:cs="Arial" w:eastAsia="Arial" w:hAnsi="Arial"/>
                <w:sz w:val="14"/>
                <w:szCs w:val="14"/>
                <w:color w:val="auto"/>
              </w:rPr>
              <w:t>6.50%</w:t>
            </w:r>
          </w:p>
        </w:tc>
        <w:tc>
          <w:tcPr>
            <w:tcW w:w="92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1,312</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1,312,006</w:t>
            </w:r>
          </w:p>
        </w:tc>
        <w:tc>
          <w:tcPr>
            <w:tcW w:w="12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862,664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180" w:type="dxa"/>
            <w:vAlign w:val="bottom"/>
            <w:gridSpan w:val="2"/>
          </w:tcPr>
          <w:p>
            <w:pPr>
              <w:spacing w:after="0" w:line="149" w:lineRule="exact"/>
              <w:rPr>
                <w:sz w:val="20"/>
                <w:szCs w:val="20"/>
                <w:color w:val="auto"/>
              </w:rPr>
            </w:pPr>
            <w:r>
              <w:rPr>
                <w:rFonts w:ascii="Arial" w:cs="Arial" w:eastAsia="Arial" w:hAnsi="Arial"/>
                <w:sz w:val="14"/>
                <w:szCs w:val="14"/>
                <w:color w:val="auto"/>
              </w:rPr>
              <w:t>VRide Holdings, Inc.</w:t>
            </w:r>
          </w:p>
        </w:tc>
        <w:tc>
          <w:tcPr>
            <w:tcW w:w="9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2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2"/>
              </w:rPr>
              <w:t>Personal Transportation</w:t>
            </w:r>
          </w:p>
        </w:tc>
        <w:tc>
          <w:tcPr>
            <w:tcW w:w="1160" w:type="dxa"/>
            <w:vAlign w:val="bottom"/>
            <w:gridSpan w:val="2"/>
          </w:tcPr>
          <w:p>
            <w:pPr>
              <w:jc w:val="right"/>
              <w:ind w:right="288"/>
              <w:spacing w:after="0" w:line="149" w:lineRule="exact"/>
              <w:rPr>
                <w:sz w:val="20"/>
                <w:szCs w:val="20"/>
                <w:color w:val="auto"/>
              </w:rPr>
            </w:pPr>
            <w:r>
              <w:rPr>
                <w:rFonts w:ascii="Arial" w:cs="Arial" w:eastAsia="Arial" w:hAnsi="Arial"/>
                <w:sz w:val="14"/>
                <w:szCs w:val="14"/>
                <w:color w:val="auto"/>
              </w:rPr>
              <w:t>8.00%</w:t>
            </w:r>
          </w:p>
        </w:tc>
        <w:tc>
          <w:tcPr>
            <w:tcW w:w="92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1,824,167</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1,824,167</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156,029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Preferred Equity/Partnership Interests</w:t>
            </w: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9,463,292</w:t>
            </w:r>
          </w:p>
        </w:tc>
        <w:tc>
          <w:tcPr>
            <w:tcW w:w="12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8,051,870</w:t>
            </w:r>
          </w:p>
        </w:tc>
        <w:tc>
          <w:tcPr>
            <w:tcW w:w="0" w:type="dxa"/>
            <w:vAlign w:val="bottom"/>
          </w:tcPr>
          <w:p>
            <w:pPr>
              <w:spacing w:after="0"/>
              <w:rPr>
                <w:sz w:val="1"/>
                <w:szCs w:val="1"/>
                <w:color w:val="auto"/>
              </w:rPr>
            </w:pPr>
          </w:p>
        </w:tc>
      </w:tr>
      <w:tr>
        <w:trPr>
          <w:trHeight w:val="156"/>
        </w:trPr>
        <w:tc>
          <w:tcPr>
            <w:tcW w:w="4160" w:type="dxa"/>
            <w:vAlign w:val="bottom"/>
            <w:gridSpan w:val="5"/>
          </w:tcPr>
          <w:p>
            <w:pPr>
              <w:spacing w:after="0" w:line="155" w:lineRule="exact"/>
              <w:rPr>
                <w:sz w:val="20"/>
                <w:szCs w:val="20"/>
                <w:color w:val="auto"/>
              </w:rPr>
            </w:pPr>
            <w:r>
              <w:rPr>
                <w:rFonts w:ascii="Arial" w:cs="Arial" w:eastAsia="Arial" w:hAnsi="Arial"/>
                <w:sz w:val="14"/>
                <w:szCs w:val="14"/>
                <w:b w:val="1"/>
                <w:bCs w:val="1"/>
                <w:color w:val="auto"/>
              </w:rPr>
              <w:t>Common Equity/Warrants/Partnership Interests—10.1%</w:t>
            </w:r>
            <w:r>
              <w:rPr>
                <w:rFonts w:ascii="Arial" w:cs="Arial" w:eastAsia="Arial" w:hAnsi="Arial"/>
                <w:sz w:val="12"/>
                <w:szCs w:val="12"/>
                <w:b w:val="1"/>
                <w:bCs w:val="1"/>
                <w:color w:val="auto"/>
              </w:rPr>
              <w:t>(6)</w:t>
            </w:r>
          </w:p>
        </w:tc>
        <w:tc>
          <w:tcPr>
            <w:tcW w:w="2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Acentia, LLC, Class A Units</w:t>
            </w:r>
            <w:r>
              <w:rPr>
                <w:rFonts w:ascii="Arial" w:cs="Arial" w:eastAsia="Arial" w:hAnsi="Arial"/>
                <w:sz w:val="12"/>
                <w:szCs w:val="12"/>
                <w:color w:val="auto"/>
              </w:rPr>
              <w:t>(12)</w:t>
            </w:r>
          </w:p>
        </w:tc>
        <w:tc>
          <w:tcPr>
            <w:tcW w:w="9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28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3"/>
              </w:rPr>
              <w:t>Electronics</w:t>
            </w:r>
          </w:p>
        </w:tc>
        <w:tc>
          <w:tcPr>
            <w:tcW w:w="1160" w:type="dxa"/>
            <w:vAlign w:val="bottom"/>
            <w:gridSpan w:val="2"/>
            <w:shd w:val="clear" w:color="auto" w:fill="CCEEFF"/>
          </w:tcPr>
          <w:p>
            <w:pPr>
              <w:jc w:val="right"/>
              <w:ind w:right="468"/>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1,998</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2,000,000</w:t>
            </w:r>
          </w:p>
        </w:tc>
        <w:tc>
          <w:tcPr>
            <w:tcW w:w="12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  1,572,603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tcPr>
          <w:p>
            <w:pPr>
              <w:spacing w:after="0" w:line="149" w:lineRule="exact"/>
              <w:rPr>
                <w:sz w:val="20"/>
                <w:szCs w:val="20"/>
                <w:color w:val="auto"/>
              </w:rPr>
            </w:pPr>
            <w:r>
              <w:rPr>
                <w:rFonts w:ascii="Arial" w:cs="Arial" w:eastAsia="Arial" w:hAnsi="Arial"/>
                <w:sz w:val="14"/>
                <w:szCs w:val="14"/>
                <w:color w:val="auto"/>
              </w:rPr>
              <w:t>AH Holdings, Inc. (Warrants)</w:t>
            </w: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9"/>
              </w:rPr>
              <w:t>03/23/2021</w:t>
            </w:r>
          </w:p>
        </w:tc>
        <w:tc>
          <w:tcPr>
            <w:tcW w:w="228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2"/>
              </w:rPr>
              <w:t>Healthcare, Education and Childcare</w:t>
            </w:r>
          </w:p>
        </w:tc>
        <w:tc>
          <w:tcPr>
            <w:tcW w:w="1160" w:type="dxa"/>
            <w:vAlign w:val="bottom"/>
            <w:gridSpan w:val="2"/>
          </w:tcPr>
          <w:p>
            <w:pPr>
              <w:jc w:val="right"/>
              <w:ind w:right="468"/>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753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2,499,319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Alegeus Technologies Holding Corp., Class A</w:t>
            </w: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(Alegeus Technologies, LLC)</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228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93"/>
              </w:rPr>
              <w:t>Financial Services</w:t>
            </w:r>
          </w:p>
        </w:tc>
        <w:tc>
          <w:tcPr>
            <w:tcW w:w="1160" w:type="dxa"/>
            <w:vAlign w:val="bottom"/>
            <w:gridSpan w:val="2"/>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950</w:t>
            </w:r>
          </w:p>
        </w:tc>
        <w:tc>
          <w:tcPr>
            <w:tcW w:w="120" w:type="dxa"/>
            <w:vAlign w:val="bottom"/>
            <w:shd w:val="clear" w:color="auto" w:fill="CCEEFF"/>
          </w:tcPr>
          <w:p>
            <w:pPr>
              <w:spacing w:after="0"/>
              <w:rPr>
                <w:sz w:val="14"/>
                <w:szCs w:val="14"/>
                <w:color w:val="auto"/>
              </w:rPr>
            </w:pP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807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tcPr>
          <w:p>
            <w:pPr>
              <w:spacing w:after="0" w:line="149" w:lineRule="exact"/>
              <w:rPr>
                <w:sz w:val="20"/>
                <w:szCs w:val="20"/>
                <w:color w:val="auto"/>
              </w:rPr>
            </w:pPr>
            <w:r>
              <w:rPr>
                <w:rFonts w:ascii="Arial" w:cs="Arial" w:eastAsia="Arial" w:hAnsi="Arial"/>
                <w:sz w:val="14"/>
                <w:szCs w:val="14"/>
                <w:color w:val="auto"/>
              </w:rPr>
              <w:t>Autumn Games, LLC</w:t>
            </w:r>
          </w:p>
        </w:tc>
        <w:tc>
          <w:tcPr>
            <w:tcW w:w="9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2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2"/>
              </w:rPr>
              <w:t>Broadcasting and Entertainment</w:t>
            </w:r>
          </w:p>
        </w:tc>
        <w:tc>
          <w:tcPr>
            <w:tcW w:w="1160" w:type="dxa"/>
            <w:vAlign w:val="bottom"/>
            <w:gridSpan w:val="2"/>
          </w:tcPr>
          <w:p>
            <w:pPr>
              <w:jc w:val="right"/>
              <w:ind w:right="468"/>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1,333,330</w:t>
            </w:r>
          </w:p>
        </w:tc>
        <w:tc>
          <w:tcPr>
            <w:tcW w:w="120" w:type="dxa"/>
            <w:vAlign w:val="bottom"/>
          </w:tcPr>
          <w:p>
            <w:pPr>
              <w:spacing w:after="0"/>
              <w:rPr>
                <w:sz w:val="12"/>
                <w:szCs w:val="12"/>
                <w:color w:val="auto"/>
              </w:rPr>
            </w:pP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3,000,000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CI (Galls) Prime Investment Holdings, LLC</w:t>
            </w:r>
            <w:r>
              <w:rPr>
                <w:rFonts w:ascii="Arial" w:cs="Arial" w:eastAsia="Arial" w:hAnsi="Arial"/>
                <w:sz w:val="12"/>
                <w:szCs w:val="12"/>
                <w:color w:val="auto"/>
              </w:rPr>
              <w:t>(11)</w:t>
            </w:r>
          </w:p>
        </w:tc>
        <w:tc>
          <w:tcPr>
            <w:tcW w:w="9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2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9"/>
              </w:rPr>
              <w:t>Distribution</w:t>
            </w:r>
          </w:p>
        </w:tc>
        <w:tc>
          <w:tcPr>
            <w:tcW w:w="1160" w:type="dxa"/>
            <w:vAlign w:val="bottom"/>
            <w:gridSpan w:val="2"/>
            <w:shd w:val="clear" w:color="auto" w:fill="CCEEFF"/>
          </w:tcPr>
          <w:p>
            <w:pPr>
              <w:jc w:val="right"/>
              <w:ind w:right="468"/>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1,505,000</w:t>
            </w: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1,505,000</w:t>
            </w:r>
          </w:p>
        </w:tc>
        <w:tc>
          <w:tcPr>
            <w:tcW w:w="12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2,308,777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80" w:type="dxa"/>
            <w:vAlign w:val="bottom"/>
            <w:gridSpan w:val="2"/>
          </w:tcPr>
          <w:p>
            <w:pPr>
              <w:spacing w:after="0" w:line="130" w:lineRule="exact"/>
              <w:rPr>
                <w:sz w:val="20"/>
                <w:szCs w:val="20"/>
                <w:color w:val="auto"/>
              </w:rPr>
            </w:pPr>
            <w:r>
              <w:rPr>
                <w:rFonts w:ascii="Arial" w:cs="Arial" w:eastAsia="Arial" w:hAnsi="Arial"/>
                <w:sz w:val="14"/>
                <w:szCs w:val="14"/>
                <w:color w:val="auto"/>
              </w:rPr>
              <w:t>CI (IHS) Investment Holdings, LLC (Interactive</w:t>
            </w: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80" w:type="dxa"/>
            <w:vAlign w:val="bottom"/>
            <w:gridSpan w:val="2"/>
          </w:tcPr>
          <w:p>
            <w:pPr>
              <w:ind w:left="140"/>
              <w:spacing w:after="0"/>
              <w:rPr>
                <w:sz w:val="20"/>
                <w:szCs w:val="20"/>
                <w:color w:val="auto"/>
              </w:rPr>
            </w:pPr>
            <w:r>
              <w:rPr>
                <w:rFonts w:ascii="Arial" w:cs="Arial" w:eastAsia="Arial" w:hAnsi="Arial"/>
                <w:sz w:val="14"/>
                <w:szCs w:val="14"/>
                <w:color w:val="auto"/>
              </w:rPr>
              <w:t>Health Solutions, Inc.)</w:t>
            </w:r>
          </w:p>
        </w:tc>
        <w:tc>
          <w:tcPr>
            <w:tcW w:w="9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280" w:type="dxa"/>
            <w:vAlign w:val="bottom"/>
            <w:gridSpan w:val="2"/>
          </w:tcPr>
          <w:p>
            <w:pPr>
              <w:jc w:val="center"/>
              <w:ind w:right="160"/>
              <w:spacing w:after="0"/>
              <w:rPr>
                <w:sz w:val="20"/>
                <w:szCs w:val="20"/>
                <w:color w:val="auto"/>
              </w:rPr>
            </w:pPr>
            <w:r>
              <w:rPr>
                <w:rFonts w:ascii="Arial" w:cs="Arial" w:eastAsia="Arial" w:hAnsi="Arial"/>
                <w:sz w:val="14"/>
                <w:szCs w:val="14"/>
                <w:color w:val="auto"/>
                <w:w w:val="92"/>
              </w:rPr>
              <w:t>Healthcare, Education and Childcare</w:t>
            </w:r>
          </w:p>
        </w:tc>
        <w:tc>
          <w:tcPr>
            <w:tcW w:w="1160" w:type="dxa"/>
            <w:vAlign w:val="bottom"/>
            <w:gridSpan w:val="2"/>
          </w:tcPr>
          <w:p>
            <w:pPr>
              <w:jc w:val="right"/>
              <w:ind w:right="468"/>
              <w:spacing w:after="0"/>
              <w:rPr>
                <w:sz w:val="20"/>
                <w:szCs w:val="20"/>
                <w:color w:val="auto"/>
              </w:rPr>
            </w:pPr>
            <w:r>
              <w:rPr>
                <w:rFonts w:ascii="Arial" w:cs="Arial" w:eastAsia="Arial" w:hAnsi="Arial"/>
                <w:sz w:val="14"/>
                <w:szCs w:val="14"/>
                <w:color w:val="auto"/>
              </w:rPr>
              <w:t>—</w:t>
            </w:r>
          </w:p>
        </w:tc>
        <w:tc>
          <w:tcPr>
            <w:tcW w:w="92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23,416</w:t>
            </w:r>
          </w:p>
        </w:tc>
        <w:tc>
          <w:tcPr>
            <w:tcW w:w="1060" w:type="dxa"/>
            <w:vAlign w:val="bottom"/>
            <w:gridSpan w:val="3"/>
          </w:tcPr>
          <w:p>
            <w:pPr>
              <w:jc w:val="right"/>
              <w:ind w:right="120"/>
              <w:spacing w:after="0"/>
              <w:rPr>
                <w:sz w:val="20"/>
                <w:szCs w:val="20"/>
                <w:color w:val="auto"/>
              </w:rPr>
            </w:pPr>
            <w:r>
              <w:rPr>
                <w:rFonts w:ascii="Arial" w:cs="Arial" w:eastAsia="Arial" w:hAnsi="Arial"/>
                <w:sz w:val="14"/>
                <w:szCs w:val="14"/>
                <w:color w:val="auto"/>
              </w:rPr>
              <w:t>234,693</w:t>
            </w:r>
          </w:p>
        </w:tc>
        <w:tc>
          <w:tcPr>
            <w:tcW w:w="1020" w:type="dxa"/>
            <w:vAlign w:val="bottom"/>
            <w:gridSpan w:val="3"/>
          </w:tcPr>
          <w:p>
            <w:pPr>
              <w:jc w:val="right"/>
              <w:ind w:right="80"/>
              <w:spacing w:after="0"/>
              <w:rPr>
                <w:sz w:val="20"/>
                <w:szCs w:val="20"/>
                <w:color w:val="auto"/>
              </w:rPr>
            </w:pPr>
            <w:r>
              <w:rPr>
                <w:rFonts w:ascii="Arial" w:cs="Arial" w:eastAsia="Arial" w:hAnsi="Arial"/>
                <w:sz w:val="14"/>
                <w:szCs w:val="14"/>
                <w:color w:val="auto"/>
              </w:rPr>
              <w:t>364,156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CI (IHS) Investment Holdings, LLC</w:t>
            </w:r>
            <w:r>
              <w:rPr>
                <w:rFonts w:ascii="Arial" w:cs="Arial" w:eastAsia="Arial" w:hAnsi="Arial"/>
                <w:sz w:val="12"/>
                <w:szCs w:val="12"/>
                <w:color w:val="auto"/>
              </w:rPr>
              <w:t>(9)</w:t>
            </w:r>
            <w:r>
              <w:rPr>
                <w:rFonts w:ascii="Arial" w:cs="Arial" w:eastAsia="Arial" w:hAnsi="Arial"/>
                <w:sz w:val="14"/>
                <w:szCs w:val="14"/>
                <w:color w:val="auto"/>
              </w:rPr>
              <w:t xml:space="preserve"> (Interactive</w:t>
            </w: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Health Solutions, Inc.)</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228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2"/>
              </w:rPr>
              <w:t>Healthcare, Education and Childcare</w:t>
            </w:r>
          </w:p>
        </w:tc>
        <w:tc>
          <w:tcPr>
            <w:tcW w:w="1160" w:type="dxa"/>
            <w:vAlign w:val="bottom"/>
            <w:gridSpan w:val="2"/>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11,708</w:t>
            </w: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117,346</w:t>
            </w:r>
          </w:p>
        </w:tc>
        <w:tc>
          <w:tcPr>
            <w:tcW w:w="120" w:type="dxa"/>
            <w:vAlign w:val="bottom"/>
            <w:shd w:val="clear" w:color="auto" w:fill="CCEEFF"/>
          </w:tcPr>
          <w:p>
            <w:pPr>
              <w:spacing w:after="0"/>
              <w:rPr>
                <w:sz w:val="14"/>
                <w:szCs w:val="14"/>
                <w:color w:val="auto"/>
              </w:rPr>
            </w:pP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182,078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80" w:type="dxa"/>
            <w:vAlign w:val="bottom"/>
            <w:gridSpan w:val="2"/>
          </w:tcPr>
          <w:p>
            <w:pPr>
              <w:spacing w:after="0" w:line="130" w:lineRule="exact"/>
              <w:rPr>
                <w:sz w:val="20"/>
                <w:szCs w:val="20"/>
                <w:color w:val="auto"/>
              </w:rPr>
            </w:pPr>
            <w:r>
              <w:rPr>
                <w:rFonts w:ascii="Arial" w:cs="Arial" w:eastAsia="Arial" w:hAnsi="Arial"/>
                <w:sz w:val="14"/>
                <w:szCs w:val="14"/>
                <w:color w:val="auto"/>
              </w:rPr>
              <w:t>Convergint Technologies Holdings, LLC</w:t>
            </w: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80" w:type="dxa"/>
            <w:vAlign w:val="bottom"/>
            <w:gridSpan w:val="2"/>
          </w:tcPr>
          <w:p>
            <w:pPr>
              <w:ind w:left="140"/>
              <w:spacing w:after="0"/>
              <w:rPr>
                <w:sz w:val="20"/>
                <w:szCs w:val="20"/>
                <w:color w:val="auto"/>
              </w:rPr>
            </w:pPr>
            <w:r>
              <w:rPr>
                <w:rFonts w:ascii="Arial" w:cs="Arial" w:eastAsia="Arial" w:hAnsi="Arial"/>
                <w:sz w:val="14"/>
                <w:szCs w:val="14"/>
                <w:color w:val="auto"/>
              </w:rPr>
              <w:t>(Convergint Technologies LLC)</w:t>
            </w:r>
          </w:p>
        </w:tc>
        <w:tc>
          <w:tcPr>
            <w:tcW w:w="9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280" w:type="dxa"/>
            <w:vAlign w:val="bottom"/>
            <w:gridSpan w:val="2"/>
          </w:tcPr>
          <w:p>
            <w:pPr>
              <w:jc w:val="center"/>
              <w:ind w:right="160"/>
              <w:spacing w:after="0"/>
              <w:rPr>
                <w:sz w:val="20"/>
                <w:szCs w:val="20"/>
                <w:color w:val="auto"/>
              </w:rPr>
            </w:pPr>
            <w:r>
              <w:rPr>
                <w:rFonts w:ascii="Arial" w:cs="Arial" w:eastAsia="Arial" w:hAnsi="Arial"/>
                <w:sz w:val="14"/>
                <w:szCs w:val="14"/>
                <w:color w:val="auto"/>
                <w:w w:val="93"/>
              </w:rPr>
              <w:t>Electronics</w:t>
            </w:r>
          </w:p>
        </w:tc>
        <w:tc>
          <w:tcPr>
            <w:tcW w:w="1160" w:type="dxa"/>
            <w:vAlign w:val="bottom"/>
            <w:gridSpan w:val="2"/>
          </w:tcPr>
          <w:p>
            <w:pPr>
              <w:jc w:val="right"/>
              <w:ind w:right="468"/>
              <w:spacing w:after="0"/>
              <w:rPr>
                <w:sz w:val="20"/>
                <w:szCs w:val="20"/>
                <w:color w:val="auto"/>
              </w:rPr>
            </w:pPr>
            <w:r>
              <w:rPr>
                <w:rFonts w:ascii="Arial" w:cs="Arial" w:eastAsia="Arial" w:hAnsi="Arial"/>
                <w:sz w:val="14"/>
                <w:szCs w:val="14"/>
                <w:color w:val="auto"/>
              </w:rPr>
              <w:t>—</w:t>
            </w:r>
          </w:p>
        </w:tc>
        <w:tc>
          <w:tcPr>
            <w:tcW w:w="92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2,375</w:t>
            </w:r>
          </w:p>
        </w:tc>
        <w:tc>
          <w:tcPr>
            <w:tcW w:w="120" w:type="dxa"/>
            <w:vAlign w:val="bottom"/>
          </w:tcPr>
          <w:p>
            <w:pPr>
              <w:spacing w:after="0"/>
              <w:rPr>
                <w:sz w:val="14"/>
                <w:szCs w:val="14"/>
                <w:color w:val="auto"/>
              </w:rPr>
            </w:pPr>
          </w:p>
        </w:tc>
        <w:tc>
          <w:tcPr>
            <w:tcW w:w="94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20" w:type="dxa"/>
            <w:vAlign w:val="bottom"/>
            <w:gridSpan w:val="3"/>
          </w:tcPr>
          <w:p>
            <w:pPr>
              <w:jc w:val="right"/>
              <w:ind w:right="80"/>
              <w:spacing w:after="0"/>
              <w:rPr>
                <w:sz w:val="20"/>
                <w:szCs w:val="20"/>
                <w:color w:val="auto"/>
              </w:rPr>
            </w:pPr>
            <w:r>
              <w:rPr>
                <w:rFonts w:ascii="Arial" w:cs="Arial" w:eastAsia="Arial" w:hAnsi="Arial"/>
                <w:sz w:val="14"/>
                <w:szCs w:val="14"/>
                <w:color w:val="auto"/>
              </w:rPr>
              <w:t>212,881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CT Technologies Holdings, LLC</w:t>
            </w:r>
          </w:p>
        </w:tc>
        <w:tc>
          <w:tcPr>
            <w:tcW w:w="9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28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0"/>
              </w:rPr>
              <w:t>Business Services</w:t>
            </w:r>
          </w:p>
        </w:tc>
        <w:tc>
          <w:tcPr>
            <w:tcW w:w="1160" w:type="dxa"/>
            <w:vAlign w:val="bottom"/>
            <w:gridSpan w:val="2"/>
            <w:shd w:val="clear" w:color="auto" w:fill="CCEEFF"/>
          </w:tcPr>
          <w:p>
            <w:pPr>
              <w:jc w:val="right"/>
              <w:ind w:right="468"/>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5,556</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1,918,346</w:t>
            </w:r>
          </w:p>
        </w:tc>
        <w:tc>
          <w:tcPr>
            <w:tcW w:w="12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7,285,399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tcPr>
          <w:p>
            <w:pPr>
              <w:spacing w:after="0" w:line="149" w:lineRule="exact"/>
              <w:rPr>
                <w:sz w:val="20"/>
                <w:szCs w:val="20"/>
                <w:color w:val="auto"/>
              </w:rPr>
            </w:pPr>
            <w:r>
              <w:rPr>
                <w:rFonts w:ascii="Arial" w:cs="Arial" w:eastAsia="Arial" w:hAnsi="Arial"/>
                <w:sz w:val="14"/>
                <w:szCs w:val="14"/>
                <w:color w:val="auto"/>
              </w:rPr>
              <w:t>HW Topco, Inc.</w:t>
            </w:r>
          </w:p>
        </w:tc>
        <w:tc>
          <w:tcPr>
            <w:tcW w:w="9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2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6"/>
              </w:rPr>
              <w:t>Other Media</w:t>
            </w:r>
          </w:p>
        </w:tc>
        <w:tc>
          <w:tcPr>
            <w:tcW w:w="1160" w:type="dxa"/>
            <w:vAlign w:val="bottom"/>
            <w:gridSpan w:val="2"/>
          </w:tcPr>
          <w:p>
            <w:pPr>
              <w:jc w:val="right"/>
              <w:ind w:right="468"/>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386,770</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2,697,835</w:t>
            </w:r>
          </w:p>
        </w:tc>
        <w:tc>
          <w:tcPr>
            <w:tcW w:w="120" w:type="dxa"/>
            <w:vAlign w:val="bottom"/>
          </w:tcPr>
          <w:p>
            <w:pPr>
              <w:spacing w:after="0"/>
              <w:rPr>
                <w:sz w:val="12"/>
                <w:szCs w:val="12"/>
                <w:color w:val="auto"/>
              </w:rPr>
            </w:pPr>
          </w:p>
        </w:tc>
        <w:tc>
          <w:tcPr>
            <w:tcW w:w="10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3,400,855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Kadmon Holdings, LLC, Class A</w:t>
            </w:r>
          </w:p>
        </w:tc>
        <w:tc>
          <w:tcPr>
            <w:tcW w:w="9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28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2"/>
              </w:rPr>
              <w:t>Healthcare, Education and Childcare</w:t>
            </w:r>
          </w:p>
        </w:tc>
        <w:tc>
          <w:tcPr>
            <w:tcW w:w="1160" w:type="dxa"/>
            <w:vAlign w:val="bottom"/>
            <w:gridSpan w:val="2"/>
            <w:shd w:val="clear" w:color="auto" w:fill="CCEEFF"/>
          </w:tcPr>
          <w:p>
            <w:pPr>
              <w:jc w:val="right"/>
              <w:ind w:right="468"/>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1,079,920</w:t>
            </w: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1,236,832</w:t>
            </w:r>
          </w:p>
        </w:tc>
        <w:tc>
          <w:tcPr>
            <w:tcW w:w="12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11,085,403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tcPr>
          <w:p>
            <w:pPr>
              <w:spacing w:after="0" w:line="149" w:lineRule="exact"/>
              <w:rPr>
                <w:sz w:val="20"/>
                <w:szCs w:val="20"/>
                <w:color w:val="auto"/>
              </w:rPr>
            </w:pPr>
            <w:r>
              <w:rPr>
                <w:rFonts w:ascii="Arial" w:cs="Arial" w:eastAsia="Arial" w:hAnsi="Arial"/>
                <w:sz w:val="14"/>
                <w:szCs w:val="14"/>
                <w:color w:val="auto"/>
              </w:rPr>
              <w:t>Kadmon Holdings, LLC, Class D</w:t>
            </w:r>
          </w:p>
        </w:tc>
        <w:tc>
          <w:tcPr>
            <w:tcW w:w="9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28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2"/>
              </w:rPr>
              <w:t>Healthcare, Education and Childcare</w:t>
            </w:r>
          </w:p>
        </w:tc>
        <w:tc>
          <w:tcPr>
            <w:tcW w:w="1160" w:type="dxa"/>
            <w:vAlign w:val="bottom"/>
            <w:gridSpan w:val="2"/>
          </w:tcPr>
          <w:p>
            <w:pPr>
              <w:jc w:val="right"/>
              <w:ind w:right="468"/>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1,079,920</w:t>
            </w:r>
          </w:p>
        </w:tc>
        <w:tc>
          <w:tcPr>
            <w:tcW w:w="120" w:type="dxa"/>
            <w:vAlign w:val="bottom"/>
          </w:tcPr>
          <w:p>
            <w:pPr>
              <w:spacing w:after="0"/>
              <w:rPr>
                <w:sz w:val="12"/>
                <w:szCs w:val="12"/>
                <w:color w:val="auto"/>
              </w:rPr>
            </w:pP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1,028,807</w:t>
            </w:r>
          </w:p>
        </w:tc>
        <w:tc>
          <w:tcPr>
            <w:tcW w:w="120" w:type="dxa"/>
            <w:vAlign w:val="bottom"/>
          </w:tcPr>
          <w:p>
            <w:pPr>
              <w:spacing w:after="0"/>
              <w:rPr>
                <w:sz w:val="12"/>
                <w:szCs w:val="12"/>
                <w:color w:val="auto"/>
              </w:rPr>
            </w:pPr>
          </w:p>
        </w:tc>
        <w:tc>
          <w:tcPr>
            <w:tcW w:w="10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1,028,807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Learning Care Group (US) Inc. (Warrants)</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9"/>
              </w:rPr>
              <w:t>04/27/2020</w:t>
            </w:r>
          </w:p>
        </w:tc>
        <w:tc>
          <w:tcPr>
            <w:tcW w:w="22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3"/>
              </w:rPr>
              <w:t>Education</w:t>
            </w:r>
          </w:p>
        </w:tc>
        <w:tc>
          <w:tcPr>
            <w:tcW w:w="1160" w:type="dxa"/>
            <w:vAlign w:val="bottom"/>
            <w:gridSpan w:val="2"/>
            <w:shd w:val="clear" w:color="auto" w:fill="CCEEFF"/>
          </w:tcPr>
          <w:p>
            <w:pPr>
              <w:jc w:val="right"/>
              <w:ind w:right="468"/>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6,649</w:t>
            </w:r>
          </w:p>
        </w:tc>
        <w:tc>
          <w:tcPr>
            <w:tcW w:w="10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779,920</w:t>
            </w:r>
          </w:p>
        </w:tc>
        <w:tc>
          <w:tcPr>
            <w:tcW w:w="10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4,300,696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80" w:type="dxa"/>
            <w:vAlign w:val="bottom"/>
            <w:gridSpan w:val="2"/>
          </w:tcPr>
          <w:p>
            <w:pPr>
              <w:spacing w:after="0" w:line="130" w:lineRule="exact"/>
              <w:rPr>
                <w:sz w:val="20"/>
                <w:szCs w:val="20"/>
                <w:color w:val="auto"/>
              </w:rPr>
            </w:pPr>
            <w:r>
              <w:rPr>
                <w:rFonts w:ascii="Arial" w:cs="Arial" w:eastAsia="Arial" w:hAnsi="Arial"/>
                <w:sz w:val="14"/>
                <w:szCs w:val="14"/>
                <w:color w:val="auto"/>
              </w:rPr>
              <w:t>Magnum Hunter Resources Corporation (Eureka</w:t>
            </w: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180" w:type="dxa"/>
            <w:vAlign w:val="bottom"/>
            <w:gridSpan w:val="2"/>
          </w:tcPr>
          <w:p>
            <w:pPr>
              <w:ind w:left="140"/>
              <w:spacing w:after="0"/>
              <w:rPr>
                <w:sz w:val="20"/>
                <w:szCs w:val="20"/>
                <w:color w:val="auto"/>
              </w:rPr>
            </w:pPr>
            <w:r>
              <w:rPr>
                <w:rFonts w:ascii="Arial" w:cs="Arial" w:eastAsia="Arial" w:hAnsi="Arial"/>
                <w:sz w:val="14"/>
                <w:szCs w:val="14"/>
                <w:color w:val="auto"/>
              </w:rPr>
              <w:t>Hunter Pipeline, LLC)</w:t>
            </w:r>
          </w:p>
        </w:tc>
        <w:tc>
          <w:tcPr>
            <w:tcW w:w="9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280" w:type="dxa"/>
            <w:vAlign w:val="bottom"/>
            <w:gridSpan w:val="2"/>
          </w:tcPr>
          <w:p>
            <w:pPr>
              <w:jc w:val="center"/>
              <w:ind w:right="160"/>
              <w:spacing w:after="0"/>
              <w:rPr>
                <w:sz w:val="20"/>
                <w:szCs w:val="20"/>
                <w:color w:val="auto"/>
              </w:rPr>
            </w:pPr>
            <w:r>
              <w:rPr>
                <w:rFonts w:ascii="Arial" w:cs="Arial" w:eastAsia="Arial" w:hAnsi="Arial"/>
                <w:sz w:val="14"/>
                <w:szCs w:val="14"/>
                <w:color w:val="auto"/>
                <w:w w:val="91"/>
              </w:rPr>
              <w:t>Oil and Gas</w:t>
            </w:r>
          </w:p>
        </w:tc>
        <w:tc>
          <w:tcPr>
            <w:tcW w:w="1160" w:type="dxa"/>
            <w:vAlign w:val="bottom"/>
            <w:gridSpan w:val="2"/>
          </w:tcPr>
          <w:p>
            <w:pPr>
              <w:jc w:val="right"/>
              <w:ind w:right="468"/>
              <w:spacing w:after="0"/>
              <w:rPr>
                <w:sz w:val="20"/>
                <w:szCs w:val="20"/>
                <w:color w:val="auto"/>
              </w:rPr>
            </w:pPr>
            <w:r>
              <w:rPr>
                <w:rFonts w:ascii="Arial" w:cs="Arial" w:eastAsia="Arial" w:hAnsi="Arial"/>
                <w:sz w:val="14"/>
                <w:szCs w:val="14"/>
                <w:color w:val="auto"/>
              </w:rPr>
              <w:t>—</w:t>
            </w:r>
          </w:p>
        </w:tc>
        <w:tc>
          <w:tcPr>
            <w:tcW w:w="92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1,221,932</w:t>
            </w:r>
          </w:p>
        </w:tc>
        <w:tc>
          <w:tcPr>
            <w:tcW w:w="12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3,057,500</w:t>
            </w:r>
          </w:p>
        </w:tc>
        <w:tc>
          <w:tcPr>
            <w:tcW w:w="120" w:type="dxa"/>
            <w:vAlign w:val="bottom"/>
          </w:tcPr>
          <w:p>
            <w:pPr>
              <w:spacing w:after="0"/>
              <w:rPr>
                <w:sz w:val="15"/>
                <w:szCs w:val="15"/>
                <w:color w:val="auto"/>
              </w:rPr>
            </w:pPr>
          </w:p>
        </w:tc>
        <w:tc>
          <w:tcPr>
            <w:tcW w:w="1020" w:type="dxa"/>
            <w:vAlign w:val="bottom"/>
            <w:gridSpan w:val="3"/>
          </w:tcPr>
          <w:p>
            <w:pPr>
              <w:jc w:val="right"/>
              <w:ind w:right="80"/>
              <w:spacing w:after="0"/>
              <w:rPr>
                <w:sz w:val="20"/>
                <w:szCs w:val="20"/>
                <w:color w:val="auto"/>
              </w:rPr>
            </w:pPr>
            <w:r>
              <w:rPr>
                <w:rFonts w:ascii="Arial" w:cs="Arial" w:eastAsia="Arial" w:hAnsi="Arial"/>
                <w:sz w:val="14"/>
                <w:szCs w:val="14"/>
                <w:color w:val="auto"/>
              </w:rPr>
              <w:t>7,539,320</w:t>
            </w:r>
          </w:p>
        </w:tc>
        <w:tc>
          <w:tcPr>
            <w:tcW w:w="0" w:type="dxa"/>
            <w:vAlign w:val="bottom"/>
          </w:tcPr>
          <w:p>
            <w:pPr>
              <w:spacing w:after="0"/>
              <w:rPr>
                <w:sz w:val="1"/>
                <w:szCs w:val="1"/>
                <w:color w:val="auto"/>
              </w:rPr>
            </w:pPr>
          </w:p>
        </w:tc>
      </w:tr>
    </w:tbl>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S-50</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PENNANTPARK INVESTMENT CORPORATION AND SUBSIDIARIES CONSOLIDATED SCHEDULE OF INVESTMENTS—(Continued) SEPTEMBER 30, 2013</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Basis Point</w:t>
            </w: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Current</w:t>
            </w: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Spread</w:t>
            </w:r>
          </w:p>
        </w:tc>
        <w:tc>
          <w:tcPr>
            <w:tcW w:w="8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8"/>
              </w:rPr>
              <w:t>Par /</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Issuer Name</w:t>
            </w:r>
          </w:p>
        </w:tc>
        <w:tc>
          <w:tcPr>
            <w:tcW w:w="10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rPr>
              <w:t>Maturity</w:t>
            </w: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Industry</w:t>
            </w:r>
          </w:p>
        </w:tc>
        <w:tc>
          <w:tcPr>
            <w:tcW w:w="2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Above</w:t>
            </w:r>
          </w:p>
        </w:tc>
        <w:tc>
          <w:tcPr>
            <w:tcW w:w="8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2"/>
                <w:szCs w:val="12"/>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2"/>
                <w:szCs w:val="12"/>
                <w:b w:val="1"/>
                <w:bCs w:val="1"/>
                <w:color w:val="auto"/>
              </w:rPr>
              <w:t>(3)</w:t>
            </w:r>
          </w:p>
        </w:tc>
        <w:tc>
          <w:tcPr>
            <w:tcW w:w="0" w:type="dxa"/>
            <w:vAlign w:val="bottom"/>
          </w:tcPr>
          <w:p>
            <w:pPr>
              <w:spacing w:after="0"/>
              <w:rPr>
                <w:sz w:val="1"/>
                <w:szCs w:val="1"/>
                <w:color w:val="auto"/>
              </w:rPr>
            </w:pPr>
          </w:p>
        </w:tc>
      </w:tr>
      <w:tr>
        <w:trPr>
          <w:trHeight w:val="171"/>
        </w:trPr>
        <w:tc>
          <w:tcPr>
            <w:tcW w:w="3860" w:type="dxa"/>
            <w:vAlign w:val="bottom"/>
            <w:gridSpan w:val="3"/>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ind w:left="120"/>
              <w:spacing w:after="0"/>
              <w:rPr>
                <w:sz w:val="20"/>
                <w:szCs w:val="20"/>
                <w:color w:val="auto"/>
              </w:rPr>
            </w:pPr>
            <w:r>
              <w:rPr>
                <w:rFonts w:ascii="Arial" w:cs="Arial" w:eastAsia="Arial" w:hAnsi="Arial"/>
                <w:sz w:val="14"/>
                <w:szCs w:val="14"/>
                <w:b w:val="1"/>
                <w:bCs w:val="1"/>
                <w:color w:val="auto"/>
              </w:rPr>
              <w:t>Coupon</w:t>
            </w: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Index</w:t>
            </w:r>
            <w:r>
              <w:rPr>
                <w:rFonts w:ascii="Arial" w:cs="Arial" w:eastAsia="Arial" w:hAnsi="Arial"/>
                <w:sz w:val="12"/>
                <w:szCs w:val="12"/>
                <w:b w:val="1"/>
                <w:bCs w:val="1"/>
                <w:color w:val="auto"/>
                <w:w w:val="97"/>
              </w:rPr>
              <w:t>(4)</w:t>
            </w: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Shares</w:t>
            </w: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20" w:type="dxa"/>
            <w:vAlign w:val="bottom"/>
          </w:tcPr>
          <w:p>
            <w:pPr>
              <w:spacing w:after="0"/>
              <w:rPr>
                <w:sz w:val="9"/>
                <w:szCs w:val="9"/>
                <w:color w:val="auto"/>
              </w:rPr>
            </w:pPr>
          </w:p>
        </w:tc>
        <w:tc>
          <w:tcPr>
            <w:tcW w:w="3840" w:type="dxa"/>
            <w:vAlign w:val="bottom"/>
            <w:gridSpan w:val="2"/>
            <w:shd w:val="clear" w:color="auto" w:fill="CCEEFF"/>
          </w:tcPr>
          <w:p>
            <w:pPr>
              <w:spacing w:after="0" w:line="110" w:lineRule="exact"/>
              <w:rPr>
                <w:sz w:val="20"/>
                <w:szCs w:val="20"/>
                <w:color w:val="auto"/>
              </w:rPr>
            </w:pPr>
            <w:r>
              <w:rPr>
                <w:rFonts w:ascii="Arial" w:cs="Arial" w:eastAsia="Arial" w:hAnsi="Arial"/>
                <w:sz w:val="12"/>
                <w:szCs w:val="12"/>
                <w:color w:val="auto"/>
              </w:rPr>
              <w:t>Magnum Hunter Resources Corporation (Warrants) (Eureka</w:t>
            </w:r>
          </w:p>
        </w:tc>
        <w:tc>
          <w:tcPr>
            <w:tcW w:w="7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Hunter Pipeline, LLC)</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w w:val="96"/>
              </w:rPr>
              <w:t>10/14/2013</w:t>
            </w: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Oil and Gas</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122,193</w:t>
            </w: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105,697</w:t>
            </w: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840" w:type="dxa"/>
            <w:vAlign w:val="bottom"/>
            <w:gridSpan w:val="2"/>
          </w:tcPr>
          <w:p>
            <w:pPr>
              <w:spacing w:after="0" w:line="130" w:lineRule="exact"/>
              <w:rPr>
                <w:sz w:val="20"/>
                <w:szCs w:val="20"/>
                <w:color w:val="auto"/>
              </w:rPr>
            </w:pPr>
            <w:r>
              <w:rPr>
                <w:rFonts w:ascii="Arial" w:cs="Arial" w:eastAsia="Arial" w:hAnsi="Arial"/>
                <w:sz w:val="14"/>
                <w:szCs w:val="14"/>
                <w:color w:val="auto"/>
              </w:rPr>
              <w:t>Magnum Hunter Resources Corporation (Warrants) (Eureka</w:t>
            </w: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40" w:type="dxa"/>
            <w:vAlign w:val="bottom"/>
            <w:gridSpan w:val="2"/>
          </w:tcPr>
          <w:p>
            <w:pPr>
              <w:ind w:left="140"/>
              <w:spacing w:after="0"/>
              <w:rPr>
                <w:sz w:val="20"/>
                <w:szCs w:val="20"/>
                <w:color w:val="auto"/>
              </w:rPr>
            </w:pPr>
            <w:r>
              <w:rPr>
                <w:rFonts w:ascii="Arial" w:cs="Arial" w:eastAsia="Arial" w:hAnsi="Arial"/>
                <w:sz w:val="14"/>
                <w:szCs w:val="14"/>
                <w:color w:val="auto"/>
              </w:rPr>
              <w:t>Hunter Pipeline, LLC)</w:t>
            </w:r>
          </w:p>
        </w:tc>
        <w:tc>
          <w:tcPr>
            <w:tcW w:w="1060" w:type="dxa"/>
            <w:vAlign w:val="bottom"/>
            <w:gridSpan w:val="2"/>
          </w:tcPr>
          <w:p>
            <w:pPr>
              <w:jc w:val="right"/>
              <w:ind w:right="360"/>
              <w:spacing w:after="0"/>
              <w:rPr>
                <w:sz w:val="20"/>
                <w:szCs w:val="20"/>
                <w:color w:val="auto"/>
              </w:rPr>
            </w:pPr>
            <w:r>
              <w:rPr>
                <w:rFonts w:ascii="Arial" w:cs="Arial" w:eastAsia="Arial" w:hAnsi="Arial"/>
                <w:sz w:val="14"/>
                <w:szCs w:val="14"/>
                <w:color w:val="auto"/>
                <w:w w:val="96"/>
              </w:rPr>
              <w:t>04/16/2016</w:t>
            </w:r>
          </w:p>
        </w:tc>
        <w:tc>
          <w:tcPr>
            <w:tcW w:w="1280" w:type="dxa"/>
            <w:vAlign w:val="bottom"/>
          </w:tcPr>
          <w:p>
            <w:pPr>
              <w:jc w:val="center"/>
              <w:spacing w:after="0"/>
              <w:rPr>
                <w:sz w:val="20"/>
                <w:szCs w:val="20"/>
                <w:color w:val="auto"/>
              </w:rPr>
            </w:pPr>
            <w:r>
              <w:rPr>
                <w:rFonts w:ascii="Arial" w:cs="Arial" w:eastAsia="Arial" w:hAnsi="Arial"/>
                <w:sz w:val="14"/>
                <w:szCs w:val="14"/>
                <w:color w:val="auto"/>
                <w:w w:val="94"/>
              </w:rPr>
              <w:t>Oil and Gas</w:t>
            </w:r>
          </w:p>
        </w:tc>
        <w:tc>
          <w:tcPr>
            <w:tcW w:w="200" w:type="dxa"/>
            <w:vAlign w:val="bottom"/>
          </w:tcPr>
          <w:p>
            <w:pPr>
              <w:spacing w:after="0"/>
              <w:rPr>
                <w:sz w:val="14"/>
                <w:szCs w:val="14"/>
                <w:color w:val="auto"/>
              </w:rPr>
            </w:pPr>
          </w:p>
        </w:tc>
        <w:tc>
          <w:tcPr>
            <w:tcW w:w="108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98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122,193</w:t>
            </w:r>
          </w:p>
        </w:tc>
        <w:tc>
          <w:tcPr>
            <w:tcW w:w="1080" w:type="dxa"/>
            <w:vAlign w:val="bottom"/>
            <w:gridSpan w:val="3"/>
          </w:tcPr>
          <w:p>
            <w:pPr>
              <w:jc w:val="right"/>
              <w:ind w:right="140"/>
              <w:spacing w:after="0"/>
              <w:rPr>
                <w:sz w:val="20"/>
                <w:szCs w:val="20"/>
                <w:color w:val="auto"/>
              </w:rPr>
            </w:pPr>
            <w:r>
              <w:rPr>
                <w:rFonts w:ascii="Arial" w:cs="Arial" w:eastAsia="Arial" w:hAnsi="Arial"/>
                <w:sz w:val="14"/>
                <w:szCs w:val="14"/>
                <w:color w:val="auto"/>
              </w:rPr>
              <w:t>182,499</w:t>
            </w:r>
          </w:p>
        </w:tc>
        <w:tc>
          <w:tcPr>
            <w:tcW w:w="1040" w:type="dxa"/>
            <w:vAlign w:val="bottom"/>
            <w:gridSpan w:val="3"/>
          </w:tcPr>
          <w:p>
            <w:pPr>
              <w:jc w:val="right"/>
              <w:ind w:right="80"/>
              <w:spacing w:after="0"/>
              <w:rPr>
                <w:sz w:val="20"/>
                <w:szCs w:val="20"/>
                <w:color w:val="auto"/>
              </w:rPr>
            </w:pPr>
            <w:r>
              <w:rPr>
                <w:rFonts w:ascii="Arial" w:cs="Arial" w:eastAsia="Arial" w:hAnsi="Arial"/>
                <w:sz w:val="14"/>
                <w:szCs w:val="14"/>
                <w:color w:val="auto"/>
              </w:rPr>
              <w:t>205,667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MidOcean JF Holdings Corp. (JF Acquisition, LLC)</w:t>
            </w:r>
          </w:p>
        </w:tc>
        <w:tc>
          <w:tcPr>
            <w:tcW w:w="1060" w:type="dxa"/>
            <w:vAlign w:val="bottom"/>
            <w:gridSpan w:val="2"/>
            <w:shd w:val="clear" w:color="auto" w:fill="CCEEFF"/>
          </w:tcPr>
          <w:p>
            <w:pPr>
              <w:jc w:val="center"/>
              <w:ind w:right="400"/>
              <w:spacing w:after="0" w:line="149" w:lineRule="exact"/>
              <w:rPr>
                <w:sz w:val="20"/>
                <w:szCs w:val="20"/>
                <w:color w:val="auto"/>
              </w:rPr>
            </w:pPr>
            <w:r>
              <w:rPr>
                <w:rFonts w:ascii="Arial" w:cs="Arial" w:eastAsia="Arial" w:hAnsi="Arial"/>
                <w:sz w:val="14"/>
                <w:szCs w:val="14"/>
                <w:color w:val="auto"/>
                <w:w w:val="99"/>
              </w:rPr>
              <w:t>—</w:t>
            </w:r>
          </w:p>
        </w:tc>
        <w:tc>
          <w:tcPr>
            <w:tcW w:w="12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Distribution</w:t>
            </w:r>
          </w:p>
        </w:tc>
        <w:tc>
          <w:tcPr>
            <w:tcW w:w="2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1,850</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1,850,294</w:t>
            </w:r>
          </w:p>
        </w:tc>
        <w:tc>
          <w:tcPr>
            <w:tcW w:w="14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1,845,784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840" w:type="dxa"/>
            <w:vAlign w:val="bottom"/>
            <w:gridSpan w:val="2"/>
          </w:tcPr>
          <w:p>
            <w:pPr>
              <w:spacing w:after="0" w:line="130" w:lineRule="exact"/>
              <w:rPr>
                <w:sz w:val="20"/>
                <w:szCs w:val="20"/>
                <w:color w:val="auto"/>
              </w:rPr>
            </w:pPr>
            <w:r>
              <w:rPr>
                <w:rFonts w:ascii="Arial" w:cs="Arial" w:eastAsia="Arial" w:hAnsi="Arial"/>
                <w:sz w:val="14"/>
                <w:szCs w:val="14"/>
                <w:color w:val="auto"/>
              </w:rPr>
              <w:t>MidOcean PPL Holdings, Corp. (Pre-Paid Legal Services,</w:t>
            </w: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80" w:type="dxa"/>
            <w:vAlign w:val="bottom"/>
          </w:tcPr>
          <w:p>
            <w:pPr>
              <w:jc w:val="center"/>
              <w:spacing w:after="0" w:line="130" w:lineRule="exact"/>
              <w:rPr>
                <w:sz w:val="20"/>
                <w:szCs w:val="20"/>
                <w:color w:val="auto"/>
              </w:rPr>
            </w:pPr>
            <w:r>
              <w:rPr>
                <w:rFonts w:ascii="Arial" w:cs="Arial" w:eastAsia="Arial" w:hAnsi="Arial"/>
                <w:sz w:val="14"/>
                <w:szCs w:val="14"/>
                <w:color w:val="auto"/>
                <w:w w:val="89"/>
              </w:rPr>
              <w:t>Personal, Food and</w:t>
            </w: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Inc.)</w:t>
            </w: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92"/>
              </w:rPr>
              <w:t>Miscellaneous</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4"/>
                <w:szCs w:val="14"/>
                <w:color w:val="auto"/>
                <w:w w:val="99"/>
              </w:rPr>
              <w:t>—</w:t>
            </w:r>
          </w:p>
        </w:tc>
        <w:tc>
          <w:tcPr>
            <w:tcW w:w="1280" w:type="dxa"/>
            <w:vAlign w:val="bottom"/>
          </w:tcPr>
          <w:p>
            <w:pPr>
              <w:jc w:val="center"/>
              <w:spacing w:after="0"/>
              <w:rPr>
                <w:sz w:val="20"/>
                <w:szCs w:val="20"/>
                <w:color w:val="auto"/>
              </w:rPr>
            </w:pPr>
            <w:r>
              <w:rPr>
                <w:rFonts w:ascii="Arial" w:cs="Arial" w:eastAsia="Arial" w:hAnsi="Arial"/>
                <w:sz w:val="14"/>
                <w:szCs w:val="14"/>
                <w:color w:val="auto"/>
                <w:w w:val="93"/>
              </w:rPr>
              <w:t>Services</w:t>
            </w:r>
          </w:p>
        </w:tc>
        <w:tc>
          <w:tcPr>
            <w:tcW w:w="200" w:type="dxa"/>
            <w:vAlign w:val="bottom"/>
          </w:tcPr>
          <w:p>
            <w:pPr>
              <w:spacing w:after="0"/>
              <w:rPr>
                <w:sz w:val="14"/>
                <w:szCs w:val="14"/>
                <w:color w:val="auto"/>
              </w:rPr>
            </w:pPr>
          </w:p>
        </w:tc>
        <w:tc>
          <w:tcPr>
            <w:tcW w:w="108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98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3,000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3,000,000</w:t>
            </w:r>
          </w:p>
        </w:tc>
        <w:tc>
          <w:tcPr>
            <w:tcW w:w="140" w:type="dxa"/>
            <w:vAlign w:val="bottom"/>
          </w:tcPr>
          <w:p>
            <w:pPr>
              <w:spacing w:after="0"/>
              <w:rPr>
                <w:sz w:val="14"/>
                <w:szCs w:val="14"/>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4"/>
                <w:szCs w:val="14"/>
                <w:color w:val="auto"/>
              </w:rPr>
              <w:t>5,441,976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8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Paradigm Acquisition Corp.</w:t>
            </w:r>
          </w:p>
        </w:tc>
        <w:tc>
          <w:tcPr>
            <w:tcW w:w="7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2"/>
              </w:rPr>
              <w:t>Healthcare, Education</w:t>
            </w: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0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center"/>
              <w:ind w:right="400"/>
              <w:spacing w:after="0"/>
              <w:rPr>
                <w:sz w:val="20"/>
                <w:szCs w:val="20"/>
                <w:color w:val="auto"/>
              </w:rPr>
            </w:pPr>
            <w:r>
              <w:rPr>
                <w:rFonts w:ascii="Arial" w:cs="Arial" w:eastAsia="Arial" w:hAnsi="Arial"/>
                <w:sz w:val="14"/>
                <w:szCs w:val="14"/>
                <w:color w:val="auto"/>
                <w:w w:val="99"/>
              </w:rPr>
              <w:t>—</w:t>
            </w: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and Childcare</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20,000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2,000,000</w:t>
            </w:r>
          </w:p>
        </w:tc>
        <w:tc>
          <w:tcPr>
            <w:tcW w:w="14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3,720,481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gridSpan w:val="2"/>
          </w:tcPr>
          <w:p>
            <w:pPr>
              <w:spacing w:after="0" w:line="149" w:lineRule="exact"/>
              <w:rPr>
                <w:sz w:val="20"/>
                <w:szCs w:val="20"/>
                <w:color w:val="auto"/>
              </w:rPr>
            </w:pPr>
            <w:r>
              <w:rPr>
                <w:rFonts w:ascii="Arial" w:cs="Arial" w:eastAsia="Arial" w:hAnsi="Arial"/>
                <w:sz w:val="14"/>
                <w:szCs w:val="14"/>
                <w:color w:val="auto"/>
              </w:rPr>
              <w:t>QMG HoldCo, LLC, Class A (Questex Media Group, LLC)</w:t>
            </w:r>
          </w:p>
        </w:tc>
        <w:tc>
          <w:tcPr>
            <w:tcW w:w="106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9"/>
              </w:rPr>
              <w:t>—</w:t>
            </w: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96"/>
              </w:rPr>
              <w:t>Other Media</w:t>
            </w:r>
          </w:p>
        </w:tc>
        <w:tc>
          <w:tcPr>
            <w:tcW w:w="200" w:type="dxa"/>
            <w:vAlign w:val="bottom"/>
          </w:tcPr>
          <w:p>
            <w:pPr>
              <w:spacing w:after="0"/>
              <w:rPr>
                <w:sz w:val="12"/>
                <w:szCs w:val="12"/>
                <w:color w:val="auto"/>
              </w:rPr>
            </w:pPr>
          </w:p>
        </w:tc>
        <w:tc>
          <w:tcPr>
            <w:tcW w:w="10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4,325</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1,306,167</w:t>
            </w:r>
          </w:p>
        </w:tc>
        <w:tc>
          <w:tcPr>
            <w:tcW w:w="140" w:type="dxa"/>
            <w:vAlign w:val="bottom"/>
          </w:tcPr>
          <w:p>
            <w:pPr>
              <w:spacing w:after="0"/>
              <w:rPr>
                <w:sz w:val="12"/>
                <w:szCs w:val="12"/>
                <w:color w:val="auto"/>
              </w:rPr>
            </w:pPr>
          </w:p>
        </w:tc>
        <w:tc>
          <w:tcPr>
            <w:tcW w:w="10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2,073,419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QMG HoldCo, LLC, Class B (Questex Media Group, LLC)</w:t>
            </w:r>
          </w:p>
        </w:tc>
        <w:tc>
          <w:tcPr>
            <w:tcW w:w="1060" w:type="dxa"/>
            <w:vAlign w:val="bottom"/>
            <w:gridSpan w:val="2"/>
            <w:shd w:val="clear" w:color="auto" w:fill="CCEEFF"/>
          </w:tcPr>
          <w:p>
            <w:pPr>
              <w:jc w:val="center"/>
              <w:ind w:right="400"/>
              <w:spacing w:after="0" w:line="149" w:lineRule="exact"/>
              <w:rPr>
                <w:sz w:val="20"/>
                <w:szCs w:val="20"/>
                <w:color w:val="auto"/>
              </w:rPr>
            </w:pPr>
            <w:r>
              <w:rPr>
                <w:rFonts w:ascii="Arial" w:cs="Arial" w:eastAsia="Arial" w:hAnsi="Arial"/>
                <w:sz w:val="14"/>
                <w:szCs w:val="14"/>
                <w:color w:val="auto"/>
                <w:w w:val="99"/>
              </w:rPr>
              <w:t>—</w:t>
            </w:r>
          </w:p>
        </w:tc>
        <w:tc>
          <w:tcPr>
            <w:tcW w:w="12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Other Media</w:t>
            </w:r>
          </w:p>
        </w:tc>
        <w:tc>
          <w:tcPr>
            <w:tcW w:w="2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531</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254,563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840" w:type="dxa"/>
            <w:vAlign w:val="bottom"/>
            <w:gridSpan w:val="2"/>
          </w:tcPr>
          <w:p>
            <w:pPr>
              <w:spacing w:after="0" w:line="130" w:lineRule="exact"/>
              <w:rPr>
                <w:sz w:val="20"/>
                <w:szCs w:val="20"/>
                <w:color w:val="auto"/>
              </w:rPr>
            </w:pPr>
            <w:r>
              <w:rPr>
                <w:rFonts w:ascii="Arial" w:cs="Arial" w:eastAsia="Arial" w:hAnsi="Arial"/>
                <w:sz w:val="14"/>
                <w:szCs w:val="14"/>
                <w:color w:val="auto"/>
              </w:rPr>
              <w:t>SPG Boyd Holdings Corp. (LTI Flexible Products, Inc.)</w:t>
            </w: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80" w:type="dxa"/>
            <w:vAlign w:val="bottom"/>
          </w:tcPr>
          <w:p>
            <w:pPr>
              <w:jc w:val="center"/>
              <w:spacing w:after="0" w:line="130" w:lineRule="exact"/>
              <w:rPr>
                <w:sz w:val="20"/>
                <w:szCs w:val="20"/>
                <w:color w:val="auto"/>
              </w:rPr>
            </w:pPr>
            <w:r>
              <w:rPr>
                <w:rFonts w:ascii="Arial" w:cs="Arial" w:eastAsia="Arial" w:hAnsi="Arial"/>
                <w:sz w:val="14"/>
                <w:szCs w:val="14"/>
                <w:color w:val="auto"/>
                <w:w w:val="93"/>
              </w:rPr>
              <w:t>Chemical, Plastic and</w:t>
            </w: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4"/>
                <w:szCs w:val="14"/>
                <w:color w:val="auto"/>
                <w:w w:val="99"/>
              </w:rPr>
              <w:t>—</w:t>
            </w:r>
          </w:p>
        </w:tc>
        <w:tc>
          <w:tcPr>
            <w:tcW w:w="1280" w:type="dxa"/>
            <w:vAlign w:val="bottom"/>
          </w:tcPr>
          <w:p>
            <w:pPr>
              <w:jc w:val="center"/>
              <w:spacing w:after="0"/>
              <w:rPr>
                <w:sz w:val="20"/>
                <w:szCs w:val="20"/>
                <w:color w:val="auto"/>
              </w:rPr>
            </w:pPr>
            <w:r>
              <w:rPr>
                <w:rFonts w:ascii="Arial" w:cs="Arial" w:eastAsia="Arial" w:hAnsi="Arial"/>
                <w:sz w:val="14"/>
                <w:szCs w:val="14"/>
                <w:color w:val="auto"/>
                <w:w w:val="91"/>
              </w:rPr>
              <w:t>Rubber</w:t>
            </w:r>
          </w:p>
        </w:tc>
        <w:tc>
          <w:tcPr>
            <w:tcW w:w="200" w:type="dxa"/>
            <w:vAlign w:val="bottom"/>
          </w:tcPr>
          <w:p>
            <w:pPr>
              <w:spacing w:after="0"/>
              <w:rPr>
                <w:sz w:val="14"/>
                <w:szCs w:val="14"/>
                <w:color w:val="auto"/>
              </w:rPr>
            </w:pPr>
          </w:p>
        </w:tc>
        <w:tc>
          <w:tcPr>
            <w:tcW w:w="108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98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300,000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3,000,000</w:t>
            </w:r>
          </w:p>
        </w:tc>
        <w:tc>
          <w:tcPr>
            <w:tcW w:w="140" w:type="dxa"/>
            <w:vAlign w:val="bottom"/>
          </w:tcPr>
          <w:p>
            <w:pPr>
              <w:spacing w:after="0"/>
              <w:rPr>
                <w:sz w:val="14"/>
                <w:szCs w:val="14"/>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4"/>
                <w:szCs w:val="14"/>
                <w:color w:val="auto"/>
              </w:rPr>
              <w:t>5,571,120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TRAK Acquisition Corp. (Warrants)</w:t>
            </w:r>
          </w:p>
        </w:tc>
        <w:tc>
          <w:tcPr>
            <w:tcW w:w="10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w w:val="96"/>
              </w:rPr>
              <w:t>12/29/2019</w:t>
            </w:r>
          </w:p>
        </w:tc>
        <w:tc>
          <w:tcPr>
            <w:tcW w:w="12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Business Services</w:t>
            </w:r>
          </w:p>
        </w:tc>
        <w:tc>
          <w:tcPr>
            <w:tcW w:w="2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3,500</w:t>
            </w:r>
          </w:p>
        </w:tc>
        <w:tc>
          <w:tcPr>
            <w:tcW w:w="10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29,400</w:t>
            </w:r>
          </w:p>
        </w:tc>
        <w:tc>
          <w:tcPr>
            <w:tcW w:w="10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606,681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840" w:type="dxa"/>
            <w:vAlign w:val="bottom"/>
            <w:gridSpan w:val="2"/>
          </w:tcPr>
          <w:p>
            <w:pPr>
              <w:spacing w:after="0" w:line="130" w:lineRule="exact"/>
              <w:rPr>
                <w:sz w:val="20"/>
                <w:szCs w:val="20"/>
                <w:color w:val="auto"/>
              </w:rPr>
            </w:pPr>
            <w:r>
              <w:rPr>
                <w:rFonts w:ascii="Arial" w:cs="Arial" w:eastAsia="Arial" w:hAnsi="Arial"/>
                <w:sz w:val="14"/>
                <w:szCs w:val="14"/>
                <w:color w:val="auto"/>
              </w:rPr>
              <w:t>Transportation 100 Holdco, L.L.C.</w:t>
            </w:r>
            <w:r>
              <w:rPr>
                <w:rFonts w:ascii="Arial" w:cs="Arial" w:eastAsia="Arial" w:hAnsi="Arial"/>
                <w:sz w:val="12"/>
                <w:szCs w:val="12"/>
                <w:color w:val="auto"/>
              </w:rPr>
              <w:t>(13)</w:t>
            </w:r>
            <w:r>
              <w:rPr>
                <w:rFonts w:ascii="Arial" w:cs="Arial" w:eastAsia="Arial" w:hAnsi="Arial"/>
                <w:sz w:val="14"/>
                <w:szCs w:val="14"/>
                <w:color w:val="auto"/>
              </w:rPr>
              <w:t xml:space="preserve"> (Intermediate</w:t>
            </w: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40" w:type="dxa"/>
            <w:vAlign w:val="bottom"/>
            <w:gridSpan w:val="2"/>
          </w:tcPr>
          <w:p>
            <w:pPr>
              <w:ind w:left="140"/>
              <w:spacing w:after="0"/>
              <w:rPr>
                <w:sz w:val="20"/>
                <w:szCs w:val="20"/>
                <w:color w:val="auto"/>
              </w:rPr>
            </w:pPr>
            <w:r>
              <w:rPr>
                <w:rFonts w:ascii="Arial" w:cs="Arial" w:eastAsia="Arial" w:hAnsi="Arial"/>
                <w:sz w:val="14"/>
                <w:szCs w:val="14"/>
                <w:color w:val="auto"/>
              </w:rPr>
              <w:t>Transportation 100, L.L.C.)</w:t>
            </w:r>
          </w:p>
        </w:tc>
        <w:tc>
          <w:tcPr>
            <w:tcW w:w="1060" w:type="dxa"/>
            <w:vAlign w:val="bottom"/>
            <w:gridSpan w:val="2"/>
          </w:tcPr>
          <w:p>
            <w:pPr>
              <w:jc w:val="center"/>
              <w:ind w:right="400"/>
              <w:spacing w:after="0"/>
              <w:rPr>
                <w:sz w:val="20"/>
                <w:szCs w:val="20"/>
                <w:color w:val="auto"/>
              </w:rPr>
            </w:pPr>
            <w:r>
              <w:rPr>
                <w:rFonts w:ascii="Arial" w:cs="Arial" w:eastAsia="Arial" w:hAnsi="Arial"/>
                <w:sz w:val="14"/>
                <w:szCs w:val="14"/>
                <w:color w:val="auto"/>
                <w:w w:val="99"/>
              </w:rPr>
              <w:t>—</w:t>
            </w:r>
          </w:p>
        </w:tc>
        <w:tc>
          <w:tcPr>
            <w:tcW w:w="1280" w:type="dxa"/>
            <w:vAlign w:val="bottom"/>
          </w:tcPr>
          <w:p>
            <w:pPr>
              <w:jc w:val="center"/>
              <w:spacing w:after="0"/>
              <w:rPr>
                <w:sz w:val="20"/>
                <w:szCs w:val="20"/>
                <w:color w:val="auto"/>
              </w:rPr>
            </w:pPr>
            <w:r>
              <w:rPr>
                <w:rFonts w:ascii="Arial" w:cs="Arial" w:eastAsia="Arial" w:hAnsi="Arial"/>
                <w:sz w:val="14"/>
                <w:szCs w:val="14"/>
                <w:color w:val="auto"/>
                <w:w w:val="92"/>
              </w:rPr>
              <w:t>Cargo Transport</w:t>
            </w:r>
          </w:p>
        </w:tc>
        <w:tc>
          <w:tcPr>
            <w:tcW w:w="200" w:type="dxa"/>
            <w:vAlign w:val="bottom"/>
          </w:tcPr>
          <w:p>
            <w:pPr>
              <w:spacing w:after="0"/>
              <w:rPr>
                <w:sz w:val="14"/>
                <w:szCs w:val="14"/>
                <w:color w:val="auto"/>
              </w:rPr>
            </w:pPr>
          </w:p>
        </w:tc>
        <w:tc>
          <w:tcPr>
            <w:tcW w:w="108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98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137,923</w:t>
            </w:r>
          </w:p>
        </w:tc>
        <w:tc>
          <w:tcPr>
            <w:tcW w:w="1080" w:type="dxa"/>
            <w:vAlign w:val="bottom"/>
            <w:gridSpan w:val="3"/>
          </w:tcPr>
          <w:p>
            <w:pPr>
              <w:jc w:val="right"/>
              <w:ind w:right="140"/>
              <w:spacing w:after="0"/>
              <w:rPr>
                <w:sz w:val="20"/>
                <w:szCs w:val="20"/>
                <w:color w:val="auto"/>
              </w:rPr>
            </w:pPr>
            <w:r>
              <w:rPr>
                <w:rFonts w:ascii="Arial" w:cs="Arial" w:eastAsia="Arial" w:hAnsi="Arial"/>
                <w:sz w:val="14"/>
                <w:szCs w:val="14"/>
                <w:color w:val="auto"/>
              </w:rPr>
              <w:t>2,111,588</w:t>
            </w:r>
          </w:p>
        </w:tc>
        <w:tc>
          <w:tcPr>
            <w:tcW w:w="1040" w:type="dxa"/>
            <w:vAlign w:val="bottom"/>
            <w:gridSpan w:val="3"/>
          </w:tcPr>
          <w:p>
            <w:pPr>
              <w:jc w:val="right"/>
              <w:ind w:right="80"/>
              <w:spacing w:after="0"/>
              <w:rPr>
                <w:sz w:val="20"/>
                <w:szCs w:val="20"/>
                <w:color w:val="auto"/>
              </w:rPr>
            </w:pPr>
            <w:r>
              <w:rPr>
                <w:rFonts w:ascii="Arial" w:cs="Arial" w:eastAsia="Arial" w:hAnsi="Arial"/>
                <w:sz w:val="14"/>
                <w:szCs w:val="14"/>
                <w:color w:val="auto"/>
              </w:rPr>
              <w:t>379,453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TZ Holdings, L.P.</w:t>
            </w:r>
          </w:p>
        </w:tc>
        <w:tc>
          <w:tcPr>
            <w:tcW w:w="1060" w:type="dxa"/>
            <w:vAlign w:val="bottom"/>
            <w:gridSpan w:val="2"/>
            <w:shd w:val="clear" w:color="auto" w:fill="CCEEFF"/>
          </w:tcPr>
          <w:p>
            <w:pPr>
              <w:jc w:val="center"/>
              <w:ind w:right="400"/>
              <w:spacing w:after="0" w:line="149" w:lineRule="exact"/>
              <w:rPr>
                <w:sz w:val="20"/>
                <w:szCs w:val="20"/>
                <w:color w:val="auto"/>
              </w:rPr>
            </w:pPr>
            <w:r>
              <w:rPr>
                <w:rFonts w:ascii="Arial" w:cs="Arial" w:eastAsia="Arial" w:hAnsi="Arial"/>
                <w:sz w:val="14"/>
                <w:szCs w:val="14"/>
                <w:color w:val="auto"/>
                <w:w w:val="99"/>
              </w:rPr>
              <w:t>—</w:t>
            </w:r>
          </w:p>
        </w:tc>
        <w:tc>
          <w:tcPr>
            <w:tcW w:w="12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Insurance</w:t>
            </w:r>
          </w:p>
        </w:tc>
        <w:tc>
          <w:tcPr>
            <w:tcW w:w="2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w:t>
            </w:r>
          </w:p>
        </w:tc>
        <w:tc>
          <w:tcPr>
            <w:tcW w:w="10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9,567</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840" w:type="dxa"/>
            <w:vAlign w:val="bottom"/>
            <w:gridSpan w:val="2"/>
          </w:tcPr>
          <w:p>
            <w:pPr>
              <w:spacing w:after="0" w:line="130" w:lineRule="exact"/>
              <w:rPr>
                <w:sz w:val="20"/>
                <w:szCs w:val="20"/>
                <w:color w:val="auto"/>
              </w:rPr>
            </w:pPr>
            <w:r>
              <w:rPr>
                <w:rFonts w:ascii="Arial" w:cs="Arial" w:eastAsia="Arial" w:hAnsi="Arial"/>
                <w:sz w:val="14"/>
                <w:szCs w:val="14"/>
                <w:color w:val="auto"/>
              </w:rPr>
              <w:t>Vestcom Parent Holdings, Inc. (Vestcom International, Inc.)</w:t>
            </w: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80" w:type="dxa"/>
            <w:vAlign w:val="bottom"/>
          </w:tcPr>
          <w:p>
            <w:pPr>
              <w:jc w:val="center"/>
              <w:spacing w:after="0" w:line="130" w:lineRule="exact"/>
              <w:rPr>
                <w:sz w:val="20"/>
                <w:szCs w:val="20"/>
                <w:color w:val="auto"/>
              </w:rPr>
            </w:pPr>
            <w:r>
              <w:rPr>
                <w:rFonts w:ascii="Arial" w:cs="Arial" w:eastAsia="Arial" w:hAnsi="Arial"/>
                <w:sz w:val="14"/>
                <w:szCs w:val="14"/>
                <w:color w:val="auto"/>
                <w:w w:val="93"/>
              </w:rPr>
              <w:t>Printing and</w:t>
            </w: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4"/>
                <w:szCs w:val="14"/>
                <w:color w:val="auto"/>
                <w:w w:val="99"/>
              </w:rPr>
              <w:t>—</w:t>
            </w:r>
          </w:p>
        </w:tc>
        <w:tc>
          <w:tcPr>
            <w:tcW w:w="1280" w:type="dxa"/>
            <w:vAlign w:val="bottom"/>
          </w:tcPr>
          <w:p>
            <w:pPr>
              <w:jc w:val="center"/>
              <w:spacing w:after="0"/>
              <w:rPr>
                <w:sz w:val="20"/>
                <w:szCs w:val="20"/>
                <w:color w:val="auto"/>
              </w:rPr>
            </w:pPr>
            <w:r>
              <w:rPr>
                <w:rFonts w:ascii="Arial" w:cs="Arial" w:eastAsia="Arial" w:hAnsi="Arial"/>
                <w:sz w:val="14"/>
                <w:szCs w:val="14"/>
                <w:color w:val="auto"/>
                <w:w w:val="95"/>
              </w:rPr>
              <w:t>Publishing</w:t>
            </w:r>
          </w:p>
        </w:tc>
        <w:tc>
          <w:tcPr>
            <w:tcW w:w="200" w:type="dxa"/>
            <w:vAlign w:val="bottom"/>
          </w:tcPr>
          <w:p>
            <w:pPr>
              <w:spacing w:after="0"/>
              <w:rPr>
                <w:sz w:val="14"/>
                <w:szCs w:val="14"/>
                <w:color w:val="auto"/>
              </w:rPr>
            </w:pPr>
          </w:p>
        </w:tc>
        <w:tc>
          <w:tcPr>
            <w:tcW w:w="108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98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211,797</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2,325,555</w:t>
            </w:r>
          </w:p>
        </w:tc>
        <w:tc>
          <w:tcPr>
            <w:tcW w:w="140" w:type="dxa"/>
            <w:vAlign w:val="bottom"/>
          </w:tcPr>
          <w:p>
            <w:pPr>
              <w:spacing w:after="0"/>
              <w:rPr>
                <w:sz w:val="14"/>
                <w:szCs w:val="14"/>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4"/>
                <w:szCs w:val="14"/>
                <w:color w:val="auto"/>
              </w:rPr>
              <w:t>2,626,512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8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VRide Holdings Inc.</w:t>
            </w:r>
          </w:p>
        </w:tc>
        <w:tc>
          <w:tcPr>
            <w:tcW w:w="7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0"/>
              </w:rPr>
              <w:t>Personal</w:t>
            </w: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0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center"/>
              <w:ind w:right="400"/>
              <w:spacing w:after="0"/>
              <w:rPr>
                <w:sz w:val="20"/>
                <w:szCs w:val="20"/>
                <w:color w:val="auto"/>
              </w:rPr>
            </w:pPr>
            <w:r>
              <w:rPr>
                <w:rFonts w:ascii="Arial" w:cs="Arial" w:eastAsia="Arial" w:hAnsi="Arial"/>
                <w:sz w:val="14"/>
                <w:szCs w:val="14"/>
                <w:color w:val="auto"/>
                <w:w w:val="99"/>
              </w:rPr>
              <w:t>—</w:t>
            </w: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Transportation</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9,166</w:t>
            </w: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9,166</w:t>
            </w: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40" w:type="dxa"/>
            <w:vAlign w:val="bottom"/>
            <w:gridSpan w:val="2"/>
          </w:tcPr>
          <w:p>
            <w:pPr>
              <w:spacing w:after="0" w:line="149" w:lineRule="exact"/>
              <w:rPr>
                <w:sz w:val="20"/>
                <w:szCs w:val="20"/>
                <w:color w:val="auto"/>
              </w:rPr>
            </w:pPr>
            <w:r>
              <w:rPr>
                <w:rFonts w:ascii="Arial" w:cs="Arial" w:eastAsia="Arial" w:hAnsi="Arial"/>
                <w:sz w:val="14"/>
                <w:szCs w:val="14"/>
                <w:color w:val="auto"/>
              </w:rPr>
              <w:t>VText Holdings, Inc.</w:t>
            </w:r>
          </w:p>
        </w:tc>
        <w:tc>
          <w:tcPr>
            <w:tcW w:w="106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9"/>
              </w:rPr>
              <w:t>—</w:t>
            </w: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89"/>
              </w:rPr>
              <w:t>Business Services</w:t>
            </w:r>
          </w:p>
        </w:tc>
        <w:tc>
          <w:tcPr>
            <w:tcW w:w="200" w:type="dxa"/>
            <w:vAlign w:val="bottom"/>
          </w:tcPr>
          <w:p>
            <w:pPr>
              <w:spacing w:after="0"/>
              <w:rPr>
                <w:sz w:val="13"/>
                <w:szCs w:val="13"/>
                <w:color w:val="auto"/>
              </w:rPr>
            </w:pPr>
          </w:p>
        </w:tc>
        <w:tc>
          <w:tcPr>
            <w:tcW w:w="10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35,526</w:t>
            </w:r>
          </w:p>
        </w:tc>
        <w:tc>
          <w:tcPr>
            <w:tcW w:w="140" w:type="dxa"/>
            <w:vAlign w:val="bottom"/>
          </w:tcPr>
          <w:p>
            <w:pPr>
              <w:spacing w:after="0"/>
              <w:rPr>
                <w:sz w:val="13"/>
                <w:szCs w:val="13"/>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4,050,000</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5,966,074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Common Equity/Warrants/Partnership Interests</w:t>
            </w: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37,557,162</w:t>
            </w:r>
          </w:p>
        </w:tc>
        <w:tc>
          <w:tcPr>
            <w:tcW w:w="14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70,472,831</w:t>
            </w:r>
          </w:p>
        </w:tc>
        <w:tc>
          <w:tcPr>
            <w:tcW w:w="0" w:type="dxa"/>
            <w:vAlign w:val="bottom"/>
          </w:tcPr>
          <w:p>
            <w:pPr>
              <w:spacing w:after="0"/>
              <w:rPr>
                <w:sz w:val="1"/>
                <w:szCs w:val="1"/>
                <w:color w:val="auto"/>
              </w:rPr>
            </w:pPr>
          </w:p>
        </w:tc>
      </w:tr>
      <w:tr>
        <w:trPr>
          <w:trHeight w:val="163"/>
        </w:trPr>
        <w:tc>
          <w:tcPr>
            <w:tcW w:w="4920" w:type="dxa"/>
            <w:vAlign w:val="bottom"/>
            <w:gridSpan w:val="5"/>
          </w:tcPr>
          <w:p>
            <w:pPr>
              <w:spacing w:after="0" w:line="155" w:lineRule="exact"/>
              <w:rPr>
                <w:sz w:val="20"/>
                <w:szCs w:val="20"/>
                <w:color w:val="auto"/>
              </w:rPr>
            </w:pPr>
            <w:r>
              <w:rPr>
                <w:rFonts w:ascii="Arial" w:cs="Arial" w:eastAsia="Arial" w:hAnsi="Arial"/>
                <w:sz w:val="14"/>
                <w:szCs w:val="14"/>
                <w:b w:val="1"/>
                <w:bCs w:val="1"/>
                <w:color w:val="auto"/>
              </w:rPr>
              <w:t>Total Investments in Non-Controlled, Non-Affiliated Portfolio Companies</w:t>
            </w: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928,078,589</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968,471,042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7"/>
              </w:rPr>
              <w:t>Investments in Non-Controlled, Affiliated Portfolio Companies—11.0%</w:t>
            </w:r>
            <w:r>
              <w:rPr>
                <w:rFonts w:ascii="Arial" w:cs="Arial" w:eastAsia="Arial" w:hAnsi="Arial"/>
                <w:sz w:val="12"/>
                <w:szCs w:val="12"/>
                <w:b w:val="1"/>
                <w:bCs w:val="1"/>
                <w:color w:val="auto"/>
                <w:w w:val="97"/>
              </w:rPr>
              <w:t>(1),(2)</w:t>
            </w:r>
          </w:p>
        </w:tc>
        <w:tc>
          <w:tcPr>
            <w:tcW w:w="1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Subordinated Debt/Corporate Notes—5.7%</w:t>
            </w: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8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DirectBuy Holdings, Inc.</w:t>
            </w:r>
          </w:p>
        </w:tc>
        <w:tc>
          <w:tcPr>
            <w:tcW w:w="7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280" w:type="dxa"/>
            <w:vAlign w:val="bottom"/>
            <w:gridSpan w:val="3"/>
            <w:shd w:val="clear" w:color="auto" w:fill="CCEEFF"/>
          </w:tcPr>
          <w:p>
            <w:pPr>
              <w:ind w:left="480"/>
              <w:spacing w:after="0" w:line="130" w:lineRule="exact"/>
              <w:rPr>
                <w:sz w:val="20"/>
                <w:szCs w:val="20"/>
                <w:color w:val="auto"/>
              </w:rPr>
            </w:pPr>
            <w:r>
              <w:rPr>
                <w:rFonts w:ascii="Arial" w:cs="Arial" w:eastAsia="Arial" w:hAnsi="Arial"/>
                <w:sz w:val="14"/>
                <w:szCs w:val="14"/>
                <w:color w:val="auto"/>
              </w:rPr>
              <w:t>12.00%</w:t>
            </w:r>
          </w:p>
        </w:tc>
        <w:tc>
          <w:tcPr>
            <w:tcW w:w="7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0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w w:val="96"/>
              </w:rPr>
              <w:t>11/05/2019</w:t>
            </w: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Consumer Products</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(PIK 12.00)%</w:t>
            </w:r>
          </w:p>
        </w:tc>
        <w:tc>
          <w:tcPr>
            <w:tcW w:w="98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6"/>
              </w:rPr>
              <w:t>11,428,224</w:t>
            </w: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  11,428,224</w:t>
            </w: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  11,428,224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40" w:type="dxa"/>
            <w:vAlign w:val="bottom"/>
            <w:gridSpan w:val="2"/>
          </w:tcPr>
          <w:p>
            <w:pPr>
              <w:spacing w:after="0" w:line="149" w:lineRule="exact"/>
              <w:rPr>
                <w:sz w:val="20"/>
                <w:szCs w:val="20"/>
                <w:color w:val="auto"/>
              </w:rPr>
            </w:pPr>
            <w:r>
              <w:rPr>
                <w:rFonts w:ascii="Arial" w:cs="Arial" w:eastAsia="Arial" w:hAnsi="Arial"/>
                <w:sz w:val="14"/>
                <w:szCs w:val="14"/>
                <w:color w:val="auto"/>
              </w:rPr>
              <w:t>Service Champ, Inc.</w:t>
            </w:r>
          </w:p>
        </w:tc>
        <w:tc>
          <w:tcPr>
            <w:tcW w:w="10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w w:val="96"/>
              </w:rPr>
              <w:t>10/02/2017</w:t>
            </w: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95"/>
              </w:rPr>
              <w:t>Auto Sector</w:t>
            </w:r>
          </w:p>
        </w:tc>
        <w:tc>
          <w:tcPr>
            <w:tcW w:w="1280" w:type="dxa"/>
            <w:vAlign w:val="bottom"/>
            <w:gridSpan w:val="3"/>
          </w:tcPr>
          <w:p>
            <w:pPr>
              <w:ind w:left="480"/>
              <w:spacing w:after="0" w:line="149" w:lineRule="exact"/>
              <w:rPr>
                <w:sz w:val="20"/>
                <w:szCs w:val="20"/>
                <w:color w:val="auto"/>
              </w:rPr>
            </w:pPr>
            <w:r>
              <w:rPr>
                <w:rFonts w:ascii="Arial" w:cs="Arial" w:eastAsia="Arial" w:hAnsi="Arial"/>
                <w:sz w:val="14"/>
                <w:szCs w:val="14"/>
                <w:color w:val="auto"/>
              </w:rPr>
              <w:t>12.50%</w:t>
            </w:r>
          </w:p>
        </w:tc>
        <w:tc>
          <w:tcPr>
            <w:tcW w:w="98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6"/>
              </w:rPr>
              <w:t>28,000,000</w:t>
            </w:r>
          </w:p>
        </w:tc>
        <w:tc>
          <w:tcPr>
            <w:tcW w:w="140" w:type="dxa"/>
            <w:vAlign w:val="bottom"/>
          </w:tcPr>
          <w:p>
            <w:pPr>
              <w:spacing w:after="0"/>
              <w:rPr>
                <w:sz w:val="13"/>
                <w:szCs w:val="13"/>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27,474,713</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28,248,043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Subordinated Debt/Corporate Notes</w:t>
            </w: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38,902,937</w:t>
            </w:r>
          </w:p>
        </w:tc>
        <w:tc>
          <w:tcPr>
            <w:tcW w:w="14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39,676,267</w:t>
            </w:r>
          </w:p>
        </w:tc>
        <w:tc>
          <w:tcPr>
            <w:tcW w:w="0" w:type="dxa"/>
            <w:vAlign w:val="bottom"/>
          </w:tcPr>
          <w:p>
            <w:pPr>
              <w:spacing w:after="0"/>
              <w:rPr>
                <w:sz w:val="1"/>
                <w:szCs w:val="1"/>
                <w:color w:val="auto"/>
              </w:rPr>
            </w:pPr>
          </w:p>
        </w:tc>
      </w:tr>
      <w:tr>
        <w:trPr>
          <w:trHeight w:val="156"/>
        </w:trPr>
        <w:tc>
          <w:tcPr>
            <w:tcW w:w="38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Preferred Equity – 0.2%</w:t>
            </w:r>
            <w:r>
              <w:rPr>
                <w:rFonts w:ascii="Arial" w:cs="Arial" w:eastAsia="Arial" w:hAnsi="Arial"/>
                <w:sz w:val="12"/>
                <w:szCs w:val="12"/>
                <w:b w:val="1"/>
                <w:bCs w:val="1"/>
                <w:color w:val="auto"/>
              </w:rPr>
              <w:t>(6)</w:t>
            </w: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8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PAS International Holdings, Inc.</w:t>
            </w:r>
          </w:p>
        </w:tc>
        <w:tc>
          <w:tcPr>
            <w:tcW w:w="7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1"/>
              </w:rPr>
              <w:t>Aerospace and</w:t>
            </w: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0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center"/>
              <w:ind w:right="400"/>
              <w:spacing w:after="0"/>
              <w:rPr>
                <w:sz w:val="20"/>
                <w:szCs w:val="20"/>
                <w:color w:val="auto"/>
              </w:rPr>
            </w:pPr>
            <w:r>
              <w:rPr>
                <w:rFonts w:ascii="Arial" w:cs="Arial" w:eastAsia="Arial" w:hAnsi="Arial"/>
                <w:sz w:val="14"/>
                <w:szCs w:val="14"/>
                <w:color w:val="auto"/>
                <w:w w:val="99"/>
              </w:rPr>
              <w:t>—</w:t>
            </w: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Defense</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53,071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20,059,340</w:t>
            </w:r>
          </w:p>
        </w:tc>
        <w:tc>
          <w:tcPr>
            <w:tcW w:w="14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1,694,296</w:t>
            </w:r>
          </w:p>
        </w:tc>
        <w:tc>
          <w:tcPr>
            <w:tcW w:w="0" w:type="dxa"/>
            <w:vAlign w:val="bottom"/>
          </w:tcPr>
          <w:p>
            <w:pPr>
              <w:spacing w:after="0"/>
              <w:rPr>
                <w:sz w:val="1"/>
                <w:szCs w:val="1"/>
                <w:color w:val="auto"/>
              </w:rPr>
            </w:pPr>
          </w:p>
        </w:tc>
      </w:tr>
      <w:tr>
        <w:trPr>
          <w:trHeight w:val="156"/>
        </w:trPr>
        <w:tc>
          <w:tcPr>
            <w:tcW w:w="38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Common Equity/Partnership Interest—5.1%</w:t>
            </w:r>
            <w:r>
              <w:rPr>
                <w:rFonts w:ascii="Arial" w:cs="Arial" w:eastAsia="Arial" w:hAnsi="Arial"/>
                <w:sz w:val="12"/>
                <w:szCs w:val="12"/>
                <w:b w:val="1"/>
                <w:bCs w:val="1"/>
                <w:color w:val="auto"/>
              </w:rPr>
              <w:t>(6)</w:t>
            </w: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DirectBuy Holdings, Inc.</w:t>
            </w:r>
          </w:p>
        </w:tc>
        <w:tc>
          <w:tcPr>
            <w:tcW w:w="1060" w:type="dxa"/>
            <w:vAlign w:val="bottom"/>
            <w:gridSpan w:val="2"/>
            <w:shd w:val="clear" w:color="auto" w:fill="CCEEFF"/>
          </w:tcPr>
          <w:p>
            <w:pPr>
              <w:jc w:val="center"/>
              <w:ind w:right="400"/>
              <w:spacing w:after="0" w:line="149" w:lineRule="exact"/>
              <w:rPr>
                <w:sz w:val="20"/>
                <w:szCs w:val="20"/>
                <w:color w:val="auto"/>
              </w:rPr>
            </w:pPr>
            <w:r>
              <w:rPr>
                <w:rFonts w:ascii="Arial" w:cs="Arial" w:eastAsia="Arial" w:hAnsi="Arial"/>
                <w:sz w:val="14"/>
                <w:szCs w:val="14"/>
                <w:color w:val="auto"/>
                <w:w w:val="99"/>
              </w:rPr>
              <w:t>—</w:t>
            </w:r>
          </w:p>
        </w:tc>
        <w:tc>
          <w:tcPr>
            <w:tcW w:w="12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Consumer Products</w:t>
            </w:r>
          </w:p>
        </w:tc>
        <w:tc>
          <w:tcPr>
            <w:tcW w:w="2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104,719</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21,492,822</w:t>
            </w:r>
          </w:p>
        </w:tc>
        <w:tc>
          <w:tcPr>
            <w:tcW w:w="14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5,556,207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gridSpan w:val="2"/>
          </w:tcPr>
          <w:p>
            <w:pPr>
              <w:spacing w:after="0" w:line="149" w:lineRule="exact"/>
              <w:rPr>
                <w:sz w:val="20"/>
                <w:szCs w:val="20"/>
                <w:color w:val="auto"/>
              </w:rPr>
            </w:pPr>
            <w:r>
              <w:rPr>
                <w:rFonts w:ascii="Arial" w:cs="Arial" w:eastAsia="Arial" w:hAnsi="Arial"/>
                <w:sz w:val="14"/>
                <w:szCs w:val="14"/>
                <w:color w:val="auto"/>
              </w:rPr>
              <w:t>DirectBuy Holdings, Inc. (Warrants)</w:t>
            </w:r>
          </w:p>
        </w:tc>
        <w:tc>
          <w:tcPr>
            <w:tcW w:w="10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w w:val="96"/>
              </w:rPr>
              <w:t>11/05/2022</w:t>
            </w: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92"/>
              </w:rPr>
              <w:t>Consumer Products</w:t>
            </w:r>
          </w:p>
        </w:tc>
        <w:tc>
          <w:tcPr>
            <w:tcW w:w="200" w:type="dxa"/>
            <w:vAlign w:val="bottom"/>
          </w:tcPr>
          <w:p>
            <w:pPr>
              <w:spacing w:after="0"/>
              <w:rPr>
                <w:sz w:val="12"/>
                <w:szCs w:val="12"/>
                <w:color w:val="auto"/>
              </w:rPr>
            </w:pPr>
          </w:p>
        </w:tc>
        <w:tc>
          <w:tcPr>
            <w:tcW w:w="10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15,486</w:t>
            </w:r>
          </w:p>
        </w:tc>
        <w:tc>
          <w:tcPr>
            <w:tcW w:w="14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821,505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8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EnviroSolutions Holdings, Inc.</w:t>
            </w:r>
          </w:p>
        </w:tc>
        <w:tc>
          <w:tcPr>
            <w:tcW w:w="7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6"/>
              </w:rPr>
              <w:t>Environmental</w:t>
            </w: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0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center"/>
              <w:ind w:right="400"/>
              <w:spacing w:after="0"/>
              <w:rPr>
                <w:sz w:val="20"/>
                <w:szCs w:val="20"/>
                <w:color w:val="auto"/>
              </w:rPr>
            </w:pPr>
            <w:r>
              <w:rPr>
                <w:rFonts w:ascii="Arial" w:cs="Arial" w:eastAsia="Arial" w:hAnsi="Arial"/>
                <w:sz w:val="14"/>
                <w:szCs w:val="14"/>
                <w:color w:val="auto"/>
                <w:w w:val="99"/>
              </w:rPr>
              <w:t>—</w:t>
            </w: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Services</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142,684</w:t>
            </w: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11,891,822</w:t>
            </w: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21,265,345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840" w:type="dxa"/>
            <w:vAlign w:val="bottom"/>
            <w:gridSpan w:val="2"/>
          </w:tcPr>
          <w:p>
            <w:pPr>
              <w:spacing w:after="0" w:line="130" w:lineRule="exact"/>
              <w:rPr>
                <w:sz w:val="20"/>
                <w:szCs w:val="20"/>
                <w:color w:val="auto"/>
              </w:rPr>
            </w:pPr>
            <w:r>
              <w:rPr>
                <w:rFonts w:ascii="Arial" w:cs="Arial" w:eastAsia="Arial" w:hAnsi="Arial"/>
                <w:sz w:val="14"/>
                <w:szCs w:val="14"/>
                <w:color w:val="auto"/>
              </w:rPr>
              <w:t>NCP-Performance, L.P.</w:t>
            </w: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80" w:type="dxa"/>
            <w:vAlign w:val="bottom"/>
          </w:tcPr>
          <w:p>
            <w:pPr>
              <w:jc w:val="center"/>
              <w:spacing w:after="0" w:line="130" w:lineRule="exact"/>
              <w:rPr>
                <w:sz w:val="20"/>
                <w:szCs w:val="20"/>
                <w:color w:val="auto"/>
              </w:rPr>
            </w:pPr>
            <w:r>
              <w:rPr>
                <w:rFonts w:ascii="Arial" w:cs="Arial" w:eastAsia="Arial" w:hAnsi="Arial"/>
                <w:sz w:val="14"/>
                <w:szCs w:val="14"/>
                <w:color w:val="auto"/>
                <w:w w:val="92"/>
              </w:rPr>
              <w:t>Leisure, Amusement,</w:t>
            </w: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95"/>
              </w:rPr>
              <w:t>Motion Pictures and</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4"/>
                <w:szCs w:val="14"/>
                <w:color w:val="auto"/>
                <w:w w:val="99"/>
              </w:rPr>
              <w:t>—</w:t>
            </w:r>
          </w:p>
        </w:tc>
        <w:tc>
          <w:tcPr>
            <w:tcW w:w="1280" w:type="dxa"/>
            <w:vAlign w:val="bottom"/>
          </w:tcPr>
          <w:p>
            <w:pPr>
              <w:jc w:val="center"/>
              <w:spacing w:after="0"/>
              <w:rPr>
                <w:sz w:val="20"/>
                <w:szCs w:val="20"/>
                <w:color w:val="auto"/>
              </w:rPr>
            </w:pPr>
            <w:r>
              <w:rPr>
                <w:rFonts w:ascii="Arial" w:cs="Arial" w:eastAsia="Arial" w:hAnsi="Arial"/>
                <w:sz w:val="14"/>
                <w:szCs w:val="14"/>
                <w:color w:val="auto"/>
                <w:w w:val="94"/>
              </w:rPr>
              <w:t>Entertainment</w:t>
            </w:r>
          </w:p>
        </w:tc>
        <w:tc>
          <w:tcPr>
            <w:tcW w:w="200" w:type="dxa"/>
            <w:vAlign w:val="bottom"/>
          </w:tcPr>
          <w:p>
            <w:pPr>
              <w:spacing w:after="0"/>
              <w:rPr>
                <w:sz w:val="14"/>
                <w:szCs w:val="14"/>
                <w:color w:val="auto"/>
              </w:rPr>
            </w:pPr>
          </w:p>
        </w:tc>
        <w:tc>
          <w:tcPr>
            <w:tcW w:w="108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98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375,000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3,750,000</w:t>
            </w:r>
          </w:p>
        </w:tc>
        <w:tc>
          <w:tcPr>
            <w:tcW w:w="140" w:type="dxa"/>
            <w:vAlign w:val="bottom"/>
          </w:tcPr>
          <w:p>
            <w:pPr>
              <w:spacing w:after="0"/>
              <w:rPr>
                <w:sz w:val="14"/>
                <w:szCs w:val="14"/>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4"/>
                <w:szCs w:val="14"/>
                <w:color w:val="auto"/>
              </w:rPr>
              <w:t>2,500,165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New Service Champ Holdings, Inc. (Service Champ, Inc.)</w:t>
            </w:r>
          </w:p>
        </w:tc>
        <w:tc>
          <w:tcPr>
            <w:tcW w:w="1060" w:type="dxa"/>
            <w:vAlign w:val="bottom"/>
            <w:gridSpan w:val="2"/>
            <w:shd w:val="clear" w:color="auto" w:fill="CCEEFF"/>
          </w:tcPr>
          <w:p>
            <w:pPr>
              <w:jc w:val="center"/>
              <w:ind w:right="400"/>
              <w:spacing w:after="0" w:line="149" w:lineRule="exact"/>
              <w:rPr>
                <w:sz w:val="20"/>
                <w:szCs w:val="20"/>
                <w:color w:val="auto"/>
              </w:rPr>
            </w:pPr>
            <w:r>
              <w:rPr>
                <w:rFonts w:ascii="Arial" w:cs="Arial" w:eastAsia="Arial" w:hAnsi="Arial"/>
                <w:sz w:val="14"/>
                <w:szCs w:val="14"/>
                <w:color w:val="auto"/>
                <w:w w:val="99"/>
              </w:rPr>
              <w:t>—</w:t>
            </w:r>
          </w:p>
        </w:tc>
        <w:tc>
          <w:tcPr>
            <w:tcW w:w="12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Auto Sector</w:t>
            </w:r>
          </w:p>
        </w:tc>
        <w:tc>
          <w:tcPr>
            <w:tcW w:w="2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16,800</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2,721,600</w:t>
            </w:r>
          </w:p>
        </w:tc>
        <w:tc>
          <w:tcPr>
            <w:tcW w:w="14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5,222,015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840" w:type="dxa"/>
            <w:vAlign w:val="bottom"/>
            <w:gridSpan w:val="2"/>
          </w:tcPr>
          <w:p>
            <w:pPr>
              <w:spacing w:after="0" w:line="130" w:lineRule="exact"/>
              <w:rPr>
                <w:sz w:val="20"/>
                <w:szCs w:val="20"/>
                <w:color w:val="auto"/>
              </w:rPr>
            </w:pPr>
            <w:r>
              <w:rPr>
                <w:rFonts w:ascii="Arial" w:cs="Arial" w:eastAsia="Arial" w:hAnsi="Arial"/>
                <w:sz w:val="14"/>
                <w:szCs w:val="14"/>
                <w:color w:val="auto"/>
              </w:rPr>
              <w:t>PAS International Holdings, Inc.</w:t>
            </w: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80" w:type="dxa"/>
            <w:vAlign w:val="bottom"/>
          </w:tcPr>
          <w:p>
            <w:pPr>
              <w:jc w:val="center"/>
              <w:spacing w:after="0" w:line="130" w:lineRule="exact"/>
              <w:rPr>
                <w:sz w:val="20"/>
                <w:szCs w:val="20"/>
                <w:color w:val="auto"/>
              </w:rPr>
            </w:pPr>
            <w:r>
              <w:rPr>
                <w:rFonts w:ascii="Arial" w:cs="Arial" w:eastAsia="Arial" w:hAnsi="Arial"/>
                <w:sz w:val="14"/>
                <w:szCs w:val="14"/>
                <w:color w:val="auto"/>
                <w:w w:val="91"/>
              </w:rPr>
              <w:t>Aerospace and</w:t>
            </w: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4"/>
                <w:szCs w:val="14"/>
                <w:color w:val="auto"/>
                <w:w w:val="99"/>
              </w:rPr>
              <w:t>—</w:t>
            </w:r>
          </w:p>
        </w:tc>
        <w:tc>
          <w:tcPr>
            <w:tcW w:w="1280" w:type="dxa"/>
            <w:vAlign w:val="bottom"/>
          </w:tcPr>
          <w:p>
            <w:pPr>
              <w:jc w:val="center"/>
              <w:spacing w:after="0"/>
              <w:rPr>
                <w:sz w:val="20"/>
                <w:szCs w:val="20"/>
                <w:color w:val="auto"/>
              </w:rPr>
            </w:pPr>
            <w:r>
              <w:rPr>
                <w:rFonts w:ascii="Arial" w:cs="Arial" w:eastAsia="Arial" w:hAnsi="Arial"/>
                <w:sz w:val="14"/>
                <w:szCs w:val="14"/>
                <w:color w:val="auto"/>
                <w:w w:val="88"/>
              </w:rPr>
              <w:t>Defense</w:t>
            </w:r>
          </w:p>
        </w:tc>
        <w:tc>
          <w:tcPr>
            <w:tcW w:w="200" w:type="dxa"/>
            <w:vAlign w:val="bottom"/>
          </w:tcPr>
          <w:p>
            <w:pPr>
              <w:spacing w:after="0"/>
              <w:rPr>
                <w:sz w:val="15"/>
                <w:szCs w:val="15"/>
                <w:color w:val="auto"/>
              </w:rPr>
            </w:pPr>
          </w:p>
        </w:tc>
        <w:tc>
          <w:tcPr>
            <w:tcW w:w="108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98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53,071</w:t>
            </w:r>
          </w:p>
        </w:tc>
        <w:tc>
          <w:tcPr>
            <w:tcW w:w="14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202,620</w:t>
            </w:r>
          </w:p>
        </w:tc>
        <w:tc>
          <w:tcPr>
            <w:tcW w:w="140" w:type="dxa"/>
            <w:vAlign w:val="bottom"/>
          </w:tcPr>
          <w:p>
            <w:pPr>
              <w:spacing w:after="0"/>
              <w:rPr>
                <w:sz w:val="15"/>
                <w:szCs w:val="15"/>
                <w:color w:val="auto"/>
              </w:rPr>
            </w:pPr>
          </w:p>
        </w:tc>
        <w:tc>
          <w:tcPr>
            <w:tcW w:w="9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Common Equity/Partnership Interest</w:t>
            </w: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40,058,864</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35,365,237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Total Investments in Non-Controlled, Affiliated Portfolio Companies</w:t>
            </w:r>
          </w:p>
        </w:tc>
        <w:tc>
          <w:tcPr>
            <w:tcW w:w="1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4920" w:type="dxa"/>
            <w:vAlign w:val="bottom"/>
            <w:gridSpan w:val="5"/>
            <w:vMerge w:val="continue"/>
          </w:tcPr>
          <w:p>
            <w:pPr>
              <w:spacing w:after="0"/>
              <w:rPr>
                <w:sz w:val="6"/>
                <w:szCs w:val="6"/>
                <w:color w:val="auto"/>
              </w:rPr>
            </w:pPr>
          </w:p>
        </w:tc>
        <w:tc>
          <w:tcPr>
            <w:tcW w:w="1280" w:type="dxa"/>
            <w:vAlign w:val="bottom"/>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0" w:type="dxa"/>
            <w:vAlign w:val="bottom"/>
            <w:vMerge w:val="restart"/>
            <w:shd w:val="clear" w:color="auto" w:fill="CCEEFF"/>
          </w:tcPr>
          <w:p>
            <w:pPr>
              <w:spacing w:after="0"/>
              <w:rPr>
                <w:sz w:val="6"/>
                <w:szCs w:val="6"/>
                <w:color w:val="auto"/>
              </w:rPr>
            </w:pPr>
          </w:p>
        </w:tc>
        <w:tc>
          <w:tcPr>
            <w:tcW w:w="800" w:type="dxa"/>
            <w:vAlign w:val="bottom"/>
            <w:vMerge w:val="restart"/>
            <w:shd w:val="clear" w:color="auto" w:fill="CCEEFF"/>
          </w:tcPr>
          <w:p>
            <w:pPr>
              <w:jc w:val="right"/>
              <w:spacing w:after="0" w:line="142" w:lineRule="exact"/>
              <w:rPr>
                <w:sz w:val="20"/>
                <w:szCs w:val="20"/>
                <w:color w:val="auto"/>
              </w:rPr>
            </w:pPr>
            <w:r>
              <w:rPr>
                <w:rFonts w:ascii="Arial" w:cs="Arial" w:eastAsia="Arial" w:hAnsi="Arial"/>
                <w:sz w:val="14"/>
                <w:szCs w:val="14"/>
                <w:color w:val="auto"/>
              </w:rPr>
              <w:t>99,021,141</w:t>
            </w:r>
          </w:p>
        </w:tc>
        <w:tc>
          <w:tcPr>
            <w:tcW w:w="140" w:type="dxa"/>
            <w:vAlign w:val="bottom"/>
            <w:shd w:val="clear" w:color="auto" w:fill="CCEEFF"/>
          </w:tcPr>
          <w:p>
            <w:pPr>
              <w:spacing w:after="0"/>
              <w:rPr>
                <w:sz w:val="6"/>
                <w:szCs w:val="6"/>
                <w:color w:val="auto"/>
              </w:rPr>
            </w:pPr>
          </w:p>
        </w:tc>
        <w:tc>
          <w:tcPr>
            <w:tcW w:w="140" w:type="dxa"/>
            <w:vAlign w:val="bottom"/>
            <w:vMerge w:val="restart"/>
            <w:shd w:val="clear" w:color="auto" w:fill="CCEEFF"/>
          </w:tcPr>
          <w:p>
            <w:pPr>
              <w:spacing w:after="0"/>
              <w:rPr>
                <w:sz w:val="6"/>
                <w:szCs w:val="6"/>
                <w:color w:val="auto"/>
              </w:rPr>
            </w:pPr>
          </w:p>
        </w:tc>
        <w:tc>
          <w:tcPr>
            <w:tcW w:w="820" w:type="dxa"/>
            <w:vAlign w:val="bottom"/>
            <w:vMerge w:val="restart"/>
            <w:shd w:val="clear" w:color="auto" w:fill="CCEEFF"/>
          </w:tcPr>
          <w:p>
            <w:pPr>
              <w:jc w:val="right"/>
              <w:spacing w:after="0" w:line="142" w:lineRule="exact"/>
              <w:rPr>
                <w:sz w:val="20"/>
                <w:szCs w:val="20"/>
                <w:color w:val="auto"/>
              </w:rPr>
            </w:pPr>
            <w:r>
              <w:rPr>
                <w:rFonts w:ascii="Arial" w:cs="Arial" w:eastAsia="Arial" w:hAnsi="Arial"/>
                <w:sz w:val="14"/>
                <w:szCs w:val="14"/>
                <w:color w:val="auto"/>
              </w:rPr>
              <w:t>76,735,800</w:t>
            </w:r>
          </w:p>
        </w:tc>
        <w:tc>
          <w:tcPr>
            <w:tcW w:w="80" w:type="dxa"/>
            <w:vAlign w:val="bottom"/>
            <w:vMerge w:val="restart"/>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3080" w:type="dxa"/>
            <w:vAlign w:val="bottom"/>
          </w:tcPr>
          <w:p>
            <w:pPr>
              <w:spacing w:after="0"/>
              <w:rPr>
                <w:sz w:val="5"/>
                <w:szCs w:val="5"/>
                <w:color w:val="auto"/>
              </w:rPr>
            </w:pPr>
          </w:p>
        </w:tc>
        <w:tc>
          <w:tcPr>
            <w:tcW w:w="7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80" w:type="dxa"/>
            <w:vAlign w:val="bottom"/>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800" w:type="dxa"/>
            <w:vAlign w:val="bottom"/>
            <w:tcBorders>
              <w:bottom w:val="single" w:sz="8" w:color="auto"/>
            </w:tcBorders>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820" w:type="dxa"/>
            <w:vAlign w:val="bottom"/>
            <w:tcBorders>
              <w:bottom w:val="single" w:sz="8" w:color="auto"/>
            </w:tcBorders>
            <w:vMerge w:val="continue"/>
            <w:shd w:val="clear" w:color="auto" w:fill="CCEEFF"/>
          </w:tcPr>
          <w:p>
            <w:pPr>
              <w:spacing w:after="0"/>
              <w:rPr>
                <w:sz w:val="5"/>
                <w:szCs w:val="5"/>
                <w:color w:val="auto"/>
              </w:rPr>
            </w:pPr>
          </w:p>
        </w:tc>
        <w:tc>
          <w:tcPr>
            <w:tcW w:w="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S-51</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PENNANTPARK INVESTMENT CORPORATION AND SUBSIDIARIES CONSOLIDATED SCHEDULE OF INVESTMENTS—(Continued) SEPTEMBER 30, 2013</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Basis Point</w:t>
            </w: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Current</w:t>
            </w: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Spread</w:t>
            </w:r>
          </w:p>
        </w:tc>
        <w:tc>
          <w:tcPr>
            <w:tcW w:w="96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Par /</w:t>
            </w: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Issuer Name</w:t>
            </w:r>
          </w:p>
        </w:tc>
        <w:tc>
          <w:tcPr>
            <w:tcW w:w="10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Maturity</w:t>
            </w:r>
          </w:p>
        </w:tc>
        <w:tc>
          <w:tcPr>
            <w:tcW w:w="12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7"/>
              </w:rPr>
              <w:t>Industry</w:t>
            </w:r>
          </w:p>
        </w:tc>
        <w:tc>
          <w:tcPr>
            <w:tcW w:w="1200" w:type="dxa"/>
            <w:vAlign w:val="bottom"/>
            <w:gridSpan w:val="2"/>
            <w:vMerge w:val="continue"/>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Above</w:t>
            </w:r>
          </w:p>
        </w:tc>
        <w:tc>
          <w:tcPr>
            <w:tcW w:w="960" w:type="dxa"/>
            <w:vAlign w:val="bottom"/>
            <w:gridSpan w:val="2"/>
            <w:vMerge w:val="continue"/>
          </w:tcPr>
          <w:p>
            <w:pPr>
              <w:spacing w:after="0"/>
              <w:rPr>
                <w:sz w:val="12"/>
                <w:szCs w:val="12"/>
                <w:color w:val="auto"/>
              </w:rPr>
            </w:pPr>
          </w:p>
        </w:tc>
        <w:tc>
          <w:tcPr>
            <w:tcW w:w="106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2"/>
                <w:szCs w:val="12"/>
                <w:color w:val="auto"/>
              </w:rPr>
            </w:pPr>
          </w:p>
        </w:tc>
        <w:tc>
          <w:tcPr>
            <w:tcW w:w="102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2"/>
                <w:szCs w:val="12"/>
                <w:b w:val="1"/>
                <w:bCs w:val="1"/>
                <w:color w:val="auto"/>
              </w:rPr>
              <w:t>(3)</w:t>
            </w:r>
          </w:p>
        </w:tc>
        <w:tc>
          <w:tcPr>
            <w:tcW w:w="0" w:type="dxa"/>
            <w:vAlign w:val="bottom"/>
          </w:tcPr>
          <w:p>
            <w:pPr>
              <w:spacing w:after="0"/>
              <w:rPr>
                <w:sz w:val="1"/>
                <w:szCs w:val="1"/>
                <w:color w:val="auto"/>
              </w:rPr>
            </w:pPr>
          </w:p>
        </w:tc>
      </w:tr>
      <w:tr>
        <w:trPr>
          <w:trHeight w:val="171"/>
        </w:trPr>
        <w:tc>
          <w:tcPr>
            <w:tcW w:w="3760" w:type="dxa"/>
            <w:vAlign w:val="bottom"/>
            <w:gridSpan w:val="3"/>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Coupon</w:t>
            </w: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Index</w:t>
            </w:r>
            <w:r>
              <w:rPr>
                <w:rFonts w:ascii="Arial" w:cs="Arial" w:eastAsia="Arial" w:hAnsi="Arial"/>
                <w:sz w:val="12"/>
                <w:szCs w:val="12"/>
                <w:b w:val="1"/>
                <w:bCs w:val="1"/>
                <w:color w:val="auto"/>
                <w:w w:val="97"/>
              </w:rPr>
              <w:t>(4)</w:t>
            </w: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Shares</w:t>
            </w:r>
          </w:p>
        </w:tc>
        <w:tc>
          <w:tcPr>
            <w:tcW w:w="10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6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90"/>
              </w:rPr>
              <w:t>Investments</w:t>
            </w:r>
          </w:p>
        </w:tc>
        <w:tc>
          <w:tcPr>
            <w:tcW w:w="298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86"/>
              </w:rPr>
              <w:t>in Controlled, Affiliated Portfolio Companies—4.7%</w:t>
            </w: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b w:val="1"/>
                <w:bCs w:val="1"/>
                <w:color w:val="auto"/>
              </w:rPr>
              <w:t>(1), (2)</w:t>
            </w:r>
          </w:p>
        </w:tc>
        <w:tc>
          <w:tcPr>
            <w:tcW w:w="360" w:type="dxa"/>
            <w:vAlign w:val="bottom"/>
            <w:tcBorders>
              <w:top w:val="single" w:sz="8" w:color="CCEEFF"/>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First Lien Secured Debt—1.6%</w:t>
            </w: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SuttonPark Holdings, Inc.</w:t>
            </w:r>
          </w:p>
        </w:tc>
        <w:tc>
          <w:tcPr>
            <w:tcW w:w="10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w w:val="96"/>
              </w:rPr>
              <w:t>06/30/2020</w:t>
            </w:r>
          </w:p>
        </w:tc>
        <w:tc>
          <w:tcPr>
            <w:tcW w:w="12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0"/>
              </w:rPr>
              <w:t>Business Services</w:t>
            </w:r>
          </w:p>
        </w:tc>
        <w:tc>
          <w:tcPr>
            <w:tcW w:w="12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14.00%</w:t>
            </w:r>
            <w:r>
              <w:rPr>
                <w:rFonts w:ascii="Arial" w:cs="Arial" w:eastAsia="Arial" w:hAnsi="Arial"/>
                <w:sz w:val="12"/>
                <w:szCs w:val="12"/>
                <w:color w:val="auto"/>
              </w:rPr>
              <w:t>(7)</w:t>
            </w:r>
          </w:p>
        </w:tc>
        <w:tc>
          <w:tcPr>
            <w:tcW w:w="98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9,250,000</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9,250,000</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9,556,385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40" w:type="dxa"/>
            <w:vAlign w:val="bottom"/>
            <w:gridSpan w:val="2"/>
          </w:tcPr>
          <w:p>
            <w:pPr>
              <w:spacing w:after="0" w:line="149" w:lineRule="exact"/>
              <w:rPr>
                <w:sz w:val="20"/>
                <w:szCs w:val="20"/>
                <w:color w:val="auto"/>
              </w:rPr>
            </w:pPr>
            <w:r>
              <w:rPr>
                <w:rFonts w:ascii="Arial" w:cs="Arial" w:eastAsia="Arial" w:hAnsi="Arial"/>
                <w:sz w:val="14"/>
                <w:szCs w:val="14"/>
                <w:color w:val="auto"/>
              </w:rPr>
              <w:t>Universal Pegasus International, LLC</w:t>
            </w:r>
            <w:r>
              <w:rPr>
                <w:rFonts w:ascii="Arial" w:cs="Arial" w:eastAsia="Arial" w:hAnsi="Arial"/>
                <w:sz w:val="12"/>
                <w:szCs w:val="12"/>
                <w:color w:val="auto"/>
              </w:rPr>
              <w:t>(9)</w:t>
            </w:r>
          </w:p>
        </w:tc>
        <w:tc>
          <w:tcPr>
            <w:tcW w:w="10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w w:val="96"/>
              </w:rPr>
              <w:t>12/31/2015</w:t>
            </w:r>
          </w:p>
        </w:tc>
        <w:tc>
          <w:tcPr>
            <w:tcW w:w="12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1"/>
              </w:rPr>
              <w:t>Oil and Gas</w:t>
            </w:r>
          </w:p>
        </w:tc>
        <w:tc>
          <w:tcPr>
            <w:tcW w:w="120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1,916,667</w:t>
            </w:r>
          </w:p>
        </w:tc>
        <w:tc>
          <w:tcPr>
            <w:tcW w:w="9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1,787,941</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1,916,667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First Lien Secured Debt</w:t>
            </w: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11,037,941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11,473,052</w:t>
            </w:r>
          </w:p>
        </w:tc>
        <w:tc>
          <w:tcPr>
            <w:tcW w:w="0" w:type="dxa"/>
            <w:vAlign w:val="bottom"/>
          </w:tcPr>
          <w:p>
            <w:pPr>
              <w:spacing w:after="0"/>
              <w:rPr>
                <w:sz w:val="1"/>
                <w:szCs w:val="1"/>
                <w:color w:val="auto"/>
              </w:rPr>
            </w:pPr>
          </w:p>
        </w:tc>
      </w:tr>
      <w:tr>
        <w:trPr>
          <w:trHeight w:val="156"/>
        </w:trPr>
        <w:tc>
          <w:tcPr>
            <w:tcW w:w="37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Second Lien Secured Debt—2.4%</w:t>
            </w: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Universal Pegasus International, LLC</w:t>
            </w:r>
          </w:p>
        </w:tc>
        <w:tc>
          <w:tcPr>
            <w:tcW w:w="7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0" w:type="dxa"/>
            <w:vAlign w:val="bottom"/>
            <w:gridSpan w:val="2"/>
            <w:shd w:val="clear" w:color="auto" w:fill="CCEEFF"/>
          </w:tcPr>
          <w:p>
            <w:pPr>
              <w:jc w:val="right"/>
              <w:ind w:right="400"/>
              <w:spacing w:after="0" w:line="130" w:lineRule="exact"/>
              <w:rPr>
                <w:sz w:val="20"/>
                <w:szCs w:val="20"/>
                <w:color w:val="auto"/>
              </w:rPr>
            </w:pPr>
            <w:r>
              <w:rPr>
                <w:rFonts w:ascii="Arial" w:cs="Arial" w:eastAsia="Arial" w:hAnsi="Arial"/>
                <w:sz w:val="14"/>
                <w:szCs w:val="14"/>
                <w:color w:val="auto"/>
              </w:rPr>
              <w:t>15.00%</w:t>
            </w:r>
          </w:p>
        </w:tc>
        <w:tc>
          <w:tcPr>
            <w:tcW w:w="6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9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w w:val="96"/>
              </w:rPr>
              <w:t>12/31/2015</w:t>
            </w:r>
          </w:p>
        </w:tc>
        <w:tc>
          <w:tcPr>
            <w:tcW w:w="124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91"/>
              </w:rPr>
              <w:t>Oil and Gas</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(PIK 15.00)%</w:t>
            </w:r>
          </w:p>
        </w:tc>
        <w:tc>
          <w:tcPr>
            <w:tcW w:w="98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w w:val="94"/>
              </w:rPr>
              <w:t>16,615,645</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14,709,502</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16,449,489</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7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Subordinated Debt/Corporate Notes—0.3%</w:t>
            </w: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SuttonPark Holdings, Inc.</w:t>
            </w:r>
          </w:p>
        </w:tc>
        <w:tc>
          <w:tcPr>
            <w:tcW w:w="10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w w:val="96"/>
              </w:rPr>
              <w:t>06/30/2020</w:t>
            </w:r>
          </w:p>
        </w:tc>
        <w:tc>
          <w:tcPr>
            <w:tcW w:w="12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0"/>
              </w:rPr>
              <w:t>Business Services</w:t>
            </w:r>
          </w:p>
        </w:tc>
        <w:tc>
          <w:tcPr>
            <w:tcW w:w="12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14.00%</w:t>
            </w:r>
            <w:r>
              <w:rPr>
                <w:rFonts w:ascii="Arial" w:cs="Arial" w:eastAsia="Arial" w:hAnsi="Arial"/>
                <w:sz w:val="12"/>
                <w:szCs w:val="12"/>
                <w:color w:val="auto"/>
              </w:rPr>
              <w:t>(7)</w:t>
            </w:r>
          </w:p>
        </w:tc>
        <w:tc>
          <w:tcPr>
            <w:tcW w:w="98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2,250,000</w:t>
            </w: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2,250,000</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1,961,667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7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Preferred Equity—0.4%</w:t>
            </w:r>
            <w:r>
              <w:rPr>
                <w:rFonts w:ascii="Arial" w:cs="Arial" w:eastAsia="Arial" w:hAnsi="Arial"/>
                <w:sz w:val="12"/>
                <w:szCs w:val="12"/>
                <w:b w:val="1"/>
                <w:bCs w:val="1"/>
                <w:color w:val="auto"/>
              </w:rPr>
              <w:t>(6)</w:t>
            </w: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SuttonPark Holdings, Inc.</w:t>
            </w:r>
          </w:p>
        </w:tc>
        <w:tc>
          <w:tcPr>
            <w:tcW w:w="10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0"/>
              </w:rPr>
              <w:t>Business Services</w:t>
            </w:r>
          </w:p>
        </w:tc>
        <w:tc>
          <w:tcPr>
            <w:tcW w:w="12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14.00%</w:t>
            </w:r>
          </w:p>
        </w:tc>
        <w:tc>
          <w:tcPr>
            <w:tcW w:w="98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2,000</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1,981,948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40" w:type="dxa"/>
            <w:vAlign w:val="bottom"/>
            <w:gridSpan w:val="2"/>
          </w:tcPr>
          <w:p>
            <w:pPr>
              <w:spacing w:after="0" w:line="130" w:lineRule="exact"/>
              <w:rPr>
                <w:sz w:val="20"/>
                <w:szCs w:val="20"/>
                <w:color w:val="auto"/>
              </w:rPr>
            </w:pPr>
            <w:r>
              <w:rPr>
                <w:rFonts w:ascii="Arial" w:cs="Arial" w:eastAsia="Arial" w:hAnsi="Arial"/>
                <w:sz w:val="14"/>
                <w:szCs w:val="14"/>
                <w:color w:val="auto"/>
              </w:rPr>
              <w:t>Universal Pegasus International Holdings, Inc. (Universal</w:t>
            </w: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40" w:type="dxa"/>
            <w:vAlign w:val="bottom"/>
            <w:gridSpan w:val="2"/>
          </w:tcPr>
          <w:p>
            <w:pPr>
              <w:ind w:left="140"/>
              <w:spacing w:after="0"/>
              <w:rPr>
                <w:sz w:val="20"/>
                <w:szCs w:val="20"/>
                <w:color w:val="auto"/>
              </w:rPr>
            </w:pPr>
            <w:r>
              <w:rPr>
                <w:rFonts w:ascii="Arial" w:cs="Arial" w:eastAsia="Arial" w:hAnsi="Arial"/>
                <w:sz w:val="14"/>
                <w:szCs w:val="14"/>
                <w:color w:val="auto"/>
              </w:rPr>
              <w:t>Pegasus International, LLC)</w:t>
            </w:r>
          </w:p>
        </w:tc>
        <w:tc>
          <w:tcPr>
            <w:tcW w:w="106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color w:val="auto"/>
                <w:w w:val="91"/>
              </w:rPr>
              <w:t>Oil and Gas</w:t>
            </w:r>
          </w:p>
        </w:tc>
        <w:tc>
          <w:tcPr>
            <w:tcW w:w="1200" w:type="dxa"/>
            <w:vAlign w:val="bottom"/>
            <w:gridSpan w:val="2"/>
          </w:tcPr>
          <w:p>
            <w:pPr>
              <w:jc w:val="right"/>
              <w:ind w:right="400"/>
              <w:spacing w:after="0"/>
              <w:rPr>
                <w:sz w:val="20"/>
                <w:szCs w:val="20"/>
                <w:color w:val="auto"/>
              </w:rPr>
            </w:pPr>
            <w:r>
              <w:rPr>
                <w:rFonts w:ascii="Arial" w:cs="Arial" w:eastAsia="Arial" w:hAnsi="Arial"/>
                <w:sz w:val="14"/>
                <w:szCs w:val="14"/>
                <w:color w:val="auto"/>
              </w:rPr>
              <w:t>8.00%</w:t>
            </w:r>
          </w:p>
        </w:tc>
        <w:tc>
          <w:tcPr>
            <w:tcW w:w="98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80"/>
              <w:spacing w:after="0"/>
              <w:rPr>
                <w:sz w:val="20"/>
                <w:szCs w:val="20"/>
                <w:color w:val="auto"/>
              </w:rPr>
            </w:pPr>
            <w:r>
              <w:rPr>
                <w:rFonts w:ascii="Arial" w:cs="Arial" w:eastAsia="Arial" w:hAnsi="Arial"/>
                <w:sz w:val="14"/>
                <w:szCs w:val="14"/>
                <w:color w:val="auto"/>
              </w:rPr>
              <w:t>376,988</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34,420,612</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1,102,555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Preferred Equity</w:t>
            </w: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36,420,612</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3,084,503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7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Common Equity—0.0</w:t>
            </w:r>
            <w:r>
              <w:rPr>
                <w:rFonts w:ascii="Arial" w:cs="Arial" w:eastAsia="Arial" w:hAnsi="Arial"/>
                <w:sz w:val="14"/>
                <w:szCs w:val="14"/>
                <w:color w:val="auto"/>
              </w:rPr>
              <w:t>%</w:t>
            </w:r>
            <w:r>
              <w:rPr>
                <w:rFonts w:ascii="Arial" w:cs="Arial" w:eastAsia="Arial" w:hAnsi="Arial"/>
                <w:sz w:val="12"/>
                <w:szCs w:val="12"/>
                <w:color w:val="auto"/>
              </w:rPr>
              <w:t>(6)</w:t>
            </w: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SuttonPark Holdings, Inc.</w:t>
            </w:r>
          </w:p>
        </w:tc>
        <w:tc>
          <w:tcPr>
            <w:tcW w:w="10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0"/>
              </w:rPr>
              <w:t>Business Services</w:t>
            </w:r>
          </w:p>
        </w:tc>
        <w:tc>
          <w:tcPr>
            <w:tcW w:w="120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100</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4820" w:type="dxa"/>
            <w:vAlign w:val="bottom"/>
            <w:gridSpan w:val="5"/>
          </w:tcPr>
          <w:p>
            <w:pPr>
              <w:spacing w:after="0" w:line="155" w:lineRule="exact"/>
              <w:rPr>
                <w:sz w:val="20"/>
                <w:szCs w:val="20"/>
                <w:color w:val="auto"/>
              </w:rPr>
            </w:pPr>
            <w:r>
              <w:rPr>
                <w:rFonts w:ascii="Arial" w:cs="Arial" w:eastAsia="Arial" w:hAnsi="Arial"/>
                <w:sz w:val="14"/>
                <w:szCs w:val="14"/>
                <w:b w:val="1"/>
                <w:bCs w:val="1"/>
                <w:color w:val="auto"/>
              </w:rPr>
              <w:t>Total Investments in Controlled, Affiliated Portfolio Companies</w:t>
            </w: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64,418,155</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32,968,711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Investments—154.6%</w:t>
            </w: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1,091,517,885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1"/>
              </w:rPr>
              <w:t>1,078,175,553</w:t>
            </w:r>
          </w:p>
        </w:tc>
        <w:tc>
          <w:tcPr>
            <w:tcW w:w="0" w:type="dxa"/>
            <w:vAlign w:val="bottom"/>
          </w:tcPr>
          <w:p>
            <w:pPr>
              <w:spacing w:after="0"/>
              <w:rPr>
                <w:sz w:val="1"/>
                <w:szCs w:val="1"/>
                <w:color w:val="auto"/>
              </w:rPr>
            </w:pPr>
          </w:p>
        </w:tc>
      </w:tr>
      <w:tr>
        <w:trPr>
          <w:trHeight w:val="156"/>
        </w:trPr>
        <w:tc>
          <w:tcPr>
            <w:tcW w:w="37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Cash and Cash Equivalents—8.4%</w:t>
            </w: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Cash</w:t>
            </w: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2,667,511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2,667,511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tcPr>
          <w:p>
            <w:pPr>
              <w:spacing w:after="0" w:line="149" w:lineRule="exact"/>
              <w:rPr>
                <w:sz w:val="20"/>
                <w:szCs w:val="20"/>
                <w:color w:val="auto"/>
              </w:rPr>
            </w:pPr>
            <w:r>
              <w:rPr>
                <w:rFonts w:ascii="Arial" w:cs="Arial" w:eastAsia="Arial" w:hAnsi="Arial"/>
                <w:sz w:val="14"/>
                <w:szCs w:val="14"/>
                <w:color w:val="auto"/>
              </w:rPr>
              <w:t>BlackRock Liquidity Funds, Temp Cash, Institutional Shares</w:t>
            </w: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2,446,232</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2,446,232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BNY Mellon Cash Reserve</w:t>
            </w: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53,327,086</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53,327,086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Total Cash Equivalents</w:t>
            </w: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58,440,829</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58,440,829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 and Cash Equivalents—163.0%</w:t>
            </w: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8"/>
              </w:rPr>
              <w:t>$ 1,149,958,714</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1"/>
              </w:rPr>
              <w:t>1,136,616,382</w:t>
            </w:r>
          </w:p>
        </w:tc>
        <w:tc>
          <w:tcPr>
            <w:tcW w:w="0" w:type="dxa"/>
            <w:vAlign w:val="bottom"/>
          </w:tcPr>
          <w:p>
            <w:pPr>
              <w:spacing w:after="0"/>
              <w:rPr>
                <w:sz w:val="1"/>
                <w:szCs w:val="1"/>
                <w:color w:val="auto"/>
              </w:rPr>
            </w:pPr>
          </w:p>
        </w:tc>
      </w:tr>
      <w:tr>
        <w:trPr>
          <w:trHeight w:val="20"/>
        </w:trPr>
        <w:tc>
          <w:tcPr>
            <w:tcW w:w="3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Liabilities in Excess of Other Assets—(63.0%)</w:t>
            </w: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760" w:type="dxa"/>
            <w:vAlign w:val="bottom"/>
            <w:gridSpan w:val="3"/>
            <w:vMerge w:val="continue"/>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3" w:lineRule="exact"/>
              <w:rPr>
                <w:sz w:val="20"/>
                <w:szCs w:val="20"/>
                <w:color w:val="auto"/>
              </w:rPr>
            </w:pPr>
            <w:r>
              <w:rPr>
                <w:rFonts w:ascii="Arial" w:cs="Arial" w:eastAsia="Arial" w:hAnsi="Arial"/>
                <w:sz w:val="14"/>
                <w:szCs w:val="14"/>
                <w:color w:val="auto"/>
                <w:w w:val="94"/>
              </w:rPr>
              <w:t>(439,110,183)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Assets—100.0%</w:t>
            </w: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697,506,199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ind w:left="340" w:right="20" w:hanging="332"/>
        <w:spacing w:after="0" w:line="248" w:lineRule="auto"/>
        <w:tabs>
          <w:tab w:leader="none" w:pos="340" w:val="left"/>
        </w:tabs>
        <w:numPr>
          <w:ilvl w:val="0"/>
          <w:numId w:val="22"/>
        </w:numPr>
        <w:rPr>
          <w:rFonts w:ascii="Arial" w:cs="Arial" w:eastAsia="Arial" w:hAnsi="Arial"/>
          <w:sz w:val="13"/>
          <w:szCs w:val="13"/>
          <w:color w:val="auto"/>
        </w:rPr>
      </w:pPr>
      <w:r>
        <w:rPr>
          <w:rFonts w:ascii="Arial" w:cs="Arial" w:eastAsia="Arial" w:hAnsi="Arial"/>
          <w:sz w:val="13"/>
          <w:szCs w:val="13"/>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340" w:right="300" w:hanging="332"/>
        <w:spacing w:after="0" w:line="221" w:lineRule="auto"/>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 (see Note 6).</w:t>
      </w:r>
    </w:p>
    <w:p>
      <w:pPr>
        <w:ind w:left="340" w:hanging="332"/>
        <w:spacing w:after="0" w:line="221" w:lineRule="auto"/>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Valued based on our accounting policy (see Note 2).</w:t>
      </w:r>
    </w:p>
    <w:p>
      <w:pPr>
        <w:ind w:left="340" w:hanging="332"/>
        <w:spacing w:after="0" w:line="221" w:lineRule="auto"/>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Represents floating rate instruments that accrue interest at a predetermined spread relative to an index, typically the applicable LIBOR, or “L” or Prime, or “P” rate.</w:t>
      </w:r>
    </w:p>
    <w:p>
      <w:pPr>
        <w:ind w:left="340" w:right="60" w:hanging="332"/>
        <w:spacing w:after="0" w:line="221" w:lineRule="auto"/>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The security may be resold in transactions that are exempt from registration, normally to qualified institutional buyers.</w:t>
      </w:r>
    </w:p>
    <w:p>
      <w:pPr>
        <w:ind w:left="340" w:hanging="332"/>
        <w:spacing w:after="0" w:line="221" w:lineRule="auto"/>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Non-income producing securities.</w:t>
      </w:r>
    </w:p>
    <w:p>
      <w:pPr>
        <w:ind w:left="340" w:hanging="332"/>
        <w:spacing w:after="0" w:line="221" w:lineRule="auto"/>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Coupon is payable in cash and/or PIK.</w:t>
      </w:r>
    </w:p>
    <w:p>
      <w:pPr>
        <w:ind w:left="340" w:hanging="332"/>
        <w:spacing w:after="0" w:line="221" w:lineRule="auto"/>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Coupon is subject to a LIBOR or Prime rate floor.</w:t>
      </w:r>
    </w:p>
    <w:p>
      <w:pPr>
        <w:ind w:left="340" w:hanging="332"/>
        <w:spacing w:after="0" w:line="221" w:lineRule="auto"/>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Represents the purchase of a security with delayed settlement (unfunded investments). This security does not have a basis point spread above an index.</w:t>
      </w:r>
    </w:p>
    <w:p>
      <w:pPr>
        <w:ind w:left="340" w:hanging="332"/>
        <w:spacing w:after="0" w:line="221" w:lineRule="auto"/>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Non-U.S. company or principal place of business outside the U.S.</w:t>
      </w:r>
    </w:p>
    <w:p>
      <w:pPr>
        <w:ind w:left="340" w:hanging="332"/>
        <w:spacing w:after="0" w:line="221" w:lineRule="auto"/>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Investment is held through PNNT CI (Galls) Prime Investment Holdings, LLC, a consolidated subsidiary.</w:t>
      </w:r>
    </w:p>
    <w:p>
      <w:pPr>
        <w:ind w:left="340" w:hanging="332"/>
        <w:spacing w:after="0" w:line="221" w:lineRule="auto"/>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Investment is held through PNNT Acentia LLC, a consolidated subsidiary.</w:t>
      </w:r>
    </w:p>
    <w:p>
      <w:pPr>
        <w:ind w:left="340" w:hanging="332"/>
        <w:spacing w:after="0"/>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Investment is held through PNNT Transportation 100 Holdco, L.L.C., a consolidated subsidiary.</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S-52</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JUNE 30, 2014</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12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PennantPark Investment Corporation was organized as a Maryland corporation in January 2007. PennantPark Investment is a closed-end, externally managed, non-diversified investment company that has elected to be treated as a BDC. PennantPark Investment’s objective is to generate both current income and capital appreciation through debt and equity investments. We invest primarily in U.S. middle-market companies in the form of senior secured loans, mezzanine debt and, to a lesser extent, equity investments. On April 24, 2007, we closed our initial public offering and our common stock trades on the NASDAQ Global Select Market under the symbol “PNNT.” Our 2025 Notes trade on the New York Stock Exchange, or the NYSE, under the symbol “PNTA.”</w:t>
      </w:r>
    </w:p>
    <w:p>
      <w:pPr>
        <w:spacing w:after="0" w:line="193" w:lineRule="exact"/>
        <w:rPr>
          <w:sz w:val="20"/>
          <w:szCs w:val="20"/>
          <w:color w:val="auto"/>
        </w:rPr>
      </w:pPr>
    </w:p>
    <w:p>
      <w:pPr>
        <w:ind w:right="340" w:firstLine="456"/>
        <w:spacing w:after="0" w:line="273" w:lineRule="auto"/>
        <w:rPr>
          <w:sz w:val="20"/>
          <w:szCs w:val="20"/>
          <w:color w:val="auto"/>
        </w:rPr>
      </w:pPr>
      <w:r>
        <w:rPr>
          <w:rFonts w:ascii="Arial" w:cs="Arial" w:eastAsia="Arial" w:hAnsi="Arial"/>
          <w:sz w:val="17"/>
          <w:szCs w:val="17"/>
          <w:color w:val="auto"/>
        </w:rPr>
        <w:t>We have entered into an investment management agreement, or the Investment Management Agreement, with the Investment Adviser, an external adviser that manages our day-to-day operations. We have also entered into an administration agreement, or the Administration Agreement, with the Administrator, which provides the administrative services necessary for us to operate. PennantPark Investment, through the Investment Adviser, manages day-to-day operations of and provides investment advisory services to each of our SBIC Funds under separate investment management agreements. PennantPark Investment, through the Administrator, also provides similar services to each of our SBIC Funds and our controlled affiliate SuttonPark Holdings, Inc. and its subsidiaries, or SPH, under separate administration agreements. See Note 3.</w:t>
      </w:r>
    </w:p>
    <w:p>
      <w:pPr>
        <w:spacing w:after="0" w:line="17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Our wholly owned subsidiaries, SBIC LP and SBIC II, were organized as Delaware limited partnerships in May 2010 and July 2012, respectively. SBIC LP and SBIC II received licenses from the SBA to operate as small business investment companies, or SBICs, under Section 301(c) of the Small Business Investment Act of 1958, as amended, or the 1958 Act, in July 2010 and January 2013, respectively. Our SBIC Funds’ objectives are to generate both current income and capital appreciation through debt and equity investments generally by investing with us in SBA eligible businesses that meet the investment criteria used by PennantPark Investment.</w:t>
      </w:r>
    </w:p>
    <w:p>
      <w:pPr>
        <w:spacing w:after="0" w:line="188" w:lineRule="exact"/>
        <w:rPr>
          <w:sz w:val="20"/>
          <w:szCs w:val="20"/>
          <w:color w:val="auto"/>
        </w:rPr>
      </w:pPr>
    </w:p>
    <w:p>
      <w:pPr>
        <w:jc w:val="both"/>
        <w:ind w:right="280" w:firstLine="456"/>
        <w:spacing w:after="0" w:line="264" w:lineRule="auto"/>
        <w:rPr>
          <w:sz w:val="20"/>
          <w:szCs w:val="20"/>
          <w:color w:val="auto"/>
        </w:rPr>
      </w:pPr>
      <w:r>
        <w:rPr>
          <w:rFonts w:ascii="Arial" w:cs="Arial" w:eastAsia="Arial" w:hAnsi="Arial"/>
          <w:sz w:val="18"/>
          <w:szCs w:val="18"/>
          <w:color w:val="auto"/>
        </w:rPr>
        <w:t>We have formed and expect to continue to form certain taxable subsidiaries, or the Taxable Subsidiaries, which are taxed as corporations for federal income tax purposes. These Taxable Subsidiaries allow us to hold equity securities of certain portfolio companies organized as pass-through entities while continuing to satisfy the requirements of a RIC under the Code.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21"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preparation of our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periods. Actual results could differ from these estimates due to changes in the economic and regulatory environment, financial markets and any other parameters used in determining such estimates and assumptions. We reclassified certain prior period amounts to conform to the current period presentation. We have eliminated all intercompany balances and transactions. References to the Accounting Standards Codification, or ASC, serve as a single source of accounting literature. Subsequent events are evaluated and disclosed as appropriate for events occurring through the date the Consolidated Financial Statements are issued.</w:t>
      </w:r>
    </w:p>
    <w:p>
      <w:pPr>
        <w:spacing w:after="0" w:line="167"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Our Consolidated Financial Statements are prepared in accordance with GAAP and pursuant to the requirements for reporting on Form 10-K/Q and Article 6 or 10 of Regulation S-X, as appropriate. In accordance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S-53</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300" w:right="2740"/>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JUNE 30, 2014</w:t>
      </w:r>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with Article 6-09 of Regulation S-X, we have provided a Consolidated Statement of Changes in Net Assets in lieu of a Consolidated Statement of Changes in Stockholders’ Equity.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significant accounting policies consistently applied are as follows:</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Investment Valuations</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expect that there will not be readily available market values for many of our investments, which are or will be in our portfolio, and we value such investments at fair value as determined in good faith by or under the direction of our board of directors using a documented valuation policy, described in this Report,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182"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76" w:lineRule="exact"/>
        <w:rPr>
          <w:sz w:val="20"/>
          <w:szCs w:val="20"/>
          <w:color w:val="auto"/>
        </w:rPr>
      </w:pPr>
    </w:p>
    <w:p>
      <w:pPr>
        <w:ind w:left="900" w:right="140" w:hanging="446"/>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130" w:lineRule="exact"/>
        <w:rPr>
          <w:rFonts w:ascii="Arial" w:cs="Arial" w:eastAsia="Arial" w:hAnsi="Arial"/>
          <w:sz w:val="18"/>
          <w:szCs w:val="18"/>
          <w:color w:val="auto"/>
        </w:rPr>
      </w:pPr>
    </w:p>
    <w:p>
      <w:pPr>
        <w:ind w:left="900" w:right="580" w:hanging="446"/>
        <w:spacing w:after="0" w:line="279" w:lineRule="auto"/>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76" w:lineRule="exact"/>
        <w:rPr>
          <w:rFonts w:ascii="Arial" w:cs="Arial" w:eastAsia="Arial" w:hAnsi="Arial"/>
          <w:sz w:val="17"/>
          <w:szCs w:val="17"/>
          <w:color w:val="auto"/>
        </w:rPr>
      </w:pPr>
    </w:p>
    <w:p>
      <w:pPr>
        <w:ind w:left="900" w:right="200" w:hanging="446"/>
        <w:spacing w:after="0" w:line="286" w:lineRule="auto"/>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audit committee of our board of directors reviews the preliminary valuations of the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70" w:lineRule="exact"/>
        <w:rPr>
          <w:rFonts w:ascii="Arial" w:cs="Arial" w:eastAsia="Arial" w:hAnsi="Arial"/>
          <w:sz w:val="17"/>
          <w:szCs w:val="17"/>
          <w:color w:val="auto"/>
        </w:rPr>
      </w:pPr>
    </w:p>
    <w:p>
      <w:pPr>
        <w:ind w:left="900" w:right="340" w:hanging="446"/>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70"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brokers/dealers, if available, or otherwise by a principal market maker or</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S-54</w:t>
      </w:r>
    </w:p>
    <w:p>
      <w:pPr>
        <w:sectPr>
          <w:pgSz w:w="11900" w:h="16838" w:orient="portrait"/>
          <w:cols w:equalWidth="0" w:num="1">
            <w:col w:w="11360"/>
          </w:cols>
          <w:pgMar w:left="240" w:top="459" w:right="29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JUNE 30, 2014</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28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Security Transactions, Revenue Recognition, and Realized/Unrealized Gains or Losses</w:t>
      </w:r>
    </w:p>
    <w:p>
      <w:pPr>
        <w:spacing w:after="0" w:line="117" w:lineRule="exact"/>
        <w:rPr>
          <w:sz w:val="20"/>
          <w:szCs w:val="20"/>
          <w:color w:val="auto"/>
        </w:rPr>
      </w:pPr>
    </w:p>
    <w:p>
      <w:pPr>
        <w:ind w:right="180" w:firstLine="456"/>
        <w:spacing w:after="0" w:line="276" w:lineRule="auto"/>
        <w:rPr>
          <w:sz w:val="20"/>
          <w:szCs w:val="20"/>
          <w:color w:val="auto"/>
        </w:rPr>
      </w:pPr>
      <w:r>
        <w:rPr>
          <w:rFonts w:ascii="Arial" w:cs="Arial" w:eastAsia="Arial" w:hAnsi="Arial"/>
          <w:sz w:val="17"/>
          <w:szCs w:val="17"/>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the fair values of our portfolio investments, our Credit Facility and our 2025 Notes during the reporting period, including any reversal of previously recorded unrealized appreciation or depreciation, when gains or losses are realized.</w:t>
      </w:r>
    </w:p>
    <w:p>
      <w:pPr>
        <w:spacing w:after="0" w:line="17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or OID, market discount or premium and deferred financing costs are capitalized, on liabilities which we do not fair value, and then accreted or amortized using the effective interest method as interest income or interest expense as it relates to our deferred financing costs. We record prepayment penalties on loans and debt investments as income. Dividend income, if any, is recognized on an accrual basis on the ex-dividend date to the extent that we expect to collect such amounts.</w:t>
      </w:r>
    </w:p>
    <w:p>
      <w:pPr>
        <w:spacing w:after="0" w:line="167"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Loans are placed on non-accrual status when principal or interest payments are past due 30 days or more and/or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28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 Income Taxes</w:t>
      </w:r>
    </w:p>
    <w:p>
      <w:pPr>
        <w:spacing w:after="0" w:line="11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have complied with the requirements of Subchapter M of the Code and expect to be subject to taxation as a RIC. As a result, we account for income taxes using the asset liability method prescribed by ASC 740, Income Taxes. Under this method, income taxes are provided for amounts currently payable and for amounts deferred as tax assets and liabilities based on differences between the financial statement carrying amounts and the tax basis of existing assets and liabilities. Based upon PennantPark Investment’s qualification and election to be subject to tax as a RIC, we do not anticipate paying any material level of federal income taxes in the future. Although we are not subject to tax on our income as a RIC, we may elect to retain a portion of our calendar year income. As a result, for both the three and nine months ended June 30, 2014, we accrued estimated taxes of less than $0.1 million. For the three and nine months ended June 30, 2013, we accrued a tax expense (benefit) of less than $0.1 million and $(0.1) million, respectively.</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S-55</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340" w:right="2700"/>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JUNE 30, 2014</w:t>
      </w:r>
    </w:p>
    <w:p>
      <w:pPr>
        <w:spacing w:after="0" w:line="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PennantPark Investment recognizes in its Consolidated Financial Statements the effect of a tax position when it is more likely than not, based on the technical merits, that the position will be sustained upon examination. We did not have any uncertain tax positions that met the recognition or measurement criteria of ASC 740-10-25 nor did we have any unrecognized tax benefits as of the periods presented herein. Although we file federal and state tax returns, our major tax jurisdiction is federal. Our tax returns for each of our federal tax years since 2010 remain subject to examination by the Internal Revenue Service.</w:t>
      </w:r>
    </w:p>
    <w:p>
      <w:pPr>
        <w:spacing w:after="0" w:line="18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 We do not consolidate the Taxable Subsidiaries for income tax purposes, but we do consolidate the results of these Taxable Subsidiaries for financial reporting purposes.</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 Distributions and Capital Transactions</w:t>
      </w:r>
    </w:p>
    <w:p>
      <w:pPr>
        <w:spacing w:after="0" w:line="11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Distributions to common stockholders are recorded on the ex-dividend date. The amount to be paid, if any, as a distribution is ratified by the board of directors each quarter and is generally based upon the earnings estimated by management. Net realized capital gains, if any, are distributed at least annually. The tax attributes for distributions will generally include ordinary income and capital gains, but may also include qualified dividends and/or a return of capital.</w:t>
      </w:r>
    </w:p>
    <w:p>
      <w:pPr>
        <w:spacing w:after="0" w:line="187"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279" w:lineRule="exact"/>
        <w:rPr>
          <w:sz w:val="20"/>
          <w:szCs w:val="20"/>
          <w:color w:val="auto"/>
        </w:rPr>
      </w:pPr>
    </w:p>
    <w:p>
      <w:pPr>
        <w:ind w:left="480" w:hanging="244"/>
        <w:spacing w:after="0"/>
        <w:tabs>
          <w:tab w:leader="none" w:pos="480" w:val="left"/>
        </w:tabs>
        <w:numPr>
          <w:ilvl w:val="0"/>
          <w:numId w:val="2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Foreign Currency Translation</w:t>
      </w:r>
    </w:p>
    <w:p>
      <w:pPr>
        <w:spacing w:after="0" w:line="117"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7"/>
          <w:szCs w:val="17"/>
          <w:color w:val="auto"/>
        </w:rPr>
        <w:t>Our books and records are maintained in U.S. dollars. Any foreign currency amounts are translated into U.S. dollars on the following basis:</w:t>
      </w:r>
    </w:p>
    <w:p>
      <w:pPr>
        <w:spacing w:after="0" w:line="142" w:lineRule="exact"/>
        <w:rPr>
          <w:rFonts w:ascii="Arial" w:cs="Arial" w:eastAsia="Arial" w:hAnsi="Arial"/>
          <w:sz w:val="18"/>
          <w:szCs w:val="18"/>
          <w:b w:val="1"/>
          <w:bCs w:val="1"/>
          <w:i w:val="1"/>
          <w:iCs w:val="1"/>
          <w:color w:val="auto"/>
        </w:rPr>
      </w:pPr>
    </w:p>
    <w:p>
      <w:pPr>
        <w:ind w:left="1480" w:hanging="567"/>
        <w:spacing w:after="0"/>
        <w:tabs>
          <w:tab w:leader="none" w:pos="1480" w:val="left"/>
        </w:tabs>
        <w:numPr>
          <w:ilvl w:val="1"/>
          <w:numId w:val="24"/>
        </w:numPr>
        <w:rPr>
          <w:rFonts w:ascii="Arial" w:cs="Arial" w:eastAsia="Arial" w:hAnsi="Arial"/>
          <w:sz w:val="16"/>
          <w:szCs w:val="16"/>
          <w:color w:val="auto"/>
        </w:rPr>
      </w:pPr>
      <w:r>
        <w:rPr>
          <w:rFonts w:ascii="Arial" w:cs="Arial" w:eastAsia="Arial" w:hAnsi="Arial"/>
          <w:sz w:val="16"/>
          <w:szCs w:val="16"/>
          <w:color w:val="auto"/>
        </w:rPr>
        <w:t>Fair value of investment securities, other assets and liabilities – at the exchange rates prevailing at the end of the applicable period; and</w:t>
      </w:r>
    </w:p>
    <w:p>
      <w:pPr>
        <w:spacing w:after="0" w:line="153" w:lineRule="exact"/>
        <w:rPr>
          <w:rFonts w:ascii="Arial" w:cs="Arial" w:eastAsia="Arial" w:hAnsi="Arial"/>
          <w:sz w:val="16"/>
          <w:szCs w:val="16"/>
          <w:color w:val="auto"/>
        </w:rPr>
      </w:pPr>
    </w:p>
    <w:p>
      <w:pPr>
        <w:ind w:left="1480" w:right="340" w:hanging="567"/>
        <w:spacing w:after="0" w:line="277" w:lineRule="auto"/>
        <w:tabs>
          <w:tab w:leader="none" w:pos="14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Purchases and sales of investment securities, income and expenses – at the exchange rates prevailing on the respective dates of such transactions.</w:t>
      </w:r>
    </w:p>
    <w:p>
      <w:pPr>
        <w:spacing w:after="0" w:line="170"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Although net assets and fair values are presented based on the applicable foreign exchange rates described above, we do not isolate that portion of the results of operations due to changes in foreign exchange rates on investments and debt from the fluctuations arising from changes in fair values of investments and liabilities held. Such fluctuations are included with the net realized and unrealized gain or loss from investments and liabilities.</w:t>
      </w:r>
    </w:p>
    <w:p>
      <w:pPr>
        <w:spacing w:after="0" w:line="14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Foreign security and currency translations may involve certain considerations and risks not typically associated with investing in U.S. companies and U.S. government securities. These risks include, but are not limited to, currency fluctuations and revaluations and future adverse political, social and economic developments, which could cause investments in foreign markets to be less liquid and prices to be more volatile than those of comparable U.S. companies or U.S. government securities.</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S-56</w:t>
      </w:r>
    </w:p>
    <w:p>
      <w:pPr>
        <w:sectPr>
          <w:pgSz w:w="11900" w:h="16838" w:orient="portrait"/>
          <w:cols w:equalWidth="0" w:num="1">
            <w:col w:w="11320"/>
          </w:cols>
          <w:pgMar w:left="240" w:top="459" w:right="3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JUNE 30, 2014</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 Consolidation</w:t>
      </w:r>
    </w:p>
    <w:p>
      <w:pPr>
        <w:spacing w:after="0" w:line="117"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As permitted under Regulation S-X and as explained by ASC 946-810-45, PennantPark Investment will generally not consolidate its investment in a company other than an investment company subsidiary or a controlled operating company whose business consists of providing services to us. Accordingly, we have consolidated the results of our SBIC Funds and our Taxable Subsidiaries in our Consolidated Financial Statements.</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 Recent Accounting Pronouncements</w:t>
      </w:r>
    </w:p>
    <w:p>
      <w:pPr>
        <w:spacing w:after="0" w:line="117" w:lineRule="exact"/>
        <w:rPr>
          <w:sz w:val="20"/>
          <w:szCs w:val="20"/>
          <w:color w:val="auto"/>
        </w:rPr>
      </w:pPr>
    </w:p>
    <w:p>
      <w:pPr>
        <w:ind w:right="220" w:firstLine="456"/>
        <w:spacing w:after="0" w:line="297" w:lineRule="auto"/>
        <w:rPr>
          <w:sz w:val="20"/>
          <w:szCs w:val="20"/>
          <w:color w:val="auto"/>
        </w:rPr>
      </w:pPr>
      <w:r>
        <w:rPr>
          <w:rFonts w:ascii="Arial" w:cs="Arial" w:eastAsia="Arial" w:hAnsi="Arial"/>
          <w:sz w:val="16"/>
          <w:szCs w:val="16"/>
          <w:color w:val="auto"/>
        </w:rPr>
        <w:t>In June 2013, the Financial Accounting Standards Board (“FASB”) issued Accounting Standards Update 2013-08, Financial Services—Investment Companies (Topic 946): Amendments to the Scope, Measurement, and Disclosure Requirements (“ASU 2013-08”). ASU 2013-08 provides an approach to assess whether a company is an investment company, clarifies the characteristics of an investment company, and provides new measurement and disclosure requirements. ASU 2013-08 is effective for interim and annual reporting periods in fiscal years that begin after December 15, 2013. Earlier application is prohibited. We are currently evaluating ASU 2013-08 to determine the effect, if any, on our Consolidated Financial Statements and disclosures.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Investment Management Agreement with the Investment Adviser was reapproved by our board of directors, including a majority of our directors who are not interested persons of us or the Investment Adviser, in February 2014. Under the Investment Management Agreement, the Investment Adviser, subject to the overall supervision of our board of directors, manages the day-to-day operations of and provides investment advisory services to PennantPark Investment. Our SBIC Funds’ investment management agreements do not affect the management or incentive fees that we pay to the Investment Adviser on a consolidated basis. For providing these services, the Investment Adviser receives a fee from us consisting of two components—a base management fee and an incentive fee.</w:t>
      </w:r>
    </w:p>
    <w:p>
      <w:pPr>
        <w:spacing w:after="0" w:line="193"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The base management fee is calculated at an annual rate of 2.00% of our “average adjusted gross assets,” which equals our gross assets (net of U.S. Treasury Bills, temporary draws under any credit facility, repurchase agreements or other balance sheet transactions undertaken at the end of a fiscal quarter for purposes of preserving investment flexibility for the next quarter and adjusted to exclude cash, cash equivalents and unfunded delayed draw loans, if any)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the three and nine months ended June 30, 2014, the Investment Adviser earned base management fees of $6.1 million and $17.9 million, respectively, from us. For the three and nine months ended June 30, 2013, the Investment Adviser earned base management fees of $5.4 million and $15.9 million, respectively, from us.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has two parts, as follows:</w:t>
      </w:r>
    </w:p>
    <w:p>
      <w:pPr>
        <w:spacing w:after="0" w:line="225"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One part is calculated and payable quarterly in arrears based on our Pre-Incentive Fee Net Investment Income for the immediately preceding calendar quarter. For this purpose, Pre-Incentive Fee Net Investment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S-57</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80"/>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JUNE 30, 2014</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Income means interest income, dividend income and any other income, including any other fees, other than fees for providing managerial assistance, such as commitment, origination,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deferred interest feature (such as OID, debt instruments with PIK interest and zero coupon securities), accrued income not yet received in cash. Pre-Incentive Fee Net Investment Income does not include any realized capital gains on investments,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100% of our Pre-Incentive Fee Net Investment Income with respect to that portion of such Pre-Incentive Fee Net Investment Income, if any, that exceeds the hurdle rate but is less than 2.1875% in any calendar quarter (8.75% annualized), and (3) 20% of the amount of our Pre-Incentive Fee Net Investment Income, if any, that exceeds 2.1875% in any calendar quarter. These calculations are adjusted for any share issuances or repurchases during the relevant quarter. For the three and nine months ended June 30, 2014, the Investment Adviser earned an incentive fee on net investment income as calculated under the Investment Management Agreement of $3.7 million and $13.2 million, respectively, from us. For the three and nine months ended June 30, 2013, the Investment Adviser earned an incentive fee on net investment income as calculated under the Investment Management Agreement of $4.4 million and $12.5 million, respectively, from us.</w:t>
      </w:r>
    </w:p>
    <w:p>
      <w:pPr>
        <w:spacing w:after="0" w:line="178"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The second part of the incentive fee is determined and payable in arrears as of the end of each calendar year (or upon termination of the Investment Management Agreement, as of the termination date) and equals 20% of our realized capital gains on investments, if any, on a cumulative basis from inception through the end of each calendar year, computed net of all realized capital losses and unrealized capital depreciation on a cumulative basis, less the aggregate amount of any previously paid capital gain incentive fees. For each of the three and nine months ended June 30, 2014 and 2013, the Investment Adviser did not earn an incentive fee on capital gains as calculated under the Investment Management Agreement (as described above).</w:t>
      </w:r>
    </w:p>
    <w:p>
      <w:pPr>
        <w:spacing w:after="0" w:line="15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Under GAAP, we are required to accrue a capital gains incentive fee based upon net realized capital gains and net unrealized capital appreciation and depreciation on investments and foreign currencies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 of such amount, less the aggregate amount of actual capital gains related incentive fees paid in all prior years. If such amount is negative, then there is no accrual for such year. There can be no assurance that such unrealized capital appreciation will be realized in the future. For each of the three and nine months ended June 30, 2014, the Investment Adviser accrued an incentive fee on unrealized and realized capital gains as calculated under GAAP of $1.7 million. For each of the three and nine months ended June 30, 2013, the Investment Adviser did not accrue an incentive fee on capital gains as calculated under GAAP.</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S-58</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JUNE 30, 2014</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Administration Agreement with the Administrator was reapproved by our board of directors, including a majority of our directors who are not interested persons of us, in February 2014. Under the Administration Agreement, the Administrator provides administrative services and office facilities to us. The Administrator provides similar services to our SBIC Funds under each of their administration agreements with PennantPark Investment. For providing these services, facilities and personnel, PennantPark Investment has agreed to reimburse the Administrator for our allocable portion of overhead and other expenses incurred by the Administrator in performing its obligations under our Administration Agreement, including rent, technology systems, insurance and PennantPark Investment’s allocable portion of the costs of compensation and related expenses for its Chief Compliance Officer, Chief Financial Officer and their respective staffs. The Administrator also offers, on PennantPark Investment’s behalf, managerial assistance to portfolio companies to which PennantPark Investment is required to offer such assistance. Reimbursement for certain of these costs is included in administrative services expenses in the Consolidated Statement of Operations. For the three and nine months ended June 30, 2014, the Investment Adviser was reimbursed $0.6 million and $2.7 million, respectively, from us, including expenses incurred on behalf of the Administrator, for the services described above. For the three and nine months ended June 30, 2013, the Investment Adviser was reimbursed $0.5 million and $2.5 million, respectively, from us, including expenses incurred on behalf of the Administrator, for the services described above.</w:t>
      </w:r>
    </w:p>
    <w:p>
      <w:pPr>
        <w:spacing w:after="0" w:line="180"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PennantPark Investment has entered into an administration agreement with its controlled affiliate SPH. Under the administration agreement with SPH, or the SPH Administration Agreement, PennantPark Investment through the Administrator furnishes SPH with office facilities, equipment and clerical, bookkeeping and record keeping services at such facilities. Additionally, the Administrator performs or oversees the performance of SPH’s required administrative services, which include, among other things, maintaining financial records, preparing financial reports and filing tax returns. Payments under the SPH Administration Agreement are equal to an amount based upon SPH’s allocable portion of the Administrator’s overhead in performing its obligations under the SPH Administration Agreement, including rent and allocable portion of the cost of compensation and related expenses of our Chief Financial Officer and his staff. For the three and nine months ended June 30, 2014, PennantPark Investment was reimbursed $0.1 million and $0.4 million, respectively, for the services described above. For the three and nine months ended June 30, 2013, PennantPark Investment was reimbursed $0.1 million and $0.3 million, respectively, for the services described above.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w:t>
      </w:r>
    </w:p>
    <w:p>
      <w:pPr>
        <w:spacing w:after="0" w:line="121"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Purchases of investments, including PIK, for the three and nine months ended June 30, 2014 totaled $193.7 million and $568.4 million, respectively. For the same periods in the prior year, purchases of investments, including PIK, totaled $76.6 million and $326.8 million, respectively. Sales and repayments of investments for the three and nine months ended June 30, 2014 totaled $273.6 million and $534.4 million, respectively. For the same periods in the prior year, sales and repayments of investments totaled $117.8 million and $271.2 million, respectively.</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S-59</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80" w:right="2560"/>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JUNE 30, 2014</w:t>
      </w:r>
    </w:p>
    <w:p>
      <w:pPr>
        <w:spacing w:after="0" w:line="2"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and cash and cash equivalents consisted of the following:</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Investment Classification</w:t>
            </w:r>
          </w:p>
        </w:tc>
        <w:tc>
          <w:tcPr>
            <w:tcW w:w="160" w:type="dxa"/>
            <w:vAlign w:val="bottom"/>
          </w:tcPr>
          <w:p>
            <w:pPr>
              <w:spacing w:after="0"/>
              <w:rPr>
                <w:sz w:val="14"/>
                <w:szCs w:val="14"/>
                <w:color w:val="auto"/>
              </w:rPr>
            </w:pPr>
          </w:p>
        </w:tc>
        <w:tc>
          <w:tcPr>
            <w:tcW w:w="1720" w:type="dxa"/>
            <w:vAlign w:val="bottom"/>
            <w:gridSpan w:val="4"/>
          </w:tcPr>
          <w:p>
            <w:pPr>
              <w:jc w:val="right"/>
              <w:spacing w:after="0"/>
              <w:rPr>
                <w:sz w:val="20"/>
                <w:szCs w:val="20"/>
                <w:color w:val="auto"/>
              </w:rPr>
            </w:pPr>
            <w:r>
              <w:rPr>
                <w:rFonts w:ascii="Arial" w:cs="Arial" w:eastAsia="Arial" w:hAnsi="Arial"/>
                <w:sz w:val="14"/>
                <w:szCs w:val="14"/>
                <w:b w:val="1"/>
                <w:bCs w:val="1"/>
                <w:color w:val="auto"/>
              </w:rPr>
              <w:t>June 30, 2014</w:t>
            </w: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20" w:type="dxa"/>
            <w:vAlign w:val="bottom"/>
            <w:gridSpan w:val="6"/>
          </w:tcPr>
          <w:p>
            <w:pPr>
              <w:ind w:left="720"/>
              <w:spacing w:after="0"/>
              <w:rPr>
                <w:sz w:val="20"/>
                <w:szCs w:val="20"/>
                <w:color w:val="auto"/>
              </w:rPr>
            </w:pPr>
            <w:r>
              <w:rPr>
                <w:rFonts w:ascii="Arial" w:cs="Arial" w:eastAsia="Arial" w:hAnsi="Arial"/>
                <w:sz w:val="14"/>
                <w:szCs w:val="14"/>
                <w:b w:val="1"/>
                <w:bCs w:val="1"/>
                <w:color w:val="auto"/>
              </w:rPr>
              <w:t>September 30, 2013</w:t>
            </w:r>
          </w:p>
        </w:tc>
        <w:tc>
          <w:tcPr>
            <w:tcW w:w="0" w:type="dxa"/>
            <w:vAlign w:val="bottom"/>
          </w:tcPr>
          <w:p>
            <w:pPr>
              <w:spacing w:after="0"/>
              <w:rPr>
                <w:sz w:val="1"/>
                <w:szCs w:val="1"/>
                <w:color w:val="auto"/>
              </w:rPr>
            </w:pPr>
          </w:p>
        </w:tc>
      </w:tr>
      <w:tr>
        <w:trPr>
          <w:trHeight w:val="142"/>
        </w:trPr>
        <w:tc>
          <w:tcPr>
            <w:tcW w:w="4080" w:type="dxa"/>
            <w:vAlign w:val="bottom"/>
            <w:gridSpan w:val="2"/>
            <w:vMerge w:val="continue"/>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3"/>
          </w:tcPr>
          <w:p>
            <w:pPr>
              <w:ind w:left="340"/>
              <w:spacing w:after="0" w:line="142" w:lineRule="exact"/>
              <w:rPr>
                <w:sz w:val="20"/>
                <w:szCs w:val="20"/>
                <w:color w:val="auto"/>
              </w:rPr>
            </w:pPr>
            <w:r>
              <w:rPr>
                <w:rFonts w:ascii="Arial" w:cs="Arial" w:eastAsia="Arial" w:hAnsi="Arial"/>
                <w:sz w:val="14"/>
                <w:szCs w:val="14"/>
                <w:b w:val="1"/>
                <w:bCs w:val="1"/>
                <w:color w:val="auto"/>
              </w:rPr>
              <w:t>Cost</w:t>
            </w:r>
          </w:p>
        </w:tc>
        <w:tc>
          <w:tcPr>
            <w:tcW w:w="2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2"/>
          </w:tcPr>
          <w:p>
            <w:pPr>
              <w:ind w:left="320"/>
              <w:spacing w:after="0" w:line="142" w:lineRule="exact"/>
              <w:rPr>
                <w:sz w:val="20"/>
                <w:szCs w:val="20"/>
                <w:color w:val="auto"/>
              </w:rPr>
            </w:pPr>
            <w:r>
              <w:rPr>
                <w:rFonts w:ascii="Arial" w:cs="Arial" w:eastAsia="Arial" w:hAnsi="Arial"/>
                <w:sz w:val="14"/>
                <w:szCs w:val="14"/>
                <w:b w:val="1"/>
                <w:bCs w:val="1"/>
                <w:color w:val="auto"/>
              </w:rPr>
              <w:t>Cost</w:t>
            </w: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First lien</w:t>
            </w:r>
          </w:p>
        </w:tc>
        <w:tc>
          <w:tcPr>
            <w:tcW w:w="25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297,962,276</w:t>
            </w: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310,190,839</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290,000,430</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299,516,291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Second lien</w:t>
            </w:r>
          </w:p>
        </w:tc>
        <w:tc>
          <w:tcPr>
            <w:tcW w:w="1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475,288,084</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486,110,731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346,717,448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357,543,217</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debt / corporate notes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276,156,571</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282,432,876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311,240,637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302,447,308</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Preferred equity and partnership interests</w:t>
            </w:r>
          </w:p>
        </w:tc>
        <w:tc>
          <w:tcPr>
            <w:tcW w:w="1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35,018,951</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15,807,778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65,943,244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12,830,669</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equity and partnership interests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89,994,935</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103,865,331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77,616,126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105,838,068</w:t>
            </w:r>
          </w:p>
        </w:tc>
        <w:tc>
          <w:tcPr>
            <w:tcW w:w="0" w:type="dxa"/>
            <w:vAlign w:val="bottom"/>
          </w:tcPr>
          <w:p>
            <w:pPr>
              <w:spacing w:after="0"/>
              <w:rPr>
                <w:sz w:val="1"/>
                <w:szCs w:val="1"/>
                <w:color w:val="auto"/>
              </w:rPr>
            </w:pPr>
          </w:p>
        </w:tc>
      </w:tr>
      <w:tr>
        <w:trPr>
          <w:trHeight w:val="223"/>
        </w:trPr>
        <w:tc>
          <w:tcPr>
            <w:tcW w:w="4080" w:type="dxa"/>
            <w:vAlign w:val="bottom"/>
            <w:gridSpan w:val="2"/>
          </w:tcPr>
          <w:p>
            <w:pPr>
              <w:spacing w:after="0"/>
              <w:rPr>
                <w:sz w:val="20"/>
                <w:szCs w:val="20"/>
                <w:color w:val="auto"/>
              </w:rPr>
            </w:pPr>
            <w:r>
              <w:rPr>
                <w:rFonts w:ascii="Arial" w:cs="Arial" w:eastAsia="Arial" w:hAnsi="Arial"/>
                <w:sz w:val="18"/>
                <w:szCs w:val="18"/>
                <w:color w:val="auto"/>
              </w:rPr>
              <w:t>Total investments</w:t>
            </w: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1,174,420,817</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1,198,407,555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1,091,517,885</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1,078,175,553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64,349,609</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64,390,787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58,440,829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58,440,829</w:t>
            </w:r>
          </w:p>
        </w:tc>
        <w:tc>
          <w:tcPr>
            <w:tcW w:w="0" w:type="dxa"/>
            <w:vAlign w:val="bottom"/>
          </w:tcPr>
          <w:p>
            <w:pPr>
              <w:spacing w:after="0"/>
              <w:rPr>
                <w:sz w:val="1"/>
                <w:szCs w:val="1"/>
                <w:color w:val="auto"/>
              </w:rPr>
            </w:pPr>
          </w:p>
        </w:tc>
      </w:tr>
      <w:tr>
        <w:trPr>
          <w:trHeight w:val="223"/>
        </w:trPr>
        <w:tc>
          <w:tcPr>
            <w:tcW w:w="4080" w:type="dxa"/>
            <w:vAlign w:val="bottom"/>
            <w:gridSpan w:val="2"/>
          </w:tcPr>
          <w:p>
            <w:pPr>
              <w:spacing w:after="0"/>
              <w:rPr>
                <w:sz w:val="20"/>
                <w:szCs w:val="20"/>
                <w:color w:val="auto"/>
              </w:rPr>
            </w:pPr>
            <w:r>
              <w:rPr>
                <w:rFonts w:ascii="Arial" w:cs="Arial" w:eastAsia="Arial" w:hAnsi="Arial"/>
                <w:sz w:val="18"/>
                <w:szCs w:val="18"/>
                <w:color w:val="auto"/>
              </w:rPr>
              <w:t>Total investments, cash and cash equivalents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1,238,770,426</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1,262,798,342</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1,149,958,714</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1,136,616,382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table below describes investments by industry classification and enumerates the percentage, by fair value, of the total portfolio assets (excluding cash equivalents) in such industries as of:</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85"/>
        </w:trPr>
        <w:tc>
          <w:tcPr>
            <w:tcW w:w="3940" w:type="dxa"/>
            <w:vAlign w:val="bottom"/>
            <w:gridSpan w:val="2"/>
          </w:tcPr>
          <w:p>
            <w:pPr>
              <w:spacing w:after="0"/>
              <w:rPr>
                <w:sz w:val="20"/>
                <w:szCs w:val="20"/>
                <w:color w:val="auto"/>
              </w:rPr>
            </w:pPr>
            <w:r>
              <w:rPr>
                <w:rFonts w:ascii="Arial" w:cs="Arial" w:eastAsia="Arial" w:hAnsi="Arial"/>
                <w:sz w:val="14"/>
                <w:szCs w:val="14"/>
                <w:b w:val="1"/>
                <w:bCs w:val="1"/>
                <w:color w:val="auto"/>
              </w:rPr>
              <w:t>Industry Classification</w:t>
            </w:r>
          </w:p>
        </w:tc>
        <w:tc>
          <w:tcPr>
            <w:tcW w:w="276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rPr>
              <w:t>June 30, 2014</w:t>
            </w:r>
          </w:p>
        </w:tc>
        <w:tc>
          <w:tcPr>
            <w:tcW w:w="19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September 30, 2013</w:t>
            </w:r>
          </w:p>
        </w:tc>
        <w:tc>
          <w:tcPr>
            <w:tcW w:w="0" w:type="dxa"/>
            <w:vAlign w:val="bottom"/>
          </w:tcPr>
          <w:p>
            <w:pPr>
              <w:spacing w:after="0"/>
              <w:rPr>
                <w:sz w:val="1"/>
                <w:szCs w:val="1"/>
                <w:color w:val="auto"/>
              </w:rPr>
            </w:pPr>
          </w:p>
        </w:tc>
      </w:tr>
      <w:tr>
        <w:trPr>
          <w:trHeight w:val="20"/>
        </w:trPr>
        <w:tc>
          <w:tcPr>
            <w:tcW w:w="1400" w:type="dxa"/>
            <w:vAlign w:val="bottom"/>
            <w:shd w:val="clear" w:color="auto" w:fill="000000"/>
          </w:tcPr>
          <w:p>
            <w:pPr>
              <w:spacing w:after="0" w:line="20" w:lineRule="exact"/>
              <w:rPr>
                <w:sz w:val="1"/>
                <w:szCs w:val="1"/>
                <w:color w:val="auto"/>
              </w:rPr>
            </w:pPr>
          </w:p>
        </w:tc>
        <w:tc>
          <w:tcPr>
            <w:tcW w:w="2540" w:type="dxa"/>
            <w:vAlign w:val="bottom"/>
            <w:vMerge w:val="restart"/>
            <w:shd w:val="clear" w:color="auto" w:fill="CCEEFF"/>
          </w:tcPr>
          <w:p>
            <w:pPr>
              <w:spacing w:after="0" w:line="20" w:lineRule="exact"/>
              <w:rPr>
                <w:sz w:val="1"/>
                <w:szCs w:val="1"/>
                <w:color w:val="auto"/>
              </w:rPr>
            </w:pPr>
          </w:p>
        </w:tc>
        <w:tc>
          <w:tcPr>
            <w:tcW w:w="120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w w:val="86"/>
              </w:rPr>
              <w:t>Consumer Products</w:t>
            </w:r>
          </w:p>
        </w:tc>
        <w:tc>
          <w:tcPr>
            <w:tcW w:w="2540" w:type="dxa"/>
            <w:vAlign w:val="bottom"/>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5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w:t>
            </w:r>
          </w:p>
        </w:tc>
        <w:tc>
          <w:tcPr>
            <w:tcW w:w="580" w:type="dxa"/>
            <w:vAlign w:val="bottom"/>
            <w:vMerge w:val="continue"/>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Personal, Food and Miscellaneous Services</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Oil and Gas</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7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Buildings Materials</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7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Electronics</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72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Printing and Publishing</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7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Auto Sector</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72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Buildings and Real Estate</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Healthcare, Education and Childcare</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72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Hotels, Motels, Inns and Gaming</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7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Insurance</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72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Media</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Other Media</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72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Retail</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Chemicals, Plastics and Rubber</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72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Communications</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7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Distribution</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72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Diversified Natural Resources, Precious Metals and</w:t>
            </w:r>
          </w:p>
        </w:tc>
        <w:tc>
          <w:tcPr>
            <w:tcW w:w="1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Minerals</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72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Environmental Services</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72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Services</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7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Energy/Utilities</w:t>
            </w:r>
          </w:p>
        </w:tc>
        <w:tc>
          <w:tcPr>
            <w:tcW w:w="1200" w:type="dxa"/>
            <w:vAlign w:val="bottom"/>
          </w:tcPr>
          <w:p>
            <w:pPr>
              <w:spacing w:after="0"/>
              <w:rPr>
                <w:sz w:val="18"/>
                <w:szCs w:val="18"/>
                <w:color w:val="auto"/>
              </w:rPr>
            </w:pPr>
          </w:p>
        </w:tc>
        <w:tc>
          <w:tcPr>
            <w:tcW w:w="156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2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00" w:type="dxa"/>
            <w:vAlign w:val="bottom"/>
          </w:tcPr>
          <w:p>
            <w:pPr>
              <w:spacing w:after="0"/>
              <w:rPr>
                <w:sz w:val="19"/>
                <w:szCs w:val="19"/>
                <w:color w:val="auto"/>
              </w:rPr>
            </w:pPr>
          </w:p>
        </w:tc>
        <w:tc>
          <w:tcPr>
            <w:tcW w:w="1560" w:type="dxa"/>
            <w:vAlign w:val="bottom"/>
            <w:gridSpan w:val="2"/>
          </w:tcPr>
          <w:p>
            <w:pPr>
              <w:jc w:val="right"/>
              <w:ind w:right="580"/>
              <w:spacing w:after="0"/>
              <w:rPr>
                <w:sz w:val="20"/>
                <w:szCs w:val="20"/>
                <w:color w:val="auto"/>
              </w:rPr>
            </w:pPr>
            <w:r>
              <w:rPr>
                <w:rFonts w:ascii="Arial" w:cs="Arial" w:eastAsia="Arial" w:hAnsi="Arial"/>
                <w:sz w:val="18"/>
                <w:szCs w:val="18"/>
                <w:color w:val="auto"/>
              </w:rPr>
              <w:t>100%</w:t>
            </w:r>
          </w:p>
        </w:tc>
        <w:tc>
          <w:tcPr>
            <w:tcW w:w="58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4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760" w:type="dxa"/>
            <w:vAlign w:val="bottom"/>
            <w:gridSpan w:val="3"/>
          </w:tcPr>
          <w:p>
            <w:pPr>
              <w:jc w:val="right"/>
              <w:ind w:right="2200"/>
              <w:spacing w:after="0"/>
              <w:rPr>
                <w:sz w:val="20"/>
                <w:szCs w:val="20"/>
                <w:color w:val="auto"/>
              </w:rPr>
            </w:pPr>
            <w:r>
              <w:rPr>
                <w:rFonts w:ascii="Arial" w:cs="Arial" w:eastAsia="Arial" w:hAnsi="Arial"/>
                <w:sz w:val="18"/>
                <w:szCs w:val="18"/>
                <w:color w:val="auto"/>
              </w:rPr>
              <w:t>S-60</w:t>
            </w:r>
          </w:p>
        </w:tc>
        <w:tc>
          <w:tcPr>
            <w:tcW w:w="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59" w:right="4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80"/>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JUNE 30, 2014</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121"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131" w:lineRule="exact"/>
        <w:rPr>
          <w:sz w:val="20"/>
          <w:szCs w:val="20"/>
          <w:color w:val="auto"/>
        </w:rPr>
      </w:pPr>
    </w:p>
    <w:p>
      <w:pPr>
        <w:ind w:left="1620" w:right="520" w:hanging="1160"/>
        <w:spacing w:after="0" w:line="277" w:lineRule="auto"/>
        <w:tabs>
          <w:tab w:leader="none" w:pos="16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Inputs that are quoted prices (unadjusted) in active markets for identical assets or liabilities, accessible by us at the measurement date.</w:t>
      </w:r>
    </w:p>
    <w:p>
      <w:pPr>
        <w:spacing w:after="0" w:line="130" w:lineRule="exact"/>
        <w:rPr>
          <w:sz w:val="20"/>
          <w:szCs w:val="20"/>
          <w:color w:val="auto"/>
        </w:rPr>
      </w:pPr>
    </w:p>
    <w:p>
      <w:pPr>
        <w:ind w:left="1620" w:right="800" w:hanging="1160"/>
        <w:spacing w:after="0" w:line="264" w:lineRule="auto"/>
        <w:tabs>
          <w:tab w:leader="none" w:pos="160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141" w:lineRule="exact"/>
        <w:rPr>
          <w:sz w:val="20"/>
          <w:szCs w:val="20"/>
          <w:color w:val="auto"/>
        </w:rPr>
      </w:pPr>
    </w:p>
    <w:p>
      <w:pPr>
        <w:ind w:left="1620" w:right="1240" w:hanging="1160"/>
        <w:spacing w:after="0" w:line="277" w:lineRule="auto"/>
        <w:tabs>
          <w:tab w:leader="none" w:pos="160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Inputs that are unobservable for an asset or liability because they are based on our own assumptions about how market participants would price the asset or liability.</w:t>
      </w:r>
    </w:p>
    <w:p>
      <w:pPr>
        <w:spacing w:after="0" w:line="170"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A financial instrument’s categorization within the valuation hierarchy is based upon the lowest level of input that is significant to the fair value measurement. Generally, most of our investments and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 A review of fair value hierarchy classifications is conducted on a quarterly basis.</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inputs into the determination of fair value may require significant management judgment or estimation. Even if observable market data are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was available. Corroborating evidence that would result in classifying these non-binding broker/dealer bids as a Level 2 asset includes observable market-based transactions for the same or similar assets or other relevant observable market-based inputs that may be used in pricing an asset.</w:t>
      </w:r>
    </w:p>
    <w:p>
      <w:pPr>
        <w:spacing w:after="0" w:line="193"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Our investments are generally structured as debt and equity investments in the form of senior secured loans, mezzanine debt and equity co-investments.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Within our fair value hierarchy table, our investments are generally categorized as first lien, second lien, subordinated</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S-61</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80"/>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JUNE 30, 2014</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debt and preferred and common equity investments.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During the nine months ended June 30, 2014, our ability to observe valuation inputs has resulted in no reclassification of assets between any levels. This compares to the nine months ended June 30, 2013, which resulted in the reclassification of one asset from Level 3 to 2 and no other transfers between levels.</w:t>
      </w:r>
    </w:p>
    <w:p>
      <w:pPr>
        <w:spacing w:after="0" w:line="188"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In addition to using the above inputs in cash equivalents, investments, the 2025 Notes and our long-term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181"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As outlined in the table below, some of our Level 3 investments using a market approach valuation technique are valued using the average of the bids from brokers or dealers. The bids include a disclaimer, may not have corroborating evidence and may be the result of consensus pricing. The Investment Adviser assesses the source and reliability of bids from brokers or dealers. If the board of directors has a bona fide reason to believe any such bids do not reflect the fair value on an investment, it may independently value such investment by using the valuation procedure that it uses with respect to assets for which market quotations are not readily available.</w:t>
      </w:r>
    </w:p>
    <w:p>
      <w:pPr>
        <w:spacing w:after="0" w:line="188"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remainder of our portfolio, including our long-term Credit Facility, is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These non-public investments using unobservable inputs are included in Level 3 of the fair value hierarchy.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S-62</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JUNE 30, 2014</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Level 3 valuation techniques, unobservable inputs and ranges were categorized as follows for ASC 820 purposes: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3"/>
          </w:tcPr>
          <w:p>
            <w:pPr>
              <w:ind w:left="120"/>
              <w:spacing w:after="0"/>
              <w:rPr>
                <w:sz w:val="20"/>
                <w:szCs w:val="20"/>
                <w:color w:val="auto"/>
              </w:rPr>
            </w:pPr>
            <w:r>
              <w:rPr>
                <w:rFonts w:ascii="Arial" w:cs="Arial" w:eastAsia="Arial" w:hAnsi="Arial"/>
                <w:sz w:val="14"/>
                <w:szCs w:val="14"/>
                <w:b w:val="1"/>
                <w:bCs w:val="1"/>
                <w:color w:val="auto"/>
              </w:rPr>
              <w:t>Fair Value at</w:t>
            </w:r>
          </w:p>
        </w:tc>
        <w:tc>
          <w:tcPr>
            <w:tcW w:w="200" w:type="dxa"/>
            <w:vAlign w:val="bottom"/>
          </w:tcPr>
          <w:p>
            <w:pPr>
              <w:spacing w:after="0"/>
              <w:rPr>
                <w:sz w:val="14"/>
                <w:szCs w:val="14"/>
                <w:color w:val="auto"/>
              </w:rPr>
            </w:pPr>
          </w:p>
        </w:tc>
        <w:tc>
          <w:tcPr>
            <w:tcW w:w="214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Valuation Technique</w:t>
            </w:r>
          </w:p>
        </w:tc>
        <w:tc>
          <w:tcPr>
            <w:tcW w:w="120" w:type="dxa"/>
            <w:vAlign w:val="bottom"/>
          </w:tcPr>
          <w:p>
            <w:pPr>
              <w:spacing w:after="0"/>
              <w:rPr>
                <w:sz w:val="14"/>
                <w:szCs w:val="14"/>
                <w:color w:val="auto"/>
              </w:rPr>
            </w:pPr>
          </w:p>
        </w:tc>
        <w:tc>
          <w:tcPr>
            <w:tcW w:w="226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4"/>
              </w:rPr>
              <w:t>Unobservable Input</w:t>
            </w: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3"/>
              </w:rPr>
              <w:t>Range of Input</w:t>
            </w:r>
          </w:p>
        </w:tc>
        <w:tc>
          <w:tcPr>
            <w:tcW w:w="0" w:type="dxa"/>
            <w:vAlign w:val="bottom"/>
          </w:tcPr>
          <w:p>
            <w:pPr>
              <w:spacing w:after="0"/>
              <w:rPr>
                <w:sz w:val="1"/>
                <w:szCs w:val="1"/>
                <w:color w:val="auto"/>
              </w:rPr>
            </w:pPr>
          </w:p>
        </w:tc>
      </w:tr>
      <w:tr>
        <w:trPr>
          <w:trHeight w:val="171"/>
        </w:trPr>
        <w:tc>
          <w:tcPr>
            <w:tcW w:w="2460" w:type="dxa"/>
            <w:vAlign w:val="bottom"/>
            <w:gridSpan w:val="3"/>
            <w:vMerge w:val="continue"/>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3"/>
          </w:tcPr>
          <w:p>
            <w:pPr>
              <w:ind w:left="100"/>
              <w:spacing w:after="0"/>
              <w:rPr>
                <w:sz w:val="20"/>
                <w:szCs w:val="20"/>
                <w:color w:val="auto"/>
              </w:rPr>
            </w:pPr>
            <w:r>
              <w:rPr>
                <w:rFonts w:ascii="Arial" w:cs="Arial" w:eastAsia="Arial" w:hAnsi="Arial"/>
                <w:sz w:val="14"/>
                <w:szCs w:val="14"/>
                <w:b w:val="1"/>
                <w:bCs w:val="1"/>
                <w:color w:val="auto"/>
              </w:rPr>
              <w:t>June 30, 2014</w:t>
            </w:r>
          </w:p>
        </w:tc>
        <w:tc>
          <w:tcPr>
            <w:tcW w:w="200" w:type="dxa"/>
            <w:vAlign w:val="bottom"/>
          </w:tcPr>
          <w:p>
            <w:pPr>
              <w:spacing w:after="0"/>
              <w:rPr>
                <w:sz w:val="14"/>
                <w:szCs w:val="14"/>
                <w:color w:val="auto"/>
              </w:rPr>
            </w:pPr>
          </w:p>
        </w:tc>
        <w:tc>
          <w:tcPr>
            <w:tcW w:w="21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2"/>
            <w:vMerge w:val="continue"/>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740" w:type="dxa"/>
            <w:vAlign w:val="bottom"/>
            <w:shd w:val="clear" w:color="auto" w:fill="CCEEFF"/>
          </w:tcPr>
          <w:p>
            <w:pPr>
              <w:spacing w:after="0" w:line="20" w:lineRule="exact"/>
              <w:rPr>
                <w:sz w:val="1"/>
                <w:szCs w:val="1"/>
                <w:color w:val="auto"/>
              </w:rPr>
            </w:pPr>
          </w:p>
        </w:tc>
        <w:tc>
          <w:tcPr>
            <w:tcW w:w="7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980" w:type="dxa"/>
            <w:vAlign w:val="bottom"/>
            <w:tcBorders>
              <w:right w:val="single" w:sz="8" w:color="CCEEFF"/>
            </w:tcBorders>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840" w:type="dxa"/>
            <w:vAlign w:val="bottom"/>
            <w:tcBorders>
              <w:lef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Debt investments</w:t>
            </w:r>
          </w:p>
        </w:tc>
        <w:tc>
          <w:tcPr>
            <w:tcW w:w="7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379,984,051</w:t>
            </w:r>
          </w:p>
        </w:tc>
        <w:tc>
          <w:tcPr>
            <w:tcW w:w="180" w:type="dxa"/>
            <w:vAlign w:val="bottom"/>
            <w:vMerge w:val="continue"/>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Market Comparable</w:t>
            </w:r>
          </w:p>
        </w:tc>
        <w:tc>
          <w:tcPr>
            <w:tcW w:w="120" w:type="dxa"/>
            <w:vAlign w:val="bottom"/>
            <w:vMerge w:val="continue"/>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980" w:type="dxa"/>
            <w:vAlign w:val="bottom"/>
            <w:tcBorders>
              <w:right w:val="single" w:sz="8" w:color="CCEEFF"/>
            </w:tcBorders>
            <w:shd w:val="clear" w:color="auto" w:fill="CCEEFF"/>
          </w:tcPr>
          <w:p>
            <w:pPr>
              <w:jc w:val="center"/>
              <w:ind w:right="101"/>
              <w:spacing w:after="0"/>
              <w:rPr>
                <w:sz w:val="20"/>
                <w:szCs w:val="20"/>
                <w:color w:val="auto"/>
              </w:rPr>
            </w:pPr>
            <w:r>
              <w:rPr>
                <w:rFonts w:ascii="Arial" w:cs="Arial" w:eastAsia="Arial" w:hAnsi="Arial"/>
                <w:sz w:val="16"/>
                <w:szCs w:val="16"/>
                <w:color w:val="auto"/>
                <w:w w:val="92"/>
              </w:rPr>
              <w:t>Broker/Dealer bid quotes</w:t>
            </w:r>
          </w:p>
        </w:tc>
        <w:tc>
          <w:tcPr>
            <w:tcW w:w="280" w:type="dxa"/>
            <w:vAlign w:val="bottom"/>
            <w:vMerge w:val="continue"/>
            <w:shd w:val="clear" w:color="auto" w:fill="CCEEFF"/>
          </w:tcPr>
          <w:p>
            <w:pPr>
              <w:spacing w:after="0"/>
              <w:rPr>
                <w:sz w:val="17"/>
                <w:szCs w:val="17"/>
                <w:color w:val="auto"/>
              </w:rPr>
            </w:pPr>
          </w:p>
        </w:tc>
        <w:tc>
          <w:tcPr>
            <w:tcW w:w="1840" w:type="dxa"/>
            <w:vAlign w:val="bottom"/>
            <w:tcBorders>
              <w:left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40" w:type="dxa"/>
            <w:vAlign w:val="bottom"/>
            <w:gridSpan w:val="2"/>
          </w:tcPr>
          <w:p>
            <w:pPr>
              <w:spacing w:after="0"/>
              <w:rPr>
                <w:sz w:val="20"/>
                <w:szCs w:val="20"/>
                <w:color w:val="auto"/>
              </w:rPr>
            </w:pPr>
            <w:r>
              <w:rPr>
                <w:rFonts w:ascii="Arial" w:cs="Arial" w:eastAsia="Arial" w:hAnsi="Arial"/>
                <w:sz w:val="16"/>
                <w:szCs w:val="16"/>
                <w:color w:val="auto"/>
              </w:rPr>
              <w:t>Debt investments</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650,956,240</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40" w:type="dxa"/>
            <w:vAlign w:val="bottom"/>
            <w:gridSpan w:val="3"/>
          </w:tcPr>
          <w:p>
            <w:pPr>
              <w:ind w:left="160"/>
              <w:spacing w:after="0"/>
              <w:rPr>
                <w:sz w:val="20"/>
                <w:szCs w:val="20"/>
                <w:color w:val="auto"/>
              </w:rPr>
            </w:pPr>
            <w:r>
              <w:rPr>
                <w:rFonts w:ascii="Arial" w:cs="Arial" w:eastAsia="Arial" w:hAnsi="Arial"/>
                <w:sz w:val="16"/>
                <w:szCs w:val="16"/>
                <w:color w:val="auto"/>
              </w:rPr>
              <w:t>Market Comparable</w:t>
            </w:r>
          </w:p>
        </w:tc>
        <w:tc>
          <w:tcPr>
            <w:tcW w:w="120" w:type="dxa"/>
            <w:vAlign w:val="bottom"/>
          </w:tcPr>
          <w:p>
            <w:pPr>
              <w:spacing w:after="0"/>
              <w:rPr>
                <w:sz w:val="17"/>
                <w:szCs w:val="17"/>
                <w:color w:val="auto"/>
              </w:rPr>
            </w:pPr>
          </w:p>
        </w:tc>
        <w:tc>
          <w:tcPr>
            <w:tcW w:w="2260" w:type="dxa"/>
            <w:vAlign w:val="bottom"/>
            <w:gridSpan w:val="2"/>
          </w:tcPr>
          <w:p>
            <w:pPr>
              <w:jc w:val="center"/>
              <w:ind w:right="460"/>
              <w:spacing w:after="0"/>
              <w:rPr>
                <w:sz w:val="20"/>
                <w:szCs w:val="20"/>
                <w:color w:val="auto"/>
              </w:rPr>
            </w:pPr>
            <w:r>
              <w:rPr>
                <w:rFonts w:ascii="Arial" w:cs="Arial" w:eastAsia="Arial" w:hAnsi="Arial"/>
                <w:sz w:val="16"/>
                <w:szCs w:val="16"/>
                <w:color w:val="auto"/>
                <w:w w:val="94"/>
              </w:rPr>
              <w:t>Market Yield</w:t>
            </w:r>
          </w:p>
        </w:tc>
        <w:tc>
          <w:tcPr>
            <w:tcW w:w="1840" w:type="dxa"/>
            <w:vAlign w:val="bottom"/>
          </w:tcPr>
          <w:p>
            <w:pPr>
              <w:jc w:val="center"/>
              <w:spacing w:after="0"/>
              <w:rPr>
                <w:sz w:val="20"/>
                <w:szCs w:val="20"/>
                <w:color w:val="auto"/>
              </w:rPr>
            </w:pPr>
            <w:r>
              <w:rPr>
                <w:rFonts w:ascii="Arial" w:cs="Arial" w:eastAsia="Arial" w:hAnsi="Arial"/>
                <w:sz w:val="16"/>
                <w:szCs w:val="16"/>
                <w:color w:val="auto"/>
                <w:w w:val="93"/>
              </w:rPr>
              <w:t>7.4% - 21.4% (13.1%)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Equity investments</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12,912,799</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14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Market Comparable</w:t>
            </w:r>
          </w:p>
        </w:tc>
        <w:tc>
          <w:tcPr>
            <w:tcW w:w="120" w:type="dxa"/>
            <w:vAlign w:val="bottom"/>
            <w:shd w:val="clear" w:color="auto" w:fill="CCEEFF"/>
          </w:tcPr>
          <w:p>
            <w:pPr>
              <w:spacing w:after="0"/>
              <w:rPr>
                <w:sz w:val="17"/>
                <w:szCs w:val="17"/>
                <w:color w:val="auto"/>
              </w:rPr>
            </w:pPr>
          </w:p>
        </w:tc>
        <w:tc>
          <w:tcPr>
            <w:tcW w:w="2260" w:type="dxa"/>
            <w:vAlign w:val="bottom"/>
            <w:gridSpan w:val="2"/>
            <w:shd w:val="clear" w:color="auto" w:fill="CCEEFF"/>
          </w:tcPr>
          <w:p>
            <w:pPr>
              <w:jc w:val="center"/>
              <w:ind w:right="460"/>
              <w:spacing w:after="0"/>
              <w:rPr>
                <w:sz w:val="20"/>
                <w:szCs w:val="20"/>
                <w:color w:val="auto"/>
              </w:rPr>
            </w:pPr>
            <w:r>
              <w:rPr>
                <w:rFonts w:ascii="Arial" w:cs="Arial" w:eastAsia="Arial" w:hAnsi="Arial"/>
                <w:sz w:val="16"/>
                <w:szCs w:val="16"/>
                <w:color w:val="auto"/>
                <w:w w:val="92"/>
              </w:rPr>
              <w:t>Broker/Dealer bid quotes</w:t>
            </w:r>
          </w:p>
        </w:tc>
        <w:tc>
          <w:tcPr>
            <w:tcW w:w="1840" w:type="dxa"/>
            <w:vAlign w:val="bottom"/>
            <w:tcBorders>
              <w:left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40" w:type="dxa"/>
            <w:vAlign w:val="bottom"/>
            <w:gridSpan w:val="2"/>
          </w:tcPr>
          <w:p>
            <w:pPr>
              <w:spacing w:after="0"/>
              <w:rPr>
                <w:sz w:val="20"/>
                <w:szCs w:val="20"/>
                <w:color w:val="auto"/>
              </w:rPr>
            </w:pPr>
            <w:r>
              <w:rPr>
                <w:rFonts w:ascii="Arial" w:cs="Arial" w:eastAsia="Arial" w:hAnsi="Arial"/>
                <w:sz w:val="16"/>
                <w:szCs w:val="16"/>
                <w:color w:val="auto"/>
              </w:rPr>
              <w:t>Equity investments</w:t>
            </w:r>
          </w:p>
        </w:tc>
        <w:tc>
          <w:tcPr>
            <w:tcW w:w="7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106,482,931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gridSpan w:val="3"/>
          </w:tcPr>
          <w:p>
            <w:pPr>
              <w:ind w:left="20"/>
              <w:spacing w:after="0"/>
              <w:rPr>
                <w:sz w:val="20"/>
                <w:szCs w:val="20"/>
                <w:color w:val="auto"/>
              </w:rPr>
            </w:pPr>
            <w:r>
              <w:rPr>
                <w:rFonts w:ascii="Arial" w:cs="Arial" w:eastAsia="Arial" w:hAnsi="Arial"/>
                <w:sz w:val="16"/>
                <w:szCs w:val="16"/>
                <w:color w:val="auto"/>
              </w:rPr>
              <w:t>Enterprise Market Value</w:t>
            </w:r>
          </w:p>
        </w:tc>
        <w:tc>
          <w:tcPr>
            <w:tcW w:w="120" w:type="dxa"/>
            <w:vAlign w:val="bottom"/>
          </w:tcPr>
          <w:p>
            <w:pPr>
              <w:spacing w:after="0"/>
              <w:rPr>
                <w:sz w:val="18"/>
                <w:szCs w:val="18"/>
                <w:color w:val="auto"/>
              </w:rPr>
            </w:pPr>
          </w:p>
        </w:tc>
        <w:tc>
          <w:tcPr>
            <w:tcW w:w="2260" w:type="dxa"/>
            <w:vAlign w:val="bottom"/>
            <w:gridSpan w:val="2"/>
          </w:tcPr>
          <w:p>
            <w:pPr>
              <w:jc w:val="center"/>
              <w:ind w:right="460"/>
              <w:spacing w:after="0"/>
              <w:rPr>
                <w:sz w:val="20"/>
                <w:szCs w:val="20"/>
                <w:color w:val="auto"/>
              </w:rPr>
            </w:pPr>
            <w:r>
              <w:rPr>
                <w:rFonts w:ascii="Arial" w:cs="Arial" w:eastAsia="Arial" w:hAnsi="Arial"/>
                <w:sz w:val="16"/>
                <w:szCs w:val="16"/>
                <w:color w:val="auto"/>
                <w:w w:val="98"/>
              </w:rPr>
              <w:t>EBITDA multiple</w:t>
            </w:r>
          </w:p>
        </w:tc>
        <w:tc>
          <w:tcPr>
            <w:tcW w:w="1840" w:type="dxa"/>
            <w:vAlign w:val="bottom"/>
          </w:tcPr>
          <w:p>
            <w:pPr>
              <w:jc w:val="center"/>
              <w:spacing w:after="0"/>
              <w:rPr>
                <w:sz w:val="20"/>
                <w:szCs w:val="20"/>
                <w:color w:val="auto"/>
              </w:rPr>
            </w:pPr>
            <w:r>
              <w:rPr>
                <w:rFonts w:ascii="Arial" w:cs="Arial" w:eastAsia="Arial" w:hAnsi="Arial"/>
                <w:sz w:val="16"/>
                <w:szCs w:val="16"/>
                <w:color w:val="auto"/>
                <w:w w:val="93"/>
              </w:rPr>
              <w:t>3.8x - 13.0x (8.5x)</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Level 3 investments</w:t>
            </w:r>
          </w:p>
        </w:tc>
        <w:tc>
          <w:tcPr>
            <w:tcW w:w="7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1,150,336,021</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98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4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60" w:type="dxa"/>
            <w:vAlign w:val="bottom"/>
            <w:gridSpan w:val="3"/>
            <w:vMerge w:val="restart"/>
          </w:tcPr>
          <w:p>
            <w:pPr>
              <w:spacing w:after="0"/>
              <w:rPr>
                <w:sz w:val="20"/>
                <w:szCs w:val="20"/>
                <w:color w:val="auto"/>
              </w:rPr>
            </w:pPr>
            <w:r>
              <w:rPr>
                <w:rFonts w:ascii="Arial" w:cs="Arial" w:eastAsia="Arial" w:hAnsi="Arial"/>
                <w:sz w:val="16"/>
                <w:szCs w:val="16"/>
                <w:color w:val="auto"/>
              </w:rPr>
              <w:t>Long-Term Credit Facility</w:t>
            </w:r>
          </w:p>
        </w:tc>
        <w:tc>
          <w:tcPr>
            <w:tcW w:w="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40" w:type="dxa"/>
            <w:vAlign w:val="bottom"/>
            <w:gridSpan w:val="3"/>
            <w:vMerge w:val="restart"/>
          </w:tcPr>
          <w:p>
            <w:pPr>
              <w:ind w:left="160"/>
              <w:spacing w:after="0"/>
              <w:rPr>
                <w:sz w:val="20"/>
                <w:szCs w:val="20"/>
                <w:color w:val="auto"/>
              </w:rPr>
            </w:pPr>
            <w:r>
              <w:rPr>
                <w:rFonts w:ascii="Arial" w:cs="Arial" w:eastAsia="Arial" w:hAnsi="Arial"/>
                <w:sz w:val="16"/>
                <w:szCs w:val="16"/>
                <w:color w:val="auto"/>
              </w:rPr>
              <w:t>Market Comparable</w:t>
            </w:r>
          </w:p>
        </w:tc>
        <w:tc>
          <w:tcPr>
            <w:tcW w:w="120" w:type="dxa"/>
            <w:vAlign w:val="bottom"/>
          </w:tcPr>
          <w:p>
            <w:pPr>
              <w:spacing w:after="0" w:line="20" w:lineRule="exact"/>
              <w:rPr>
                <w:sz w:val="1"/>
                <w:szCs w:val="1"/>
                <w:color w:val="auto"/>
              </w:rPr>
            </w:pPr>
          </w:p>
        </w:tc>
        <w:tc>
          <w:tcPr>
            <w:tcW w:w="2260" w:type="dxa"/>
            <w:vAlign w:val="bottom"/>
            <w:gridSpan w:val="2"/>
            <w:vMerge w:val="restart"/>
          </w:tcPr>
          <w:p>
            <w:pPr>
              <w:jc w:val="center"/>
              <w:ind w:right="480"/>
              <w:spacing w:after="0"/>
              <w:rPr>
                <w:sz w:val="20"/>
                <w:szCs w:val="20"/>
                <w:color w:val="auto"/>
              </w:rPr>
            </w:pPr>
            <w:r>
              <w:rPr>
                <w:rFonts w:ascii="Arial" w:cs="Arial" w:eastAsia="Arial" w:hAnsi="Arial"/>
                <w:sz w:val="16"/>
                <w:szCs w:val="16"/>
                <w:color w:val="auto"/>
                <w:w w:val="96"/>
              </w:rPr>
              <w:t>Market Yield</w:t>
            </w:r>
          </w:p>
        </w:tc>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3"/>
              </w:rPr>
              <w:t>3.3%</w:t>
            </w:r>
          </w:p>
        </w:tc>
        <w:tc>
          <w:tcPr>
            <w:tcW w:w="0" w:type="dxa"/>
            <w:vAlign w:val="bottom"/>
          </w:tcPr>
          <w:p>
            <w:pPr>
              <w:spacing w:after="0" w:line="20" w:lineRule="exact"/>
              <w:rPr>
                <w:sz w:val="1"/>
                <w:szCs w:val="1"/>
                <w:color w:val="auto"/>
              </w:rPr>
            </w:pPr>
          </w:p>
        </w:tc>
      </w:tr>
      <w:tr>
        <w:trPr>
          <w:trHeight w:val="194"/>
        </w:trPr>
        <w:tc>
          <w:tcPr>
            <w:tcW w:w="2460" w:type="dxa"/>
            <w:vAlign w:val="bottom"/>
            <w:gridSpan w:val="3"/>
            <w:vMerge w:val="continue"/>
          </w:tcPr>
          <w:p>
            <w:pPr>
              <w:spacing w:after="0"/>
              <w:rPr>
                <w:sz w:val="16"/>
                <w:szCs w:val="16"/>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257,187,292</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4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2260" w:type="dxa"/>
            <w:vAlign w:val="bottom"/>
            <w:gridSpan w:val="2"/>
            <w:vMerge w:val="continue"/>
          </w:tcPr>
          <w:p>
            <w:pPr>
              <w:spacing w:after="0"/>
              <w:rPr>
                <w:sz w:val="16"/>
                <w:szCs w:val="16"/>
                <w:color w:val="auto"/>
              </w:rPr>
            </w:pPr>
          </w:p>
        </w:tc>
        <w:tc>
          <w:tcPr>
            <w:tcW w:w="1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2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3"/>
          </w:tcPr>
          <w:p>
            <w:pPr>
              <w:ind w:left="220"/>
              <w:spacing w:after="0"/>
              <w:rPr>
                <w:sz w:val="20"/>
                <w:szCs w:val="20"/>
                <w:color w:val="auto"/>
              </w:rPr>
            </w:pPr>
            <w:r>
              <w:rPr>
                <w:rFonts w:ascii="Arial" w:cs="Arial" w:eastAsia="Arial" w:hAnsi="Arial"/>
                <w:sz w:val="14"/>
                <w:szCs w:val="14"/>
                <w:b w:val="1"/>
                <w:bCs w:val="1"/>
                <w:color w:val="auto"/>
              </w:rPr>
              <w:t>Fair Value at</w:t>
            </w:r>
          </w:p>
        </w:tc>
        <w:tc>
          <w:tcPr>
            <w:tcW w:w="200" w:type="dxa"/>
            <w:vAlign w:val="bottom"/>
          </w:tcPr>
          <w:p>
            <w:pPr>
              <w:spacing w:after="0"/>
              <w:rPr>
                <w:sz w:val="24"/>
                <w:szCs w:val="24"/>
                <w:color w:val="auto"/>
              </w:rPr>
            </w:pPr>
          </w:p>
        </w:tc>
        <w:tc>
          <w:tcPr>
            <w:tcW w:w="214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rPr>
              <w:t>Valuation Technique</w:t>
            </w:r>
          </w:p>
        </w:tc>
        <w:tc>
          <w:tcPr>
            <w:tcW w:w="120" w:type="dxa"/>
            <w:vAlign w:val="bottom"/>
          </w:tcPr>
          <w:p>
            <w:pPr>
              <w:spacing w:after="0"/>
              <w:rPr>
                <w:sz w:val="24"/>
                <w:szCs w:val="24"/>
                <w:color w:val="auto"/>
              </w:rPr>
            </w:pPr>
          </w:p>
        </w:tc>
        <w:tc>
          <w:tcPr>
            <w:tcW w:w="22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Unobservable Input</w:t>
            </w: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5"/>
              </w:rPr>
              <w:t>Range of Input</w:t>
            </w:r>
          </w:p>
        </w:tc>
        <w:tc>
          <w:tcPr>
            <w:tcW w:w="0" w:type="dxa"/>
            <w:vAlign w:val="bottom"/>
          </w:tcPr>
          <w:p>
            <w:pPr>
              <w:spacing w:after="0"/>
              <w:rPr>
                <w:sz w:val="1"/>
                <w:szCs w:val="1"/>
                <w:color w:val="auto"/>
              </w:rPr>
            </w:pPr>
          </w:p>
        </w:tc>
      </w:tr>
      <w:tr>
        <w:trPr>
          <w:trHeight w:val="171"/>
        </w:trPr>
        <w:tc>
          <w:tcPr>
            <w:tcW w:w="2460" w:type="dxa"/>
            <w:vAlign w:val="bottom"/>
            <w:gridSpan w:val="3"/>
            <w:vMerge w:val="continue"/>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2013</w:t>
            </w:r>
          </w:p>
        </w:tc>
        <w:tc>
          <w:tcPr>
            <w:tcW w:w="200" w:type="dxa"/>
            <w:vAlign w:val="bottom"/>
          </w:tcPr>
          <w:p>
            <w:pPr>
              <w:spacing w:after="0"/>
              <w:rPr>
                <w:sz w:val="14"/>
                <w:szCs w:val="14"/>
                <w:color w:val="auto"/>
              </w:rPr>
            </w:pPr>
          </w:p>
        </w:tc>
        <w:tc>
          <w:tcPr>
            <w:tcW w:w="21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2"/>
            <w:vMerge w:val="continue"/>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2"/>
              </w:rPr>
              <w:t>(Weighted Average)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740" w:type="dxa"/>
            <w:vAlign w:val="bottom"/>
            <w:shd w:val="clear" w:color="auto" w:fill="CCEEFF"/>
          </w:tcPr>
          <w:p>
            <w:pPr>
              <w:spacing w:after="0" w:line="20" w:lineRule="exact"/>
              <w:rPr>
                <w:sz w:val="1"/>
                <w:szCs w:val="1"/>
                <w:color w:val="auto"/>
              </w:rPr>
            </w:pPr>
          </w:p>
        </w:tc>
        <w:tc>
          <w:tcPr>
            <w:tcW w:w="7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20" w:type="dxa"/>
            <w:vAlign w:val="bottom"/>
            <w:gridSpan w:val="2"/>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920" w:type="dxa"/>
            <w:vAlign w:val="bottom"/>
            <w:gridSpan w:val="2"/>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98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840" w:type="dxa"/>
            <w:vAlign w:val="bottom"/>
            <w:tcBorders>
              <w:lef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Debt investments</w:t>
            </w:r>
          </w:p>
        </w:tc>
        <w:tc>
          <w:tcPr>
            <w:tcW w:w="7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w w:val="87"/>
              </w:rPr>
              <w:t>448,842,468</w:t>
            </w:r>
          </w:p>
        </w:tc>
        <w:tc>
          <w:tcPr>
            <w:tcW w:w="240" w:type="dxa"/>
            <w:vAlign w:val="bottom"/>
            <w:vMerge w:val="continue"/>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192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Market Comparable</w:t>
            </w:r>
          </w:p>
        </w:tc>
        <w:tc>
          <w:tcPr>
            <w:tcW w:w="220" w:type="dxa"/>
            <w:vAlign w:val="bottom"/>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98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Broker/Dealer bid quotes</w:t>
            </w:r>
          </w:p>
        </w:tc>
        <w:tc>
          <w:tcPr>
            <w:tcW w:w="280" w:type="dxa"/>
            <w:vAlign w:val="bottom"/>
            <w:vMerge w:val="continue"/>
            <w:shd w:val="clear" w:color="auto" w:fill="CCEEFF"/>
          </w:tcPr>
          <w:p>
            <w:pPr>
              <w:spacing w:after="0"/>
              <w:rPr>
                <w:sz w:val="17"/>
                <w:szCs w:val="17"/>
                <w:color w:val="auto"/>
              </w:rPr>
            </w:pPr>
          </w:p>
        </w:tc>
        <w:tc>
          <w:tcPr>
            <w:tcW w:w="1840" w:type="dxa"/>
            <w:vAlign w:val="bottom"/>
            <w:tcBorders>
              <w:left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40" w:type="dxa"/>
            <w:vAlign w:val="bottom"/>
            <w:gridSpan w:val="2"/>
          </w:tcPr>
          <w:p>
            <w:pPr>
              <w:spacing w:after="0"/>
              <w:rPr>
                <w:sz w:val="20"/>
                <w:szCs w:val="20"/>
                <w:color w:val="auto"/>
              </w:rPr>
            </w:pPr>
            <w:r>
              <w:rPr>
                <w:rFonts w:ascii="Arial" w:cs="Arial" w:eastAsia="Arial" w:hAnsi="Arial"/>
                <w:sz w:val="16"/>
                <w:szCs w:val="16"/>
                <w:color w:val="auto"/>
              </w:rPr>
              <w:t>Debt investments</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ind w:left="520"/>
              <w:spacing w:after="0"/>
              <w:rPr>
                <w:sz w:val="20"/>
                <w:szCs w:val="20"/>
                <w:color w:val="auto"/>
              </w:rPr>
            </w:pPr>
            <w:r>
              <w:rPr>
                <w:rFonts w:ascii="Arial" w:cs="Arial" w:eastAsia="Arial" w:hAnsi="Arial"/>
                <w:sz w:val="16"/>
                <w:szCs w:val="16"/>
                <w:color w:val="auto"/>
                <w:w w:val="87"/>
              </w:rPr>
              <w:t>466,571,947</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40" w:type="dxa"/>
            <w:vAlign w:val="bottom"/>
            <w:gridSpan w:val="3"/>
          </w:tcPr>
          <w:p>
            <w:pPr>
              <w:ind w:left="300"/>
              <w:spacing w:after="0"/>
              <w:rPr>
                <w:sz w:val="20"/>
                <w:szCs w:val="20"/>
                <w:color w:val="auto"/>
              </w:rPr>
            </w:pPr>
            <w:r>
              <w:rPr>
                <w:rFonts w:ascii="Arial" w:cs="Arial" w:eastAsia="Arial" w:hAnsi="Arial"/>
                <w:sz w:val="16"/>
                <w:szCs w:val="16"/>
                <w:color w:val="auto"/>
              </w:rPr>
              <w:t>Market Comparable</w:t>
            </w:r>
          </w:p>
        </w:tc>
        <w:tc>
          <w:tcPr>
            <w:tcW w:w="120" w:type="dxa"/>
            <w:vAlign w:val="bottom"/>
          </w:tcPr>
          <w:p>
            <w:pPr>
              <w:spacing w:after="0"/>
              <w:rPr>
                <w:sz w:val="17"/>
                <w:szCs w:val="17"/>
                <w:color w:val="auto"/>
              </w:rPr>
            </w:pPr>
          </w:p>
        </w:tc>
        <w:tc>
          <w:tcPr>
            <w:tcW w:w="2260" w:type="dxa"/>
            <w:vAlign w:val="bottom"/>
            <w:gridSpan w:val="2"/>
          </w:tcPr>
          <w:p>
            <w:pPr>
              <w:jc w:val="center"/>
              <w:ind w:right="280"/>
              <w:spacing w:after="0"/>
              <w:rPr>
                <w:sz w:val="20"/>
                <w:szCs w:val="20"/>
                <w:color w:val="auto"/>
              </w:rPr>
            </w:pPr>
            <w:r>
              <w:rPr>
                <w:rFonts w:ascii="Arial" w:cs="Arial" w:eastAsia="Arial" w:hAnsi="Arial"/>
                <w:sz w:val="16"/>
                <w:szCs w:val="16"/>
                <w:color w:val="auto"/>
                <w:w w:val="96"/>
              </w:rPr>
              <w:t>Market Yield</w:t>
            </w:r>
          </w:p>
        </w:tc>
        <w:tc>
          <w:tcPr>
            <w:tcW w:w="1840" w:type="dxa"/>
            <w:vAlign w:val="bottom"/>
          </w:tcPr>
          <w:p>
            <w:pPr>
              <w:jc w:val="center"/>
              <w:spacing w:after="0"/>
              <w:rPr>
                <w:sz w:val="20"/>
                <w:szCs w:val="20"/>
                <w:color w:val="auto"/>
              </w:rPr>
            </w:pPr>
            <w:r>
              <w:rPr>
                <w:rFonts w:ascii="Arial" w:cs="Arial" w:eastAsia="Arial" w:hAnsi="Arial"/>
                <w:sz w:val="16"/>
                <w:szCs w:val="16"/>
                <w:color w:val="auto"/>
                <w:w w:val="93"/>
              </w:rPr>
              <w:t>9.5% - 21.5% (13.5%)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Equity investments</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gridSpan w:val="3"/>
            <w:shd w:val="clear" w:color="auto" w:fill="CCEEFF"/>
          </w:tcPr>
          <w:p>
            <w:pPr>
              <w:ind w:left="520"/>
              <w:spacing w:after="0"/>
              <w:rPr>
                <w:sz w:val="20"/>
                <w:szCs w:val="20"/>
                <w:color w:val="auto"/>
              </w:rPr>
            </w:pPr>
            <w:r>
              <w:rPr>
                <w:rFonts w:ascii="Arial" w:cs="Arial" w:eastAsia="Arial" w:hAnsi="Arial"/>
                <w:sz w:val="16"/>
                <w:szCs w:val="16"/>
                <w:color w:val="auto"/>
              </w:rPr>
              <w:t>110,923,751</w:t>
            </w:r>
          </w:p>
        </w:tc>
        <w:tc>
          <w:tcPr>
            <w:tcW w:w="200" w:type="dxa"/>
            <w:vAlign w:val="bottom"/>
            <w:shd w:val="clear" w:color="auto" w:fill="CCEEFF"/>
          </w:tcPr>
          <w:p>
            <w:pPr>
              <w:spacing w:after="0"/>
              <w:rPr>
                <w:sz w:val="17"/>
                <w:szCs w:val="17"/>
                <w:color w:val="auto"/>
              </w:rPr>
            </w:pPr>
          </w:p>
        </w:tc>
        <w:tc>
          <w:tcPr>
            <w:tcW w:w="214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Enterprise Market Value</w:t>
            </w:r>
          </w:p>
        </w:tc>
        <w:tc>
          <w:tcPr>
            <w:tcW w:w="120" w:type="dxa"/>
            <w:vAlign w:val="bottom"/>
            <w:shd w:val="clear" w:color="auto" w:fill="CCEEFF"/>
          </w:tcPr>
          <w:p>
            <w:pPr>
              <w:spacing w:after="0"/>
              <w:rPr>
                <w:sz w:val="17"/>
                <w:szCs w:val="17"/>
                <w:color w:val="auto"/>
              </w:rPr>
            </w:pPr>
          </w:p>
        </w:tc>
        <w:tc>
          <w:tcPr>
            <w:tcW w:w="2260" w:type="dxa"/>
            <w:vAlign w:val="bottom"/>
            <w:gridSpan w:val="2"/>
            <w:shd w:val="clear" w:color="auto" w:fill="CCEEFF"/>
          </w:tcPr>
          <w:p>
            <w:pPr>
              <w:jc w:val="center"/>
              <w:ind w:right="280"/>
              <w:spacing w:after="0"/>
              <w:rPr>
                <w:sz w:val="20"/>
                <w:szCs w:val="20"/>
                <w:color w:val="auto"/>
              </w:rPr>
            </w:pPr>
            <w:r>
              <w:rPr>
                <w:rFonts w:ascii="Arial" w:cs="Arial" w:eastAsia="Arial" w:hAnsi="Arial"/>
                <w:sz w:val="16"/>
                <w:szCs w:val="16"/>
                <w:color w:val="auto"/>
              </w:rPr>
              <w:t>EBITDA multiple</w:t>
            </w:r>
          </w:p>
        </w:tc>
        <w:tc>
          <w:tcPr>
            <w:tcW w:w="1840" w:type="dxa"/>
            <w:vAlign w:val="bottom"/>
            <w:tcBorders>
              <w:left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6.0x - 15.0x (9.0x)</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40" w:type="dxa"/>
            <w:vAlign w:val="bottom"/>
            <w:gridSpan w:val="2"/>
          </w:tcPr>
          <w:p>
            <w:pPr>
              <w:spacing w:after="0"/>
              <w:rPr>
                <w:sz w:val="20"/>
                <w:szCs w:val="20"/>
                <w:color w:val="auto"/>
              </w:rPr>
            </w:pPr>
            <w:r>
              <w:rPr>
                <w:rFonts w:ascii="Arial" w:cs="Arial" w:eastAsia="Arial" w:hAnsi="Arial"/>
                <w:sz w:val="16"/>
                <w:szCs w:val="16"/>
                <w:color w:val="auto"/>
              </w:rPr>
              <w:t>Total Level 3 investments</w:t>
            </w:r>
          </w:p>
        </w:tc>
        <w:tc>
          <w:tcPr>
            <w:tcW w:w="7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ind w:left="400"/>
              <w:spacing w:after="0"/>
              <w:rPr>
                <w:sz w:val="20"/>
                <w:szCs w:val="20"/>
                <w:color w:val="auto"/>
              </w:rPr>
            </w:pPr>
            <w:r>
              <w:rPr>
                <w:rFonts w:ascii="Arial" w:cs="Arial" w:eastAsia="Arial" w:hAnsi="Arial"/>
                <w:sz w:val="16"/>
                <w:szCs w:val="16"/>
                <w:color w:val="auto"/>
                <w:w w:val="87"/>
              </w:rPr>
              <w:t>1,026,338,166</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Long-Term Credit Facility</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gridSpan w:val="3"/>
            <w:shd w:val="clear" w:color="auto" w:fill="CCEEFF"/>
          </w:tcPr>
          <w:p>
            <w:pPr>
              <w:ind w:left="520"/>
              <w:spacing w:after="0"/>
              <w:rPr>
                <w:sz w:val="20"/>
                <w:szCs w:val="20"/>
                <w:color w:val="auto"/>
              </w:rPr>
            </w:pPr>
            <w:r>
              <w:rPr>
                <w:rFonts w:ascii="Arial" w:cs="Arial" w:eastAsia="Arial" w:hAnsi="Arial"/>
                <w:sz w:val="16"/>
                <w:szCs w:val="16"/>
                <w:color w:val="auto"/>
              </w:rPr>
              <w:t>117,500,000</w:t>
            </w:r>
          </w:p>
        </w:tc>
        <w:tc>
          <w:tcPr>
            <w:tcW w:w="200" w:type="dxa"/>
            <w:vAlign w:val="bottom"/>
            <w:shd w:val="clear" w:color="auto" w:fill="CCEEFF"/>
          </w:tcPr>
          <w:p>
            <w:pPr>
              <w:spacing w:after="0"/>
              <w:rPr>
                <w:sz w:val="17"/>
                <w:szCs w:val="17"/>
                <w:color w:val="auto"/>
              </w:rPr>
            </w:pPr>
          </w:p>
        </w:tc>
        <w:tc>
          <w:tcPr>
            <w:tcW w:w="2140" w:type="dxa"/>
            <w:vAlign w:val="bottom"/>
            <w:gridSpan w:val="3"/>
            <w:shd w:val="clear" w:color="auto" w:fill="CCEEFF"/>
          </w:tcPr>
          <w:p>
            <w:pPr>
              <w:ind w:left="300"/>
              <w:spacing w:after="0"/>
              <w:rPr>
                <w:sz w:val="20"/>
                <w:szCs w:val="20"/>
                <w:color w:val="auto"/>
              </w:rPr>
            </w:pPr>
            <w:r>
              <w:rPr>
                <w:rFonts w:ascii="Arial" w:cs="Arial" w:eastAsia="Arial" w:hAnsi="Arial"/>
                <w:sz w:val="16"/>
                <w:szCs w:val="16"/>
                <w:color w:val="auto"/>
              </w:rPr>
              <w:t>Market Comparable</w:t>
            </w:r>
          </w:p>
        </w:tc>
        <w:tc>
          <w:tcPr>
            <w:tcW w:w="120" w:type="dxa"/>
            <w:vAlign w:val="bottom"/>
            <w:shd w:val="clear" w:color="auto" w:fill="CCEEFF"/>
          </w:tcPr>
          <w:p>
            <w:pPr>
              <w:spacing w:after="0"/>
              <w:rPr>
                <w:sz w:val="17"/>
                <w:szCs w:val="17"/>
                <w:color w:val="auto"/>
              </w:rPr>
            </w:pPr>
          </w:p>
        </w:tc>
        <w:tc>
          <w:tcPr>
            <w:tcW w:w="2260" w:type="dxa"/>
            <w:vAlign w:val="bottom"/>
            <w:gridSpan w:val="2"/>
            <w:shd w:val="clear" w:color="auto" w:fill="CCEEFF"/>
          </w:tcPr>
          <w:p>
            <w:pPr>
              <w:jc w:val="center"/>
              <w:ind w:right="280"/>
              <w:spacing w:after="0"/>
              <w:rPr>
                <w:sz w:val="20"/>
                <w:szCs w:val="20"/>
                <w:color w:val="auto"/>
              </w:rPr>
            </w:pPr>
            <w:r>
              <w:rPr>
                <w:rFonts w:ascii="Arial" w:cs="Arial" w:eastAsia="Arial" w:hAnsi="Arial"/>
                <w:sz w:val="16"/>
                <w:szCs w:val="16"/>
                <w:color w:val="auto"/>
                <w:w w:val="96"/>
              </w:rPr>
              <w:t>Market Yield</w:t>
            </w:r>
          </w:p>
        </w:tc>
        <w:tc>
          <w:tcPr>
            <w:tcW w:w="1840" w:type="dxa"/>
            <w:vAlign w:val="bottom"/>
            <w:tcBorders>
              <w:left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Our cash and cash equivalents, investments, the 2025 Notes and Credit Facility were categorized as follows in the fair value hierarchy for ASC 820 purposes: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3840" w:type="dxa"/>
            <w:vAlign w:val="bottom"/>
            <w:vMerge w:val="restart"/>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Fair Value</w:t>
            </w:r>
          </w:p>
        </w:tc>
        <w:tc>
          <w:tcPr>
            <w:tcW w:w="440" w:type="dxa"/>
            <w:vAlign w:val="bottom"/>
            <w:vMerge w:val="restart"/>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5"/>
          </w:tcPr>
          <w:p>
            <w:pPr>
              <w:jc w:val="right"/>
              <w:ind w:right="45"/>
              <w:spacing w:after="0"/>
              <w:rPr>
                <w:sz w:val="20"/>
                <w:szCs w:val="20"/>
                <w:color w:val="auto"/>
              </w:rPr>
            </w:pPr>
            <w:r>
              <w:rPr>
                <w:rFonts w:ascii="Arial" w:cs="Arial" w:eastAsia="Arial" w:hAnsi="Arial"/>
                <w:sz w:val="14"/>
                <w:szCs w:val="14"/>
                <w:b w:val="1"/>
                <w:bCs w:val="1"/>
                <w:color w:val="auto"/>
                <w:w w:val="98"/>
              </w:rPr>
              <w:t>Fair Value at June 30, 2014</w:t>
            </w: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20" w:type="dxa"/>
            <w:vAlign w:val="bottom"/>
            <w:tcBorders>
              <w:bottom w:val="single" w:sz="8" w:color="auto"/>
            </w:tcBorders>
            <w:vMerge w:val="continue"/>
          </w:tcPr>
          <w:p>
            <w:pPr>
              <w:spacing w:after="0"/>
              <w:rPr>
                <w:sz w:val="12"/>
                <w:szCs w:val="12"/>
                <w:color w:val="auto"/>
              </w:rPr>
            </w:pPr>
          </w:p>
        </w:tc>
        <w:tc>
          <w:tcPr>
            <w:tcW w:w="3840" w:type="dxa"/>
            <w:vAlign w:val="bottom"/>
            <w:tcBorders>
              <w:bottom w:val="single" w:sz="8" w:color="CCEEFF"/>
            </w:tcBorders>
            <w:vMerge w:val="continue"/>
          </w:tcPr>
          <w:p>
            <w:pPr>
              <w:spacing w:after="0"/>
              <w:rPr>
                <w:sz w:val="12"/>
                <w:szCs w:val="12"/>
                <w:color w:val="auto"/>
              </w:rPr>
            </w:pPr>
          </w:p>
        </w:tc>
        <w:tc>
          <w:tcPr>
            <w:tcW w:w="10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vMerge w:val="continue"/>
          </w:tcPr>
          <w:p>
            <w:pPr>
              <w:spacing w:after="0"/>
              <w:rPr>
                <w:sz w:val="12"/>
                <w:szCs w:val="12"/>
                <w:color w:val="auto"/>
              </w:rPr>
            </w:pPr>
          </w:p>
        </w:tc>
        <w:tc>
          <w:tcPr>
            <w:tcW w:w="440" w:type="dxa"/>
            <w:vAlign w:val="bottom"/>
            <w:tcBorders>
              <w:bottom w:val="single" w:sz="8" w:color="CCEEFF"/>
            </w:tcBorders>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Level 2</w:t>
            </w:r>
          </w:p>
        </w:tc>
        <w:tc>
          <w:tcPr>
            <w:tcW w:w="4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investments</w:t>
            </w:r>
          </w:p>
        </w:tc>
        <w:tc>
          <w:tcPr>
            <w:tcW w:w="1040" w:type="dxa"/>
            <w:vAlign w:val="bottom"/>
            <w:gridSpan w:val="2"/>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1,078,734,446</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47,794,155</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1,030,940,291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440"/>
              <w:spacing w:after="0"/>
              <w:rPr>
                <w:sz w:val="20"/>
                <w:szCs w:val="20"/>
                <w:color w:val="auto"/>
              </w:rPr>
            </w:pPr>
            <w:r>
              <w:rPr>
                <w:rFonts w:ascii="Arial" w:cs="Arial" w:eastAsia="Arial" w:hAnsi="Arial"/>
                <w:sz w:val="18"/>
                <w:szCs w:val="18"/>
                <w:color w:val="auto"/>
              </w:rPr>
              <w:t>119,673,109</w:t>
            </w: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277,379</w:t>
            </w: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119,395,730</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investments</w:t>
            </w: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2"/>
              </w:rPr>
              <w:t>1,198,407,555</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0"/>
              </w:rPr>
              <w:t>48,071,534</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1,150,336,021</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440"/>
              <w:spacing w:after="0"/>
              <w:rPr>
                <w:sz w:val="20"/>
                <w:szCs w:val="20"/>
                <w:color w:val="auto"/>
              </w:rPr>
            </w:pPr>
            <w:r>
              <w:rPr>
                <w:rFonts w:ascii="Arial" w:cs="Arial" w:eastAsia="Arial" w:hAnsi="Arial"/>
                <w:sz w:val="18"/>
                <w:szCs w:val="18"/>
                <w:color w:val="auto"/>
              </w:rPr>
              <w:t>64,390,787</w:t>
            </w: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64,390,787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investments, cash and cash equivalents</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2"/>
              </w:rPr>
              <w:t>1,262,798,342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64,390,787</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0"/>
              </w:rPr>
              <w:t>48,071,534</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1,150,336,021</w:t>
            </w:r>
          </w:p>
        </w:tc>
        <w:tc>
          <w:tcPr>
            <w:tcW w:w="0" w:type="dxa"/>
            <w:vAlign w:val="bottom"/>
          </w:tcPr>
          <w:p>
            <w:pPr>
              <w:spacing w:after="0"/>
              <w:rPr>
                <w:sz w:val="1"/>
                <w:szCs w:val="1"/>
                <w:color w:val="auto"/>
              </w:rPr>
            </w:pPr>
          </w:p>
        </w:tc>
      </w:tr>
      <w:tr>
        <w:trPr>
          <w:trHeight w:val="20"/>
        </w:trPr>
        <w:tc>
          <w:tcPr>
            <w:tcW w:w="4560" w:type="dxa"/>
            <w:vAlign w:val="bottom"/>
            <w:gridSpan w:val="2"/>
            <w:vMerge w:val="restart"/>
          </w:tcPr>
          <w:p>
            <w:pPr>
              <w:spacing w:after="0"/>
              <w:rPr>
                <w:sz w:val="20"/>
                <w:szCs w:val="20"/>
                <w:color w:val="auto"/>
              </w:rPr>
            </w:pPr>
            <w:r>
              <w:rPr>
                <w:rFonts w:ascii="Arial" w:cs="Arial" w:eastAsia="Arial" w:hAnsi="Arial"/>
                <w:sz w:val="18"/>
                <w:szCs w:val="18"/>
                <w:color w:val="auto"/>
              </w:rPr>
              <w:t>Long-Term Credit Facility</w:t>
            </w: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60" w:type="dxa"/>
            <w:vAlign w:val="bottom"/>
            <w:gridSpan w:val="2"/>
            <w:vMerge w:val="continue"/>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257,187,292</w:t>
            </w:r>
          </w:p>
        </w:tc>
        <w:tc>
          <w:tcPr>
            <w:tcW w:w="4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257,187,292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2025 Notes</w:t>
            </w: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72,532,500</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72,532,500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560" w:type="dxa"/>
            <w:vAlign w:val="bottom"/>
            <w:gridSpan w:val="2"/>
          </w:tcPr>
          <w:p>
            <w:pPr>
              <w:spacing w:after="0"/>
              <w:rPr>
                <w:sz w:val="20"/>
                <w:szCs w:val="20"/>
                <w:color w:val="auto"/>
              </w:rPr>
            </w:pPr>
            <w:r>
              <w:rPr>
                <w:rFonts w:ascii="Arial" w:cs="Arial" w:eastAsia="Arial" w:hAnsi="Arial"/>
                <w:sz w:val="18"/>
                <w:szCs w:val="18"/>
                <w:color w:val="auto"/>
              </w:rPr>
              <w:t>Total debt</w:t>
            </w:r>
          </w:p>
        </w:tc>
        <w:tc>
          <w:tcPr>
            <w:tcW w:w="10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329,719,792</w:t>
            </w:r>
          </w:p>
        </w:tc>
        <w:tc>
          <w:tcPr>
            <w:tcW w:w="4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72,532,500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257,187,292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680" w:type="dxa"/>
            <w:vAlign w:val="bottom"/>
            <w:gridSpan w:val="5"/>
          </w:tcPr>
          <w:p>
            <w:pPr>
              <w:jc w:val="right"/>
              <w:ind w:right="1360"/>
              <w:spacing w:after="0"/>
              <w:rPr>
                <w:sz w:val="20"/>
                <w:szCs w:val="20"/>
                <w:color w:val="auto"/>
              </w:rPr>
            </w:pPr>
            <w:r>
              <w:rPr>
                <w:rFonts w:ascii="Arial" w:cs="Arial" w:eastAsia="Arial" w:hAnsi="Arial"/>
                <w:sz w:val="18"/>
                <w:szCs w:val="18"/>
                <w:color w:val="auto"/>
              </w:rPr>
              <w:t>S-63</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JUNE 30, 2014</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86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Fair Value</w:t>
            </w:r>
          </w:p>
        </w:tc>
        <w:tc>
          <w:tcPr>
            <w:tcW w:w="22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3"/>
              </w:rPr>
              <w:t>Fair Value at September 30, 2013</w:t>
            </w:r>
          </w:p>
        </w:tc>
        <w:tc>
          <w:tcPr>
            <w:tcW w:w="10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20" w:type="dxa"/>
            <w:vAlign w:val="bottom"/>
            <w:tcBorders>
              <w:bottom w:val="single" w:sz="8" w:color="auto"/>
            </w:tcBorders>
            <w:vMerge w:val="continue"/>
          </w:tcPr>
          <w:p>
            <w:pPr>
              <w:spacing w:after="0"/>
              <w:rPr>
                <w:sz w:val="12"/>
                <w:szCs w:val="12"/>
                <w:color w:val="auto"/>
              </w:rPr>
            </w:pPr>
          </w:p>
        </w:tc>
        <w:tc>
          <w:tcPr>
            <w:tcW w:w="4860" w:type="dxa"/>
            <w:vAlign w:val="bottom"/>
            <w:tcBorders>
              <w:bottom w:val="single" w:sz="8" w:color="CCEEFF"/>
            </w:tcBorders>
            <w:vMerge w:val="continue"/>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CCEEFF"/>
            </w:tcBorders>
            <w:vMerge w:val="continue"/>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Level 1</w:t>
            </w:r>
          </w:p>
        </w:tc>
        <w:tc>
          <w:tcPr>
            <w:tcW w:w="2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Level 2</w:t>
            </w:r>
          </w:p>
        </w:tc>
        <w:tc>
          <w:tcPr>
            <w:tcW w:w="4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Level 3</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investments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959,506,815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44,092,400</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915,414,415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8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118,668,738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7,539,320</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205,667</w:t>
            </w:r>
          </w:p>
        </w:tc>
        <w:tc>
          <w:tcPr>
            <w:tcW w:w="4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110,923,751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investments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1,078,175,553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7,539,320</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3"/>
              </w:rPr>
              <w:t>44,298,067</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1,026,338,166</w:t>
            </w:r>
          </w:p>
        </w:tc>
        <w:tc>
          <w:tcPr>
            <w:tcW w:w="0" w:type="dxa"/>
            <w:vAlign w:val="bottom"/>
          </w:tcPr>
          <w:p>
            <w:pPr>
              <w:spacing w:after="0"/>
              <w:rPr>
                <w:sz w:val="1"/>
                <w:szCs w:val="1"/>
                <w:color w:val="auto"/>
              </w:rPr>
            </w:pPr>
          </w:p>
        </w:tc>
      </w:tr>
      <w:tr>
        <w:trPr>
          <w:trHeight w:val="223"/>
        </w:trPr>
        <w:tc>
          <w:tcPr>
            <w:tcW w:w="558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58,440,829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58,440,829</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investments, cash and cash equivalents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1,136,616,382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65,980,149</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3"/>
              </w:rPr>
              <w:t>44,298,067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1,026,338,166</w:t>
            </w:r>
          </w:p>
        </w:tc>
        <w:tc>
          <w:tcPr>
            <w:tcW w:w="0" w:type="dxa"/>
            <w:vAlign w:val="bottom"/>
          </w:tcPr>
          <w:p>
            <w:pPr>
              <w:spacing w:after="0"/>
              <w:rPr>
                <w:sz w:val="1"/>
                <w:szCs w:val="1"/>
                <w:color w:val="auto"/>
              </w:rPr>
            </w:pPr>
          </w:p>
        </w:tc>
      </w:tr>
      <w:tr>
        <w:trPr>
          <w:trHeight w:val="20"/>
        </w:trPr>
        <w:tc>
          <w:tcPr>
            <w:tcW w:w="5580" w:type="dxa"/>
            <w:vAlign w:val="bottom"/>
            <w:gridSpan w:val="2"/>
            <w:vMerge w:val="restart"/>
          </w:tcPr>
          <w:p>
            <w:pPr>
              <w:spacing w:after="0"/>
              <w:rPr>
                <w:sz w:val="20"/>
                <w:szCs w:val="20"/>
                <w:color w:val="auto"/>
              </w:rPr>
            </w:pPr>
            <w:r>
              <w:rPr>
                <w:rFonts w:ascii="Arial" w:cs="Arial" w:eastAsia="Arial" w:hAnsi="Arial"/>
                <w:sz w:val="18"/>
                <w:szCs w:val="18"/>
                <w:color w:val="auto"/>
                <w:w w:val="99"/>
              </w:rPr>
              <w:t>Long-Term Credit Facility (excluding temporary draws of $28,000,000)</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117,500,000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117,500,000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2025 Notes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68,400,000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68,400,000</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580" w:type="dxa"/>
            <w:vAlign w:val="bottom"/>
            <w:gridSpan w:val="2"/>
          </w:tcPr>
          <w:p>
            <w:pPr>
              <w:spacing w:after="0"/>
              <w:rPr>
                <w:sz w:val="20"/>
                <w:szCs w:val="20"/>
                <w:color w:val="auto"/>
              </w:rPr>
            </w:pPr>
            <w:r>
              <w:rPr>
                <w:rFonts w:ascii="Arial" w:cs="Arial" w:eastAsia="Arial" w:hAnsi="Arial"/>
                <w:sz w:val="18"/>
                <w:szCs w:val="18"/>
                <w:color w:val="auto"/>
              </w:rPr>
              <w:t>Total debt</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185,900,000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68,400,000</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117,500,000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following tables show a reconciliation of the beginning and ending balances for fair valued investments measured using significant unobservable inputs (Level 3):</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20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Nine Months Ended June 30, 2014</w:t>
            </w:r>
          </w:p>
        </w:tc>
        <w:tc>
          <w:tcPr>
            <w:tcW w:w="11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gridSpan w:val="2"/>
          </w:tcPr>
          <w:p>
            <w:pPr>
              <w:jc w:val="right"/>
              <w:ind w:right="720"/>
              <w:spacing w:after="0" w:line="119" w:lineRule="exact"/>
              <w:rPr>
                <w:sz w:val="20"/>
                <w:szCs w:val="20"/>
                <w:color w:val="auto"/>
              </w:rPr>
            </w:pPr>
            <w:r>
              <w:rPr>
                <w:rFonts w:ascii="Arial" w:cs="Arial" w:eastAsia="Arial" w:hAnsi="Arial"/>
                <w:sz w:val="13"/>
                <w:szCs w:val="13"/>
                <w:b w:val="1"/>
                <w:bCs w:val="1"/>
                <w:color w:val="auto"/>
              </w:rPr>
              <w:t>Debt</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gridSpan w:val="2"/>
          </w:tcPr>
          <w:p>
            <w:pPr>
              <w:jc w:val="right"/>
              <w:ind w:right="760"/>
              <w:spacing w:after="0" w:line="119" w:lineRule="exact"/>
              <w:rPr>
                <w:sz w:val="20"/>
                <w:szCs w:val="20"/>
                <w:color w:val="auto"/>
              </w:rPr>
            </w:pPr>
            <w:r>
              <w:rPr>
                <w:rFonts w:ascii="Arial" w:cs="Arial" w:eastAsia="Arial" w:hAnsi="Arial"/>
                <w:sz w:val="13"/>
                <w:szCs w:val="13"/>
                <w:b w:val="1"/>
                <w:bCs w:val="1"/>
                <w:color w:val="auto"/>
              </w:rPr>
              <w:t>Equity</w:t>
            </w:r>
          </w:p>
        </w:tc>
        <w:tc>
          <w:tcPr>
            <w:tcW w:w="160" w:type="dxa"/>
            <w:vAlign w:val="bottom"/>
          </w:tcPr>
          <w:p>
            <w:pPr>
              <w:spacing w:after="0"/>
              <w:rPr>
                <w:sz w:val="10"/>
                <w:szCs w:val="10"/>
                <w:color w:val="auto"/>
              </w:rPr>
            </w:pPr>
          </w:p>
        </w:tc>
        <w:tc>
          <w:tcPr>
            <w:tcW w:w="124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640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investments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0"/>
              </w:rPr>
              <w:t>investments</w:t>
            </w:r>
          </w:p>
        </w:tc>
        <w:tc>
          <w:tcPr>
            <w:tcW w:w="16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4"/>
              </w:rPr>
              <w:t>Beginning</w:t>
            </w:r>
          </w:p>
        </w:tc>
        <w:tc>
          <w:tcPr>
            <w:tcW w:w="568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Balance</w:t>
            </w: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915,414,415</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110,923,751</w:t>
            </w:r>
          </w:p>
        </w:tc>
        <w:tc>
          <w:tcPr>
            <w:tcW w:w="4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1,026,338,166</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tcPr>
          <w:p>
            <w:pPr>
              <w:ind w:left="340"/>
              <w:spacing w:after="0"/>
              <w:rPr>
                <w:sz w:val="20"/>
                <w:szCs w:val="20"/>
                <w:color w:val="auto"/>
              </w:rPr>
            </w:pPr>
            <w:r>
              <w:rPr>
                <w:rFonts w:ascii="Arial" w:cs="Arial" w:eastAsia="Arial" w:hAnsi="Arial"/>
                <w:sz w:val="18"/>
                <w:szCs w:val="18"/>
                <w:color w:val="auto"/>
              </w:rPr>
              <w:t>Realized gains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18,101,010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3,875,493</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21,976,503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Unrealized appreciation</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470,447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23,854,264</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24,324,711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tcPr>
          <w:p>
            <w:pPr>
              <w:ind w:left="340"/>
              <w:spacing w:after="0"/>
              <w:rPr>
                <w:sz w:val="20"/>
                <w:szCs w:val="20"/>
                <w:color w:val="auto"/>
              </w:rPr>
            </w:pPr>
            <w:r>
              <w:rPr>
                <w:rFonts w:ascii="Arial" w:cs="Arial" w:eastAsia="Arial" w:hAnsi="Arial"/>
                <w:sz w:val="18"/>
                <w:szCs w:val="18"/>
                <w:color w:val="auto"/>
              </w:rPr>
              <w:t>Purchases, PIK, net discount accretion and non-cash exchanges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554,355,726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23,424,660</w:t>
            </w:r>
          </w:p>
        </w:tc>
        <w:tc>
          <w:tcPr>
            <w:tcW w:w="16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577,780,386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Sales, repayments and non-cash exchanges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(457,401,305)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(42,682,440)</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(500,083,745)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gridSpan w:val="2"/>
          </w:tcPr>
          <w:p>
            <w:pPr>
              <w:ind w:left="340"/>
              <w:spacing w:after="0"/>
              <w:rPr>
                <w:sz w:val="20"/>
                <w:szCs w:val="20"/>
                <w:color w:val="auto"/>
              </w:rPr>
            </w:pPr>
            <w:r>
              <w:rPr>
                <w:rFonts w:ascii="Arial" w:cs="Arial" w:eastAsia="Arial" w:hAnsi="Arial"/>
                <w:sz w:val="18"/>
                <w:szCs w:val="18"/>
                <w:color w:val="auto"/>
              </w:rPr>
              <w:t>Transfers in and/or out of Level 3</w:t>
            </w: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1,030,940,293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1"/>
              </w:rPr>
              <w:t>119,395,728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1,150,336,021</w:t>
            </w:r>
          </w:p>
        </w:tc>
        <w:tc>
          <w:tcPr>
            <w:tcW w:w="0" w:type="dxa"/>
            <w:vAlign w:val="bottom"/>
          </w:tcPr>
          <w:p>
            <w:pPr>
              <w:spacing w:after="0"/>
              <w:rPr>
                <w:sz w:val="1"/>
                <w:szCs w:val="1"/>
                <w:color w:val="auto"/>
              </w:rPr>
            </w:pPr>
          </w:p>
        </w:tc>
      </w:tr>
      <w:tr>
        <w:trPr>
          <w:trHeight w:val="20"/>
        </w:trPr>
        <w:tc>
          <w:tcPr>
            <w:tcW w:w="6400" w:type="dxa"/>
            <w:vAlign w:val="bottom"/>
            <w:gridSpan w:val="3"/>
            <w:vMerge w:val="restart"/>
          </w:tcPr>
          <w:p>
            <w:pPr>
              <w:spacing w:after="0"/>
              <w:rPr>
                <w:sz w:val="20"/>
                <w:szCs w:val="20"/>
                <w:color w:val="auto"/>
              </w:rPr>
            </w:pPr>
            <w:r>
              <w:rPr>
                <w:rFonts w:ascii="Arial" w:cs="Arial" w:eastAsia="Arial" w:hAnsi="Arial"/>
                <w:sz w:val="18"/>
                <w:szCs w:val="18"/>
                <w:color w:val="auto"/>
                <w:w w:val="97"/>
              </w:rPr>
              <w:t>Net change in unrealized appreciation reported within the net change in unrealized</w:t>
            </w: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0" w:type="dxa"/>
            <w:vAlign w:val="bottom"/>
            <w:gridSpan w:val="3"/>
            <w:vMerge w:val="continue"/>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tcPr>
          <w:p>
            <w:pPr>
              <w:ind w:left="160"/>
              <w:spacing w:after="0"/>
              <w:rPr>
                <w:sz w:val="20"/>
                <w:szCs w:val="20"/>
                <w:color w:val="auto"/>
              </w:rPr>
            </w:pPr>
            <w:r>
              <w:rPr>
                <w:rFonts w:ascii="Arial" w:cs="Arial" w:eastAsia="Arial" w:hAnsi="Arial"/>
                <w:sz w:val="18"/>
                <w:szCs w:val="18"/>
                <w:color w:val="auto"/>
              </w:rPr>
              <w:t>appreciation (depreciation) on investments in our Consolidated Statement of</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gridSpan w:val="2"/>
          </w:tcPr>
          <w:p>
            <w:pPr>
              <w:ind w:left="160"/>
              <w:spacing w:after="0"/>
              <w:rPr>
                <w:sz w:val="20"/>
                <w:szCs w:val="20"/>
                <w:color w:val="auto"/>
              </w:rPr>
            </w:pPr>
            <w:r>
              <w:rPr>
                <w:rFonts w:ascii="Arial" w:cs="Arial" w:eastAsia="Arial" w:hAnsi="Arial"/>
                <w:sz w:val="18"/>
                <w:szCs w:val="18"/>
                <w:color w:val="auto"/>
              </w:rPr>
              <w:t>Operations attributable to our Level 3 assets still held at the reporting date.</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12,355,525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(9,463,794)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2,891,731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80" w:type="dxa"/>
            <w:vAlign w:val="bottom"/>
            <w:vMerge w:val="restart"/>
          </w:tcPr>
          <w:p>
            <w:pPr>
              <w:ind w:left="4820"/>
              <w:spacing w:after="0"/>
              <w:rPr>
                <w:sz w:val="20"/>
                <w:szCs w:val="20"/>
                <w:color w:val="auto"/>
              </w:rPr>
            </w:pPr>
            <w:r>
              <w:rPr>
                <w:rFonts w:ascii="Arial" w:cs="Arial" w:eastAsia="Arial" w:hAnsi="Arial"/>
                <w:sz w:val="18"/>
                <w:szCs w:val="18"/>
                <w:color w:val="auto"/>
              </w:rPr>
              <w:t>S-64</w:t>
            </w: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8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JUNE 30, 2014</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Nine Months Ended June 30, 2013</w:t>
            </w: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gridSpan w:val="3"/>
          </w:tcPr>
          <w:p>
            <w:pPr>
              <w:jc w:val="right"/>
              <w:ind w:right="820"/>
              <w:spacing w:after="0" w:line="119" w:lineRule="exact"/>
              <w:rPr>
                <w:sz w:val="20"/>
                <w:szCs w:val="20"/>
                <w:color w:val="auto"/>
              </w:rPr>
            </w:pPr>
            <w:r>
              <w:rPr>
                <w:rFonts w:ascii="Arial" w:cs="Arial" w:eastAsia="Arial" w:hAnsi="Arial"/>
                <w:sz w:val="13"/>
                <w:szCs w:val="13"/>
                <w:b w:val="1"/>
                <w:bCs w:val="1"/>
                <w:color w:val="auto"/>
              </w:rPr>
              <w:t>Debt</w:t>
            </w:r>
          </w:p>
        </w:tc>
        <w:tc>
          <w:tcPr>
            <w:tcW w:w="120" w:type="dxa"/>
            <w:vAlign w:val="bottom"/>
          </w:tcPr>
          <w:p>
            <w:pPr>
              <w:spacing w:after="0"/>
              <w:rPr>
                <w:sz w:val="10"/>
                <w:szCs w:val="10"/>
                <w:color w:val="auto"/>
              </w:rPr>
            </w:pPr>
          </w:p>
        </w:tc>
        <w:tc>
          <w:tcPr>
            <w:tcW w:w="1180" w:type="dxa"/>
            <w:vAlign w:val="bottom"/>
            <w:gridSpan w:val="2"/>
          </w:tcPr>
          <w:p>
            <w:pPr>
              <w:jc w:val="right"/>
              <w:ind w:right="560"/>
              <w:spacing w:after="0" w:line="119" w:lineRule="exact"/>
              <w:rPr>
                <w:sz w:val="20"/>
                <w:szCs w:val="20"/>
                <w:color w:val="auto"/>
              </w:rPr>
            </w:pPr>
            <w:r>
              <w:rPr>
                <w:rFonts w:ascii="Arial" w:cs="Arial" w:eastAsia="Arial" w:hAnsi="Arial"/>
                <w:sz w:val="13"/>
                <w:szCs w:val="13"/>
                <w:b w:val="1"/>
                <w:bCs w:val="1"/>
                <w:color w:val="auto"/>
              </w:rPr>
              <w:t>Equity</w:t>
            </w: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708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95"/>
              </w:rPr>
              <w:t>investments</w:t>
            </w:r>
          </w:p>
        </w:tc>
        <w:tc>
          <w:tcPr>
            <w:tcW w:w="120" w:type="dxa"/>
            <w:vAlign w:val="bottom"/>
          </w:tcPr>
          <w:p>
            <w:pPr>
              <w:spacing w:after="0"/>
              <w:rPr>
                <w:sz w:val="14"/>
                <w:szCs w:val="14"/>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2"/>
              </w:rPr>
              <w:t>investments</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4"/>
              </w:rPr>
              <w:t>Beginning</w:t>
            </w:r>
          </w:p>
        </w:tc>
        <w:tc>
          <w:tcPr>
            <w:tcW w:w="636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Balance</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848,424,071</w:t>
            </w: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101,323,123</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949,747,194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tcPr>
          <w:p>
            <w:pPr>
              <w:ind w:left="340"/>
              <w:spacing w:after="0"/>
              <w:rPr>
                <w:sz w:val="20"/>
                <w:szCs w:val="20"/>
                <w:color w:val="auto"/>
              </w:rPr>
            </w:pPr>
            <w:r>
              <w:rPr>
                <w:rFonts w:ascii="Arial" w:cs="Arial" w:eastAsia="Arial" w:hAnsi="Arial"/>
                <w:sz w:val="18"/>
                <w:szCs w:val="18"/>
                <w:color w:val="auto"/>
              </w:rPr>
              <w:t>Realized gains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3,757,501</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3,311,652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7,069,153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Unrealized appreciation (depreciation)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34,351,022</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(21,019,509)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13,331,513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tcPr>
          <w:p>
            <w:pPr>
              <w:ind w:left="340"/>
              <w:spacing w:after="0"/>
              <w:rPr>
                <w:sz w:val="20"/>
                <w:szCs w:val="20"/>
                <w:color w:val="auto"/>
              </w:rPr>
            </w:pPr>
            <w:r>
              <w:rPr>
                <w:rFonts w:ascii="Arial" w:cs="Arial" w:eastAsia="Arial" w:hAnsi="Arial"/>
                <w:sz w:val="18"/>
                <w:szCs w:val="18"/>
                <w:color w:val="auto"/>
              </w:rPr>
              <w:t>Purchases, PIK, net discount accretion and non-cash exchanges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321,218,848</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46,591,490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367,810,338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Sales, repayments and non-cash exchanges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92"/>
              </w:rPr>
              <w:t>(294,037,878)</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(10,606,534)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6"/>
              </w:rPr>
              <w:t>(304,644,412)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tcPr>
          <w:p>
            <w:pPr>
              <w:ind w:left="340"/>
              <w:spacing w:after="0"/>
              <w:rPr>
                <w:sz w:val="20"/>
                <w:szCs w:val="20"/>
                <w:color w:val="auto"/>
              </w:rPr>
            </w:pPr>
            <w:r>
              <w:rPr>
                <w:rFonts w:ascii="Arial" w:cs="Arial" w:eastAsia="Arial" w:hAnsi="Arial"/>
                <w:sz w:val="18"/>
                <w:szCs w:val="18"/>
                <w:color w:val="auto"/>
              </w:rPr>
              <w:t>Transfers in and/or out of Level 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3"/>
          </w:tcPr>
          <w:p>
            <w:pPr>
              <w:jc w:val="right"/>
              <w:ind w:right="340"/>
              <w:spacing w:after="0"/>
              <w:rPr>
                <w:sz w:val="20"/>
                <w:szCs w:val="20"/>
                <w:color w:val="auto"/>
              </w:rPr>
            </w:pPr>
            <w:r>
              <w:rPr>
                <w:rFonts w:ascii="Arial" w:cs="Arial" w:eastAsia="Arial" w:hAnsi="Arial"/>
                <w:sz w:val="18"/>
                <w:szCs w:val="18"/>
                <w:color w:val="auto"/>
              </w:rPr>
              <w:t>(12,840,000)</w:t>
            </w:r>
          </w:p>
        </w:tc>
        <w:tc>
          <w:tcPr>
            <w:tcW w:w="12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(12,840,000)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6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900,873,564</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119,600,222</w:t>
            </w:r>
          </w:p>
        </w:tc>
        <w:tc>
          <w:tcPr>
            <w:tcW w:w="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1,020,473,786</w:t>
            </w:r>
          </w:p>
        </w:tc>
        <w:tc>
          <w:tcPr>
            <w:tcW w:w="0" w:type="dxa"/>
            <w:vAlign w:val="bottom"/>
          </w:tcPr>
          <w:p>
            <w:pPr>
              <w:spacing w:after="0"/>
              <w:rPr>
                <w:sz w:val="1"/>
                <w:szCs w:val="1"/>
                <w:color w:val="auto"/>
              </w:rPr>
            </w:pPr>
          </w:p>
        </w:tc>
      </w:tr>
      <w:tr>
        <w:trPr>
          <w:trHeight w:val="20"/>
        </w:trPr>
        <w:tc>
          <w:tcPr>
            <w:tcW w:w="7080" w:type="dxa"/>
            <w:vAlign w:val="bottom"/>
            <w:gridSpan w:val="3"/>
            <w:vMerge w:val="restart"/>
          </w:tcPr>
          <w:p>
            <w:pPr>
              <w:spacing w:after="0"/>
              <w:rPr>
                <w:sz w:val="20"/>
                <w:szCs w:val="20"/>
                <w:color w:val="auto"/>
              </w:rPr>
            </w:pPr>
            <w:r>
              <w:rPr>
                <w:rFonts w:ascii="Arial" w:cs="Arial" w:eastAsia="Arial" w:hAnsi="Arial"/>
                <w:sz w:val="18"/>
                <w:szCs w:val="18"/>
                <w:color w:val="auto"/>
              </w:rPr>
              <w:t>Net change in unrealized appreciation (depreciation) reported within the net change in</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8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tcPr>
          <w:p>
            <w:pPr>
              <w:ind w:left="160"/>
              <w:spacing w:after="0"/>
              <w:rPr>
                <w:sz w:val="20"/>
                <w:szCs w:val="20"/>
                <w:color w:val="auto"/>
              </w:rPr>
            </w:pPr>
            <w:r>
              <w:rPr>
                <w:rFonts w:ascii="Arial" w:cs="Arial" w:eastAsia="Arial" w:hAnsi="Arial"/>
                <w:sz w:val="18"/>
                <w:szCs w:val="18"/>
                <w:color w:val="auto"/>
                <w:w w:val="99"/>
              </w:rPr>
              <w:t>unrealized appreciation (depreciation) on investments in our Consolidated Statement of</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60" w:type="dxa"/>
            <w:vAlign w:val="bottom"/>
            <w:gridSpan w:val="2"/>
          </w:tcPr>
          <w:p>
            <w:pPr>
              <w:ind w:left="160"/>
              <w:spacing w:after="0"/>
              <w:rPr>
                <w:sz w:val="20"/>
                <w:szCs w:val="20"/>
                <w:color w:val="auto"/>
              </w:rPr>
            </w:pPr>
            <w:r>
              <w:rPr>
                <w:rFonts w:ascii="Arial" w:cs="Arial" w:eastAsia="Arial" w:hAnsi="Arial"/>
                <w:sz w:val="18"/>
                <w:szCs w:val="18"/>
                <w:color w:val="auto"/>
              </w:rPr>
              <w:t>Operations attributable to our Level 3 assets still held at the reporting date.</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36,781,749</w:t>
            </w:r>
          </w:p>
        </w:tc>
        <w:tc>
          <w:tcPr>
            <w:tcW w:w="3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(18,334,568)</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18,447,181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The following table shows a reconciliation of the beginning and ending balances for fair valued liabilities measured using significant unobservable inputs (Level 3):</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4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6"/>
              </w:rPr>
              <w:t>Carrying/Fair Value</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gridSpan w:val="5"/>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71"/>
        </w:trPr>
        <w:tc>
          <w:tcPr>
            <w:tcW w:w="166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6"/>
              </w:rPr>
              <w:t>Long-Term Credit Facility</w:t>
            </w:r>
          </w:p>
        </w:tc>
        <w:tc>
          <w:tcPr>
            <w:tcW w:w="5320" w:type="dxa"/>
            <w:vAlign w:val="bottom"/>
            <w:vMerge w:val="restart"/>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660" w:type="dxa"/>
            <w:vAlign w:val="bottom"/>
            <w:tcBorders>
              <w:bottom w:val="single" w:sz="8" w:color="auto"/>
            </w:tcBorders>
            <w:gridSpan w:val="3"/>
            <w:vMerge w:val="continue"/>
          </w:tcPr>
          <w:p>
            <w:pPr>
              <w:spacing w:after="0"/>
              <w:rPr>
                <w:sz w:val="12"/>
                <w:szCs w:val="12"/>
                <w:color w:val="auto"/>
              </w:rPr>
            </w:pPr>
          </w:p>
        </w:tc>
        <w:tc>
          <w:tcPr>
            <w:tcW w:w="5320" w:type="dxa"/>
            <w:vAlign w:val="bottom"/>
            <w:tcBorders>
              <w:bottom w:val="single" w:sz="8" w:color="CCEEFF"/>
            </w:tcBorders>
            <w:vMerge w:val="continue"/>
          </w:tcPr>
          <w:p>
            <w:pPr>
              <w:spacing w:after="0"/>
              <w:rPr>
                <w:sz w:val="12"/>
                <w:szCs w:val="12"/>
                <w:color w:val="auto"/>
              </w:rPr>
            </w:pPr>
          </w:p>
        </w:tc>
        <w:tc>
          <w:tcPr>
            <w:tcW w:w="16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15"/>
              <w:spacing w:after="0" w:line="142" w:lineRule="exact"/>
              <w:rPr>
                <w:sz w:val="20"/>
                <w:szCs w:val="20"/>
                <w:color w:val="auto"/>
              </w:rPr>
            </w:pPr>
            <w:r>
              <w:rPr>
                <w:rFonts w:ascii="Arial" w:cs="Arial" w:eastAsia="Arial" w:hAnsi="Arial"/>
                <w:sz w:val="14"/>
                <w:szCs w:val="14"/>
                <w:b w:val="1"/>
                <w:bCs w:val="1"/>
                <w:color w:val="auto"/>
              </w:rPr>
              <w:t>2014</w:t>
            </w:r>
          </w:p>
        </w:tc>
        <w:tc>
          <w:tcPr>
            <w:tcW w:w="5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9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Beginning Balance (cost – $117,500,000 and $109,500,000, respectively)</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117,500,000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108,952,500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700" w:type="dxa"/>
            <w:vAlign w:val="bottom"/>
            <w:gridSpan w:val="3"/>
          </w:tcPr>
          <w:p>
            <w:pPr>
              <w:ind w:left="80"/>
              <w:spacing w:after="0"/>
              <w:rPr>
                <w:sz w:val="20"/>
                <w:szCs w:val="20"/>
                <w:color w:val="auto"/>
              </w:rPr>
            </w:pPr>
            <w:r>
              <w:rPr>
                <w:rFonts w:ascii="Arial" w:cs="Arial" w:eastAsia="Arial" w:hAnsi="Arial"/>
                <w:sz w:val="18"/>
                <w:szCs w:val="18"/>
                <w:color w:val="auto"/>
              </w:rPr>
              <w:t>Net change in fair value</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448"/>
              <w:spacing w:after="0"/>
              <w:rPr>
                <w:sz w:val="20"/>
                <w:szCs w:val="20"/>
                <w:color w:val="auto"/>
              </w:rPr>
            </w:pPr>
            <w:r>
              <w:rPr>
                <w:rFonts w:ascii="Arial" w:cs="Arial" w:eastAsia="Arial" w:hAnsi="Arial"/>
                <w:sz w:val="18"/>
                <w:szCs w:val="18"/>
                <w:color w:val="auto"/>
              </w:rPr>
              <w:t>1,288,592</w:t>
            </w: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547,500</w:t>
            </w: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67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Borrowings</w:t>
            </w:r>
            <w:r>
              <w:rPr>
                <w:rFonts w:ascii="Arial" w:cs="Arial" w:eastAsia="Arial" w:hAnsi="Arial"/>
                <w:sz w:val="15"/>
                <w:szCs w:val="15"/>
                <w:color w:val="auto"/>
              </w:rPr>
              <w:t>(1)</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w w:val="93"/>
              </w:rPr>
              <w:t>591,053,100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532,800,000</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700" w:type="dxa"/>
            <w:vAlign w:val="bottom"/>
            <w:gridSpan w:val="3"/>
          </w:tcPr>
          <w:p>
            <w:pPr>
              <w:ind w:left="80"/>
              <w:spacing w:after="0"/>
              <w:rPr>
                <w:sz w:val="20"/>
                <w:szCs w:val="20"/>
                <w:color w:val="auto"/>
              </w:rPr>
            </w:pPr>
            <w:r>
              <w:rPr>
                <w:rFonts w:ascii="Arial" w:cs="Arial" w:eastAsia="Arial" w:hAnsi="Arial"/>
                <w:sz w:val="18"/>
                <w:szCs w:val="18"/>
                <w:color w:val="auto"/>
              </w:rPr>
              <w:t>Repayments</w:t>
            </w:r>
            <w:r>
              <w:rPr>
                <w:rFonts w:ascii="Arial" w:cs="Arial" w:eastAsia="Arial" w:hAnsi="Arial"/>
                <w:sz w:val="15"/>
                <w:szCs w:val="15"/>
                <w:color w:val="auto"/>
              </w:rPr>
              <w:t>(1)</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388"/>
              <w:spacing w:after="0"/>
              <w:rPr>
                <w:sz w:val="20"/>
                <w:szCs w:val="20"/>
                <w:color w:val="auto"/>
              </w:rPr>
            </w:pPr>
            <w:r>
              <w:rPr>
                <w:rFonts w:ascii="Arial" w:cs="Arial" w:eastAsia="Arial" w:hAnsi="Arial"/>
                <w:sz w:val="18"/>
                <w:szCs w:val="18"/>
                <w:color w:val="auto"/>
                <w:w w:val="89"/>
              </w:rPr>
              <w:t>(452,654,400)</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(538,800,000)</w:t>
            </w: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67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Transfers in and/or out of Level 3</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980" w:type="dxa"/>
            <w:vAlign w:val="bottom"/>
            <w:gridSpan w:val="4"/>
          </w:tcPr>
          <w:p>
            <w:pPr>
              <w:spacing w:after="0"/>
              <w:rPr>
                <w:sz w:val="20"/>
                <w:szCs w:val="20"/>
                <w:color w:val="auto"/>
              </w:rPr>
            </w:pPr>
            <w:r>
              <w:rPr>
                <w:rFonts w:ascii="Arial" w:cs="Arial" w:eastAsia="Arial" w:hAnsi="Arial"/>
                <w:sz w:val="18"/>
                <w:szCs w:val="18"/>
                <w:color w:val="auto"/>
              </w:rPr>
              <w:t>Ending Balance (cost – $255,898,700 and $103,500,000, respectively)</w:t>
            </w:r>
          </w:p>
        </w:tc>
        <w:tc>
          <w:tcPr>
            <w:tcW w:w="16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257,187,292</w:t>
            </w:r>
          </w:p>
        </w:tc>
        <w:tc>
          <w:tcPr>
            <w:tcW w:w="5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103,500,000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67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Temporary draws outstanding, at cost</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11,000,000</w:t>
            </w:r>
          </w:p>
        </w:tc>
        <w:tc>
          <w:tcPr>
            <w:tcW w:w="0" w:type="dxa"/>
            <w:vAlign w:val="bottom"/>
          </w:tcPr>
          <w:p>
            <w:pPr>
              <w:spacing w:after="0"/>
              <w:rPr>
                <w:sz w:val="1"/>
                <w:szCs w:val="1"/>
                <w:color w:val="auto"/>
              </w:rPr>
            </w:pPr>
          </w:p>
        </w:tc>
      </w:tr>
      <w:tr>
        <w:trPr>
          <w:trHeight w:val="223"/>
        </w:trPr>
        <w:tc>
          <w:tcPr>
            <w:tcW w:w="6980" w:type="dxa"/>
            <w:vAlign w:val="bottom"/>
            <w:gridSpan w:val="4"/>
          </w:tcPr>
          <w:p>
            <w:pPr>
              <w:spacing w:after="0"/>
              <w:rPr>
                <w:sz w:val="20"/>
                <w:szCs w:val="20"/>
                <w:color w:val="auto"/>
              </w:rPr>
            </w:pPr>
            <w:r>
              <w:rPr>
                <w:rFonts w:ascii="Arial" w:cs="Arial" w:eastAsia="Arial" w:hAnsi="Arial"/>
                <w:sz w:val="18"/>
                <w:szCs w:val="18"/>
                <w:color w:val="auto"/>
              </w:rPr>
              <w:t>Ending Balance (cost – $255,898,700 and $114,500,000, respectively)</w:t>
            </w:r>
          </w:p>
        </w:tc>
        <w:tc>
          <w:tcPr>
            <w:tcW w:w="16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257,187,292</w:t>
            </w: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114,500,000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2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5820" w:type="dxa"/>
            <w:vAlign w:val="bottom"/>
            <w:gridSpan w:val="2"/>
          </w:tcPr>
          <w:p>
            <w:pPr>
              <w:spacing w:after="0"/>
              <w:rPr>
                <w:sz w:val="11"/>
                <w:szCs w:val="11"/>
                <w:color w:val="auto"/>
              </w:rPr>
            </w:pPr>
          </w:p>
        </w:tc>
        <w:tc>
          <w:tcPr>
            <w:tcW w:w="1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280" w:type="dxa"/>
            <w:vAlign w:val="bottom"/>
          </w:tcPr>
          <w:p>
            <w:pPr>
              <w:spacing w:after="0"/>
              <w:rPr>
                <w:sz w:val="20"/>
                <w:szCs w:val="20"/>
                <w:color w:val="auto"/>
              </w:rPr>
            </w:pPr>
            <w:r>
              <w:rPr>
                <w:rFonts w:ascii="Arial" w:cs="Arial" w:eastAsia="Arial" w:hAnsi="Arial"/>
                <w:sz w:val="15"/>
                <w:szCs w:val="15"/>
                <w:color w:val="auto"/>
              </w:rPr>
              <w:t>(1)</w:t>
            </w:r>
          </w:p>
        </w:tc>
        <w:tc>
          <w:tcPr>
            <w:tcW w:w="6700" w:type="dxa"/>
            <w:vAlign w:val="bottom"/>
            <w:gridSpan w:val="3"/>
          </w:tcPr>
          <w:p>
            <w:pPr>
              <w:ind w:left="180"/>
              <w:spacing w:after="0"/>
              <w:rPr>
                <w:sz w:val="20"/>
                <w:szCs w:val="20"/>
                <w:color w:val="auto"/>
              </w:rPr>
            </w:pPr>
            <w:r>
              <w:rPr>
                <w:rFonts w:ascii="Arial" w:cs="Arial" w:eastAsia="Arial" w:hAnsi="Arial"/>
                <w:sz w:val="18"/>
                <w:szCs w:val="18"/>
                <w:color w:val="auto"/>
              </w:rPr>
              <w:t>Excludes temporary draws.</w:t>
            </w:r>
          </w:p>
        </w:tc>
        <w:tc>
          <w:tcPr>
            <w:tcW w:w="1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As of June 30, 2014, we had outstanding non-USD borrowing on our Credit Facility denominated in British Pounds. Net change in fair value on these outstanding borrowings is listed below:</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vMerge w:val="restart"/>
          </w:tcPr>
          <w:p>
            <w:pPr>
              <w:spacing w:after="0"/>
              <w:rPr>
                <w:sz w:val="20"/>
                <w:szCs w:val="20"/>
                <w:color w:val="auto"/>
              </w:rPr>
            </w:pPr>
            <w:r>
              <w:rPr>
                <w:rFonts w:ascii="Arial" w:cs="Arial" w:eastAsia="Arial" w:hAnsi="Arial"/>
                <w:sz w:val="14"/>
                <w:szCs w:val="14"/>
                <w:b w:val="1"/>
                <w:bCs w:val="1"/>
                <w:color w:val="auto"/>
                <w:w w:val="94"/>
              </w:rPr>
              <w:t>Foreign Currency</w:t>
            </w:r>
          </w:p>
        </w:tc>
        <w:tc>
          <w:tcPr>
            <w:tcW w:w="2980" w:type="dxa"/>
            <w:vAlign w:val="bottom"/>
          </w:tcPr>
          <w:p>
            <w:pPr>
              <w:spacing w:after="0"/>
              <w:rPr>
                <w:sz w:val="14"/>
                <w:szCs w:val="14"/>
                <w:color w:val="auto"/>
              </w:rPr>
            </w:pPr>
          </w:p>
        </w:tc>
        <w:tc>
          <w:tcPr>
            <w:tcW w:w="124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w w:val="96"/>
              </w:rPr>
              <w:t>Local Currency</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Original</w:t>
            </w:r>
          </w:p>
        </w:tc>
        <w:tc>
          <w:tcPr>
            <w:tcW w:w="220" w:type="dxa"/>
            <w:vAlign w:val="bottom"/>
          </w:tcPr>
          <w:p>
            <w:pPr>
              <w:spacing w:after="0"/>
              <w:rPr>
                <w:sz w:val="14"/>
                <w:szCs w:val="14"/>
                <w:color w:val="auto"/>
              </w:rPr>
            </w:pPr>
          </w:p>
        </w:tc>
        <w:tc>
          <w:tcPr>
            <w:tcW w:w="14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w w:val="97"/>
              </w:rPr>
              <w:t>Current Value</w:t>
            </w:r>
          </w:p>
        </w:tc>
        <w:tc>
          <w:tcPr>
            <w:tcW w:w="19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Reset Date</w:t>
            </w:r>
          </w:p>
        </w:tc>
        <w:tc>
          <w:tcPr>
            <w:tcW w:w="10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Net Change in</w:t>
            </w:r>
          </w:p>
        </w:tc>
        <w:tc>
          <w:tcPr>
            <w:tcW w:w="0" w:type="dxa"/>
            <w:vAlign w:val="bottom"/>
          </w:tcPr>
          <w:p>
            <w:pPr>
              <w:spacing w:after="0"/>
              <w:rPr>
                <w:sz w:val="1"/>
                <w:szCs w:val="1"/>
                <w:color w:val="auto"/>
              </w:rPr>
            </w:pPr>
          </w:p>
        </w:tc>
      </w:tr>
      <w:tr>
        <w:trPr>
          <w:trHeight w:val="178"/>
        </w:trPr>
        <w:tc>
          <w:tcPr>
            <w:tcW w:w="1120" w:type="dxa"/>
            <w:vAlign w:val="bottom"/>
            <w:tcBorders>
              <w:bottom w:val="single" w:sz="8" w:color="auto"/>
            </w:tcBorders>
            <w:vMerge w:val="continue"/>
          </w:tcPr>
          <w:p>
            <w:pPr>
              <w:spacing w:after="0"/>
              <w:rPr>
                <w:sz w:val="15"/>
                <w:szCs w:val="15"/>
                <w:color w:val="auto"/>
              </w:rPr>
            </w:pPr>
          </w:p>
        </w:tc>
        <w:tc>
          <w:tcPr>
            <w:tcW w:w="2980" w:type="dxa"/>
            <w:vAlign w:val="bottom"/>
          </w:tcPr>
          <w:p>
            <w:pPr>
              <w:spacing w:after="0"/>
              <w:rPr>
                <w:sz w:val="15"/>
                <w:szCs w:val="15"/>
                <w:color w:val="auto"/>
              </w:rPr>
            </w:pPr>
          </w:p>
        </w:tc>
        <w:tc>
          <w:tcPr>
            <w:tcW w:w="124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3"/>
          </w:tcPr>
          <w:p>
            <w:pPr>
              <w:jc w:val="center"/>
              <w:ind w:right="200"/>
              <w:spacing w:after="0" w:line="158" w:lineRule="exact"/>
              <w:rPr>
                <w:sz w:val="20"/>
                <w:szCs w:val="20"/>
                <w:color w:val="auto"/>
              </w:rPr>
            </w:pPr>
            <w:r>
              <w:rPr>
                <w:rFonts w:ascii="Arial" w:cs="Arial" w:eastAsia="Arial" w:hAnsi="Arial"/>
                <w:sz w:val="14"/>
                <w:szCs w:val="14"/>
                <w:b w:val="1"/>
                <w:bCs w:val="1"/>
                <w:color w:val="auto"/>
                <w:w w:val="93"/>
              </w:rPr>
              <w:t>Borrowing Cost</w:t>
            </w:r>
          </w:p>
        </w:tc>
        <w:tc>
          <w:tcPr>
            <w:tcW w:w="22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9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03"/>
        </w:trPr>
        <w:tc>
          <w:tcPr>
            <w:tcW w:w="112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British Pound</w:t>
            </w:r>
          </w:p>
        </w:tc>
        <w:tc>
          <w:tcPr>
            <w:tcW w:w="29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27,000,000</w:t>
            </w: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45,154,800</w:t>
            </w: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$ 46,207,556</w:t>
            </w:r>
          </w:p>
        </w:tc>
        <w:tc>
          <w:tcPr>
            <w:tcW w:w="44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July 1, 2014</w:t>
            </w: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1,052,756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British Pound</w:t>
            </w:r>
          </w:p>
        </w:tc>
        <w:tc>
          <w:tcPr>
            <w:tcW w:w="2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7,000,000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11,743,900</w:t>
            </w:r>
          </w:p>
        </w:tc>
        <w:tc>
          <w:tcPr>
            <w:tcW w:w="1620" w:type="dxa"/>
            <w:vAlign w:val="bottom"/>
            <w:gridSpan w:val="3"/>
          </w:tcPr>
          <w:p>
            <w:pPr>
              <w:jc w:val="right"/>
              <w:ind w:right="440"/>
              <w:spacing w:after="0"/>
              <w:rPr>
                <w:sz w:val="20"/>
                <w:szCs w:val="20"/>
                <w:color w:val="auto"/>
              </w:rPr>
            </w:pPr>
            <w:r>
              <w:rPr>
                <w:rFonts w:ascii="Arial" w:cs="Arial" w:eastAsia="Arial" w:hAnsi="Arial"/>
                <w:sz w:val="18"/>
                <w:szCs w:val="18"/>
                <w:color w:val="auto"/>
              </w:rPr>
              <w:t>11,979,736</w:t>
            </w:r>
          </w:p>
        </w:tc>
        <w:tc>
          <w:tcPr>
            <w:tcW w:w="190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September 11, 2014</w:t>
            </w:r>
          </w:p>
        </w:tc>
        <w:tc>
          <w:tcPr>
            <w:tcW w:w="1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235,836</w:t>
            </w: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2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34,000,000</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56,898,700</w:t>
            </w:r>
          </w:p>
        </w:tc>
        <w:tc>
          <w:tcPr>
            <w:tcW w:w="16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$ 58,187,292</w:t>
            </w:r>
          </w:p>
        </w:tc>
        <w:tc>
          <w:tcPr>
            <w:tcW w:w="1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1,288,592</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1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gridSpan w:val="4"/>
          </w:tcPr>
          <w:p>
            <w:pPr>
              <w:ind w:left="200"/>
              <w:spacing w:after="0"/>
              <w:rPr>
                <w:sz w:val="20"/>
                <w:szCs w:val="20"/>
                <w:color w:val="auto"/>
              </w:rPr>
            </w:pPr>
            <w:r>
              <w:rPr>
                <w:rFonts w:ascii="Arial" w:cs="Arial" w:eastAsia="Arial" w:hAnsi="Arial"/>
                <w:sz w:val="18"/>
                <w:szCs w:val="18"/>
                <w:color w:val="auto"/>
              </w:rPr>
              <w:t>S-65</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JUNE 30, 2014</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We adopted ASC 825-10, which provides companies with an option to report selected financial assets and liabilities at fair value, and made an irrevocable election to apply ASC 825-10 to our Credit Facility and our 2025 Notes. We elected to use the fair value option for the Credit Facility and the 2025 Notes to align the measurement attributes of both our assets and liabilities while mitigating volatility in earnings from using different measurement attributes. Due to that election and in accordance with GAAP, we incurred non-recurring expenses of $3.9 million relating to debt issuance costs on the Credit Facility.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 of Assets and Liabilities and changes in fair value of the Credit Facility and 2025 Notes are reported in our Consolidated Statement of Operations. We elected not to apply ASC 825-10 to any other financial assets or liabilities, including the SBA debentures. For the three and nine months ended June 30, 2014, our Credit Facility and 2025 Notes had a net change in unrealized appreciation of $3.4 million and $5.4 million, respectively. For the three and nine months ended June 30, 2013, our Credit Facility and 2025 Notes had a net change in unrealized depreciation (appreciation) of $0.4 million and $(0.5) million, respectively. As of June 30, 2014 and September 30, 2013, net unrealized (appreciation) depreciation on our Credit Facility and 2025 Notes totaled $(2.6) million and $2.9 million, respectively. We use a nationally recognized independent valuation service to measure the fair value of our Credit Facility in a manner consistent with the valuation process that the board of directors uses to value our investments. Our 2025 Notes trade on the NYSE, under the ticker “PNTA” and we use the closing price on the exchange to determine their fair value.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TRANSACTIONS WITH AFFILIATED COMPANIES</w:t>
      </w:r>
    </w:p>
    <w:p>
      <w:pPr>
        <w:spacing w:after="0" w:line="121"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An affiliated portfolio company is a company in which we have ownership of 5% or more of its voting securities. A non-controlled affiliate is a portfolio company in which we own at least 5% but less than 25% of its voting securities and a controlled affiliate is a portfolio company in which we own 25% or more of its voting securities. Transactions related to our funded investments with both controlled and non-controlled affiliates for the nine months ended June 30, 2014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Fair Value at</w:t>
            </w: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Purchases of/</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Sale of/</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3"/>
              </w:rPr>
              <w:t>Income</w:t>
            </w:r>
          </w:p>
        </w:tc>
        <w:tc>
          <w:tcPr>
            <w:tcW w:w="10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Fair Value at</w:t>
            </w:r>
          </w:p>
        </w:tc>
        <w:tc>
          <w:tcPr>
            <w:tcW w:w="14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Net Realized</w:t>
            </w:r>
          </w:p>
        </w:tc>
        <w:tc>
          <w:tcPr>
            <w:tcW w:w="0" w:type="dxa"/>
            <w:vAlign w:val="bottom"/>
          </w:tcPr>
          <w:p>
            <w:pPr>
              <w:spacing w:after="0"/>
              <w:rPr>
                <w:sz w:val="1"/>
                <w:szCs w:val="1"/>
                <w:color w:val="auto"/>
              </w:rPr>
            </w:pPr>
          </w:p>
        </w:tc>
      </w:tr>
      <w:tr>
        <w:trPr>
          <w:trHeight w:val="149"/>
        </w:trPr>
        <w:tc>
          <w:tcPr>
            <w:tcW w:w="4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Investment</w:t>
            </w:r>
          </w:p>
        </w:tc>
        <w:tc>
          <w:tcPr>
            <w:tcW w:w="13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Advances to</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0"/>
              </w:rPr>
              <w:t>Distributions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June 30,</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Gains</w:t>
            </w:r>
          </w:p>
        </w:tc>
        <w:tc>
          <w:tcPr>
            <w:tcW w:w="0" w:type="dxa"/>
            <w:vAlign w:val="bottom"/>
          </w:tcPr>
          <w:p>
            <w:pPr>
              <w:spacing w:after="0"/>
              <w:rPr>
                <w:sz w:val="1"/>
                <w:szCs w:val="1"/>
                <w:color w:val="auto"/>
              </w:rPr>
            </w:pPr>
          </w:p>
        </w:tc>
      </w:tr>
      <w:tr>
        <w:trPr>
          <w:trHeight w:val="171"/>
        </w:trPr>
        <w:tc>
          <w:tcPr>
            <w:tcW w:w="41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ind w:right="13"/>
              <w:spacing w:after="0"/>
              <w:rPr>
                <w:sz w:val="20"/>
                <w:szCs w:val="20"/>
                <w:color w:val="auto"/>
              </w:rPr>
            </w:pPr>
            <w:r>
              <w:rPr>
                <w:rFonts w:ascii="Arial" w:cs="Arial" w:eastAsia="Arial" w:hAnsi="Arial"/>
                <w:sz w:val="14"/>
                <w:szCs w:val="14"/>
                <w:b w:val="1"/>
                <w:bCs w:val="1"/>
                <w:color w:val="auto"/>
                <w:w w:val="89"/>
              </w:rPr>
              <w:t>2013</w:t>
            </w:r>
          </w:p>
        </w:tc>
        <w:tc>
          <w:tcPr>
            <w:tcW w:w="320" w:type="dxa"/>
            <w:vAlign w:val="bottom"/>
          </w:tcPr>
          <w:p>
            <w:pPr>
              <w:spacing w:after="0"/>
              <w:rPr>
                <w:sz w:val="14"/>
                <w:szCs w:val="14"/>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Affiliates</w:t>
            </w:r>
          </w:p>
        </w:tc>
        <w:tc>
          <w:tcPr>
            <w:tcW w:w="140" w:type="dxa"/>
            <w:vAlign w:val="bottom"/>
          </w:tcPr>
          <w:p>
            <w:pPr>
              <w:spacing w:after="0"/>
              <w:rPr>
                <w:sz w:val="14"/>
                <w:szCs w:val="14"/>
                <w:color w:val="auto"/>
              </w:rPr>
            </w:pPr>
          </w:p>
        </w:tc>
        <w:tc>
          <w:tcPr>
            <w:tcW w:w="11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7"/>
              </w:rPr>
              <w:t>from Affiliates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Accrued</w:t>
            </w:r>
          </w:p>
        </w:tc>
        <w:tc>
          <w:tcPr>
            <w:tcW w:w="100" w:type="dxa"/>
            <w:vAlign w:val="bottom"/>
          </w:tcPr>
          <w:p>
            <w:pPr>
              <w:spacing w:after="0"/>
              <w:rPr>
                <w:sz w:val="14"/>
                <w:szCs w:val="14"/>
                <w:color w:val="auto"/>
              </w:rPr>
            </w:pPr>
          </w:p>
        </w:tc>
        <w:tc>
          <w:tcPr>
            <w:tcW w:w="920" w:type="dxa"/>
            <w:vAlign w:val="bottom"/>
          </w:tcPr>
          <w:p>
            <w:pPr>
              <w:jc w:val="center"/>
              <w:ind w:right="14"/>
              <w:spacing w:after="0"/>
              <w:rPr>
                <w:sz w:val="20"/>
                <w:szCs w:val="20"/>
                <w:color w:val="auto"/>
              </w:rPr>
            </w:pPr>
            <w:r>
              <w:rPr>
                <w:rFonts w:ascii="Arial" w:cs="Arial" w:eastAsia="Arial" w:hAnsi="Arial"/>
                <w:sz w:val="14"/>
                <w:szCs w:val="14"/>
                <w:b w:val="1"/>
                <w:bCs w:val="1"/>
                <w:color w:val="auto"/>
                <w:w w:val="96"/>
              </w:rPr>
              <w:t>2014</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(Losses)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0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Controlled Affiliates</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Superior Digital Displays Holdings, Inc.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$19,330,914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1,213,801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18,574,163</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SuttonPark Holdings, Inc.</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13,500,000</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3,500,000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(3,500,000)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1,257,472</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13,499,999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Universal Pegasus International, LLC</w:t>
            </w:r>
          </w:p>
        </w:tc>
        <w:tc>
          <w:tcPr>
            <w:tcW w:w="10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17,552,044</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22,592,260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(72,539,605)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4,059,881</w:t>
            </w:r>
          </w:p>
        </w:tc>
        <w:tc>
          <w:tcPr>
            <w:tcW w:w="100" w:type="dxa"/>
            <w:vAlign w:val="bottom"/>
          </w:tcPr>
          <w:p>
            <w:pPr>
              <w:spacing w:after="0"/>
              <w:rPr>
                <w:sz w:val="18"/>
                <w:szCs w:val="18"/>
                <w:color w:val="auto"/>
              </w:rPr>
            </w:pPr>
          </w:p>
        </w:tc>
        <w:tc>
          <w:tcPr>
            <w:tcW w:w="10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ind w:left="120"/>
              <w:spacing w:after="0"/>
              <w:rPr>
                <w:sz w:val="20"/>
                <w:szCs w:val="20"/>
                <w:color w:val="auto"/>
              </w:rPr>
            </w:pPr>
            <w:r>
              <w:rPr>
                <w:rFonts w:ascii="Arial" w:cs="Arial" w:eastAsia="Arial" w:hAnsi="Arial"/>
                <w:sz w:val="18"/>
                <w:szCs w:val="18"/>
                <w:color w:val="auto"/>
                <w:w w:val="98"/>
              </w:rPr>
              <w:t>(46,895)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Non-Controlled Affiliates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DirectBuy Holdings, Inc.</w:t>
            </w:r>
          </w:p>
        </w:tc>
        <w:tc>
          <w:tcPr>
            <w:tcW w:w="10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17,805,936</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991,130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(1,126,015)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996,312</w:t>
            </w: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12,757,080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EnviroSolutions Holdings, Inc.</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21,265,345</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9,196,328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473,990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24,563,138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NCP-Performance, L.P.</w:t>
            </w:r>
          </w:p>
        </w:tc>
        <w:tc>
          <w:tcPr>
            <w:tcW w:w="10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2,500,165</w:t>
            </w:r>
          </w:p>
        </w:tc>
        <w:tc>
          <w:tcPr>
            <w:tcW w:w="10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157,518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PAS International Holdings, Inc.</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1,694,296</w:t>
            </w:r>
          </w:p>
        </w:tc>
        <w:tc>
          <w:tcPr>
            <w:tcW w:w="10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806,679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Service Champ, Inc.</w:t>
            </w: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33,470,058</w:t>
            </w:r>
          </w:p>
        </w:tc>
        <w:tc>
          <w:tcPr>
            <w:tcW w:w="320" w:type="dxa"/>
            <w:vAlign w:val="bottom"/>
          </w:tcPr>
          <w:p>
            <w:pPr>
              <w:spacing w:after="0"/>
              <w:rPr>
                <w:sz w:val="19"/>
                <w:szCs w:val="19"/>
                <w:color w:val="auto"/>
              </w:rPr>
            </w:pPr>
          </w:p>
        </w:tc>
        <w:tc>
          <w:tcPr>
            <w:tcW w:w="90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2,703,931</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33,655,320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Controlled and Non-Controlled Affiliates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107,787,844</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55,610,632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(77,165,620)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10,705,387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104,013,897</w:t>
            </w: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8"/>
              </w:rPr>
              <w:t>(46,895)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gridSpan w:val="2"/>
          </w:tcPr>
          <w:p>
            <w:pPr>
              <w:ind w:left="120"/>
              <w:spacing w:after="0"/>
              <w:rPr>
                <w:sz w:val="20"/>
                <w:szCs w:val="20"/>
                <w:color w:val="auto"/>
              </w:rPr>
            </w:pPr>
            <w:r>
              <w:rPr>
                <w:rFonts w:ascii="Arial" w:cs="Arial" w:eastAsia="Arial" w:hAnsi="Arial"/>
                <w:sz w:val="18"/>
                <w:szCs w:val="18"/>
                <w:color w:val="auto"/>
              </w:rPr>
              <w:t>S-66</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JUNE 30, 2014</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CHANGE IN NET ASSETS RESULTING FROM OPERATIONS PER COMMON SHARE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information sets forth the computation of basic and diluted per share net increase in net assets resulting from operations: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gridSpan w:val="6"/>
          </w:tcPr>
          <w:p>
            <w:pPr>
              <w:ind w:left="120"/>
              <w:spacing w:after="0"/>
              <w:rPr>
                <w:sz w:val="20"/>
                <w:szCs w:val="20"/>
                <w:color w:val="auto"/>
              </w:rPr>
            </w:pPr>
            <w:r>
              <w:rPr>
                <w:rFonts w:ascii="Arial" w:cs="Arial" w:eastAsia="Arial" w:hAnsi="Arial"/>
                <w:sz w:val="14"/>
                <w:szCs w:val="14"/>
                <w:b w:val="1"/>
                <w:bCs w:val="1"/>
                <w:color w:val="auto"/>
              </w:rPr>
              <w:t>Three Months Ended June 30,</w:t>
            </w:r>
          </w:p>
        </w:tc>
        <w:tc>
          <w:tcPr>
            <w:tcW w:w="140" w:type="dxa"/>
            <w:vAlign w:val="bottom"/>
          </w:tcPr>
          <w:p>
            <w:pPr>
              <w:spacing w:after="0"/>
              <w:rPr>
                <w:sz w:val="14"/>
                <w:szCs w:val="14"/>
                <w:color w:val="auto"/>
              </w:rPr>
            </w:pPr>
          </w:p>
        </w:tc>
        <w:tc>
          <w:tcPr>
            <w:tcW w:w="238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Nine Months Ended June 30,</w:t>
            </w:r>
          </w:p>
        </w:tc>
      </w:tr>
      <w:tr>
        <w:trPr>
          <w:trHeight w:val="142"/>
        </w:trPr>
        <w:tc>
          <w:tcPr>
            <w:tcW w:w="6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2013</w:t>
            </w:r>
          </w:p>
        </w:tc>
        <w:tc>
          <w:tcPr>
            <w:tcW w:w="4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7"/>
              <w:spacing w:after="0" w:line="142" w:lineRule="exact"/>
              <w:rPr>
                <w:sz w:val="20"/>
                <w:szCs w:val="20"/>
                <w:color w:val="auto"/>
              </w:rPr>
            </w:pPr>
            <w:r>
              <w:rPr>
                <w:rFonts w:ascii="Arial" w:cs="Arial" w:eastAsia="Arial" w:hAnsi="Arial"/>
                <w:sz w:val="14"/>
                <w:szCs w:val="14"/>
                <w:b w:val="1"/>
                <w:bCs w:val="1"/>
                <w:color w:val="auto"/>
              </w:rPr>
              <w:t>2014</w:t>
            </w:r>
          </w:p>
        </w:tc>
        <w:tc>
          <w:tcPr>
            <w:tcW w:w="4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2013</w:t>
            </w:r>
          </w:p>
        </w:tc>
        <w:tc>
          <w:tcPr>
            <w:tcW w:w="60" w:type="dxa"/>
            <w:vAlign w:val="bottom"/>
            <w:tcBorders>
              <w:bottom w:val="single" w:sz="8" w:color="CCEEFF"/>
            </w:tcBorders>
          </w:tcPr>
          <w:p>
            <w:pPr>
              <w:spacing w:after="0"/>
              <w:rPr>
                <w:sz w:val="12"/>
                <w:szCs w:val="12"/>
                <w:color w:val="auto"/>
              </w:rPr>
            </w:pPr>
          </w:p>
        </w:tc>
      </w:tr>
      <w:tr>
        <w:trPr>
          <w:trHeight w:val="210"/>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Numerator for net increase in net assets resulting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31,949,311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13,785,532</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112,085,415</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69,299,053</w:t>
            </w:r>
          </w:p>
        </w:tc>
        <w:tc>
          <w:tcPr>
            <w:tcW w:w="60" w:type="dxa"/>
            <w:vAlign w:val="bottom"/>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Denominator for basic and diluted weighted average shares</w:t>
            </w:r>
          </w:p>
        </w:tc>
        <w:tc>
          <w:tcPr>
            <w:tcW w:w="1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66,569,036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w w:val="90"/>
              </w:rPr>
              <w:t>66,450,117</w:t>
            </w:r>
          </w:p>
        </w:tc>
        <w:tc>
          <w:tcPr>
            <w:tcW w:w="140" w:type="dxa"/>
            <w:vAlign w:val="bottom"/>
          </w:tcPr>
          <w:p>
            <w:pPr>
              <w:spacing w:after="0"/>
              <w:rPr>
                <w:sz w:val="18"/>
                <w:szCs w:val="18"/>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w w:val="99"/>
              </w:rPr>
              <w:t>66,561,520</w:t>
            </w:r>
          </w:p>
        </w:tc>
        <w:tc>
          <w:tcPr>
            <w:tcW w:w="1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66,340,895</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w w:val="97"/>
              </w:rPr>
              <w:t>Basic and diluted net increase in net assets resulting from operations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0.21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CASH AND CASH EQUIVALENTS</w:t>
      </w:r>
    </w:p>
    <w:p>
      <w:pPr>
        <w:spacing w:after="0" w:line="121"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Cash equivalents represent cash in money market funds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quarter-end. We may accomplish this in several ways, including purchasing U.S. Treasury Bills and closing out our positions on a net cash basis after quarter-end, temporarily drawing down on the Credit Facility, or utilizing repurchase agreements or other balance sheet transactions as are deemed appropriate for this purpose. These amounts are excluded from average adjusted gross assets for purposes of computing the Investment Adviser’s management fee. U.S. Treasury Bills with maturities greater than 60 days from the time of purchase are valued consistent with our valuation policy. As of June 30, 2014 and September 30, 2013, cash and cash equivalents consisted of $64.4 million and $58.4 million, respectively.</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S-67</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JUNE 30, 2014</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ind w:left="460" w:right="8460" w:hanging="452"/>
        <w:spacing w:after="0" w:line="407" w:lineRule="auto"/>
        <w:tabs>
          <w:tab w:leader="none" w:pos="184"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HIGHLIGHTS </w:t>
      </w:r>
      <w:r>
        <w:rPr>
          <w:rFonts w:ascii="Arial" w:cs="Arial" w:eastAsia="Arial" w:hAnsi="Arial"/>
          <w:sz w:val="18"/>
          <w:szCs w:val="18"/>
          <w:color w:val="auto"/>
        </w:rPr>
        <w:t>Below are the financial highlights: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4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Nine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60" w:type="dxa"/>
            <w:vAlign w:val="bottom"/>
            <w:tcBorders>
              <w:bottom w:val="single" w:sz="8" w:color="CCEEFF"/>
            </w:tcBorders>
          </w:tcPr>
          <w:p>
            <w:pPr>
              <w:spacing w:after="0"/>
              <w:rPr>
                <w:sz w:val="12"/>
                <w:szCs w:val="12"/>
                <w:color w:val="auto"/>
              </w:rPr>
            </w:pPr>
          </w:p>
        </w:tc>
        <w:tc>
          <w:tcPr>
            <w:tcW w:w="23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2014</w:t>
            </w:r>
          </w:p>
        </w:tc>
        <w:tc>
          <w:tcPr>
            <w:tcW w:w="6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Per Share Data:</w:t>
            </w:r>
          </w:p>
        </w:tc>
        <w:tc>
          <w:tcPr>
            <w:tcW w:w="2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NAV, beginning of period</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640"/>
              <w:spacing w:after="0"/>
              <w:rPr>
                <w:sz w:val="20"/>
                <w:szCs w:val="20"/>
                <w:color w:val="auto"/>
              </w:rPr>
            </w:pPr>
            <w:r>
              <w:rPr>
                <w:rFonts w:ascii="Arial" w:cs="Arial" w:eastAsia="Arial" w:hAnsi="Arial"/>
                <w:sz w:val="18"/>
                <w:szCs w:val="18"/>
                <w:color w:val="auto"/>
              </w:rPr>
              <w:t>10.49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r>
              <w:rPr>
                <w:rFonts w:ascii="Arial" w:cs="Arial" w:eastAsia="Arial" w:hAnsi="Arial"/>
                <w:sz w:val="15"/>
                <w:szCs w:val="15"/>
                <w:color w:val="auto"/>
              </w:rPr>
              <w:t>(1)</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0.77</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Net realized and unrealized gain</w:t>
            </w:r>
            <w:r>
              <w:rPr>
                <w:rFonts w:ascii="Arial" w:cs="Arial" w:eastAsia="Arial" w:hAnsi="Arial"/>
                <w:sz w:val="15"/>
                <w:szCs w:val="15"/>
                <w:color w:val="auto"/>
              </w:rPr>
              <w:t>(1)</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640"/>
              <w:spacing w:after="0"/>
              <w:rPr>
                <w:sz w:val="20"/>
                <w:szCs w:val="20"/>
                <w:color w:val="auto"/>
              </w:rPr>
            </w:pPr>
            <w:r>
              <w:rPr>
                <w:rFonts w:ascii="Arial" w:cs="Arial" w:eastAsia="Arial" w:hAnsi="Arial"/>
                <w:sz w:val="18"/>
                <w:szCs w:val="18"/>
                <w:color w:val="auto"/>
              </w:rPr>
              <w:t>0.91</w:t>
            </w:r>
          </w:p>
        </w:tc>
        <w:tc>
          <w:tcPr>
            <w:tcW w:w="1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w:t>
            </w:r>
            <w:r>
              <w:rPr>
                <w:rFonts w:ascii="Arial" w:cs="Arial" w:eastAsia="Arial" w:hAnsi="Arial"/>
                <w:sz w:val="15"/>
                <w:szCs w:val="15"/>
                <w:color w:val="auto"/>
              </w:rPr>
              <w:t>(1)</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Distributions to stockholders</w:t>
            </w:r>
            <w:r>
              <w:rPr>
                <w:rFonts w:ascii="Arial" w:cs="Arial" w:eastAsia="Arial" w:hAnsi="Arial"/>
                <w:sz w:val="15"/>
                <w:szCs w:val="15"/>
                <w:color w:val="auto"/>
              </w:rPr>
              <w:t>(1),(2)</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580"/>
              <w:spacing w:after="0"/>
              <w:rPr>
                <w:sz w:val="20"/>
                <w:szCs w:val="20"/>
                <w:color w:val="auto"/>
              </w:rPr>
            </w:pPr>
            <w:r>
              <w:rPr>
                <w:rFonts w:ascii="Arial" w:cs="Arial" w:eastAsia="Arial" w:hAnsi="Arial"/>
                <w:sz w:val="18"/>
                <w:szCs w:val="18"/>
                <w:color w:val="auto"/>
              </w:rPr>
              <w:t>(0.84)</w:t>
            </w: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(0.84)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NAV, end of period</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11.33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10.43</w:t>
            </w:r>
          </w:p>
        </w:tc>
        <w:tc>
          <w:tcPr>
            <w:tcW w:w="0" w:type="dxa"/>
            <w:vAlign w:val="bottom"/>
          </w:tcPr>
          <w:p>
            <w:pPr>
              <w:spacing w:after="0"/>
              <w:rPr>
                <w:sz w:val="1"/>
                <w:szCs w:val="1"/>
                <w:color w:val="auto"/>
              </w:rPr>
            </w:pPr>
          </w:p>
        </w:tc>
      </w:tr>
      <w:tr>
        <w:trPr>
          <w:trHeight w:val="223"/>
        </w:trPr>
        <w:tc>
          <w:tcPr>
            <w:tcW w:w="6280" w:type="dxa"/>
            <w:vAlign w:val="bottom"/>
            <w:gridSpan w:val="2"/>
          </w:tcPr>
          <w:p>
            <w:pPr>
              <w:spacing w:after="0"/>
              <w:rPr>
                <w:sz w:val="20"/>
                <w:szCs w:val="20"/>
                <w:color w:val="auto"/>
              </w:rPr>
            </w:pPr>
            <w:r>
              <w:rPr>
                <w:rFonts w:ascii="Arial" w:cs="Arial" w:eastAsia="Arial" w:hAnsi="Arial"/>
                <w:sz w:val="18"/>
                <w:szCs w:val="18"/>
                <w:color w:val="auto"/>
              </w:rPr>
              <w:t>Per share market value, end of period</w:t>
            </w:r>
          </w:p>
        </w:tc>
        <w:tc>
          <w:tcPr>
            <w:tcW w:w="23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11.46</w:t>
            </w:r>
          </w:p>
        </w:tc>
        <w:tc>
          <w:tcPr>
            <w:tcW w:w="6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Total return*</w:t>
            </w:r>
            <w:r>
              <w:rPr>
                <w:rFonts w:ascii="Arial" w:cs="Arial" w:eastAsia="Arial" w:hAnsi="Arial"/>
                <w:sz w:val="15"/>
                <w:szCs w:val="15"/>
                <w:color w:val="auto"/>
              </w:rPr>
              <w:t>(3)</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9.30%</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Shares outstanding at end of period</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640"/>
              <w:spacing w:after="0"/>
              <w:rPr>
                <w:sz w:val="20"/>
                <w:szCs w:val="20"/>
                <w:color w:val="auto"/>
              </w:rPr>
            </w:pPr>
            <w:r>
              <w:rPr>
                <w:rFonts w:ascii="Arial" w:cs="Arial" w:eastAsia="Arial" w:hAnsi="Arial"/>
                <w:sz w:val="18"/>
                <w:szCs w:val="18"/>
                <w:color w:val="auto"/>
                <w:w w:val="97"/>
              </w:rPr>
              <w:t>66,569,036</w:t>
            </w:r>
          </w:p>
        </w:tc>
        <w:tc>
          <w:tcPr>
            <w:tcW w:w="1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66,450,117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Ratios** / Supplemental Data:</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Ratio of operating expenses to average net assets</w:t>
            </w:r>
            <w:r>
              <w:rPr>
                <w:rFonts w:ascii="Arial" w:cs="Arial" w:eastAsia="Arial" w:hAnsi="Arial"/>
                <w:sz w:val="15"/>
                <w:szCs w:val="15"/>
                <w:color w:val="auto"/>
              </w:rPr>
              <w:t>(4)</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480"/>
              <w:spacing w:after="0"/>
              <w:rPr>
                <w:sz w:val="20"/>
                <w:szCs w:val="20"/>
                <w:color w:val="auto"/>
              </w:rPr>
            </w:pPr>
            <w:r>
              <w:rPr>
                <w:rFonts w:ascii="Arial" w:cs="Arial" w:eastAsia="Arial" w:hAnsi="Arial"/>
                <w:sz w:val="18"/>
                <w:szCs w:val="18"/>
                <w:color w:val="auto"/>
              </w:rPr>
              <w:t>6.90%</w:t>
            </w:r>
          </w:p>
        </w:tc>
        <w:tc>
          <w:tcPr>
            <w:tcW w:w="1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Ratio of debt related expenses to average net assets</w:t>
            </w:r>
            <w:r>
              <w:rPr>
                <w:rFonts w:ascii="Arial" w:cs="Arial" w:eastAsia="Arial" w:hAnsi="Arial"/>
                <w:sz w:val="15"/>
                <w:szCs w:val="15"/>
                <w:color w:val="auto"/>
              </w:rPr>
              <w:t>(5)</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spacing w:after="0"/>
              <w:rPr>
                <w:sz w:val="20"/>
                <w:szCs w:val="20"/>
                <w:color w:val="auto"/>
              </w:rPr>
            </w:pPr>
            <w:r>
              <w:rPr>
                <w:rFonts w:ascii="Arial" w:cs="Arial" w:eastAsia="Arial" w:hAnsi="Arial"/>
                <w:sz w:val="18"/>
                <w:szCs w:val="18"/>
                <w:color w:val="auto"/>
              </w:rPr>
              <w:t>Ratio of total expenses to average net assets</w:t>
            </w:r>
          </w:p>
        </w:tc>
        <w:tc>
          <w:tcPr>
            <w:tcW w:w="2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80" w:type="dxa"/>
            <w:vAlign w:val="bottom"/>
            <w:gridSpan w:val="2"/>
            <w:vMerge w:val="continue"/>
          </w:tcPr>
          <w:p>
            <w:pPr>
              <w:spacing w:after="0"/>
              <w:rPr>
                <w:sz w:val="19"/>
                <w:szCs w:val="19"/>
                <w:color w:val="auto"/>
              </w:rPr>
            </w:pPr>
          </w:p>
        </w:tc>
        <w:tc>
          <w:tcPr>
            <w:tcW w:w="2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2"/>
          </w:tcPr>
          <w:p>
            <w:pPr>
              <w:jc w:val="right"/>
              <w:ind w:right="480"/>
              <w:spacing w:after="0"/>
              <w:rPr>
                <w:sz w:val="20"/>
                <w:szCs w:val="20"/>
                <w:color w:val="auto"/>
              </w:rPr>
            </w:pPr>
            <w:r>
              <w:rPr>
                <w:rFonts w:ascii="Arial" w:cs="Arial" w:eastAsia="Arial" w:hAnsi="Arial"/>
                <w:sz w:val="18"/>
                <w:szCs w:val="18"/>
                <w:color w:val="auto"/>
              </w:rPr>
              <w:t>10.09%</w:t>
            </w:r>
          </w:p>
        </w:tc>
        <w:tc>
          <w:tcPr>
            <w:tcW w:w="10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Ratio of net investment income to average net assets</w:t>
            </w:r>
            <w:r>
              <w:rPr>
                <w:rFonts w:ascii="Arial" w:cs="Arial" w:eastAsia="Arial" w:hAnsi="Arial"/>
                <w:sz w:val="15"/>
                <w:szCs w:val="15"/>
                <w:color w:val="auto"/>
              </w:rPr>
              <w:t>(5)</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9.45%</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Net assets at end of period</w:t>
            </w:r>
          </w:p>
        </w:tc>
        <w:tc>
          <w:tcPr>
            <w:tcW w:w="23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754,472,793</w:t>
            </w:r>
          </w:p>
        </w:tc>
        <w:tc>
          <w:tcPr>
            <w:tcW w:w="6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693,102,657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debt outstanding</w:t>
            </w:r>
            <w:r>
              <w:rPr>
                <w:rFonts w:ascii="Arial" w:cs="Arial" w:eastAsia="Arial" w:hAnsi="Arial"/>
                <w:sz w:val="15"/>
                <w:szCs w:val="15"/>
                <w:color w:val="auto"/>
              </w:rPr>
              <w:t>(6)</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498,062,949</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362,661,538</w:t>
            </w:r>
          </w:p>
        </w:tc>
        <w:tc>
          <w:tcPr>
            <w:tcW w:w="0" w:type="dxa"/>
            <w:vAlign w:val="bottom"/>
          </w:tcPr>
          <w:p>
            <w:pPr>
              <w:spacing w:after="0"/>
              <w:rPr>
                <w:sz w:val="1"/>
                <w:szCs w:val="1"/>
                <w:color w:val="auto"/>
              </w:rPr>
            </w:pPr>
          </w:p>
        </w:tc>
      </w:tr>
      <w:tr>
        <w:trPr>
          <w:trHeight w:val="223"/>
        </w:trPr>
        <w:tc>
          <w:tcPr>
            <w:tcW w:w="6280" w:type="dxa"/>
            <w:vAlign w:val="bottom"/>
            <w:gridSpan w:val="2"/>
          </w:tcPr>
          <w:p>
            <w:pPr>
              <w:spacing w:after="0"/>
              <w:rPr>
                <w:sz w:val="20"/>
                <w:szCs w:val="20"/>
                <w:color w:val="auto"/>
              </w:rPr>
            </w:pPr>
            <w:r>
              <w:rPr>
                <w:rFonts w:ascii="Arial" w:cs="Arial" w:eastAsia="Arial" w:hAnsi="Arial"/>
                <w:sz w:val="18"/>
                <w:szCs w:val="18"/>
                <w:color w:val="auto"/>
              </w:rPr>
              <w:t>Weighted average debt per share</w:t>
            </w:r>
            <w:r>
              <w:rPr>
                <w:rFonts w:ascii="Arial" w:cs="Arial" w:eastAsia="Arial" w:hAnsi="Arial"/>
                <w:sz w:val="15"/>
                <w:szCs w:val="15"/>
                <w:color w:val="auto"/>
              </w:rPr>
              <w:t>(6)</w:t>
            </w:r>
          </w:p>
        </w:tc>
        <w:tc>
          <w:tcPr>
            <w:tcW w:w="23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7.48</w:t>
            </w:r>
          </w:p>
        </w:tc>
        <w:tc>
          <w:tcPr>
            <w:tcW w:w="6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Asset coverage per unit at end of period</w:t>
            </w:r>
            <w:r>
              <w:rPr>
                <w:rFonts w:ascii="Arial" w:cs="Arial" w:eastAsia="Arial" w:hAnsi="Arial"/>
                <w:sz w:val="15"/>
                <w:szCs w:val="15"/>
                <w:color w:val="auto"/>
              </w:rPr>
              <w:t>(7)</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3,288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Portfolio turnover ratio</w:t>
            </w:r>
          </w:p>
        </w:tc>
        <w:tc>
          <w:tcPr>
            <w:tcW w:w="2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gridSpan w:val="2"/>
          </w:tcPr>
          <w:p>
            <w:pPr>
              <w:jc w:val="right"/>
              <w:ind w:right="480"/>
              <w:spacing w:after="0"/>
              <w:rPr>
                <w:sz w:val="20"/>
                <w:szCs w:val="20"/>
                <w:color w:val="auto"/>
              </w:rPr>
            </w:pPr>
            <w:r>
              <w:rPr>
                <w:rFonts w:ascii="Arial" w:cs="Arial" w:eastAsia="Arial" w:hAnsi="Arial"/>
                <w:sz w:val="18"/>
                <w:szCs w:val="18"/>
                <w:color w:val="auto"/>
              </w:rPr>
              <w:t>59.31%</w:t>
            </w:r>
          </w:p>
        </w:tc>
        <w:tc>
          <w:tcPr>
            <w:tcW w:w="10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33.72%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right="7680" w:firstLine="8"/>
        <w:spacing w:after="0" w:line="291" w:lineRule="auto"/>
        <w:tabs>
          <w:tab w:leader="none" w:pos="446" w:val="left"/>
        </w:tabs>
        <w:numPr>
          <w:ilvl w:val="0"/>
          <w:numId w:val="26"/>
        </w:numPr>
        <w:rPr>
          <w:rFonts w:ascii="Arial" w:cs="Arial" w:eastAsia="Arial" w:hAnsi="Arial"/>
          <w:sz w:val="16"/>
          <w:szCs w:val="16"/>
          <w:color w:val="auto"/>
        </w:rPr>
      </w:pPr>
      <w:r>
        <w:rPr>
          <w:rFonts w:ascii="Arial" w:cs="Arial" w:eastAsia="Arial" w:hAnsi="Arial"/>
          <w:sz w:val="16"/>
          <w:szCs w:val="16"/>
          <w:color w:val="auto"/>
        </w:rPr>
        <w:t>Not annualized for periods less than one year. ** Annualized for periods less than one year.</w:t>
      </w: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the weighted average shares outstanding for the respective periods.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taxable income calculated in accordance with income tax regulations and may differ from amounts determined under GAAP.</w:t>
      </w:r>
    </w:p>
    <w:p>
      <w:pPr>
        <w:spacing w:after="0" w:line="9" w:lineRule="exact"/>
        <w:rPr>
          <w:rFonts w:ascii="Arial" w:cs="Arial" w:eastAsia="Arial" w:hAnsi="Arial"/>
          <w:sz w:val="18"/>
          <w:szCs w:val="18"/>
          <w:color w:val="auto"/>
        </w:rPr>
      </w:pPr>
    </w:p>
    <w:p>
      <w:pPr>
        <w:ind w:left="460" w:right="80" w:hanging="452"/>
        <w:spacing w:after="0" w:line="250"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the change in market price per share during the period and takes into account distributions, if any, reinvested in accordance with our dividend reinvestment plan.</w:t>
      </w: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Operating expenses exclude debt related costs.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Ratios neither annualize the Credit Facility debt issuance costs nor 2025 Notes offering costs.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SBA debentures outstanding.</w:t>
      </w:r>
    </w:p>
    <w:p>
      <w:pPr>
        <w:spacing w:after="0" w:line="9" w:lineRule="exact"/>
        <w:rPr>
          <w:rFonts w:ascii="Arial" w:cs="Arial" w:eastAsia="Arial" w:hAnsi="Arial"/>
          <w:sz w:val="18"/>
          <w:szCs w:val="18"/>
          <w:color w:val="auto"/>
        </w:rPr>
      </w:pPr>
    </w:p>
    <w:p>
      <w:pPr>
        <w:ind w:left="460" w:right="160" w:hanging="452"/>
        <w:spacing w:after="0" w:line="254"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asset coverage ratio for a class of senior securities representing indebtedness is calculated on our consolidated total assets, less all liabilities and indebtedness not represented by senior securities, divided by the senior securities representing indebtedness. This asset coverage ratio is multiplied by $1,000 to determine the asset coverage per unit. These amounts exclude SBIC LP’s SBA debentures from our asset coverage per unit computation pursuant to an exemptive relief letter provided by the SEC in June 2011.</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S-68</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80"/>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JUNE 30, 2014</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DEBT</w:t>
      </w:r>
    </w:p>
    <w:p>
      <w:pPr>
        <w:spacing w:after="0" w:line="121" w:lineRule="exact"/>
        <w:rPr>
          <w:sz w:val="20"/>
          <w:szCs w:val="20"/>
          <w:color w:val="auto"/>
        </w:rPr>
      </w:pPr>
    </w:p>
    <w:p>
      <w:pPr>
        <w:jc w:val="both"/>
        <w:ind w:right="60" w:firstLine="456"/>
        <w:spacing w:after="0" w:line="279" w:lineRule="auto"/>
        <w:rPr>
          <w:sz w:val="20"/>
          <w:szCs w:val="20"/>
          <w:color w:val="auto"/>
        </w:rPr>
      </w:pPr>
      <w:r>
        <w:rPr>
          <w:rFonts w:ascii="Arial" w:cs="Arial" w:eastAsia="Arial" w:hAnsi="Arial"/>
          <w:sz w:val="17"/>
          <w:szCs w:val="17"/>
          <w:color w:val="auto"/>
        </w:rPr>
        <w:t>Our annualized weighted average cost of debt for the nine months ended June 30, 2014 and 2013, inclusive of the fee on the undrawn commitment on the Credit Facility and amortized upfront fees on SBA debentures but excluding debt issuance costs, was 3.94% and 4.15%, respectively. In accordance with the 1940 Act, with certain limited exceptions, we are only allowed to borrow amounts such that we are in compliance with our asset coverage ratio after such borrowing, excluding SBA debentures, pursuant to exemptive relief from the SEC received in June 2011.</w:t>
      </w:r>
    </w:p>
    <w:p>
      <w:pPr>
        <w:spacing w:after="0" w:line="28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Credit Facility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June 25, 2014, we amended and restated our multi-currency Credit Facility to increase the amount available for borrowing from $445 million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$545 million, reduce the interest rate spread above LIBOR from 2.75% to 2.25%, reduce the undrawn commitment fee from 0.50% to 0.375% and extend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maturity date from February 21, 2016 to June 25, 2019. This multi-currency Credit Facility is with certain lenders and SunTrust Bank, acting as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administrative agent, and JPMorgan Chase Bank, N.A., acting as syndication agent for the lenders. As of June 30, 2014 and September 30, 2013, there was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$255.9 million and $145.5 million (including a temporary draw of $28.0 million), respectively, in outstanding borrowings under the Credit Facility, with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weighted average interest rate at the time of 2.52% and 3.33%, exclusive of the fee on undrawn commitments of 0.375% and 0.50%, respectively. The Credit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Facility is a five-year revolving facility with a stated maturity date of June 25, 2019, a one-year term-out period following its fourth year and pricing set at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225 basis points over LIBOR. The Credit Facility is secured by substantially all of our assets excluding assets held by our SBIC Funds.</w:t>
      </w:r>
    </w:p>
    <w:p>
      <w:pPr>
        <w:spacing w:after="0" w:line="31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SBA Debentures</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Our SBIC Funds are able to borrow funds from the SBA against regulatory capital (which approximates equity capital) that is paid-in and is subject to customary regulatory requirements including an examination by the SBA. We have funded SBIC LP with $75.0 million of equity capital and it had SBA debentures outstanding of $150.0 million as of June 30, 2014. We have funded SBIC II with $37.5 million of equity capital and we received a commitment from the SBA to allow SBIC II to access $75.0 million in SBA debentures. SBA debentures are non-recourse to us and may be prepaid at any time without penalty. The interest rate of SBA debentures is fixed at the time of issuance, often referred to as pooling, at a market-driven spread over 10-year U.S. Treasury Notes. Under current SBA regulations, a SBIC may individually borrow to a maximum of $150.0 million, which is up to twice its potential regulatory capital, and as part of a group of SBICs under common control may borrow a maximum of $225.0 million in the aggregate.</w:t>
      </w:r>
    </w:p>
    <w:p>
      <w:pPr>
        <w:spacing w:after="0" w:line="178"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As of June 30, 2014 and September 30, 2013, our SBIC Funds had $225.0 million and $150.0 million in debt commitments, respectively, and $150.0 million was drawn for each period.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fixed-rate SBA debentures as of June 30, 2014 and September 30, 2013 were as follows: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920" w:type="dxa"/>
            <w:vAlign w:val="bottom"/>
            <w:vMerge w:val="restart"/>
          </w:tcPr>
          <w:p>
            <w:pPr>
              <w:spacing w:after="0"/>
              <w:rPr>
                <w:sz w:val="20"/>
                <w:szCs w:val="20"/>
                <w:color w:val="auto"/>
              </w:rPr>
            </w:pPr>
            <w:r>
              <w:rPr>
                <w:rFonts w:ascii="Arial" w:cs="Arial" w:eastAsia="Arial" w:hAnsi="Arial"/>
                <w:sz w:val="14"/>
                <w:szCs w:val="14"/>
                <w:b w:val="1"/>
                <w:bCs w:val="1"/>
                <w:color w:val="auto"/>
                <w:w w:val="88"/>
              </w:rPr>
              <w:t>Issuance Dates</w:t>
            </w:r>
          </w:p>
        </w:tc>
        <w:tc>
          <w:tcPr>
            <w:tcW w:w="2500" w:type="dxa"/>
            <w:vAlign w:val="bottom"/>
            <w:vMerge w:val="restart"/>
          </w:tcPr>
          <w:p>
            <w:pPr>
              <w:spacing w:after="0"/>
              <w:rPr>
                <w:sz w:val="14"/>
                <w:szCs w:val="14"/>
                <w:color w:val="auto"/>
              </w:rPr>
            </w:pPr>
          </w:p>
        </w:tc>
        <w:tc>
          <w:tcPr>
            <w:tcW w:w="1480" w:type="dxa"/>
            <w:vAlign w:val="bottom"/>
          </w:tcPr>
          <w:p>
            <w:pPr>
              <w:spacing w:after="0"/>
              <w:rPr>
                <w:sz w:val="14"/>
                <w:szCs w:val="14"/>
                <w:color w:val="auto"/>
              </w:rPr>
            </w:pPr>
          </w:p>
        </w:tc>
        <w:tc>
          <w:tcPr>
            <w:tcW w:w="136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Maturity</w:t>
            </w:r>
          </w:p>
        </w:tc>
        <w:tc>
          <w:tcPr>
            <w:tcW w:w="640" w:type="dxa"/>
            <w:vAlign w:val="bottom"/>
            <w:vMerge w:val="restart"/>
          </w:tcPr>
          <w:p>
            <w:pPr>
              <w:spacing w:after="0"/>
              <w:rPr>
                <w:sz w:val="14"/>
                <w:szCs w:val="14"/>
                <w:color w:val="auto"/>
              </w:rPr>
            </w:pP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Fixed All-In</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Principal</w:t>
            </w: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tcBorders>
            <w:vMerge w:val="continue"/>
          </w:tcPr>
          <w:p>
            <w:pPr>
              <w:spacing w:after="0"/>
              <w:rPr>
                <w:sz w:val="14"/>
                <w:szCs w:val="14"/>
                <w:color w:val="auto"/>
              </w:rPr>
            </w:pPr>
          </w:p>
        </w:tc>
        <w:tc>
          <w:tcPr>
            <w:tcW w:w="2500" w:type="dxa"/>
            <w:vAlign w:val="bottom"/>
            <w:tcBorders>
              <w:bottom w:val="single" w:sz="8" w:color="CCEEFF"/>
            </w:tcBorders>
            <w:vMerge w:val="continue"/>
          </w:tcPr>
          <w:p>
            <w:pPr>
              <w:spacing w:after="0"/>
              <w:rPr>
                <w:sz w:val="14"/>
                <w:szCs w:val="14"/>
                <w:color w:val="auto"/>
              </w:rPr>
            </w:pPr>
          </w:p>
        </w:tc>
        <w:tc>
          <w:tcPr>
            <w:tcW w:w="14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640" w:type="dxa"/>
            <w:vAlign w:val="bottom"/>
            <w:tcBorders>
              <w:bottom w:val="single" w:sz="8" w:color="CCEEFF"/>
            </w:tcBorders>
            <w:vMerge w:val="continue"/>
          </w:tcPr>
          <w:p>
            <w:pPr>
              <w:spacing w:after="0"/>
              <w:rPr>
                <w:sz w:val="14"/>
                <w:szCs w:val="14"/>
                <w:color w:val="auto"/>
              </w:rPr>
            </w:pPr>
          </w:p>
        </w:tc>
        <w:tc>
          <w:tcPr>
            <w:tcW w:w="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1"/>
              </w:rPr>
              <w:t>Coupon Rate</w:t>
            </w:r>
          </w:p>
        </w:tc>
        <w:tc>
          <w:tcPr>
            <w:tcW w:w="44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Balance</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22, 2010</w:t>
            </w:r>
          </w:p>
        </w:tc>
        <w:tc>
          <w:tcPr>
            <w:tcW w:w="14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w w:val="87"/>
              </w:rPr>
              <w:t>September 1, 2020</w:t>
            </w:r>
          </w:p>
        </w:tc>
        <w:tc>
          <w:tcPr>
            <w:tcW w:w="6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3.50%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March 29, 2011</w:t>
            </w:r>
          </w:p>
        </w:tc>
        <w:tc>
          <w:tcPr>
            <w:tcW w:w="3480" w:type="dxa"/>
            <w:vAlign w:val="bottom"/>
            <w:gridSpan w:val="3"/>
          </w:tcPr>
          <w:p>
            <w:pPr>
              <w:ind w:left="1480"/>
              <w:spacing w:after="0"/>
              <w:rPr>
                <w:sz w:val="20"/>
                <w:szCs w:val="20"/>
                <w:color w:val="auto"/>
              </w:rPr>
            </w:pPr>
            <w:r>
              <w:rPr>
                <w:rFonts w:ascii="Arial" w:cs="Arial" w:eastAsia="Arial" w:hAnsi="Arial"/>
                <w:sz w:val="18"/>
                <w:szCs w:val="18"/>
                <w:color w:val="auto"/>
              </w:rPr>
              <w:t>March 1, 2021</w:t>
            </w:r>
          </w:p>
        </w:tc>
        <w:tc>
          <w:tcPr>
            <w:tcW w:w="1280" w:type="dxa"/>
            <w:vAlign w:val="bottom"/>
            <w:gridSpan w:val="2"/>
          </w:tcPr>
          <w:p>
            <w:pPr>
              <w:ind w:left="520"/>
              <w:spacing w:after="0"/>
              <w:rPr>
                <w:sz w:val="20"/>
                <w:szCs w:val="20"/>
                <w:color w:val="auto"/>
              </w:rPr>
            </w:pPr>
            <w:r>
              <w:rPr>
                <w:rFonts w:ascii="Arial" w:cs="Arial" w:eastAsia="Arial" w:hAnsi="Arial"/>
                <w:sz w:val="18"/>
                <w:szCs w:val="18"/>
                <w:color w:val="auto"/>
              </w:rPr>
              <w:t>4.46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44,500,000</w:t>
            </w: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21, 2011</w:t>
            </w:r>
          </w:p>
        </w:tc>
        <w:tc>
          <w:tcPr>
            <w:tcW w:w="3480" w:type="dxa"/>
            <w:vAlign w:val="bottom"/>
            <w:gridSpan w:val="3"/>
            <w:shd w:val="clear" w:color="auto" w:fill="CCEEFF"/>
          </w:tcPr>
          <w:p>
            <w:pPr>
              <w:ind w:left="1480"/>
              <w:spacing w:after="0"/>
              <w:rPr>
                <w:sz w:val="20"/>
                <w:szCs w:val="20"/>
                <w:color w:val="auto"/>
              </w:rPr>
            </w:pPr>
            <w:r>
              <w:rPr>
                <w:rFonts w:ascii="Arial" w:cs="Arial" w:eastAsia="Arial" w:hAnsi="Arial"/>
                <w:sz w:val="18"/>
                <w:szCs w:val="18"/>
                <w:color w:val="auto"/>
              </w:rPr>
              <w:t>September 1, 2021</w:t>
            </w:r>
          </w:p>
        </w:tc>
        <w:tc>
          <w:tcPr>
            <w:tcW w:w="84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85"/>
              </w:rPr>
              <w:t>3.38</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105,000,000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20" w:type="dxa"/>
            <w:vAlign w:val="bottom"/>
            <w:gridSpan w:val="2"/>
          </w:tcPr>
          <w:p>
            <w:pPr>
              <w:spacing w:after="0"/>
              <w:rPr>
                <w:sz w:val="20"/>
                <w:szCs w:val="20"/>
                <w:color w:val="auto"/>
              </w:rPr>
            </w:pPr>
            <w:r>
              <w:rPr>
                <w:rFonts w:ascii="Arial" w:cs="Arial" w:eastAsia="Arial" w:hAnsi="Arial"/>
                <w:sz w:val="18"/>
                <w:szCs w:val="18"/>
                <w:color w:val="auto"/>
              </w:rPr>
              <w:t>Weighted Average Rate / Total</w:t>
            </w:r>
          </w:p>
        </w:tc>
        <w:tc>
          <w:tcPr>
            <w:tcW w:w="14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80" w:type="dxa"/>
            <w:vAlign w:val="bottom"/>
            <w:gridSpan w:val="2"/>
          </w:tcPr>
          <w:p>
            <w:pPr>
              <w:ind w:left="520"/>
              <w:spacing w:after="0"/>
              <w:rPr>
                <w:sz w:val="20"/>
                <w:szCs w:val="20"/>
                <w:color w:val="auto"/>
              </w:rPr>
            </w:pPr>
            <w:r>
              <w:rPr>
                <w:rFonts w:ascii="Arial" w:cs="Arial" w:eastAsia="Arial" w:hAnsi="Arial"/>
                <w:sz w:val="18"/>
                <w:szCs w:val="18"/>
                <w:color w:val="auto"/>
              </w:rPr>
              <w:t>3.70%</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150,000,000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480" w:type="dxa"/>
            <w:vAlign w:val="bottom"/>
            <w:gridSpan w:val="3"/>
            <w:vMerge w:val="restart"/>
          </w:tcPr>
          <w:p>
            <w:pPr>
              <w:ind w:left="1200"/>
              <w:spacing w:after="0"/>
              <w:rPr>
                <w:sz w:val="20"/>
                <w:szCs w:val="20"/>
                <w:color w:val="auto"/>
              </w:rPr>
            </w:pPr>
            <w:r>
              <w:rPr>
                <w:rFonts w:ascii="Arial" w:cs="Arial" w:eastAsia="Arial" w:hAnsi="Arial"/>
                <w:sz w:val="18"/>
                <w:szCs w:val="18"/>
                <w:color w:val="auto"/>
              </w:rPr>
              <w:t>S-69</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480" w:type="dxa"/>
            <w:vAlign w:val="bottom"/>
            <w:gridSpan w:val="3"/>
            <w:vMerge w:val="continue"/>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80"/>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JUNE 30, 2014</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Under SBA regulations, our SBIC Funds are subject to regulatory requirements, including making investments in SBA-eligible businesses, investing at least 25% of regulatory capital in eligible smaller businesses, as defined under the 1958 Act, placing certain limitations on the financing terms of investments, prohibiting investing in certain industries, requiring capitalization thresholds and being subject to periodic audits and examinations of their financial statements that are prepared on a basis of accounting other than GAAP (for example, fair value, as defined under ASC 820, is not required to be used for assets or liabilities for such compliance reporting). If our SBIC Funds fail to comply with applicable SBA regulations, the SBA could, depending on the severity of the violation, limit or prohibit their use of debentures, declare outstanding debentures immediately due and payable and/or limit them from making new investments. These actions by the SBA would, in turn, negatively affect us because our SBIC Funds are wholly owned by us.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2025 Notes</w:t>
      </w:r>
    </w:p>
    <w:p>
      <w:pPr>
        <w:spacing w:after="0" w:line="117" w:lineRule="exact"/>
        <w:rPr>
          <w:sz w:val="20"/>
          <w:szCs w:val="20"/>
          <w:color w:val="auto"/>
        </w:rPr>
      </w:pPr>
    </w:p>
    <w:p>
      <w:pPr>
        <w:ind w:right="300" w:firstLine="456"/>
        <w:spacing w:after="0" w:line="276" w:lineRule="auto"/>
        <w:rPr>
          <w:sz w:val="20"/>
          <w:szCs w:val="20"/>
          <w:color w:val="auto"/>
        </w:rPr>
      </w:pPr>
      <w:r>
        <w:rPr>
          <w:rFonts w:ascii="Arial" w:cs="Arial" w:eastAsia="Arial" w:hAnsi="Arial"/>
          <w:sz w:val="17"/>
          <w:szCs w:val="17"/>
          <w:color w:val="auto"/>
        </w:rPr>
        <w:t>As of June 30, 2014 and September 30, 2013, we had $71.3 million in aggregate principal amount of 2025 Notes. Interest on the 2025 Notes is paid quarterly on February 1, May 1, August 1 and November 1, at a rate of 6.25% per year. The 2025 Notes mature on February 1, 2025. We may redeem the 2025 Notes in whole or in part at any time or from time to time on or after February 1, 2016. The 2025 Notes are general, unsecured obligations and rank equal in right of payment with all of our existing and future senior unsecured indebtedness. The 2025 Notes are structurally subordinated to our SBA debentures and the assets pledged or secured under our Credit Facility.</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121"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From time to time, we,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investments described in the Consolidated Statement of Assets and Liabilities represent unfunded delayed draws on investments and/or revolving lines of credit, if any.</w:t>
      </w:r>
    </w:p>
    <w:p>
      <w:pPr>
        <w:spacing w:after="0" w:line="1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in the ordinary course of business, have guaranteed certain obligations of SPH. The guaranties are only triggered if there were administrative errors in acquiring assets which SPH subsequently sold or securitized. As of June 30, 2014 and September 30, 2013, our maximum guaranty was $11.3 million and $13.0 million, respectively. Based on SPH’s and industry historical loss rates we believe the risk of loss is remote, thus, we have not recorded a liability associated with the guaranties. The current guaranties will decline over time.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S-70</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$1,000,000,000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2749550</wp:posOffset>
            </wp:positionH>
            <wp:positionV relativeFrom="paragraph">
              <wp:posOffset>11430</wp:posOffset>
            </wp:positionV>
            <wp:extent cx="1766570" cy="3771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76657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Preferred Stock</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Warrants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Subscription Rights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Debt Securities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Units</w:t>
      </w:r>
    </w:p>
    <w:p>
      <w:pPr>
        <w:spacing w:after="0" w:line="121"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PennantPark Investment Corporation is a closed-end, externally managed, non-diversified investment company that has elected to be treated as a business development company under the Investment Company Act of 1940, as amended.</w:t>
      </w:r>
    </w:p>
    <w:p>
      <w:pPr>
        <w:spacing w:after="0" w:line="62"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Our investment objectives are to generate both current income and capital appreciation through debt and equity investments primarily in U.S. middle-market private companies in the form of senior secured loans, mezzanine debt and equity investments. We can offer no assurances that we will achieve our investment objectives.</w:t>
      </w:r>
    </w:p>
    <w:p>
      <w:pPr>
        <w:spacing w:after="0" w:line="73"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We are managed by PennantPark Investment Advisers, LLC. PennantPark Investment Administration, LLC provides the administrative services necessary for us to operate.</w:t>
      </w:r>
    </w:p>
    <w:p>
      <w:pPr>
        <w:spacing w:after="0" w:line="6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may offer, from time to time, in one or more offerings or series, together or separately, up to $1,000,000,000 of our common stock, preferred stock, warrants representing rights to purchase shares of our common stock, preferred stock or debt securities, subscription rights, debt securities, or units, which we refer to, collectively, as the “securities.” We may sell our common stock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to be described in one or more supplements to this prospectus. In the event we offer common stock, the offering price per share of our common stock exclusive of any underwriting commissions or discounts will not be less than the net asset value per share of our common stock at the time we make the offering except (1) in connection with a rights offering to our existing stockholders, (2) with the consent of the majority of our common stockholders and approval of our board of directors, or (3) under such circumstances as the Securities and Exchange Commission, or the SEC, may permit. See “Risk Factors” on page 8 and “Sales of Common Stock Below Net Asset Value” on page 37 of this prospectus for more information.</w:t>
      </w:r>
    </w:p>
    <w:p>
      <w:pPr>
        <w:spacing w:after="0" w:line="6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Our common stock has been approved for quotation on the NASDAQ Global Select Market under the symbol “PNNT.” The last reported closing price for our common stock on December 6, 2013 was $11.93 per share, and our net asset value on September 30, 2013 was $10.49 per share. Our 6.25% senior notes due 2025, or the 2025 Notes, have been approved for quotation on the New York Stock Exchange, or NYSE, under the symbol “PNTA.” The last reported closing price of the 2025 Notes on December 6, 2013 was $23.93 per $25 of par.</w:t>
      </w:r>
    </w:p>
    <w:p>
      <w:pPr>
        <w:spacing w:after="0" w:line="79"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 xml:space="preserve">This prospectus and any accompanying prospectus supplement contain important information you should know before investing in our securities. Please read them before you invest in our securities and keep them for future reference. We file annual, quarterly and current reports, proxy statements and other information with the SEC. You may also obtain such information free of charge or make stockholder inquiries by contacting us in writing at 590 Madison Avenue, New York, NY 10022, by calling us collect at (212) 905-1000 or by visiting our website at </w:t>
      </w:r>
      <w:r>
        <w:rPr>
          <w:rFonts w:ascii="Arial" w:cs="Arial" w:eastAsia="Arial" w:hAnsi="Arial"/>
          <w:sz w:val="16"/>
          <w:szCs w:val="16"/>
          <w:i w:val="1"/>
          <w:iCs w:val="1"/>
          <w:u w:val="single" w:color="auto"/>
          <w:color w:val="auto"/>
        </w:rPr>
        <w:t>www.pennantpark.com</w:t>
      </w:r>
      <w:r>
        <w:rPr>
          <w:rFonts w:ascii="Arial" w:cs="Arial" w:eastAsia="Arial" w:hAnsi="Arial"/>
          <w:sz w:val="16"/>
          <w:szCs w:val="16"/>
          <w:i w:val="1"/>
          <w:iCs w:val="1"/>
          <w:color w:val="auto"/>
        </w:rPr>
        <w:t>.</w:t>
      </w:r>
      <w:r>
        <w:rPr>
          <w:rFonts w:ascii="Arial" w:cs="Arial" w:eastAsia="Arial" w:hAnsi="Arial"/>
          <w:sz w:val="16"/>
          <w:szCs w:val="16"/>
          <w:color w:val="auto"/>
        </w:rPr>
        <w:t xml:space="preserve"> The information on our website is not incorporated by reference into this prospectus. The SEC also maintains a website at </w:t>
      </w:r>
      <w:r>
        <w:rPr>
          <w:rFonts w:ascii="Arial" w:cs="Arial" w:eastAsia="Arial" w:hAnsi="Arial"/>
          <w:sz w:val="16"/>
          <w:szCs w:val="16"/>
          <w:i w:val="1"/>
          <w:iCs w:val="1"/>
          <w:u w:val="single" w:color="auto"/>
          <w:color w:val="auto"/>
        </w:rPr>
        <w:t>www.sec.gov</w:t>
      </w:r>
      <w:r>
        <w:rPr>
          <w:rFonts w:ascii="Arial" w:cs="Arial" w:eastAsia="Arial" w:hAnsi="Arial"/>
          <w:sz w:val="16"/>
          <w:szCs w:val="16"/>
          <w:color w:val="auto"/>
        </w:rPr>
        <w:t xml:space="preserve"> that contains such information free of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9" w:lineRule="exact"/>
        <w:rPr>
          <w:sz w:val="20"/>
          <w:szCs w:val="20"/>
          <w:color w:val="auto"/>
        </w:rPr>
      </w:pPr>
    </w:p>
    <w:p>
      <w:pPr>
        <w:jc w:val="both"/>
        <w:ind w:right="100" w:firstLine="456"/>
        <w:spacing w:after="0" w:line="243"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securities involves a high degree of risk, including the risk of the use of leverage. Before buying any of our securities, you should read the discussion of the material risks of investing in us in “</w:t>
      </w:r>
      <w:hyperlink w:anchor="page84">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8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7" w:lineRule="exact"/>
        <w:rPr>
          <w:sz w:val="20"/>
          <w:szCs w:val="20"/>
          <w:color w:val="auto"/>
        </w:rPr>
      </w:pPr>
    </w:p>
    <w:p>
      <w:pPr>
        <w:ind w:right="520" w:firstLine="456"/>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prospectus may not be used to consummate sales of securities unless accompanied by a prospectus supplement.</w:t>
      </w:r>
    </w:p>
    <w:p>
      <w:pPr>
        <w:spacing w:after="0" w:line="117"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Prospectus dated January 30, 2014</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color w:val="auto"/>
        </w:rPr>
        <w:t>You should rely only on the information contained in this prospectus and any accompanying prospectus supplement when considering whether to purchase any securities offered by this prospectus. We have not authorized anyone to provide you with additional information, or information different from that contained in this prospectus and any accompanying prospectus supplements. If anyone provides you with different or additional information, you should not rely on it. We are offering to sell and seeking offers to buy, securities only in jurisdictions where offers are permitted. The information contained in or incorporated by reference in this prospectus and any accompanying prospectus supplement is accurate only as of the date of this prospectus or such prospectus supplement. We will update these documents to reflect material changes only as required by law. Our business, financial condition, results of operations and prospects may have changed since then.</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60" w:type="dxa"/>
            <w:vAlign w:val="bottom"/>
            <w:gridSpan w:val="5"/>
          </w:tcPr>
          <w:p>
            <w:pPr>
              <w:ind w:left="120"/>
              <w:spacing w:after="0"/>
              <w:rPr>
                <w:sz w:val="20"/>
                <w:szCs w:val="20"/>
                <w:color w:val="auto"/>
              </w:rPr>
            </w:pPr>
            <w:r>
              <w:rPr>
                <w:rFonts w:ascii="Arial" w:cs="Arial" w:eastAsia="Arial" w:hAnsi="Arial"/>
                <w:sz w:val="18"/>
                <w:szCs w:val="18"/>
                <w:b w:val="1"/>
                <w:bCs w:val="1"/>
                <w:color w:val="auto"/>
              </w:rPr>
              <w:t>TABLE OF CONTENTS</w:t>
            </w: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100" w:type="dxa"/>
            <w:vAlign w:val="bottom"/>
            <w:gridSpan w:val="10"/>
            <w:vMerge w:val="restart"/>
          </w:tcPr>
          <w:p>
            <w:pPr>
              <w:spacing w:after="0"/>
              <w:rPr>
                <w:rFonts w:ascii="Arial" w:cs="Arial" w:eastAsia="Arial" w:hAnsi="Arial"/>
                <w:sz w:val="18"/>
                <w:szCs w:val="18"/>
                <w:color w:val="0000EE"/>
                <w:w w:val="94"/>
              </w:rPr>
            </w:pPr>
            <w:hyperlink w:anchor="page77">
              <w:r>
                <w:rPr>
                  <w:rFonts w:ascii="Arial" w:cs="Arial" w:eastAsia="Arial" w:hAnsi="Arial"/>
                  <w:sz w:val="18"/>
                  <w:szCs w:val="18"/>
                  <w:color w:val="0000EE"/>
                  <w:w w:val="94"/>
                </w:rPr>
                <w:t>PROSPECTUS SUMMARY</w:t>
              </w:r>
            </w:hyperlink>
          </w:p>
        </w:tc>
        <w:tc>
          <w:tcPr>
            <w:tcW w:w="8800" w:type="dxa"/>
            <w:vAlign w:val="bottom"/>
            <w:gridSpan w:val="23"/>
            <w:vMerge w:val="restart"/>
          </w:tcPr>
          <w:p>
            <w:pPr>
              <w:spacing w:after="0"/>
              <w:rPr>
                <w:sz w:val="24"/>
                <w:szCs w:val="24"/>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2100" w:type="dxa"/>
            <w:vAlign w:val="bottom"/>
            <w:tcBorders>
              <w:bottom w:val="single" w:sz="8" w:color="0000EE"/>
            </w:tcBorders>
            <w:gridSpan w:val="10"/>
            <w:vMerge w:val="continue"/>
          </w:tcPr>
          <w:p>
            <w:pPr>
              <w:spacing w:after="0"/>
              <w:rPr>
                <w:sz w:val="14"/>
                <w:szCs w:val="14"/>
                <w:color w:val="auto"/>
              </w:rPr>
            </w:pPr>
          </w:p>
        </w:tc>
        <w:tc>
          <w:tcPr>
            <w:tcW w:w="8800" w:type="dxa"/>
            <w:vAlign w:val="bottom"/>
            <w:gridSpan w:val="23"/>
            <w:vMerge w:val="continue"/>
          </w:tcPr>
          <w:p>
            <w:pPr>
              <w:spacing w:after="0"/>
              <w:rPr>
                <w:sz w:val="14"/>
                <w:szCs w:val="14"/>
                <w:color w:val="auto"/>
              </w:rPr>
            </w:pPr>
          </w:p>
        </w:tc>
        <w:tc>
          <w:tcPr>
            <w:tcW w:w="42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80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w:anchor="page82">
              <w:r>
                <w:rPr>
                  <w:rFonts w:ascii="Arial" w:cs="Arial" w:eastAsia="Arial" w:hAnsi="Arial"/>
                  <w:sz w:val="18"/>
                  <w:szCs w:val="18"/>
                  <w:color w:val="0000EE"/>
                  <w:w w:val="92"/>
                </w:rPr>
                <w:t>FEES AND EXPENSES</w:t>
              </w:r>
            </w:hyperlink>
          </w:p>
        </w:tc>
        <w:tc>
          <w:tcPr>
            <w:tcW w:w="9100" w:type="dxa"/>
            <w:vAlign w:val="bottom"/>
            <w:gridSpan w:val="25"/>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26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w:anchor="page84">
              <w:r>
                <w:rPr>
                  <w:rFonts w:ascii="Arial" w:cs="Arial" w:eastAsia="Arial" w:hAnsi="Arial"/>
                  <w:sz w:val="18"/>
                  <w:szCs w:val="18"/>
                  <w:color w:val="0000EE"/>
                  <w:w w:val="93"/>
                </w:rPr>
                <w:t>RISK FACTORS</w:t>
              </w:r>
            </w:hyperlink>
          </w:p>
        </w:tc>
        <w:tc>
          <w:tcPr>
            <w:tcW w:w="9640" w:type="dxa"/>
            <w:vAlign w:val="bottom"/>
            <w:gridSpan w:val="30"/>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2940" w:type="dxa"/>
            <w:vAlign w:val="bottom"/>
            <w:tcBorders>
              <w:bottom w:val="single" w:sz="8" w:color="0000EE"/>
            </w:tcBorders>
            <w:gridSpan w:val="16"/>
          </w:tcPr>
          <w:p>
            <w:pPr>
              <w:spacing w:after="0" w:line="196" w:lineRule="exact"/>
              <w:rPr>
                <w:rFonts w:ascii="Arial" w:cs="Arial" w:eastAsia="Arial" w:hAnsi="Arial"/>
                <w:sz w:val="18"/>
                <w:szCs w:val="18"/>
                <w:color w:val="0000EE"/>
                <w:w w:val="95"/>
              </w:rPr>
            </w:pPr>
            <w:hyperlink w:anchor="page112">
              <w:r>
                <w:rPr>
                  <w:rFonts w:ascii="Arial" w:cs="Arial" w:eastAsia="Arial" w:hAnsi="Arial"/>
                  <w:sz w:val="18"/>
                  <w:szCs w:val="18"/>
                  <w:color w:val="0000EE"/>
                  <w:w w:val="95"/>
                </w:rPr>
                <w:t>FORWARD-LOOKING STATEMENTS</w:t>
              </w:r>
            </w:hyperlink>
          </w:p>
        </w:tc>
        <w:tc>
          <w:tcPr>
            <w:tcW w:w="7960" w:type="dxa"/>
            <w:vAlign w:val="bottom"/>
            <w:gridSpan w:val="17"/>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900" w:type="dxa"/>
            <w:vAlign w:val="bottom"/>
            <w:gridSpan w:val="33"/>
          </w:tcPr>
          <w:p>
            <w:pPr>
              <w:spacing w:after="0" w:line="196" w:lineRule="exact"/>
              <w:rPr>
                <w:rFonts w:ascii="Arial" w:cs="Arial" w:eastAsia="Arial" w:hAnsi="Arial"/>
                <w:sz w:val="18"/>
                <w:szCs w:val="18"/>
                <w:color w:val="0000EE"/>
              </w:rPr>
            </w:pPr>
            <w:hyperlink w:anchor="page113">
              <w:r>
                <w:rPr>
                  <w:rFonts w:ascii="Arial" w:cs="Arial" w:eastAsia="Arial" w:hAnsi="Arial"/>
                  <w:sz w:val="18"/>
                  <w:szCs w:val="18"/>
                  <w:color w:val="0000EE"/>
                </w:rPr>
                <w:t>USE OF PROCEEDS</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40" w:type="dxa"/>
            <w:vAlign w:val="bottom"/>
            <w:tcBorders>
              <w:bottom w:val="single" w:sz="8" w:color="0000EE"/>
            </w:tcBorders>
            <w:gridSpan w:val="11"/>
          </w:tcPr>
          <w:p>
            <w:pPr>
              <w:spacing w:after="0" w:line="196" w:lineRule="exact"/>
              <w:rPr>
                <w:rFonts w:ascii="Arial" w:cs="Arial" w:eastAsia="Arial" w:hAnsi="Arial"/>
                <w:sz w:val="18"/>
                <w:szCs w:val="18"/>
                <w:color w:val="0000EE"/>
                <w:w w:val="97"/>
              </w:rPr>
            </w:pPr>
            <w:hyperlink w:anchor="page114">
              <w:r>
                <w:rPr>
                  <w:rFonts w:ascii="Arial" w:cs="Arial" w:eastAsia="Arial" w:hAnsi="Arial"/>
                  <w:sz w:val="18"/>
                  <w:szCs w:val="18"/>
                  <w:color w:val="0000EE"/>
                  <w:w w:val="97"/>
                </w:rPr>
                <w:t>SELECTED FINANCIAL DATA</w:t>
              </w:r>
            </w:hyperlink>
          </w:p>
        </w:tc>
        <w:tc>
          <w:tcPr>
            <w:tcW w:w="8460" w:type="dxa"/>
            <w:vAlign w:val="bottom"/>
            <w:gridSpan w:val="22"/>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900" w:type="dxa"/>
            <w:vAlign w:val="bottom"/>
            <w:gridSpan w:val="33"/>
          </w:tcPr>
          <w:p>
            <w:pPr>
              <w:spacing w:after="0" w:line="196" w:lineRule="exact"/>
              <w:rPr>
                <w:rFonts w:ascii="Arial" w:cs="Arial" w:eastAsia="Arial" w:hAnsi="Arial"/>
                <w:sz w:val="18"/>
                <w:szCs w:val="18"/>
                <w:color w:val="0000EE"/>
              </w:rPr>
            </w:pPr>
            <w:hyperlink w:anchor="page116">
              <w:r>
                <w:rPr>
                  <w:rFonts w:ascii="Arial" w:cs="Arial" w:eastAsia="Arial" w:hAnsi="Arial"/>
                  <w:sz w:val="18"/>
                  <w:szCs w:val="18"/>
                  <w:color w:val="0000EE"/>
                </w:rPr>
                <w:t>MANAGEMENT’S DISCUSSION AND ANALYSIS OF FINANCIAL CONDITION AND RESULTS OF OPERATIONS</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920" w:type="dxa"/>
            <w:vAlign w:val="bottom"/>
            <w:tcBorders>
              <w:top w:val="single" w:sz="8" w:color="0000EE"/>
            </w:tcBorders>
            <w:gridSpan w:val="32"/>
          </w:tcPr>
          <w:p>
            <w:pPr>
              <w:spacing w:after="0" w:line="196" w:lineRule="exact"/>
              <w:rPr>
                <w:rFonts w:ascii="Arial" w:cs="Arial" w:eastAsia="Arial" w:hAnsi="Arial"/>
                <w:sz w:val="18"/>
                <w:szCs w:val="18"/>
                <w:color w:val="0000EE"/>
              </w:rPr>
            </w:pPr>
            <w:hyperlink w:anchor="page131">
              <w:r>
                <w:rPr>
                  <w:rFonts w:ascii="Arial" w:cs="Arial" w:eastAsia="Arial" w:hAnsi="Arial"/>
                  <w:sz w:val="18"/>
                  <w:szCs w:val="18"/>
                  <w:color w:val="0000EE"/>
                </w:rPr>
                <w:t>RATIO OF EARNINGS TO FIXED CHARGES</w:t>
              </w:r>
            </w:hyperlink>
          </w:p>
        </w:tc>
        <w:tc>
          <w:tcPr>
            <w:tcW w:w="198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0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132">
              <w:r>
                <w:rPr>
                  <w:rFonts w:ascii="Arial" w:cs="Arial" w:eastAsia="Arial" w:hAnsi="Arial"/>
                  <w:sz w:val="18"/>
                  <w:szCs w:val="18"/>
                  <w:color w:val="0000EE"/>
                </w:rPr>
                <w:t>PRICE RANGE OF COMMON STOCK</w:t>
              </w:r>
            </w:hyperlink>
          </w:p>
        </w:tc>
        <w:tc>
          <w:tcPr>
            <w:tcW w:w="7400" w:type="dxa"/>
            <w:vAlign w:val="bottom"/>
            <w:gridSpan w:val="12"/>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00" w:type="dxa"/>
            <w:vAlign w:val="bottom"/>
            <w:gridSpan w:val="33"/>
          </w:tcPr>
          <w:p>
            <w:pPr>
              <w:spacing w:after="0" w:line="196" w:lineRule="exact"/>
              <w:rPr>
                <w:rFonts w:ascii="Arial" w:cs="Arial" w:eastAsia="Arial" w:hAnsi="Arial"/>
                <w:sz w:val="18"/>
                <w:szCs w:val="18"/>
                <w:color w:val="0000EE"/>
              </w:rPr>
            </w:pPr>
            <w:hyperlink w:anchor="page133">
              <w:r>
                <w:rPr>
                  <w:rFonts w:ascii="Arial" w:cs="Arial" w:eastAsia="Arial" w:hAnsi="Arial"/>
                  <w:sz w:val="18"/>
                  <w:szCs w:val="18"/>
                  <w:color w:val="0000EE"/>
                </w:rPr>
                <w:t>SALES OF COMMON STOCK BELOW NET ASSET VALUE</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4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w:anchor="page139">
              <w:r>
                <w:rPr>
                  <w:rFonts w:ascii="Arial" w:cs="Arial" w:eastAsia="Arial" w:hAnsi="Arial"/>
                  <w:sz w:val="18"/>
                  <w:szCs w:val="18"/>
                  <w:color w:val="0000EE"/>
                </w:rPr>
                <w:t>DISTRIBUTIONS</w:t>
              </w:r>
            </w:hyperlink>
          </w:p>
        </w:tc>
        <w:tc>
          <w:tcPr>
            <w:tcW w:w="6260" w:type="dxa"/>
            <w:vAlign w:val="bottom"/>
            <w:gridSpan w:val="5"/>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2"/>
              </w:rPr>
            </w:pPr>
            <w:hyperlink w:anchor="page141">
              <w:r>
                <w:rPr>
                  <w:rFonts w:ascii="Arial" w:cs="Arial" w:eastAsia="Arial" w:hAnsi="Arial"/>
                  <w:sz w:val="18"/>
                  <w:szCs w:val="18"/>
                  <w:color w:val="0000EE"/>
                  <w:w w:val="92"/>
                </w:rPr>
                <w:t>BUSINESS</w:t>
              </w:r>
            </w:hyperlink>
          </w:p>
        </w:tc>
        <w:tc>
          <w:tcPr>
            <w:tcW w:w="500" w:type="dxa"/>
            <w:vAlign w:val="bottom"/>
            <w:tcBorders>
              <w:top w:val="single" w:sz="8" w:color="0000EE"/>
            </w:tcBorders>
            <w:gridSpan w:val="4"/>
          </w:tcPr>
          <w:p>
            <w:pPr>
              <w:spacing w:after="0"/>
              <w:rPr>
                <w:sz w:val="17"/>
                <w:szCs w:val="17"/>
                <w:color w:val="auto"/>
              </w:rPr>
            </w:pPr>
          </w:p>
        </w:tc>
        <w:tc>
          <w:tcPr>
            <w:tcW w:w="9540" w:type="dxa"/>
            <w:vAlign w:val="bottom"/>
            <w:gridSpan w:val="28"/>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40" w:type="dxa"/>
            <w:vAlign w:val="bottom"/>
            <w:tcBorders>
              <w:bottom w:val="single" w:sz="8" w:color="0000EE"/>
            </w:tcBorders>
            <w:gridSpan w:val="22"/>
          </w:tcPr>
          <w:p>
            <w:pPr>
              <w:spacing w:after="0" w:line="196" w:lineRule="exact"/>
              <w:rPr>
                <w:rFonts w:ascii="Arial" w:cs="Arial" w:eastAsia="Arial" w:hAnsi="Arial"/>
                <w:sz w:val="18"/>
                <w:szCs w:val="18"/>
                <w:color w:val="0000EE"/>
                <w:w w:val="96"/>
              </w:rPr>
            </w:pPr>
            <w:hyperlink w:anchor="page146">
              <w:r>
                <w:rPr>
                  <w:rFonts w:ascii="Arial" w:cs="Arial" w:eastAsia="Arial" w:hAnsi="Arial"/>
                  <w:sz w:val="18"/>
                  <w:szCs w:val="18"/>
                  <w:color w:val="0000EE"/>
                  <w:w w:val="96"/>
                </w:rPr>
                <w:t>INVESTMENT OBJECTIVES AND POLICIES</w:t>
              </w:r>
            </w:hyperlink>
          </w:p>
        </w:tc>
        <w:tc>
          <w:tcPr>
            <w:tcW w:w="7360" w:type="dxa"/>
            <w:vAlign w:val="bottom"/>
            <w:gridSpan w:val="11"/>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60" w:type="dxa"/>
            <w:vAlign w:val="bottom"/>
            <w:tcBorders>
              <w:bottom w:val="single" w:sz="8" w:color="0000EE"/>
            </w:tcBorders>
            <w:gridSpan w:val="9"/>
          </w:tcPr>
          <w:p>
            <w:pPr>
              <w:spacing w:after="0" w:line="196" w:lineRule="exact"/>
              <w:rPr>
                <w:rFonts w:ascii="Arial" w:cs="Arial" w:eastAsia="Arial" w:hAnsi="Arial"/>
                <w:sz w:val="18"/>
                <w:szCs w:val="18"/>
                <w:color w:val="0000EE"/>
                <w:w w:val="93"/>
              </w:rPr>
            </w:pPr>
            <w:hyperlink w:anchor="page152">
              <w:r>
                <w:rPr>
                  <w:rFonts w:ascii="Arial" w:cs="Arial" w:eastAsia="Arial" w:hAnsi="Arial"/>
                  <w:sz w:val="18"/>
                  <w:szCs w:val="18"/>
                  <w:color w:val="0000EE"/>
                  <w:w w:val="93"/>
                </w:rPr>
                <w:t>PORTFOLIO COMPANIES</w:t>
              </w:r>
            </w:hyperlink>
          </w:p>
        </w:tc>
        <w:tc>
          <w:tcPr>
            <w:tcW w:w="8840" w:type="dxa"/>
            <w:vAlign w:val="bottom"/>
            <w:gridSpan w:val="24"/>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900" w:type="dxa"/>
            <w:vAlign w:val="bottom"/>
            <w:gridSpan w:val="33"/>
          </w:tcPr>
          <w:p>
            <w:pPr>
              <w:spacing w:after="0" w:line="196" w:lineRule="exact"/>
              <w:rPr>
                <w:rFonts w:ascii="Arial" w:cs="Arial" w:eastAsia="Arial" w:hAnsi="Arial"/>
                <w:sz w:val="18"/>
                <w:szCs w:val="18"/>
                <w:color w:val="0000EE"/>
              </w:rPr>
            </w:pPr>
            <w:hyperlink w:anchor="page157">
              <w:r>
                <w:rPr>
                  <w:rFonts w:ascii="Arial" w:cs="Arial" w:eastAsia="Arial" w:hAnsi="Arial"/>
                  <w:sz w:val="18"/>
                  <w:szCs w:val="18"/>
                  <w:color w:val="0000EE"/>
                </w:rPr>
                <w:t>MANAGEMENT</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00" w:type="dxa"/>
            <w:vAlign w:val="bottom"/>
            <w:gridSpan w:val="33"/>
          </w:tcPr>
          <w:p>
            <w:pPr>
              <w:spacing w:after="0" w:line="196" w:lineRule="exact"/>
              <w:rPr>
                <w:rFonts w:ascii="Arial" w:cs="Arial" w:eastAsia="Arial" w:hAnsi="Arial"/>
                <w:sz w:val="18"/>
                <w:szCs w:val="18"/>
                <w:color w:val="0000EE"/>
              </w:rPr>
            </w:pPr>
            <w:hyperlink w:anchor="page164">
              <w:r>
                <w:rPr>
                  <w:rFonts w:ascii="Arial" w:cs="Arial" w:eastAsia="Arial" w:hAnsi="Arial"/>
                  <w:sz w:val="18"/>
                  <w:szCs w:val="18"/>
                  <w:color w:val="0000EE"/>
                </w:rPr>
                <w:t>CONTROL PERSONS AND PRINCIPAL STOCKHOLDERS</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4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w:anchor="page166">
              <w:r>
                <w:rPr>
                  <w:rFonts w:ascii="Arial" w:cs="Arial" w:eastAsia="Arial" w:hAnsi="Arial"/>
                  <w:sz w:val="18"/>
                  <w:szCs w:val="18"/>
                  <w:color w:val="0000EE"/>
                </w:rPr>
                <w:t>CERTAIN RELATIONSHIPS AND TRANSACTIONS</w:t>
              </w:r>
            </w:hyperlink>
          </w:p>
        </w:tc>
        <w:tc>
          <w:tcPr>
            <w:tcW w:w="6360" w:type="dxa"/>
            <w:vAlign w:val="bottom"/>
            <w:gridSpan w:val="6"/>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90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8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96"/>
              </w:rPr>
            </w:pPr>
            <w:hyperlink w:anchor="page172">
              <w:r>
                <w:rPr>
                  <w:rFonts w:ascii="Arial" w:cs="Arial" w:eastAsia="Arial" w:hAnsi="Arial"/>
                  <w:sz w:val="18"/>
                  <w:szCs w:val="18"/>
                  <w:color w:val="0000EE"/>
                  <w:w w:val="96"/>
                </w:rPr>
                <w:t>DETERMINATION OF NET ASSET VALUE</w:t>
              </w:r>
            </w:hyperlink>
          </w:p>
        </w:tc>
        <w:tc>
          <w:tcPr>
            <w:tcW w:w="640" w:type="dxa"/>
            <w:vAlign w:val="bottom"/>
            <w:tcBorders>
              <w:top w:val="single" w:sz="8" w:color="0000EE"/>
            </w:tcBorders>
            <w:gridSpan w:val="6"/>
          </w:tcPr>
          <w:p>
            <w:pPr>
              <w:spacing w:after="0"/>
              <w:rPr>
                <w:sz w:val="17"/>
                <w:szCs w:val="17"/>
                <w:color w:val="auto"/>
              </w:rPr>
            </w:pPr>
          </w:p>
        </w:tc>
        <w:tc>
          <w:tcPr>
            <w:tcW w:w="6880" w:type="dxa"/>
            <w:vAlign w:val="bottom"/>
            <w:gridSpan w:val="8"/>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96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900" w:type="dxa"/>
            <w:vAlign w:val="bottom"/>
            <w:gridSpan w:val="33"/>
          </w:tcPr>
          <w:p>
            <w:pPr>
              <w:spacing w:after="0" w:line="196" w:lineRule="exact"/>
              <w:rPr>
                <w:rFonts w:ascii="Arial" w:cs="Arial" w:eastAsia="Arial" w:hAnsi="Arial"/>
                <w:sz w:val="18"/>
                <w:szCs w:val="18"/>
                <w:color w:val="0000EE"/>
              </w:rPr>
            </w:pPr>
            <w:hyperlink w:anchor="page175">
              <w:r>
                <w:rPr>
                  <w:rFonts w:ascii="Arial" w:cs="Arial" w:eastAsia="Arial" w:hAnsi="Arial"/>
                  <w:sz w:val="18"/>
                  <w:szCs w:val="18"/>
                  <w:color w:val="0000EE"/>
                </w:rPr>
                <w:t>DIVIDEND REINVESTMENT PLAN</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99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gridSpan w:val="4"/>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00" w:type="dxa"/>
            <w:vAlign w:val="bottom"/>
            <w:gridSpan w:val="33"/>
          </w:tcPr>
          <w:p>
            <w:pPr>
              <w:spacing w:after="0" w:line="196" w:lineRule="exact"/>
              <w:rPr>
                <w:rFonts w:ascii="Arial" w:cs="Arial" w:eastAsia="Arial" w:hAnsi="Arial"/>
                <w:sz w:val="18"/>
                <w:szCs w:val="18"/>
                <w:color w:val="0000EE"/>
              </w:rPr>
            </w:pPr>
            <w:hyperlink w:anchor="page177">
              <w:r>
                <w:rPr>
                  <w:rFonts w:ascii="Arial" w:cs="Arial" w:eastAsia="Arial" w:hAnsi="Arial"/>
                  <w:sz w:val="18"/>
                  <w:szCs w:val="18"/>
                  <w:color w:val="0000EE"/>
                </w:rPr>
                <w:t>DESCRIPTION OF OUR CAPITAL STOCK</w:t>
              </w:r>
            </w:hyperlink>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gridSpan w:val="4"/>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80" w:type="dxa"/>
            <w:vAlign w:val="bottom"/>
            <w:tcBorders>
              <w:bottom w:val="single" w:sz="8" w:color="0000EE"/>
            </w:tcBorders>
            <w:gridSpan w:val="23"/>
          </w:tcPr>
          <w:p>
            <w:pPr>
              <w:spacing w:after="0" w:line="196" w:lineRule="exact"/>
              <w:rPr>
                <w:rFonts w:ascii="Arial" w:cs="Arial" w:eastAsia="Arial" w:hAnsi="Arial"/>
                <w:sz w:val="18"/>
                <w:szCs w:val="18"/>
                <w:color w:val="0000EE"/>
                <w:w w:val="93"/>
              </w:rPr>
            </w:pPr>
            <w:hyperlink w:anchor="page183">
              <w:r>
                <w:rPr>
                  <w:rFonts w:ascii="Arial" w:cs="Arial" w:eastAsia="Arial" w:hAnsi="Arial"/>
                  <w:sz w:val="18"/>
                  <w:szCs w:val="18"/>
                  <w:color w:val="0000EE"/>
                  <w:w w:val="93"/>
                </w:rPr>
                <w:t>DESCRIPTION OF OUR PREFERRED STOCK</w:t>
              </w:r>
            </w:hyperlink>
          </w:p>
        </w:tc>
        <w:tc>
          <w:tcPr>
            <w:tcW w:w="7320" w:type="dxa"/>
            <w:vAlign w:val="bottom"/>
            <w:gridSpan w:val="10"/>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196"/>
        </w:trPr>
        <w:tc>
          <w:tcPr>
            <w:tcW w:w="2920" w:type="dxa"/>
            <w:vAlign w:val="bottom"/>
            <w:tcBorders>
              <w:bottom w:val="single" w:sz="8" w:color="0000EE"/>
            </w:tcBorders>
            <w:gridSpan w:val="15"/>
          </w:tcPr>
          <w:p>
            <w:pPr>
              <w:spacing w:after="0" w:line="196" w:lineRule="exact"/>
              <w:rPr>
                <w:rFonts w:ascii="Arial" w:cs="Arial" w:eastAsia="Arial" w:hAnsi="Arial"/>
                <w:sz w:val="18"/>
                <w:szCs w:val="18"/>
                <w:color w:val="0000EE"/>
                <w:w w:val="94"/>
              </w:rPr>
            </w:pPr>
            <w:hyperlink w:anchor="page184">
              <w:r>
                <w:rPr>
                  <w:rFonts w:ascii="Arial" w:cs="Arial" w:eastAsia="Arial" w:hAnsi="Arial"/>
                  <w:sz w:val="18"/>
                  <w:szCs w:val="18"/>
                  <w:color w:val="0000EE"/>
                  <w:w w:val="94"/>
                </w:rPr>
                <w:t>DESCRIPTION OF OUR WARRANTS</w:t>
              </w:r>
            </w:hyperlink>
          </w:p>
        </w:tc>
        <w:tc>
          <w:tcPr>
            <w:tcW w:w="7980" w:type="dxa"/>
            <w:vAlign w:val="bottom"/>
            <w:gridSpan w:val="18"/>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196"/>
        </w:trPr>
        <w:tc>
          <w:tcPr>
            <w:tcW w:w="3900" w:type="dxa"/>
            <w:vAlign w:val="bottom"/>
            <w:tcBorders>
              <w:bottom w:val="single" w:sz="8" w:color="0000EE"/>
            </w:tcBorders>
            <w:gridSpan w:val="24"/>
          </w:tcPr>
          <w:p>
            <w:pPr>
              <w:spacing w:after="0" w:line="196" w:lineRule="exact"/>
              <w:rPr>
                <w:rFonts w:ascii="Arial" w:cs="Arial" w:eastAsia="Arial" w:hAnsi="Arial"/>
                <w:sz w:val="18"/>
                <w:szCs w:val="18"/>
                <w:color w:val="0000EE"/>
                <w:w w:val="94"/>
              </w:rPr>
            </w:pPr>
            <w:hyperlink w:anchor="page186">
              <w:r>
                <w:rPr>
                  <w:rFonts w:ascii="Arial" w:cs="Arial" w:eastAsia="Arial" w:hAnsi="Arial"/>
                  <w:sz w:val="18"/>
                  <w:szCs w:val="18"/>
                  <w:color w:val="0000EE"/>
                  <w:w w:val="94"/>
                </w:rPr>
                <w:t>DESCRIPTION OF OUR SUBSCRIPTION RIGHTS</w:t>
              </w:r>
            </w:hyperlink>
          </w:p>
        </w:tc>
        <w:tc>
          <w:tcPr>
            <w:tcW w:w="7000" w:type="dxa"/>
            <w:vAlign w:val="bottom"/>
            <w:gridSpan w:val="9"/>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196"/>
        </w:trPr>
        <w:tc>
          <w:tcPr>
            <w:tcW w:w="3460" w:type="dxa"/>
            <w:vAlign w:val="bottom"/>
            <w:tcBorders>
              <w:bottom w:val="single" w:sz="8" w:color="0000EE"/>
            </w:tcBorders>
            <w:gridSpan w:val="20"/>
          </w:tcPr>
          <w:p>
            <w:pPr>
              <w:spacing w:after="0" w:line="196" w:lineRule="exact"/>
              <w:rPr>
                <w:rFonts w:ascii="Arial" w:cs="Arial" w:eastAsia="Arial" w:hAnsi="Arial"/>
                <w:sz w:val="18"/>
                <w:szCs w:val="18"/>
                <w:color w:val="0000EE"/>
                <w:w w:val="94"/>
              </w:rPr>
            </w:pPr>
            <w:hyperlink w:anchor="page188">
              <w:r>
                <w:rPr>
                  <w:rFonts w:ascii="Arial" w:cs="Arial" w:eastAsia="Arial" w:hAnsi="Arial"/>
                  <w:sz w:val="18"/>
                  <w:szCs w:val="18"/>
                  <w:color w:val="0000EE"/>
                  <w:w w:val="94"/>
                </w:rPr>
                <w:t>DESCRIPTION OF OUR DEBT SECURITIES</w:t>
              </w:r>
            </w:hyperlink>
          </w:p>
        </w:tc>
        <w:tc>
          <w:tcPr>
            <w:tcW w:w="7440" w:type="dxa"/>
            <w:vAlign w:val="bottom"/>
            <w:gridSpan w:val="13"/>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196"/>
        </w:trPr>
        <w:tc>
          <w:tcPr>
            <w:tcW w:w="2460" w:type="dxa"/>
            <w:vAlign w:val="bottom"/>
            <w:tcBorders>
              <w:bottom w:val="single" w:sz="8" w:color="0000EE"/>
            </w:tcBorders>
            <w:gridSpan w:val="12"/>
          </w:tcPr>
          <w:p>
            <w:pPr>
              <w:spacing w:after="0" w:line="196" w:lineRule="exact"/>
              <w:rPr>
                <w:rFonts w:ascii="Arial" w:cs="Arial" w:eastAsia="Arial" w:hAnsi="Arial"/>
                <w:sz w:val="18"/>
                <w:szCs w:val="18"/>
                <w:color w:val="0000EE"/>
                <w:w w:val="94"/>
              </w:rPr>
            </w:pPr>
            <w:hyperlink w:anchor="page201">
              <w:r>
                <w:rPr>
                  <w:rFonts w:ascii="Arial" w:cs="Arial" w:eastAsia="Arial" w:hAnsi="Arial"/>
                  <w:sz w:val="18"/>
                  <w:szCs w:val="18"/>
                  <w:color w:val="0000EE"/>
                  <w:w w:val="94"/>
                </w:rPr>
                <w:t>DESCRIPTION OF OUR UNITS</w:t>
              </w:r>
            </w:hyperlink>
          </w:p>
        </w:tc>
        <w:tc>
          <w:tcPr>
            <w:tcW w:w="8440" w:type="dxa"/>
            <w:vAlign w:val="bottom"/>
            <w:gridSpan w:val="21"/>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196"/>
        </w:trPr>
        <w:tc>
          <w:tcPr>
            <w:tcW w:w="10900" w:type="dxa"/>
            <w:vAlign w:val="bottom"/>
            <w:gridSpan w:val="33"/>
          </w:tcPr>
          <w:p>
            <w:pPr>
              <w:spacing w:after="0" w:line="196" w:lineRule="exact"/>
              <w:rPr>
                <w:rFonts w:ascii="Arial" w:cs="Arial" w:eastAsia="Arial" w:hAnsi="Arial"/>
                <w:sz w:val="18"/>
                <w:szCs w:val="18"/>
                <w:color w:val="0000EE"/>
              </w:rPr>
            </w:pPr>
            <w:hyperlink w:anchor="page202">
              <w:r>
                <w:rPr>
                  <w:rFonts w:ascii="Arial" w:cs="Arial" w:eastAsia="Arial" w:hAnsi="Arial"/>
                  <w:sz w:val="18"/>
                  <w:szCs w:val="18"/>
                  <w:color w:val="0000EE"/>
                </w:rPr>
                <w:t>REGULATION</w:t>
              </w:r>
            </w:hyperlink>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gridSpan w:val="4"/>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940" w:type="dxa"/>
            <w:vAlign w:val="bottom"/>
            <w:gridSpan w:val="1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00" w:type="dxa"/>
            <w:vAlign w:val="bottom"/>
            <w:gridSpan w:val="33"/>
          </w:tcPr>
          <w:p>
            <w:pPr>
              <w:spacing w:after="0" w:line="196" w:lineRule="exact"/>
              <w:rPr>
                <w:rFonts w:ascii="Arial" w:cs="Arial" w:eastAsia="Arial" w:hAnsi="Arial"/>
                <w:sz w:val="18"/>
                <w:szCs w:val="18"/>
                <w:color w:val="0000EE"/>
              </w:rPr>
            </w:pPr>
            <w:hyperlink w:anchor="page208">
              <w:r>
                <w:rPr>
                  <w:rFonts w:ascii="Arial" w:cs="Arial" w:eastAsia="Arial" w:hAnsi="Arial"/>
                  <w:sz w:val="18"/>
                  <w:szCs w:val="18"/>
                  <w:color w:val="0000EE"/>
                </w:rPr>
                <w:t>BROKERAGE ALLOCATIONS AND OTHER PRACTICES</w:t>
              </w:r>
            </w:hyperlink>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gridSpan w:val="4"/>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1940" w:type="dxa"/>
            <w:vAlign w:val="bottom"/>
            <w:tcBorders>
              <w:right w:val="single" w:sz="8" w:color="0000EE"/>
            </w:tcBorders>
            <w:gridSpan w:val="13"/>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80" w:type="dxa"/>
            <w:vAlign w:val="bottom"/>
            <w:tcBorders>
              <w:bottom w:val="single" w:sz="8" w:color="0000EE"/>
            </w:tcBorders>
            <w:gridSpan w:val="30"/>
          </w:tcPr>
          <w:p>
            <w:pPr>
              <w:spacing w:after="0" w:line="196" w:lineRule="exact"/>
              <w:rPr>
                <w:rFonts w:ascii="Arial" w:cs="Arial" w:eastAsia="Arial" w:hAnsi="Arial"/>
                <w:sz w:val="18"/>
                <w:szCs w:val="18"/>
                <w:color w:val="0000EE"/>
                <w:w w:val="96"/>
              </w:rPr>
            </w:pPr>
            <w:hyperlink w:anchor="page209">
              <w:r>
                <w:rPr>
                  <w:rFonts w:ascii="Arial" w:cs="Arial" w:eastAsia="Arial" w:hAnsi="Arial"/>
                  <w:sz w:val="18"/>
                  <w:szCs w:val="18"/>
                  <w:color w:val="0000EE"/>
                  <w:w w:val="96"/>
                </w:rPr>
                <w:t>MATERIAL U.S. FEDERAL INCOME TAX CONSIDERATIONS</w:t>
              </w:r>
            </w:hyperlink>
          </w:p>
        </w:tc>
        <w:tc>
          <w:tcPr>
            <w:tcW w:w="6020" w:type="dxa"/>
            <w:vAlign w:val="bottom"/>
            <w:gridSpan w:val="3"/>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196"/>
        </w:trPr>
        <w:tc>
          <w:tcPr>
            <w:tcW w:w="2060" w:type="dxa"/>
            <w:vAlign w:val="bottom"/>
            <w:tcBorders>
              <w:bottom w:val="single" w:sz="8" w:color="0000EE"/>
            </w:tcBorders>
            <w:gridSpan w:val="9"/>
          </w:tcPr>
          <w:p>
            <w:pPr>
              <w:spacing w:after="0" w:line="196" w:lineRule="exact"/>
              <w:rPr>
                <w:rFonts w:ascii="Arial" w:cs="Arial" w:eastAsia="Arial" w:hAnsi="Arial"/>
                <w:sz w:val="18"/>
                <w:szCs w:val="18"/>
                <w:color w:val="0000EE"/>
                <w:w w:val="97"/>
              </w:rPr>
            </w:pPr>
            <w:hyperlink w:anchor="page215">
              <w:r>
                <w:rPr>
                  <w:rFonts w:ascii="Arial" w:cs="Arial" w:eastAsia="Arial" w:hAnsi="Arial"/>
                  <w:sz w:val="18"/>
                  <w:szCs w:val="18"/>
                  <w:color w:val="0000EE"/>
                  <w:w w:val="97"/>
                </w:rPr>
                <w:t>PLAN OF DISTRIBUTION</w:t>
              </w:r>
            </w:hyperlink>
          </w:p>
        </w:tc>
        <w:tc>
          <w:tcPr>
            <w:tcW w:w="8840" w:type="dxa"/>
            <w:vAlign w:val="bottom"/>
            <w:gridSpan w:val="24"/>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196"/>
        </w:trPr>
        <w:tc>
          <w:tcPr>
            <w:tcW w:w="10900" w:type="dxa"/>
            <w:vAlign w:val="bottom"/>
            <w:gridSpan w:val="33"/>
          </w:tcPr>
          <w:p>
            <w:pPr>
              <w:spacing w:after="0" w:line="196" w:lineRule="exact"/>
              <w:rPr>
                <w:rFonts w:ascii="Arial" w:cs="Arial" w:eastAsia="Arial" w:hAnsi="Arial"/>
                <w:sz w:val="18"/>
                <w:szCs w:val="18"/>
                <w:color w:val="0000EE"/>
              </w:rPr>
            </w:pPr>
            <w:hyperlink w:anchor="page216">
              <w:r>
                <w:rPr>
                  <w:rFonts w:ascii="Arial" w:cs="Arial" w:eastAsia="Arial" w:hAnsi="Arial"/>
                  <w:sz w:val="18"/>
                  <w:szCs w:val="18"/>
                  <w:color w:val="0000EE"/>
                </w:rPr>
                <w:t>SUB-ADMINISTRATOR, CUSTODIAN, TRANSFER AGENT AND TRUSTEE</w:t>
              </w:r>
            </w:hyperlink>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196"/>
        </w:trPr>
        <w:tc>
          <w:tcPr>
            <w:tcW w:w="5940" w:type="dxa"/>
            <w:vAlign w:val="bottom"/>
            <w:tcBorders>
              <w:top w:val="single" w:sz="8" w:color="0000EE"/>
            </w:tcBorders>
            <w:gridSpan w:val="31"/>
          </w:tcPr>
          <w:p>
            <w:pPr>
              <w:spacing w:after="0" w:line="196" w:lineRule="exact"/>
              <w:rPr>
                <w:rFonts w:ascii="Arial" w:cs="Arial" w:eastAsia="Arial" w:hAnsi="Arial"/>
                <w:sz w:val="18"/>
                <w:szCs w:val="18"/>
                <w:color w:val="0000EE"/>
              </w:rPr>
            </w:pPr>
            <w:hyperlink w:anchor="page216">
              <w:r>
                <w:rPr>
                  <w:rFonts w:ascii="Arial" w:cs="Arial" w:eastAsia="Arial" w:hAnsi="Arial"/>
                  <w:sz w:val="18"/>
                  <w:szCs w:val="18"/>
                  <w:color w:val="0000EE"/>
                </w:rPr>
                <w:t>LEGAL MATTERS</w:t>
              </w:r>
            </w:hyperlink>
          </w:p>
        </w:tc>
        <w:tc>
          <w:tcPr>
            <w:tcW w:w="4960" w:type="dxa"/>
            <w:vAlign w:val="bottom"/>
            <w:gridSpan w:val="2"/>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gridSpan w:val="4"/>
            <w:shd w:val="clear" w:color="auto" w:fill="0000EE"/>
          </w:tcPr>
          <w:p>
            <w:pPr>
              <w:spacing w:after="0" w:line="20" w:lineRule="exact"/>
              <w:rPr>
                <w:sz w:val="1"/>
                <w:szCs w:val="1"/>
                <w:color w:val="auto"/>
              </w:rPr>
            </w:pPr>
          </w:p>
        </w:tc>
        <w:tc>
          <w:tcPr>
            <w:tcW w:w="1080" w:type="dxa"/>
            <w:vAlign w:val="bottom"/>
            <w:gridSpan w:val="7"/>
          </w:tcPr>
          <w:p>
            <w:pPr>
              <w:spacing w:after="0" w:line="20" w:lineRule="exact"/>
              <w:rPr>
                <w:sz w:val="1"/>
                <w:szCs w:val="1"/>
                <w:color w:val="auto"/>
              </w:rPr>
            </w:pPr>
          </w:p>
        </w:tc>
        <w:tc>
          <w:tcPr>
            <w:tcW w:w="1940" w:type="dxa"/>
            <w:vAlign w:val="bottom"/>
            <w:gridSpan w:val="1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100" w:type="dxa"/>
            <w:vAlign w:val="bottom"/>
            <w:gridSpan w:val="4"/>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00" w:type="dxa"/>
            <w:vAlign w:val="bottom"/>
            <w:gridSpan w:val="33"/>
          </w:tcPr>
          <w:p>
            <w:pPr>
              <w:spacing w:after="0" w:line="196" w:lineRule="exact"/>
              <w:rPr>
                <w:rFonts w:ascii="Arial" w:cs="Arial" w:eastAsia="Arial" w:hAnsi="Arial"/>
                <w:sz w:val="18"/>
                <w:szCs w:val="18"/>
                <w:color w:val="0000EE"/>
              </w:rPr>
            </w:pPr>
            <w:hyperlink w:anchor="page216">
              <w:r>
                <w:rPr>
                  <w:rFonts w:ascii="Arial" w:cs="Arial" w:eastAsia="Arial" w:hAnsi="Arial"/>
                  <w:sz w:val="18"/>
                  <w:szCs w:val="18"/>
                  <w:color w:val="0000EE"/>
                </w:rPr>
                <w:t>INDEPENDENT REGISTERED PUBLIC ACCOUNTING FIRM</w:t>
              </w:r>
            </w:hyperlink>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196"/>
        </w:trPr>
        <w:tc>
          <w:tcPr>
            <w:tcW w:w="4800" w:type="dxa"/>
            <w:vAlign w:val="bottom"/>
            <w:tcBorders>
              <w:top w:val="single" w:sz="8" w:color="0000EE"/>
            </w:tcBorders>
            <w:gridSpan w:val="29"/>
          </w:tcPr>
          <w:p>
            <w:pPr>
              <w:spacing w:after="0" w:line="196" w:lineRule="exact"/>
              <w:rPr>
                <w:rFonts w:ascii="Arial" w:cs="Arial" w:eastAsia="Arial" w:hAnsi="Arial"/>
                <w:sz w:val="18"/>
                <w:szCs w:val="18"/>
                <w:color w:val="0000EE"/>
              </w:rPr>
            </w:pPr>
            <w:hyperlink w:anchor="page217">
              <w:r>
                <w:rPr>
                  <w:rFonts w:ascii="Arial" w:cs="Arial" w:eastAsia="Arial" w:hAnsi="Arial"/>
                  <w:sz w:val="18"/>
                  <w:szCs w:val="18"/>
                  <w:color w:val="0000EE"/>
                </w:rPr>
                <w:t>INDEX TO CONSOLIDATED FINANCIAL STATEMENTS</w:t>
              </w:r>
            </w:hyperlink>
          </w:p>
        </w:tc>
        <w:tc>
          <w:tcPr>
            <w:tcW w:w="6100" w:type="dxa"/>
            <w:vAlign w:val="bottom"/>
            <w:gridSpan w:val="4"/>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196"/>
        </w:trPr>
        <w:tc>
          <w:tcPr>
            <w:tcW w:w="2540" w:type="dxa"/>
            <w:vAlign w:val="bottom"/>
            <w:tcBorders>
              <w:top w:val="single" w:sz="8" w:color="0000EE"/>
              <w:bottom w:val="single" w:sz="8" w:color="0000EE"/>
            </w:tcBorders>
            <w:gridSpan w:val="13"/>
          </w:tcPr>
          <w:p>
            <w:pPr>
              <w:spacing w:after="0" w:line="196" w:lineRule="exact"/>
              <w:rPr>
                <w:sz w:val="20"/>
                <w:szCs w:val="20"/>
                <w:color w:val="auto"/>
              </w:rPr>
            </w:pPr>
            <w:r>
              <w:rPr>
                <w:rFonts w:ascii="Arial" w:cs="Arial" w:eastAsia="Arial" w:hAnsi="Arial"/>
                <w:sz w:val="18"/>
                <w:szCs w:val="18"/>
                <w:color w:val="0000EE"/>
                <w:w w:val="95"/>
              </w:rPr>
              <w:t>PART C OTHER INFORMATION</w:t>
            </w:r>
          </w:p>
        </w:tc>
        <w:tc>
          <w:tcPr>
            <w:tcW w:w="1940" w:type="dxa"/>
            <w:vAlign w:val="bottom"/>
            <w:tcBorders>
              <w:top w:val="single" w:sz="8" w:color="0000EE"/>
            </w:tcBorders>
            <w:gridSpan w:val="13"/>
          </w:tcPr>
          <w:p>
            <w:pPr>
              <w:spacing w:after="0"/>
              <w:rPr>
                <w:sz w:val="17"/>
                <w:szCs w:val="17"/>
                <w:color w:val="auto"/>
              </w:rPr>
            </w:pPr>
          </w:p>
        </w:tc>
        <w:tc>
          <w:tcPr>
            <w:tcW w:w="6420" w:type="dxa"/>
            <w:vAlign w:val="bottom"/>
            <w:gridSpan w:val="7"/>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C-1</w:t>
            </w:r>
          </w:p>
        </w:tc>
        <w:tc>
          <w:tcPr>
            <w:tcW w:w="0" w:type="dxa"/>
            <w:vAlign w:val="bottom"/>
          </w:tcPr>
          <w:p>
            <w:pPr>
              <w:spacing w:after="0"/>
              <w:rPr>
                <w:sz w:val="1"/>
                <w:szCs w:val="1"/>
                <w:color w:val="auto"/>
              </w:rPr>
            </w:pPr>
          </w:p>
        </w:tc>
      </w:tr>
      <w:tr>
        <w:trPr>
          <w:trHeight w:val="196"/>
        </w:trPr>
        <w:tc>
          <w:tcPr>
            <w:tcW w:w="10900" w:type="dxa"/>
            <w:vAlign w:val="bottom"/>
            <w:gridSpan w:val="33"/>
          </w:tcPr>
          <w:p>
            <w:pPr>
              <w:spacing w:after="0" w:line="196" w:lineRule="exact"/>
              <w:rPr>
                <w:sz w:val="20"/>
                <w:szCs w:val="20"/>
                <w:color w:val="auto"/>
              </w:rPr>
            </w:pPr>
            <w:r>
              <w:rPr>
                <w:rFonts w:ascii="Arial" w:cs="Arial" w:eastAsia="Arial" w:hAnsi="Arial"/>
                <w:sz w:val="18"/>
                <w:szCs w:val="18"/>
                <w:color w:val="0000EE"/>
              </w:rPr>
              <w:t>SIGNATURES</w:t>
            </w: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C-12</w:t>
            </w:r>
          </w:p>
        </w:tc>
        <w:tc>
          <w:tcPr>
            <w:tcW w:w="0" w:type="dxa"/>
            <w:vAlign w:val="bottom"/>
          </w:tcPr>
          <w:p>
            <w:pPr>
              <w:spacing w:after="0"/>
              <w:rPr>
                <w:sz w:val="1"/>
                <w:szCs w:val="1"/>
                <w:color w:val="auto"/>
              </w:rPr>
            </w:pPr>
          </w:p>
        </w:tc>
      </w:tr>
      <w:tr>
        <w:trPr>
          <w:trHeight w:val="20"/>
        </w:trPr>
        <w:tc>
          <w:tcPr>
            <w:tcW w:w="8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80"/>
          </w:cols>
          <w:pgMar w:left="240" w:top="459" w:right="27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firstLine="571"/>
        <w:spacing w:after="0" w:line="287" w:lineRule="auto"/>
        <w:rPr>
          <w:sz w:val="20"/>
          <w:szCs w:val="20"/>
          <w:color w:val="auto"/>
        </w:rPr>
      </w:pPr>
      <w:r>
        <w:rPr>
          <w:rFonts w:ascii="Arial" w:cs="Arial" w:eastAsia="Arial" w:hAnsi="Arial"/>
          <w:sz w:val="16"/>
          <w:szCs w:val="16"/>
          <w:color w:val="auto"/>
        </w:rPr>
        <w:t>This prospectus is part of a registration statement that we have filed with the SEC using the “shelf” registration process. Under the shelf registration process, we may offer from time to time up to $1,000,000,000 of our common stock, preferred stock, warrants representing rights to purchase shares of our common stock, preferred stock or debt securities, subscription rights, debt securities, or units on the terms to be determined at the time of the offering. We may sell our common stock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described in one or more supplements to this prospectus. This prospectus provides you with a general description of the securities that we may offer. The information contained in this prospectus is accurate only as of the date on the front of this prospectus and our business, financial condition, results of operations and prospectus may have changed since that date. Each time we use this prospectus to offer securities, we will provide a prospectus supplement that will contain specific information about the terms of that offering. The prospectus supplement may also add, update or change information contained in this prospectus. Please carefully read this prospectus and any prospectus supplement, together with any exhibits, before you make an investment decision.</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60"/>
          </w:cols>
          <w:pgMar w:left="240" w:top="459" w:right="29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616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76465" cy="586168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200" w:firstLine="443"/>
        <w:spacing w:after="0" w:line="268" w:lineRule="auto"/>
        <w:rPr>
          <w:sz w:val="20"/>
          <w:szCs w:val="20"/>
          <w:color w:val="auto"/>
        </w:rPr>
      </w:pPr>
      <w:r>
        <w:rPr>
          <w:rFonts w:ascii="Arial" w:cs="Arial" w:eastAsia="Arial" w:hAnsi="Arial"/>
          <w:sz w:val="17"/>
          <w:szCs w:val="17"/>
          <w:i w:val="1"/>
          <w:iCs w:val="1"/>
          <w:color w:val="auto"/>
        </w:rPr>
        <w:t>This summary highlights some of the information in this prospectus. It is not complete and may not contain all of the information that you may want to consider. Some of the statements in this prospectus constitute forward-looking statements, which apply to both us and our consolidated small business investment company, or SBIC, subsidiaries and relate to future events, future performance or financial condition. The forward-looking statements involve risks and uncertainties on a consolidated basis and actual results could differ materially from those projected in the forward-looking statements for many reasons, including those factors discussed in “Risk Factors” and elsewhere in this prospectus. You should read carefully the more detailed information set forth under “Risk Factors” and the other information included in this prospectus. In this prospectus and any accompanying prospectus supplement, if any, except where the context suggests otherwise: the terms “we,” “us,” “our” and “Company” refer to PennantPark Investment Corporation and its consolidated subsidiaries; “PennantPark Investment” refers to only PennantPark Investment Corporation; “our SBIC Funds” refers collectively to our consolidated subsidiaries, PennantPark SBIC LP, or SBIC LP, and its general partner, PennantPark SBIC GP, LLC, and PennantPark SBIC II LP, or SBIC II, and its general partner, PennantPark SBIC GP II, LLC; “PennantPark Investment Advisers” or “Investment Adviser” refers to PennantPark Investment Advisers, LLC; and “PennantPark Investment Administration” or “Administrator” refers to PennantPark Investment Administration, LLC; “SBA” refers to the Small Business Administration; “Credit Facility” refers to our multi-currency, senior secured revolving credit facility; “2025 Notes” refers to our 6.25% senior notes due 2025; “1940 Act” refers to the Investment Company Act of 1940, as amended; “Code” refers to the Internal Revenue Code of 1986, as amended; “RIC” refers to a regulated investment company under the Code; and “BDC” refers to a business development company under the 1940 Act.</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 Business of PennantPark Investment Corporation</w:t>
      </w:r>
    </w:p>
    <w:p>
      <w:pPr>
        <w:spacing w:after="0" w:line="121" w:lineRule="exact"/>
        <w:rPr>
          <w:sz w:val="20"/>
          <w:szCs w:val="20"/>
          <w:color w:val="auto"/>
        </w:rPr>
      </w:pPr>
    </w:p>
    <w:p>
      <w:pPr>
        <w:ind w:left="200" w:right="340" w:firstLine="443"/>
        <w:spacing w:after="0" w:line="342" w:lineRule="auto"/>
        <w:rPr>
          <w:sz w:val="20"/>
          <w:szCs w:val="20"/>
          <w:color w:val="auto"/>
        </w:rPr>
      </w:pPr>
      <w:r>
        <w:rPr>
          <w:rFonts w:ascii="Arial" w:cs="Arial" w:eastAsia="Arial" w:hAnsi="Arial"/>
          <w:sz w:val="16"/>
          <w:szCs w:val="16"/>
          <w:color w:val="auto"/>
        </w:rPr>
        <w:t>PennantPark Investment Corporation is a BDC whose objectives are to generate both current income and capital appreciation through debt and equity investments primarily in U.S. middle-market companies in the form of senior secured loans, mezzanine debt and equity investments.</w:t>
      </w:r>
    </w:p>
    <w:p>
      <w:pPr>
        <w:spacing w:after="0" w:line="124" w:lineRule="exact"/>
        <w:rPr>
          <w:sz w:val="20"/>
          <w:szCs w:val="20"/>
          <w:color w:val="auto"/>
        </w:rPr>
      </w:pPr>
    </w:p>
    <w:p>
      <w:pPr>
        <w:ind w:left="200" w:right="60" w:firstLine="443"/>
        <w:spacing w:after="0" w:line="290" w:lineRule="auto"/>
        <w:rPr>
          <w:sz w:val="20"/>
          <w:szCs w:val="20"/>
          <w:color w:val="auto"/>
        </w:rPr>
      </w:pPr>
      <w:r>
        <w:rPr>
          <w:rFonts w:ascii="Arial" w:cs="Arial" w:eastAsia="Arial" w:hAnsi="Arial"/>
          <w:sz w:val="16"/>
          <w:szCs w:val="16"/>
          <w:color w:val="auto"/>
        </w:rPr>
        <w:t>We believe middle-market companies offer attractive risk-reward to investors due to the limited amount of capital available for such companies. We seek to create a diversified portfolio that includes senior secured loans, mezzanine debt and equity investments by investing approximately $10 million to $50 million of capital, on average, in the securities of middle-market companies. We expect this investment size to vary proportionately with the size of our capital base. We use the term “middle-market” to refer to companies with annual revenues between $50 million and $1 billion.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Our debt investments may generally range in maturity from three to ten years and are made to U.S. and to a limited extent, non-U.S. corporations, partnerships and other business entities which operate in various industries and geographic regions.</w:t>
      </w:r>
    </w:p>
    <w:p>
      <w:pPr>
        <w:spacing w:after="0" w:line="166" w:lineRule="exact"/>
        <w:rPr>
          <w:sz w:val="20"/>
          <w:szCs w:val="20"/>
          <w:color w:val="auto"/>
        </w:rPr>
      </w:pPr>
    </w:p>
    <w:p>
      <w:pPr>
        <w:ind w:left="200" w:right="40" w:firstLine="443"/>
        <w:spacing w:after="0" w:line="279" w:lineRule="auto"/>
        <w:rPr>
          <w:sz w:val="20"/>
          <w:szCs w:val="20"/>
          <w:color w:val="auto"/>
        </w:rPr>
      </w:pPr>
      <w:r>
        <w:rPr>
          <w:rFonts w:ascii="Arial" w:cs="Arial" w:eastAsia="Arial" w:hAnsi="Arial"/>
          <w:sz w:val="17"/>
          <w:szCs w:val="17"/>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or any future credit facility, the SBA debentures, proceeds from the rotation of our portfolio and proceeds from public and private offerings of securities to finance our investment objectives.</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Organization and Structure of PennantPark Investment Corporation</w:t>
      </w:r>
    </w:p>
    <w:p>
      <w:pPr>
        <w:spacing w:after="0" w:line="121" w:lineRule="exact"/>
        <w:rPr>
          <w:sz w:val="20"/>
          <w:szCs w:val="20"/>
          <w:color w:val="auto"/>
        </w:rPr>
      </w:pPr>
    </w:p>
    <w:p>
      <w:pPr>
        <w:ind w:left="200" w:right="360" w:firstLine="443"/>
        <w:spacing w:after="0" w:line="277" w:lineRule="auto"/>
        <w:rPr>
          <w:sz w:val="20"/>
          <w:szCs w:val="20"/>
          <w:color w:val="auto"/>
        </w:rPr>
      </w:pPr>
      <w:r>
        <w:rPr>
          <w:rFonts w:ascii="Arial" w:cs="Arial" w:eastAsia="Arial" w:hAnsi="Arial"/>
          <w:sz w:val="18"/>
          <w:szCs w:val="18"/>
          <w:color w:val="auto"/>
        </w:rPr>
        <w:t>PennantPark Investment Corporation, a Maryland corporation organized in January 2007, is a closed-end, externally managed, non-diversified investment company that has elected to be treated as a BDC under the 1940</w:t>
      </w:r>
    </w:p>
    <w:p>
      <w:pPr>
        <w:spacing w:after="0" w:line="2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60"/>
          </w:cols>
          <w:pgMar w:left="240" w:top="459" w:right="39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616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76465" cy="58616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Act. In addition, for federal income tax purposes we have elected to be treated, and intend to qualify annually, as a RIC under the Code.</w:t>
      </w:r>
    </w:p>
    <w:p>
      <w:pPr>
        <w:spacing w:after="0" w:line="225" w:lineRule="exact"/>
        <w:rPr>
          <w:sz w:val="20"/>
          <w:szCs w:val="20"/>
          <w:color w:val="auto"/>
        </w:rPr>
      </w:pPr>
    </w:p>
    <w:p>
      <w:pPr>
        <w:ind w:left="200" w:right="100" w:firstLine="443"/>
        <w:spacing w:after="0" w:line="257" w:lineRule="auto"/>
        <w:rPr>
          <w:sz w:val="20"/>
          <w:szCs w:val="20"/>
          <w:color w:val="auto"/>
        </w:rPr>
      </w:pPr>
      <w:r>
        <w:rPr>
          <w:rFonts w:ascii="Arial" w:cs="Arial" w:eastAsia="Arial" w:hAnsi="Arial"/>
          <w:sz w:val="18"/>
          <w:szCs w:val="18"/>
          <w:color w:val="auto"/>
        </w:rPr>
        <w:t>Our wholly owned subsidiaries, SBIC LP and SBIC II, were organized as Delaware limited partnerships in May 2010 and July 2012, respectively. SBIC LP and SBIC II received licenses from the SBA to operate as SBICs, under Section 301(c) of the Small Business Investment Act of 1958, as amended, or the 1958 Act, in July 2010 and January 2013, respectively. Our SBIC Funds’ objectives are to generate both current income and capital appreciation through debt and equity investments generally by investing with us in SBA eligible businesses that meet the investment criteria used by PennantPark Investment.</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121" w:lineRule="exact"/>
        <w:rPr>
          <w:sz w:val="20"/>
          <w:szCs w:val="20"/>
          <w:color w:val="auto"/>
        </w:rPr>
      </w:pPr>
    </w:p>
    <w:p>
      <w:pPr>
        <w:ind w:left="200" w:right="20" w:firstLine="443"/>
        <w:spacing w:after="0" w:line="289" w:lineRule="auto"/>
        <w:rPr>
          <w:sz w:val="20"/>
          <w:szCs w:val="20"/>
          <w:color w:val="auto"/>
        </w:rPr>
      </w:pPr>
      <w:r>
        <w:rPr>
          <w:rFonts w:ascii="Arial" w:cs="Arial" w:eastAsia="Arial" w:hAnsi="Arial"/>
          <w:sz w:val="16"/>
          <w:szCs w:val="16"/>
          <w:color w:val="auto"/>
        </w:rPr>
        <w:t>We utilize the investing experience and contacts of PennantPark Investment Advisers in developing what we believe is an attractive and diversified portfolio. The senior investment professionals of the Investment Adviser have worked together for many years and average over 25 years of experience in the mezzanine lending, leveraged finance, distressed debt and private equity businesses. In addition, our senior investment professionals have been involved in originating, structuring, negotiating, managing and monitoring investments in each of these businesses across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raised approximately $1.8 billion in debt and equity capital and has invested approximately $3.0 billion in almost 300 companies with 125 different financial sponsors through its managed funds.</w:t>
      </w:r>
    </w:p>
    <w:p>
      <w:pPr>
        <w:spacing w:after="0" w:line="167" w:lineRule="exact"/>
        <w:rPr>
          <w:sz w:val="20"/>
          <w:szCs w:val="20"/>
          <w:color w:val="auto"/>
        </w:rPr>
      </w:pPr>
    </w:p>
    <w:p>
      <w:pPr>
        <w:ind w:left="200" w:firstLine="443"/>
        <w:spacing w:after="0" w:line="291" w:lineRule="auto"/>
        <w:rPr>
          <w:sz w:val="20"/>
          <w:szCs w:val="20"/>
          <w:color w:val="auto"/>
        </w:rPr>
      </w:pPr>
      <w:r>
        <w:rPr>
          <w:rFonts w:ascii="Arial" w:cs="Arial" w:eastAsia="Arial" w:hAnsi="Arial"/>
          <w:sz w:val="16"/>
          <w:szCs w:val="16"/>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and the SBA. The Administrator assists in the determination and publication of our net asset value, or NAV, oversees the preparation and filing of our tax returns, and monitors the payment of our expenses as well as the performance of administrative and professional services rendered to us by others. Furthermore, our Administrator provides, on our behalf, managerial assistance to those portfolio companies to which we are required to offer such assistance. See “Risk Factors—Risks Relating to our Business and Structure—There are significant potential conflicts of interest which could impact our investment returns” for more information.</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 Opportunity</w:t>
      </w:r>
    </w:p>
    <w:p>
      <w:pPr>
        <w:spacing w:after="0" w:line="121" w:lineRule="exact"/>
        <w:rPr>
          <w:sz w:val="20"/>
          <w:szCs w:val="20"/>
          <w:color w:val="auto"/>
        </w:rPr>
      </w:pPr>
    </w:p>
    <w:p>
      <w:pPr>
        <w:ind w:left="200" w:right="20" w:firstLine="443"/>
        <w:spacing w:after="0" w:line="273" w:lineRule="auto"/>
        <w:rPr>
          <w:sz w:val="20"/>
          <w:szCs w:val="20"/>
          <w:color w:val="auto"/>
        </w:rPr>
      </w:pPr>
      <w:r>
        <w:rPr>
          <w:rFonts w:ascii="Arial" w:cs="Arial" w:eastAsia="Arial" w:hAnsi="Arial"/>
          <w:sz w:val="17"/>
          <w:szCs w:val="17"/>
          <w:color w:val="auto"/>
        </w:rPr>
        <w:t>We believe that the limited amount of capital available to middle-market companies, coupled with the desire of these companies for flexible sources of capital, creates an attractive investment environment for us. From our perspective, middle market companies have faced increasing difficulty in raising debt through the capital markets and private markets. As a result of the difficulties in the credit markets and fewer sources of capital for middle market companies, we see opportunities for improved risk-adjusted returns. Furthermore, we believe with a large pool of uninvested private equity capital seeking debt capital to complete transactions and a substantial supply of refinancing opportunities, there is an opportunity to attain appealing risk-adjusted returns with debt investments. See “Business” for more information.</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Competitive Advantages</w:t>
      </w:r>
    </w:p>
    <w:p>
      <w:pPr>
        <w:spacing w:after="0" w:line="121" w:lineRule="exact"/>
        <w:rPr>
          <w:sz w:val="20"/>
          <w:szCs w:val="20"/>
          <w:color w:val="auto"/>
        </w:rPr>
      </w:pPr>
    </w:p>
    <w:p>
      <w:pPr>
        <w:ind w:left="200" w:right="320" w:firstLine="443"/>
        <w:spacing w:after="0" w:line="277" w:lineRule="auto"/>
        <w:rPr>
          <w:sz w:val="20"/>
          <w:szCs w:val="20"/>
          <w:color w:val="auto"/>
        </w:rPr>
      </w:pPr>
      <w:r>
        <w:rPr>
          <w:rFonts w:ascii="Arial" w:cs="Arial" w:eastAsia="Arial" w:hAnsi="Arial"/>
          <w:sz w:val="18"/>
          <w:szCs w:val="18"/>
          <w:color w:val="auto"/>
        </w:rPr>
        <w:t>We believe that we have competitive advantages over other capital providers in middle-market companies, such as a management team with an average of over 25 years of experience, a disciplined investment approach</w:t>
      </w:r>
    </w:p>
    <w:p>
      <w:pPr>
        <w:spacing w:after="0" w:line="2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459" w:right="39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23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76465" cy="5723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with strong value orientation, an ability to source and evaluate transactions through our Investment Adviser’s research capability and established network and flexible transaction structuring that allows for us to invest across the capital structure coupled with a longer investment horizon with an attractive publicly traded model. See “Business” for more information.</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200" w:firstLine="443"/>
        <w:spacing w:after="0" w:line="272" w:lineRule="auto"/>
        <w:rPr>
          <w:sz w:val="20"/>
          <w:szCs w:val="20"/>
          <w:color w:val="auto"/>
        </w:rPr>
      </w:pPr>
      <w:r>
        <w:rPr>
          <w:rFonts w:ascii="Arial" w:cs="Arial" w:eastAsia="Arial" w:hAnsi="Arial"/>
          <w:sz w:val="17"/>
          <w:szCs w:val="17"/>
          <w:color w:val="auto"/>
        </w:rPr>
        <w:t>Our primary competitors provide financing to middle-market companies and include other BDCs, commercial and investment banks, commercial finance companies, collateralized loan obligation, or CLO, funds and, to the extent they provide an alternative form of financing, private equity funds. Additionally, alternative investment vehicles, such as hedge funds, frequently invest in middle-market companies. As a result, competition for investment opportunities in middle-market companies can be intense. However, we believe that there has been a reduction in the amount of debt capital available to middle-market companies since the downturn in the credit markets, which began in mid-2007. We believe this has resulted in a less competitive environment for making new investments. See “Risk Factors—Risks Relating to our Business and Structure—We operate in a highly competitive market for investment opportunities” for more information.</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Leverage</w:t>
      </w:r>
    </w:p>
    <w:p>
      <w:pPr>
        <w:spacing w:after="0" w:line="121" w:lineRule="exact"/>
        <w:rPr>
          <w:sz w:val="20"/>
          <w:szCs w:val="20"/>
          <w:color w:val="auto"/>
        </w:rPr>
      </w:pPr>
    </w:p>
    <w:p>
      <w:pPr>
        <w:ind w:left="200" w:firstLine="443"/>
        <w:spacing w:after="0" w:line="272" w:lineRule="auto"/>
        <w:rPr>
          <w:sz w:val="20"/>
          <w:szCs w:val="20"/>
          <w:color w:val="auto"/>
        </w:rPr>
      </w:pPr>
      <w:r>
        <w:rPr>
          <w:rFonts w:ascii="Arial" w:cs="Arial" w:eastAsia="Arial" w:hAnsi="Arial"/>
          <w:sz w:val="17"/>
          <w:szCs w:val="17"/>
          <w:color w:val="auto"/>
        </w:rPr>
        <w:t>We currently use and expect to continue to use leverage from our Credit Facility, our SBA debentures and our 2025 Notes to make investments. As a result, we may continue to be exposed to the risks associated with leverage. See “Risk Factors — Risks Relating to our Business and Structure” for more information. We believe that our capital resources provide us with the flexibility to take advantage of market opportunities when they arise. Our use of leverage, as calculated under the asset coverage requirements of the 1940 Act, may generally range between 60% to 80% of our net assets. We cannot assure investors that our leverage will remain within that range. The amount of leverage that we employ will depend on our assessment of the market and other factors at the time of any proposed borrowing. See “Management’s Discussion and Analysis of Financial Condition and Results of Operations — Liquidity and Capital Resources” for more information.</w:t>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Operating and Regulatory Structure</w:t>
      </w:r>
    </w:p>
    <w:p>
      <w:pPr>
        <w:spacing w:after="0" w:line="229" w:lineRule="exact"/>
        <w:rPr>
          <w:sz w:val="20"/>
          <w:szCs w:val="20"/>
          <w:color w:val="auto"/>
        </w:rPr>
      </w:pPr>
    </w:p>
    <w:p>
      <w:pPr>
        <w:ind w:left="200" w:right="20" w:firstLine="443"/>
        <w:spacing w:after="0" w:line="279" w:lineRule="auto"/>
        <w:rPr>
          <w:sz w:val="20"/>
          <w:szCs w:val="20"/>
          <w:color w:val="auto"/>
        </w:rPr>
      </w:pPr>
      <w:r>
        <w:rPr>
          <w:rFonts w:ascii="Arial" w:cs="Arial" w:eastAsia="Arial" w:hAnsi="Arial"/>
          <w:sz w:val="17"/>
          <w:szCs w:val="17"/>
          <w:color w:val="auto"/>
        </w:rPr>
        <w:t>Our investment activities are managed by PennantPark Investment Advisers and supervised by our board of directors, a majority of whom are independent of us. Under our investment management agreement, or the Investment Management Agreement, we have agreed to pay our Investment Adviser an annual base management fee based on our average adjusted gross assets as well as an incentive fee based on our investment performance. See “Certain Relationships and Transactions—Investment Management Agreement” for more information.</w:t>
      </w:r>
    </w:p>
    <w:p>
      <w:pPr>
        <w:spacing w:after="0" w:line="171" w:lineRule="exact"/>
        <w:rPr>
          <w:sz w:val="20"/>
          <w:szCs w:val="20"/>
          <w:color w:val="auto"/>
        </w:rPr>
      </w:pPr>
    </w:p>
    <w:p>
      <w:pPr>
        <w:ind w:left="200" w:right="300" w:firstLine="443"/>
        <w:spacing w:after="0" w:line="257" w:lineRule="auto"/>
        <w:rPr>
          <w:sz w:val="20"/>
          <w:szCs w:val="20"/>
          <w:color w:val="auto"/>
        </w:rPr>
      </w:pPr>
      <w:r>
        <w:rPr>
          <w:rFonts w:ascii="Arial" w:cs="Arial" w:eastAsia="Arial" w:hAnsi="Arial"/>
          <w:sz w:val="18"/>
          <w:szCs w:val="18"/>
          <w:color w:val="auto"/>
        </w:rPr>
        <w:t>We have also entered into an administration agreement, or the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See “Certain Relationships and Transactions— Administration Agreements” for more information.</w:t>
      </w:r>
    </w:p>
    <w:p>
      <w:pPr>
        <w:spacing w:after="0" w:line="188" w:lineRule="exact"/>
        <w:rPr>
          <w:sz w:val="20"/>
          <w:szCs w:val="20"/>
          <w:color w:val="auto"/>
        </w:rPr>
      </w:pPr>
    </w:p>
    <w:p>
      <w:pPr>
        <w:ind w:left="200" w:right="60" w:firstLine="443"/>
        <w:spacing w:after="0" w:line="312" w:lineRule="auto"/>
        <w:rPr>
          <w:sz w:val="20"/>
          <w:szCs w:val="20"/>
          <w:color w:val="auto"/>
        </w:rPr>
      </w:pPr>
      <w:r>
        <w:rPr>
          <w:rFonts w:ascii="Arial" w:cs="Arial" w:eastAsia="Arial" w:hAnsi="Arial"/>
          <w:sz w:val="16"/>
          <w:szCs w:val="16"/>
          <w:color w:val="auto"/>
        </w:rPr>
        <w:t>As a BDC, we are required to comply with certain regulatory requirements. Also, while we are permitted to finance investments using debt, our ability to use debt is limited in certain significant respects. See “Regulation” for more information. We have elected, and intend to qualify annually, to be treated for federal income tax purposes under the Code as a RIC. See “Material U.S. Federal Income Tax Considerations” for more information.</w:t>
      </w:r>
    </w:p>
    <w:p>
      <w:pPr>
        <w:spacing w:after="0" w:line="25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60"/>
          </w:cols>
          <w:pgMar w:left="240" w:top="459" w:right="39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06742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76465" cy="60674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40" w:firstLine="443"/>
        <w:spacing w:after="0" w:line="264" w:lineRule="auto"/>
        <w:rPr>
          <w:sz w:val="20"/>
          <w:szCs w:val="20"/>
          <w:color w:val="auto"/>
        </w:rPr>
      </w:pPr>
      <w:r>
        <w:rPr>
          <w:rFonts w:ascii="Arial" w:cs="Arial" w:eastAsia="Arial" w:hAnsi="Arial"/>
          <w:sz w:val="18"/>
          <w:szCs w:val="18"/>
          <w:color w:val="auto"/>
        </w:rPr>
        <w:t>Our wholly-owned SBIC Funds received licenses from the SBA to operate as SBICs under Section 301(c) of the 1958 Act and are regulated by the SBA. The SBA regulates, among other matters, investing activities and periodically examines our SBIC Funds’ operations. We serve as the investment adviser and administrator to our SBIC Funds. See “Regulation” for more information.</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left="200" w:firstLine="443"/>
        <w:spacing w:after="0" w:line="257" w:lineRule="auto"/>
        <w:rPr>
          <w:sz w:val="20"/>
          <w:szCs w:val="20"/>
          <w:color w:val="auto"/>
        </w:rPr>
      </w:pPr>
      <w:r>
        <w:rPr>
          <w:rFonts w:ascii="Arial" w:cs="Arial" w:eastAsia="Arial" w:hAnsi="Arial"/>
          <w:sz w:val="18"/>
          <w:szCs w:val="18"/>
          <w:color w:val="auto"/>
        </w:rPr>
        <w:t>We may use the net proceeds from selling securities pursuant to this prospectus to reduce our then-outstanding obligations under our Credit Facility, to invest in new or existing portfolio companies, to capitalize a subsidiary or for other general corporate or strategic purposes. Any supplements to this prospectus relating to an offering will more fully identify the use of the proceeds from such offering. See “Use of Proceeds” for information regarding our outstanding borrowings as of September 30, 2013, the corresponding interest rate charged on such borrowings as of that date and the length of time that it may take us to invest any proceeds in new or existing portfolio companies.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200" w:right="60" w:firstLine="443"/>
        <w:spacing w:after="0" w:line="264" w:lineRule="auto"/>
        <w:rPr>
          <w:sz w:val="20"/>
          <w:szCs w:val="20"/>
          <w:color w:val="auto"/>
        </w:rPr>
      </w:pPr>
      <w:r>
        <w:rPr>
          <w:rFonts w:ascii="Arial" w:cs="Arial" w:eastAsia="Arial" w:hAnsi="Arial"/>
          <w:sz w:val="18"/>
          <w:szCs w:val="18"/>
          <w:color w:val="auto"/>
        </w:rPr>
        <w:t>On November 21, 2013, upon the recommendations of the audit committee, the board of directors dismissed KPMG LLP, and engaged McGladrey LLP, as the Company’s independent registered public accounting firm for the year ending September 30, 2014. For further information, see Form 8-K filed on November 25, 2013.</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Ratio of Earnings to Fixed Charges</w:t>
      </w:r>
    </w:p>
    <w:p>
      <w:pPr>
        <w:spacing w:after="0" w:line="121" w:lineRule="exact"/>
        <w:rPr>
          <w:sz w:val="20"/>
          <w:szCs w:val="20"/>
          <w:color w:val="auto"/>
        </w:rPr>
      </w:pPr>
    </w:p>
    <w:p>
      <w:pPr>
        <w:ind w:left="200" w:right="620" w:firstLine="443"/>
        <w:spacing w:after="0" w:line="277" w:lineRule="auto"/>
        <w:rPr>
          <w:sz w:val="20"/>
          <w:szCs w:val="20"/>
          <w:color w:val="auto"/>
        </w:rPr>
      </w:pPr>
      <w:r>
        <w:rPr>
          <w:rFonts w:ascii="Arial" w:cs="Arial" w:eastAsia="Arial" w:hAnsi="Arial"/>
          <w:sz w:val="18"/>
          <w:szCs w:val="18"/>
          <w:color w:val="auto"/>
        </w:rPr>
        <w:t>For the years ended September 30, 2013, 2012, 2011, 2010 and 2009, our ratios of earnings to fixed charges were 6.0, 5.4, 1.9, 4.5 and 7.7, respectively. See “Ratio of Earnings to Fixed Charges” for more information.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Distributions on Common Stock</w:t>
      </w:r>
    </w:p>
    <w:p>
      <w:pPr>
        <w:spacing w:after="0" w:line="121" w:lineRule="exact"/>
        <w:rPr>
          <w:sz w:val="20"/>
          <w:szCs w:val="20"/>
          <w:color w:val="auto"/>
        </w:rPr>
      </w:pPr>
    </w:p>
    <w:p>
      <w:pPr>
        <w:ind w:left="200" w:right="80" w:firstLine="443"/>
        <w:spacing w:after="0" w:line="277" w:lineRule="auto"/>
        <w:rPr>
          <w:sz w:val="20"/>
          <w:szCs w:val="20"/>
          <w:color w:val="auto"/>
        </w:rPr>
      </w:pPr>
      <w:r>
        <w:rPr>
          <w:rFonts w:ascii="Arial" w:cs="Arial" w:eastAsia="Arial" w:hAnsi="Arial"/>
          <w:sz w:val="18"/>
          <w:szCs w:val="18"/>
          <w:color w:val="auto"/>
        </w:rPr>
        <w:t>We intend to continue making quarterly distributions to our common stockholders. Our quarterly distributions, if any, are determined by our board of directors. See “Distributions” for more information.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Dividends on Preferred Stock</w:t>
      </w:r>
    </w:p>
    <w:p>
      <w:pPr>
        <w:spacing w:after="0" w:line="121" w:lineRule="exact"/>
        <w:rPr>
          <w:sz w:val="20"/>
          <w:szCs w:val="20"/>
          <w:color w:val="auto"/>
        </w:rPr>
      </w:pPr>
    </w:p>
    <w:p>
      <w:pPr>
        <w:ind w:left="200" w:right="200" w:firstLine="443"/>
        <w:spacing w:after="0" w:line="297" w:lineRule="auto"/>
        <w:rPr>
          <w:sz w:val="20"/>
          <w:szCs w:val="20"/>
          <w:color w:val="auto"/>
        </w:rPr>
      </w:pPr>
      <w:r>
        <w:rPr>
          <w:rFonts w:ascii="Arial" w:cs="Arial" w:eastAsia="Arial" w:hAnsi="Arial"/>
          <w:sz w:val="16"/>
          <w:szCs w:val="16"/>
          <w:color w:val="auto"/>
        </w:rPr>
        <w:t>We may issue preferred stock from time to time, although we have no immediate intention to do so. Any such preferred stock will be a senior security for purposes of the 1940 Act and, accordingly, subject to the leverage test under that Act.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weekly to quarterly and is subject to extension. The dividend rate could be variable and determined for each dividend period. See “Risk Factors—Risks Relating to our Business and Structure” for more information.</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 Reinvestment Plan</w:t>
      </w:r>
    </w:p>
    <w:p>
      <w:pPr>
        <w:spacing w:after="0" w:line="121" w:lineRule="exact"/>
        <w:rPr>
          <w:sz w:val="20"/>
          <w:szCs w:val="20"/>
          <w:color w:val="auto"/>
        </w:rPr>
      </w:pPr>
    </w:p>
    <w:p>
      <w:pPr>
        <w:ind w:left="200" w:right="40" w:firstLine="443"/>
        <w:spacing w:after="0" w:line="257" w:lineRule="auto"/>
        <w:rPr>
          <w:sz w:val="20"/>
          <w:szCs w:val="20"/>
          <w:color w:val="auto"/>
        </w:rPr>
      </w:pPr>
      <w:r>
        <w:rPr>
          <w:rFonts w:ascii="Arial" w:cs="Arial" w:eastAsia="Arial" w:hAnsi="Arial"/>
          <w:sz w:val="18"/>
          <w:szCs w:val="18"/>
          <w:color w:val="auto"/>
        </w:rPr>
        <w:t>We have adopted an “opt-out” dividend reinvestment plan that provides for reinvestment of our distributions on behalf of our stockholders unless a stockholder elects to receive cash. As a result, if our board of directors authorizes, and we declare, a cash distribution, then our stockholders who have not ‘opted out’ of our dividend reinvestment plan will have their cash distribution automatically reinvested in additional shares of our common stock rather than receiving the cash distribution. Registered stockholders must notify our transfer agent in writing if they wish to ‘opt-out’ of the dividend reinvestment plan. See “Dividend Reinvestment Plan” for more information.</w:t>
      </w:r>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60"/>
          </w:cols>
          <w:pgMar w:left="240" w:top="459" w:right="39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87159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76465" cy="387159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Plan of Distribution</w:t>
      </w:r>
    </w:p>
    <w:p>
      <w:pPr>
        <w:spacing w:after="0" w:line="121" w:lineRule="exact"/>
        <w:rPr>
          <w:sz w:val="20"/>
          <w:szCs w:val="20"/>
          <w:color w:val="auto"/>
        </w:rPr>
      </w:pPr>
    </w:p>
    <w:p>
      <w:pPr>
        <w:ind w:left="200" w:right="300" w:firstLine="443"/>
        <w:spacing w:after="0" w:line="277" w:lineRule="auto"/>
        <w:rPr>
          <w:sz w:val="20"/>
          <w:szCs w:val="20"/>
          <w:color w:val="auto"/>
        </w:rPr>
      </w:pPr>
      <w:r>
        <w:rPr>
          <w:rFonts w:ascii="Arial" w:cs="Arial" w:eastAsia="Arial" w:hAnsi="Arial"/>
          <w:sz w:val="18"/>
          <w:szCs w:val="18"/>
          <w:color w:val="auto"/>
        </w:rPr>
        <w:t>We may offer, from time to time, up to $1 billion of our securities, on terms to be determined at the time of each such offering and set forth in a supplement to this prospectus.</w:t>
      </w:r>
    </w:p>
    <w:p>
      <w:pPr>
        <w:spacing w:after="0" w:line="170" w:lineRule="exact"/>
        <w:rPr>
          <w:sz w:val="20"/>
          <w:szCs w:val="20"/>
          <w:color w:val="auto"/>
        </w:rPr>
      </w:pPr>
    </w:p>
    <w:p>
      <w:pPr>
        <w:ind w:left="200" w:right="40" w:firstLine="443"/>
        <w:spacing w:after="0" w:line="291" w:lineRule="auto"/>
        <w:rPr>
          <w:sz w:val="20"/>
          <w:szCs w:val="20"/>
          <w:color w:val="auto"/>
        </w:rPr>
      </w:pPr>
      <w:r>
        <w:rPr>
          <w:rFonts w:ascii="Arial" w:cs="Arial" w:eastAsia="Arial" w:hAnsi="Arial"/>
          <w:sz w:val="16"/>
          <w:szCs w:val="16"/>
          <w:color w:val="auto"/>
        </w:rPr>
        <w:t>Securities may be offered at prices and on terms described in one or more supplements to this prospectus. We may sell our common stock through underwriters or dealers, “at-the-market” to or through a market maker, into an existing trading market or otherwise directly to one or more purchasers or through agents or through a combination of methods of sale. The supplement to this prospectus relating to the offering will identify any agents or underwriters involved in the sale of our securities, and will set forth any applicable purchase price, fee and commission or discount arrangement or the basis upon which such amount may be calculated. In compliance with the guidelines of the Financial Industry Regulatory Authority, Inc., or FINRA, the compensation to the underwriters or dealers in connection with the sale of our securities pursuant to this prospectus and the accompanying supplement to this prospectus may not exceed 8% of the aggregate offering price of the securities as set forth on the cover page of the supplement to this prospectus.</w:t>
      </w:r>
    </w:p>
    <w:p>
      <w:pPr>
        <w:spacing w:after="0" w:line="167" w:lineRule="exact"/>
        <w:rPr>
          <w:sz w:val="20"/>
          <w:szCs w:val="20"/>
          <w:color w:val="auto"/>
        </w:rPr>
      </w:pPr>
    </w:p>
    <w:p>
      <w:pPr>
        <w:ind w:left="200" w:right="160" w:firstLine="443"/>
        <w:spacing w:after="0" w:line="277" w:lineRule="auto"/>
        <w:rPr>
          <w:sz w:val="20"/>
          <w:szCs w:val="20"/>
          <w:color w:val="auto"/>
        </w:rPr>
      </w:pPr>
      <w:r>
        <w:rPr>
          <w:rFonts w:ascii="Arial" w:cs="Arial" w:eastAsia="Arial" w:hAnsi="Arial"/>
          <w:sz w:val="18"/>
          <w:szCs w:val="18"/>
          <w:color w:val="auto"/>
        </w:rPr>
        <w:t>We may not sell securities pursuant to this prospectus without delivering a prospectus supplement describing the terms of the particular securities to be offered and the method of the offering of such securities. See “Plan of Distribution” for more information.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Corporate Information</w:t>
      </w:r>
    </w:p>
    <w:p>
      <w:pPr>
        <w:spacing w:after="0" w:line="121" w:lineRule="exact"/>
        <w:rPr>
          <w:sz w:val="20"/>
          <w:szCs w:val="20"/>
          <w:color w:val="auto"/>
        </w:rPr>
      </w:pPr>
    </w:p>
    <w:p>
      <w:pPr>
        <w:ind w:left="200" w:firstLine="553"/>
        <w:spacing w:after="0" w:line="270" w:lineRule="auto"/>
        <w:rPr>
          <w:sz w:val="20"/>
          <w:szCs w:val="20"/>
          <w:color w:val="auto"/>
        </w:rPr>
      </w:pPr>
      <w:r>
        <w:rPr>
          <w:rFonts w:ascii="Arial" w:cs="Arial" w:eastAsia="Arial" w:hAnsi="Arial"/>
          <w:sz w:val="17"/>
          <w:szCs w:val="17"/>
          <w:color w:val="auto"/>
        </w:rPr>
        <w:t xml:space="preserve">Our administrative and principal executive offices are located at 590 Madison Avenue, 15th Floor, New York, NY 10022. Our common stock is quoted on the NASDAQ Global Select Market under the symbol “PNNT.” Our 2025 Notes are quoted on the NYSE under the symbol “PNTA.” Our phone number is (212) 905-1000, and our internet website address is </w:t>
      </w:r>
      <w:r>
        <w:rPr>
          <w:rFonts w:ascii="Arial" w:cs="Arial" w:eastAsia="Arial" w:hAnsi="Arial"/>
          <w:sz w:val="17"/>
          <w:szCs w:val="17"/>
          <w:i w:val="1"/>
          <w:iCs w:val="1"/>
          <w:u w:val="single" w:color="auto"/>
          <w:color w:val="auto"/>
        </w:rPr>
        <w:t>www.pennantpark.com</w:t>
      </w:r>
      <w:r>
        <w:rPr>
          <w:rFonts w:ascii="Arial" w:cs="Arial" w:eastAsia="Arial" w:hAnsi="Arial"/>
          <w:sz w:val="17"/>
          <w:szCs w:val="17"/>
          <w:color w:val="auto"/>
        </w:rPr>
        <w:t xml:space="preserve">. Information contained on our website is not incorporated by reference into this prospectus or any supplements to this prospectus, and you should not consider information contained on our website to be part of this prospectus or any supplements to this prospectus. We file periodic reports, proxy statements and other information with the SEC and make such reports available on our website free of charge as soon as reasonably practicable. You may read and copy the materials that we file with the SEC at the SEC’s Public Reference Room at 100 F Street, N.E., Washington, D.C. 20549. You may obtain information on the operation of the Public Reference Room by calling the SEC at 1-800-SEC-0330. In addition, the SEC maintains an internet site at </w:t>
      </w:r>
      <w:r>
        <w:rPr>
          <w:rFonts w:ascii="Arial" w:cs="Arial" w:eastAsia="Arial" w:hAnsi="Arial"/>
          <w:sz w:val="17"/>
          <w:szCs w:val="17"/>
          <w:i w:val="1"/>
          <w:iCs w:val="1"/>
          <w:u w:val="single" w:color="auto"/>
          <w:color w:val="auto"/>
        </w:rPr>
        <w:t>www.sec.gov</w:t>
      </w:r>
      <w:r>
        <w:rPr>
          <w:rFonts w:ascii="Arial" w:cs="Arial" w:eastAsia="Arial" w:hAnsi="Arial"/>
          <w:sz w:val="17"/>
          <w:szCs w:val="17"/>
          <w:color w:val="auto"/>
        </w:rPr>
        <w:t xml:space="preserve"> that contains material that we file with the SEC on the EDGAR Database.</w:t>
      </w:r>
    </w:p>
    <w:p>
      <w:pPr>
        <w:spacing w:after="0" w:line="29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60"/>
          </w:cols>
          <w:pgMar w:left="240" w:top="459" w:right="39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FEES AND EXPENSES</w:t>
      </w:r>
    </w:p>
    <w:p>
      <w:pPr>
        <w:spacing w:after="0" w:line="229"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The following table will assist you in understanding the various costs and expenses that an investor in shares of our common stock will bear directly or indirectly. However, we caution you that some of the percentages indicated in the table below are estimates and may vary from actual results. The following table should not be considered a representation of our future expenses. Actual expenses may be greater or less than shown. Except where the context suggests otherwise, whenever this prospectus contains a reference to fees or expenses paid by “you” or “us” or that “we” will pay, stockholders will indirectly bear such fees or expenses as investors in us.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0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 transaction expenses (as a percentage of offering price)</w:t>
            </w:r>
          </w:p>
        </w:tc>
        <w:tc>
          <w:tcPr>
            <w:tcW w:w="3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80" w:type="dxa"/>
            <w:vAlign w:val="bottom"/>
          </w:tcPr>
          <w:p>
            <w:pPr>
              <w:spacing w:after="0"/>
              <w:rPr>
                <w:sz w:val="20"/>
                <w:szCs w:val="20"/>
                <w:color w:val="auto"/>
              </w:rPr>
            </w:pPr>
            <w:r>
              <w:rPr>
                <w:rFonts w:ascii="Arial" w:cs="Arial" w:eastAsia="Arial" w:hAnsi="Arial"/>
                <w:sz w:val="18"/>
                <w:szCs w:val="18"/>
                <w:color w:val="auto"/>
              </w:rPr>
              <w:t>Sales load</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80" w:type="dxa"/>
            <w:vAlign w:val="bottom"/>
            <w:shd w:val="clear" w:color="auto" w:fill="CCEEFF"/>
          </w:tcPr>
          <w:p>
            <w:pPr>
              <w:spacing w:after="0"/>
              <w:rPr>
                <w:sz w:val="20"/>
                <w:szCs w:val="20"/>
                <w:color w:val="auto"/>
              </w:rPr>
            </w:pPr>
            <w:r>
              <w:rPr>
                <w:rFonts w:ascii="Arial" w:cs="Arial" w:eastAsia="Arial" w:hAnsi="Arial"/>
                <w:sz w:val="18"/>
                <w:szCs w:val="18"/>
                <w:color w:val="auto"/>
              </w:rPr>
              <w:t>Offering expenses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680" w:type="dxa"/>
            <w:vAlign w:val="bottom"/>
          </w:tcPr>
          <w:p>
            <w:pPr>
              <w:spacing w:after="0"/>
              <w:rPr>
                <w:sz w:val="20"/>
                <w:szCs w:val="20"/>
                <w:color w:val="auto"/>
              </w:rPr>
            </w:pPr>
            <w:r>
              <w:rPr>
                <w:rFonts w:ascii="Arial" w:cs="Arial" w:eastAsia="Arial" w:hAnsi="Arial"/>
                <w:sz w:val="18"/>
                <w:szCs w:val="18"/>
                <w:color w:val="auto"/>
              </w:rPr>
              <w:t>Total stockholder expenses</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10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10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Estimated annual expenses (as a percentage of average net assets attributable to common shares)</w:t>
            </w:r>
            <w:r>
              <w:rPr>
                <w:rFonts w:ascii="Arial" w:cs="Arial" w:eastAsia="Arial" w:hAnsi="Arial"/>
                <w:sz w:val="19"/>
                <w:szCs w:val="19"/>
                <w:color w:val="auto"/>
                <w:vertAlign w:val="superscript"/>
              </w:rPr>
              <w:t>(3)</w:t>
            </w:r>
          </w:p>
        </w:tc>
        <w:tc>
          <w:tcPr>
            <w:tcW w:w="3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80" w:type="dxa"/>
            <w:vAlign w:val="bottom"/>
          </w:tcPr>
          <w:p>
            <w:pPr>
              <w:spacing w:after="0"/>
              <w:rPr>
                <w:sz w:val="20"/>
                <w:szCs w:val="20"/>
                <w:color w:val="auto"/>
              </w:rPr>
            </w:pPr>
            <w:r>
              <w:rPr>
                <w:rFonts w:ascii="Arial" w:cs="Arial" w:eastAsia="Arial" w:hAnsi="Arial"/>
                <w:sz w:val="18"/>
                <w:szCs w:val="18"/>
                <w:color w:val="auto"/>
              </w:rPr>
              <w:t>Management fees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3.02%</w:t>
            </w: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80" w:type="dxa"/>
            <w:vAlign w:val="bottom"/>
            <w:shd w:val="clear" w:color="auto" w:fill="CCEEFF"/>
          </w:tcPr>
          <w:p>
            <w:pPr>
              <w:spacing w:after="0"/>
              <w:rPr>
                <w:sz w:val="20"/>
                <w:szCs w:val="20"/>
                <w:color w:val="auto"/>
              </w:rPr>
            </w:pPr>
            <w:r>
              <w:rPr>
                <w:rFonts w:ascii="Arial" w:cs="Arial" w:eastAsia="Arial" w:hAnsi="Arial"/>
                <w:sz w:val="18"/>
                <w:szCs w:val="18"/>
                <w:color w:val="auto"/>
              </w:rPr>
              <w:t>Incentive fees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2.42%</w:t>
            </w: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80" w:type="dxa"/>
            <w:vAlign w:val="bottom"/>
          </w:tcPr>
          <w:p>
            <w:pPr>
              <w:spacing w:after="0"/>
              <w:rPr>
                <w:sz w:val="20"/>
                <w:szCs w:val="20"/>
                <w:color w:val="auto"/>
              </w:rPr>
            </w:pPr>
            <w:r>
              <w:rPr>
                <w:rFonts w:ascii="Arial" w:cs="Arial" w:eastAsia="Arial" w:hAnsi="Arial"/>
                <w:sz w:val="18"/>
                <w:szCs w:val="18"/>
                <w:color w:val="auto"/>
              </w:rPr>
              <w:t>Interest on borrowed funds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2.32%</w:t>
            </w: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8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0.32%</w:t>
            </w: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20"/>
        </w:trPr>
        <w:tc>
          <w:tcPr>
            <w:tcW w:w="10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estimated annual expenses</w:t>
            </w:r>
          </w:p>
        </w:tc>
        <w:tc>
          <w:tcPr>
            <w:tcW w:w="3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0700" w:type="dxa"/>
            <w:vAlign w:val="bottom"/>
            <w:gridSpan w:val="2"/>
            <w:vMerge w:val="continue"/>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8.08%</w:t>
            </w:r>
            <w:r>
              <w:rPr>
                <w:rFonts w:ascii="Arial" w:cs="Arial" w:eastAsia="Arial" w:hAnsi="Arial"/>
                <w:sz w:val="15"/>
                <w:szCs w:val="15"/>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89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4" w:lineRule="exact"/>
        <w:rPr>
          <w:sz w:val="20"/>
          <w:szCs w:val="20"/>
          <w:color w:val="auto"/>
        </w:rPr>
      </w:pPr>
    </w:p>
    <w:p>
      <w:pPr>
        <w:ind w:left="460" w:right="320" w:hanging="452"/>
        <w:spacing w:after="0" w:line="258"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the event that the securities to which this prospectus relates are sold to or through underwriters or agents, a corresponding prospectus supplement will disclose the applicable sales load.</w:t>
      </w:r>
    </w:p>
    <w:p>
      <w:pPr>
        <w:spacing w:after="0" w:line="1" w:lineRule="exact"/>
        <w:rPr>
          <w:rFonts w:ascii="Arial" w:cs="Arial" w:eastAsia="Arial" w:hAnsi="Arial"/>
          <w:sz w:val="18"/>
          <w:szCs w:val="18"/>
          <w:color w:val="auto"/>
        </w:rPr>
      </w:pPr>
    </w:p>
    <w:p>
      <w:pPr>
        <w:ind w:left="460" w:right="120" w:hanging="452"/>
        <w:spacing w:after="0" w:line="250"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related prospectus supplement will disclose the estimated amount of offering expenses, the offering price and the offering expenses borne by us as a percentage of the offering price.</w:t>
      </w: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Net assets attributable to common shares equals average net assets for the three months ended September 30, 2013.</w:t>
      </w:r>
    </w:p>
    <w:p>
      <w:pPr>
        <w:spacing w:after="0" w:line="9" w:lineRule="exact"/>
        <w:rPr>
          <w:rFonts w:ascii="Arial" w:cs="Arial" w:eastAsia="Arial" w:hAnsi="Arial"/>
          <w:sz w:val="18"/>
          <w:szCs w:val="18"/>
          <w:color w:val="auto"/>
        </w:rPr>
      </w:pPr>
    </w:p>
    <w:p>
      <w:pPr>
        <w:ind w:left="460" w:right="400" w:hanging="452"/>
        <w:spacing w:after="0" w:line="250"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contractual management fee is calculated at an annual rate of 2.00% of our average adjusted gross assets on September 30, 2013. See “Certain Relationships and Transactions—Investment Management Agreement” for more information.</w:t>
      </w:r>
    </w:p>
    <w:p>
      <w:pPr>
        <w:ind w:left="460" w:right="20" w:hanging="452"/>
        <w:spacing w:after="0" w:line="281" w:lineRule="auto"/>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portion of incentive fees paid with respect to net investment income is based on actual amounts incurred during the three months ended September 30, 2013 annualized for a full year. Such incentive fees are based on performance, vary from period to period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As of September 30, 2013, our unrealized capital gains did not exceed our cumulative realized and unrealized capital losses. As we cannot predict our future net investment income or capital gains, the incentive fee paid in future years, if any, may be substantially different than the fee earned during the three months ended September 30, 2013. For more detailed information about the incentive fee, please see “Certain Relationships and Transactions—Investment Management Agreement” for more information.</w:t>
      </w:r>
    </w:p>
    <w:p>
      <w:pPr>
        <w:spacing w:after="0" w:line="6" w:lineRule="exact"/>
        <w:rPr>
          <w:rFonts w:ascii="Arial" w:cs="Arial" w:eastAsia="Arial" w:hAnsi="Arial"/>
          <w:sz w:val="16"/>
          <w:szCs w:val="16"/>
          <w:color w:val="auto"/>
        </w:rPr>
      </w:pPr>
    </w:p>
    <w:p>
      <w:pPr>
        <w:ind w:left="460" w:right="20" w:hanging="452"/>
        <w:spacing w:after="0" w:line="292" w:lineRule="auto"/>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As of September 30, 2013, we had $284.5 million of unused borrowing capacity, subject to maintenance of the applicable total assets to debt ratio, under the 1940 Act, and $145.5 million in borrowings outstanding under our $430.0 million Credit Facility and had $71.3 million in aggregate principal of 2025 Notes at an annual interest rate of 6.25%. As of September 30, 2013, SBIC LP had $150.0 million outstanding with a weighted average annual interest rate of 3.70%, exclusive of the 3.43% of upfront fees (4.04% inclusive of the 3.43% upfront fee). We may use proceeds of an offering of securities under this registration statement to repay outstanding obligations under our Credit Facility. After completing any such offering, we may</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460" w:right="200"/>
        <w:spacing w:after="0" w:line="279" w:lineRule="auto"/>
        <w:rPr>
          <w:sz w:val="20"/>
          <w:szCs w:val="20"/>
          <w:color w:val="auto"/>
        </w:rPr>
      </w:pPr>
      <w:r>
        <w:rPr>
          <w:rFonts w:ascii="Arial" w:cs="Arial" w:eastAsia="Arial" w:hAnsi="Arial"/>
          <w:sz w:val="17"/>
          <w:szCs w:val="17"/>
          <w:color w:val="auto"/>
        </w:rPr>
        <w:t>continue to borrow under our Credit Facility to finance our investment objectives. We have estimated the annual interest expense on borrowed funds and caution you that our actual interest expense will depend on prevailing interest rates and our rate of borrowing, which may be substantially higher than the estimate provided in this table. See “Risk Factors—Risks Relating to our Business and Structure—We currently use borrowed funds to make investments and are exposed to the typical risks associated with leverage” for more information.</w:t>
      </w:r>
    </w:p>
    <w:p>
      <w:pPr>
        <w:spacing w:after="0" w:line="77" w:lineRule="exact"/>
        <w:rPr>
          <w:sz w:val="20"/>
          <w:szCs w:val="20"/>
          <w:color w:val="auto"/>
        </w:rPr>
      </w:pPr>
    </w:p>
    <w:p>
      <w:pPr>
        <w:ind w:left="460" w:right="120" w:hanging="452"/>
        <w:spacing w:after="0" w:line="259"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“Other expenses” includes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actual other expenses for the three months ended September 30, 2013, annualized for a full year.</w:t>
      </w:r>
    </w:p>
    <w:p>
      <w:pPr>
        <w:spacing w:after="0" w:line="92" w:lineRule="exact"/>
        <w:rPr>
          <w:rFonts w:ascii="Arial" w:cs="Arial" w:eastAsia="Arial" w:hAnsi="Arial"/>
          <w:sz w:val="18"/>
          <w:szCs w:val="18"/>
          <w:color w:val="auto"/>
        </w:rPr>
      </w:pPr>
    </w:p>
    <w:p>
      <w:pPr>
        <w:ind w:left="460" w:right="260" w:hanging="452"/>
        <w:spacing w:after="0" w:line="297" w:lineRule="auto"/>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“Total estimated annual expenses” as a percentage of average net assets attributable to common shares, to the extent we borrow money to make investments, are higher than the total estimated annual expenses percentage would be for a company that is not leveraged. We may borrow money to leverage our net assets and increase our total assets. The SEC requires that the “total estimated annual expenses” percentage be calculated as a percentage of net assets (defined as total assets less indebtedness) rather than total assets, which include assets that have been funded with borrowed money. For a presentation and calculation of total annual expenses based on average total assets, see page 27 of this prospectus.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w:t>
      </w:r>
    </w:p>
    <w:p>
      <w:pPr>
        <w:spacing w:after="0" w:line="12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following example illustrates the projected dollar amount of total cumulative expenses that you would pay on a $1,000 hypothetical investment in common shares, assuming (1) a 3.50% sales load (underwriting discounts and commissions) and offering expenses totaling 0.34%, (2) total net annual expenses of 5.66% of average net assets attributable to common shares as set forth in the table above (other than performance-based incentive fees) and (3) a 5% annual return.</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04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You would pay the following expenses on a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1,000 common stock investment</w:t>
            </w: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1 Year</w:t>
            </w: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3 Years</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5 Years</w:t>
            </w: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rPr>
              <w:t>10 Years</w:t>
            </w:r>
          </w:p>
        </w:tc>
      </w:tr>
      <w:tr>
        <w:trPr>
          <w:trHeight w:val="182"/>
        </w:trPr>
        <w:tc>
          <w:tcPr>
            <w:tcW w:w="470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w w:val="87"/>
              </w:rPr>
              <w:t>Assuming a 5% annual return (assumes no return from net realized</w:t>
            </w:r>
          </w:p>
        </w:tc>
        <w:tc>
          <w:tcPr>
            <w:tcW w:w="3340" w:type="dxa"/>
            <w:vAlign w:val="bottom"/>
            <w:tcBorders>
              <w:top w:val="single" w:sz="8" w:color="CCEEFF"/>
            </w:tcBorders>
            <w:shd w:val="clear" w:color="auto" w:fill="CCEEFF"/>
          </w:tcPr>
          <w:p>
            <w:pPr>
              <w:ind w:left="180"/>
              <w:spacing w:after="0" w:line="182" w:lineRule="exact"/>
              <w:rPr>
                <w:sz w:val="20"/>
                <w:szCs w:val="20"/>
                <w:color w:val="auto"/>
              </w:rPr>
            </w:pPr>
            <w:r>
              <w:rPr>
                <w:rFonts w:ascii="Arial" w:cs="Arial" w:eastAsia="Arial" w:hAnsi="Arial"/>
                <w:sz w:val="18"/>
                <w:szCs w:val="18"/>
                <w:color w:val="auto"/>
              </w:rPr>
              <w:t>capital gains or net unrealized capital</w:t>
            </w:r>
          </w:p>
        </w:tc>
        <w:tc>
          <w:tcPr>
            <w:tcW w:w="1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44"/>
        </w:trPr>
        <w:tc>
          <w:tcPr>
            <w:tcW w:w="8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appreciation)</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9"/>
              </w:rPr>
              <w:t>200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9"/>
              </w:rPr>
              <w:t>306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565</w:t>
            </w:r>
          </w:p>
        </w:tc>
      </w:tr>
      <w:tr>
        <w:trPr>
          <w:trHeight w:val="202"/>
        </w:trPr>
        <w:tc>
          <w:tcPr>
            <w:tcW w:w="8040" w:type="dxa"/>
            <w:vAlign w:val="bottom"/>
            <w:gridSpan w:val="2"/>
          </w:tcPr>
          <w:p>
            <w:pPr>
              <w:spacing w:after="0" w:line="201" w:lineRule="exact"/>
              <w:rPr>
                <w:sz w:val="20"/>
                <w:szCs w:val="20"/>
                <w:color w:val="auto"/>
              </w:rPr>
            </w:pPr>
            <w:r>
              <w:rPr>
                <w:rFonts w:ascii="Arial" w:cs="Arial" w:eastAsia="Arial" w:hAnsi="Arial"/>
                <w:sz w:val="18"/>
                <w:szCs w:val="18"/>
                <w:color w:val="auto"/>
                <w:w w:val="99"/>
              </w:rPr>
              <w:t>Assuming a 5% annual return (assumes return from only realized capital gains and thus subject to the</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4"/>
        </w:trPr>
        <w:tc>
          <w:tcPr>
            <w:tcW w:w="8040" w:type="dxa"/>
            <w:vAlign w:val="bottom"/>
            <w:gridSpan w:val="2"/>
          </w:tcPr>
          <w:p>
            <w:pPr>
              <w:ind w:left="180"/>
              <w:spacing w:after="0"/>
              <w:rPr>
                <w:sz w:val="20"/>
                <w:szCs w:val="20"/>
                <w:color w:val="auto"/>
              </w:rPr>
            </w:pPr>
            <w:r>
              <w:rPr>
                <w:rFonts w:ascii="Arial" w:cs="Arial" w:eastAsia="Arial" w:hAnsi="Arial"/>
                <w:sz w:val="18"/>
                <w:szCs w:val="18"/>
                <w:color w:val="auto"/>
              </w:rPr>
              <w:t>capital gains incentive fee)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480"/>
              <w:spacing w:after="0"/>
              <w:rPr>
                <w:sz w:val="20"/>
                <w:szCs w:val="20"/>
                <w:color w:val="auto"/>
              </w:rPr>
            </w:pPr>
            <w:r>
              <w:rPr>
                <w:rFonts w:ascii="Arial" w:cs="Arial" w:eastAsia="Arial" w:hAnsi="Arial"/>
                <w:sz w:val="18"/>
                <w:szCs w:val="18"/>
                <w:color w:val="auto"/>
                <w:w w:val="86"/>
              </w:rPr>
              <w:t>102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500"/>
              <w:spacing w:after="0"/>
              <w:rPr>
                <w:sz w:val="20"/>
                <w:szCs w:val="20"/>
                <w:color w:val="auto"/>
              </w:rPr>
            </w:pPr>
            <w:r>
              <w:rPr>
                <w:rFonts w:ascii="Arial" w:cs="Arial" w:eastAsia="Arial" w:hAnsi="Arial"/>
                <w:sz w:val="18"/>
                <w:szCs w:val="18"/>
                <w:color w:val="auto"/>
                <w:w w:val="99"/>
              </w:rPr>
              <w:t>226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80"/>
              <w:spacing w:after="0"/>
              <w:rPr>
                <w:sz w:val="20"/>
                <w:szCs w:val="20"/>
                <w:color w:val="auto"/>
              </w:rPr>
            </w:pPr>
            <w:r>
              <w:rPr>
                <w:rFonts w:ascii="Arial" w:cs="Arial" w:eastAsia="Arial" w:hAnsi="Arial"/>
                <w:sz w:val="18"/>
                <w:szCs w:val="18"/>
                <w:color w:val="auto"/>
                <w:w w:val="99"/>
              </w:rPr>
              <w:t>346</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628</w:t>
            </w:r>
          </w:p>
        </w:tc>
      </w:tr>
    </w:tbl>
    <w:p>
      <w:pPr>
        <w:spacing w:after="0" w:line="202"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This example and the expenses in the table above should not be considered a representation of our future expenses. Actual expenses may be greater or less than those assumed. The table above is provided to assist you in understanding the various costs and expenses that an investor in our common stock will bear directly or indirectly. While the example assumes, as required by the SEC, a 5% annual return, our performance will vary and may result in a return greater or less than 5%. If we were to earn an annual return of less than 5% on net investment income, the incentive fee under our Investment Management Agreement would not be earned or payable. If we were to earn any amount on net realized gains from our inception to date, our expenses, and returns to investors, would be higher. The example assumes that all dividends and distributions are reinvested at NAV. Under certain circumstances, reinvestment of dividends and distributions under our dividend reinvestment plan may occur at a price per share that differs from NAV. See “Distributions” for more information.</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i w:val="1"/>
          <w:iCs w:val="1"/>
          <w:color w:val="auto"/>
        </w:rPr>
        <w:t>Before you invest in our securities, you should be aware of various risks, including those described below. You should carefully consider these risk factors, together with all of the other information included in this prospectus, before you decide whether to make an investment in our securities. The risks set out below are not the only risks we face. Additional risks and uncertainties not currently known to us or that we currently deem to be immaterial also may have a material adverse effect on our business, financial condition and/or operating results. If any of the following events occur, our business, financial condition and results of operations could be materially adversely affected. In such case, our NAV, the trading price of our common stock and 2025 Notes, or any securities we may issue, may decline, and you may lose all or part of your investment.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STRUCTURE</w:t>
      </w:r>
    </w:p>
    <w:p>
      <w:pPr>
        <w:spacing w:after="0" w:line="121" w:lineRule="exact"/>
        <w:rPr>
          <w:sz w:val="20"/>
          <w:szCs w:val="20"/>
          <w:color w:val="auto"/>
        </w:rPr>
      </w:pPr>
    </w:p>
    <w:p>
      <w:pPr>
        <w:ind w:right="20" w:firstLine="228"/>
        <w:spacing w:after="0" w:line="264" w:lineRule="auto"/>
        <w:rPr>
          <w:sz w:val="20"/>
          <w:szCs w:val="20"/>
          <w:color w:val="auto"/>
        </w:rPr>
      </w:pPr>
      <w:r>
        <w:rPr>
          <w:rFonts w:ascii="Arial" w:cs="Arial" w:eastAsia="Arial" w:hAnsi="Arial"/>
          <w:sz w:val="18"/>
          <w:szCs w:val="18"/>
          <w:b w:val="1"/>
          <w:bCs w:val="1"/>
          <w:i w:val="1"/>
          <w:iCs w:val="1"/>
          <w:color w:val="auto"/>
        </w:rPr>
        <w:t>Global capital markets could enter a period of severe disruption and instability. These market conditions have historically and could again have a materially adverse effect on debt and equity capital markets in the United States, which could have a materially negative impact on our business, financial condition and results of operations.</w:t>
      </w:r>
    </w:p>
    <w:p>
      <w:pPr>
        <w:spacing w:after="0" w:line="73"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The U.S. capital markets have experienced periods of disruption characterized by the freezing of available credit, a lack of liquidity in the debt capital markets, significant losses in the principal value of investments, the re-pricing of credit risk in the broadly syndicated credit market and the failure of major financial institutions. During these periods of disruption, general economic conditions deteriorated with material and adverse consequences for the broader financial and credit markets, and the availability of debt and equity capital for the market as a whole, and financial services firms in particular, was reduced significantly. These conditions may reoccur for a prolonged period of time or materially worsen in the future. We may in the future have difficulty accessing debt and equity capital, and a severe disruption in the global financial markets, deterioration in credit and financing conditions or uncertainty regarding U.S. government spending and deficit levels could have a material adverse effect on our business, financial condition and results of operations.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Volatility or a prolonged disruption in the credit markets could materially damage our business.</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are required to record our assets at fair value, as determined in good faith by our board of directors in accordance with our valuation policy. As a result, volatility in the capital markets may have a material adverse effect on our valuations and our NAV, even if we hold investments to maturity. Volatility or dislocation in the capital markets may depress our stock price below our NAV per share and create a challenging environment in which to raise debt and equity capital. As a BDC, we are generally not able to issue additional shares of our common stock at a price less than NAV without first obtaining approval for such issuance from our stockholders and our independent directors. Additionally, our ability to incur indebtedness is limited by the asset coverage requirements for a BDC, as defined in the 1940 Act, which we refer to as the asset coverage ratio, exclusive of the SBA debentures pursuant to our SEC exemptive relief. Declining portfolio values negatively impact our ability to borrow additional funds under our Credit Facility because our NAV is reduced for purposes of the asset coverage requirement. If the fair value of our assets declines substantially, we may fail to maintain the asset coverage ratio stipulated by the 1940 Act, which could, in turn, cause us to lose our status as a BDC and materially impair our business operations. A protracted disruption in the credit markets could also materially decrease demand for our investments.</w:t>
      </w:r>
    </w:p>
    <w:p>
      <w:pPr>
        <w:spacing w:after="0" w:line="178"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The significant disruption in the capital markets experienced in the past had, and may in the future have, a negative effect on the valuations of our investments and on the potential for liquidity events involving our investments. The debt capital that may be available to us in the future may be at a higher cost and have less favorable terms and conditions than those currently in effect. If our financing costs increase and we have no increase in interest income, then our net investment income will decrease. A prolonged inability to raise capital may require us to reduce the volume of loans we originate and could have a material adverse impact on our</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business, financial condition or results of operations. This may also increase the probability that other structural risks negatively impact us. These situations may arise due to circumstances that we may be unable to control, such as a protracted disruption in the credit markets, a severe decline in the value of the U.S. dollar, a sharp economic downturn or an operational problem that affects third parties or us, and could materially damage our business, financial condition and results of operations.</w:t>
      </w:r>
    </w:p>
    <w:p>
      <w:pPr>
        <w:spacing w:after="0" w:line="295" w:lineRule="exact"/>
        <w:rPr>
          <w:sz w:val="20"/>
          <w:szCs w:val="20"/>
          <w:color w:val="auto"/>
        </w:rPr>
      </w:pPr>
    </w:p>
    <w:p>
      <w:pPr>
        <w:ind w:right="320" w:firstLine="228"/>
        <w:spacing w:after="0" w:line="277" w:lineRule="auto"/>
        <w:rPr>
          <w:sz w:val="20"/>
          <w:szCs w:val="20"/>
          <w:color w:val="auto"/>
        </w:rPr>
      </w:pPr>
      <w:r>
        <w:rPr>
          <w:rFonts w:ascii="Arial" w:cs="Arial" w:eastAsia="Arial" w:hAnsi="Arial"/>
          <w:sz w:val="18"/>
          <w:szCs w:val="18"/>
          <w:b w:val="1"/>
          <w:bCs w:val="1"/>
          <w:i w:val="1"/>
          <w:iCs w:val="1"/>
          <w:color w:val="auto"/>
        </w:rPr>
        <w:t>Market developments may adversely affect our business and results of operations by reducing availability and/or triggering mandatory prepayment under our Credit Facility, the 2025 Notes and SBA debentures.</w:t>
      </w:r>
    </w:p>
    <w:p>
      <w:pPr>
        <w:spacing w:after="0" w:line="62"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In addition to the applicable asset coverage ratio that restricts our ability to borrow under our Credit Facility, the Credit Facility and the indenture governing the 2025 Notes contain various covenants which, if not complied with, could accelerate repayment under the Credit Facility and 2025 Notes, thereby having a material adverse effect on our business, financial condition and results of operations. Our borrowings under our Credit Facility are collateralized by the assets in our investment portfolio, excluding those portfolio investments held by our SBIC Funds. The agreements governing the Credit Facility require us to comply with certain financial and operational covenants. These covenants include:</w:t>
      </w:r>
    </w:p>
    <w:p>
      <w:pPr>
        <w:spacing w:after="0" w:line="78" w:lineRule="exact"/>
        <w:rPr>
          <w:sz w:val="20"/>
          <w:szCs w:val="20"/>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requirement to retain our status as a RIC;</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requirement to maintain a minimum amount of stockholder’s equity;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 requirement that our outstanding borrowings under the Credit Facility not exceed a certain percentage of the values of our portfolio companies.</w:t>
      </w:r>
    </w:p>
    <w:p>
      <w:pPr>
        <w:spacing w:after="0" w:line="248"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In addition to the Credit Facility, we have issued the 2025 Notes and SBIC LP has issued SBA debentures that require us and SBIC LP to generate sufficient cash flow to make required interest payments. Further, SBIC LP must maintain a minimum capitalization that, if impaired, could materially and adversely affect our liquidity, financial condition and results of operations by accelerating repayment under the SBA debentures. Our borrowings under the SBA debentures are secured by the assets of SBIC LP.</w:t>
      </w:r>
    </w:p>
    <w:p>
      <w:pPr>
        <w:spacing w:after="0" w:line="18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Our continued compliance with these covenants depends on many factors, some of which are beyond our control. A material decrease in our NAV in connection with additional borrowings could result in an inability to comply with our obligation to restrict the level of indebtedness that we are able to incur in relation to the value of our assets or to maintain a minimum level of stockholders’ equity as applicable. This could have a material adverse effect on our operations, as it would reduce availability under the Credit Facility and could trigger mandatory prepayment obligations under the terms of the Credit Facility and the 2025 Notes.</w:t>
      </w:r>
    </w:p>
    <w:p>
      <w:pPr>
        <w:spacing w:after="0" w:line="296" w:lineRule="exact"/>
        <w:rPr>
          <w:sz w:val="20"/>
          <w:szCs w:val="20"/>
          <w:color w:val="auto"/>
        </w:rPr>
      </w:pPr>
    </w:p>
    <w:p>
      <w:pPr>
        <w:ind w:right="600" w:firstLine="228"/>
        <w:spacing w:after="0" w:line="277" w:lineRule="auto"/>
        <w:rPr>
          <w:sz w:val="20"/>
          <w:szCs w:val="20"/>
          <w:color w:val="auto"/>
        </w:rPr>
      </w:pPr>
      <w:r>
        <w:rPr>
          <w:rFonts w:ascii="Arial" w:cs="Arial" w:eastAsia="Arial" w:hAnsi="Arial"/>
          <w:sz w:val="18"/>
          <w:szCs w:val="18"/>
          <w:b w:val="1"/>
          <w:bCs w:val="1"/>
          <w:i w:val="1"/>
          <w:iCs w:val="1"/>
          <w:color w:val="auto"/>
        </w:rPr>
        <w:t>Any unrealized losses we experience on our investment portfolio may be an indication of future realized losses, which could reduce our income available for distribution.</w:t>
      </w:r>
    </w:p>
    <w:p>
      <w:pPr>
        <w:spacing w:after="0" w:line="62"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As a BDC, we are required to carry our investments at fair value, which is derived from a market value or, if no market value is ascertainable or if market value does not reflect the fair value of such investment in the bona fide determination of our board of directors, then we would carry our investments at fair value, as determined in good faith by or under the direction of our board of directors. Decreases in the market values or fair values of our investments are recorded as unrealized depreciation or loss. Unrealized losses of any given portfolio company could be an indication of such company’s inability in the future to meet its repayment obligations to us.</w:t>
      </w:r>
    </w:p>
    <w:p>
      <w:pPr>
        <w:spacing w:after="0" w:line="188"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If the fair value of our portfolio companies reflects future realized losses, this would ultimately result in reductions of our income available for distribution in future periods and could materially harm our results of operations and cause a material decline in the value of our publicly traded common stock and 2025 Notes.</w:t>
      </w:r>
    </w:p>
    <w:p>
      <w:pPr>
        <w:spacing w:after="0" w:line="289" w:lineRule="exact"/>
        <w:rPr>
          <w:sz w:val="20"/>
          <w:szCs w:val="20"/>
          <w:color w:val="auto"/>
        </w:rPr>
      </w:pPr>
    </w:p>
    <w:p>
      <w:pPr>
        <w:ind w:right="500" w:firstLine="228"/>
        <w:spacing w:after="0" w:line="277" w:lineRule="auto"/>
        <w:rPr>
          <w:sz w:val="20"/>
          <w:szCs w:val="20"/>
          <w:color w:val="auto"/>
        </w:rPr>
      </w:pPr>
      <w:r>
        <w:rPr>
          <w:rFonts w:ascii="Arial" w:cs="Arial" w:eastAsia="Arial" w:hAnsi="Arial"/>
          <w:sz w:val="18"/>
          <w:szCs w:val="18"/>
          <w:b w:val="1"/>
          <w:bCs w:val="1"/>
          <w:i w:val="1"/>
          <w:iCs w:val="1"/>
          <w:color w:val="auto"/>
        </w:rPr>
        <w:t>Following periods of volatility in the market price of a company’s securities, securities class action litigation has often been brought against that company.</w:t>
      </w:r>
    </w:p>
    <w:p>
      <w:pPr>
        <w:spacing w:after="0" w:line="62"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If the trading price of our stock or 2025 Notes fluctuates significantly, we may be the target of securities litigation in the future. Securities litigation could result in substantial costs and divert management’s attention and resources from our business and cause a material adverse effect on our business, financial condition and results of operations.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borrowers may default on their payments, which may have a materially negative effect on our financial performance.</w:t>
      </w:r>
    </w:p>
    <w:p>
      <w:pPr>
        <w:spacing w:after="0" w:line="117" w:lineRule="exact"/>
        <w:rPr>
          <w:sz w:val="20"/>
          <w:szCs w:val="20"/>
          <w:color w:val="auto"/>
        </w:rPr>
      </w:pPr>
    </w:p>
    <w:p>
      <w:pPr>
        <w:ind w:right="200" w:firstLine="456"/>
        <w:spacing w:after="0" w:line="308" w:lineRule="auto"/>
        <w:rPr>
          <w:sz w:val="20"/>
          <w:szCs w:val="20"/>
          <w:color w:val="auto"/>
        </w:rPr>
      </w:pPr>
      <w:r>
        <w:rPr>
          <w:rFonts w:ascii="Arial" w:cs="Arial" w:eastAsia="Arial" w:hAnsi="Arial"/>
          <w:sz w:val="17"/>
          <w:szCs w:val="17"/>
          <w:color w:val="auto"/>
        </w:rPr>
        <w:t>Our primary business exposes us to credit risk, and the quality of our portfolio has a significant impact on our earnings. Credit risk is a component of our fair valuation of our portfolio companies. Negative credit events will lead to a decrease in the fair value of our portfolio companies.</w:t>
      </w:r>
    </w:p>
    <w:p>
      <w:pPr>
        <w:spacing w:after="0" w:line="147"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In addition, current market conditions have affected consumer confidence levels, which may harm the business of our portfolio companies and result in adverse changes in payment patterns. Increased delinquencies and default rates would negatively impact our results of operations. Deterioration in the quality of our credit portfolio could have a material adverse effect on our capital, financial condition and results of operations. If interest rates rise, some of our portfolio companies may not be able to pay the escalating interest on our loans and may default.</w:t>
      </w:r>
    </w:p>
    <w:p>
      <w:pPr>
        <w:spacing w:after="0" w:line="171"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We make long-term loans and debt investments, which may involve a high degree of repayment risk. We invest in companies that may have limited financial resources, may be highly leveraged and may be unable to obtain financing from traditional sources. Accordingly, a general economic downturn or severe tightening in the credit markets could materially impact the ability of our borrowers to repay their loans, which could significantly damage our business. Numerous other factors may affect a borrower’s ability to repay its loan, including the failure to meet its business plan or a downturn in its industry. A portfolio company’s failure to satisfy financial or operating covenants imposed by us or other lenders could lead to defaults and, potentially, termination of its loans or foreclosure on the secured assets. This could trigger cross-defaults under other agreements and jeopardize our portfolio company’s ability to meet its obligations under the loans or debt securities that we hold. In addition, our portfolio companies may have, or may be permitted to incur, other debt that ranks senior to or equally with our securities. This means that payments on such senior-ranking securities may have to be made before we receive any payments on our subordinated loans or debt securities. Deterioration in a borrower’s financial condition and prospects may be accompanied by deterioration in any related collateral and may have a material adverse effect on our financial condition and results of operations.</w:t>
      </w:r>
    </w:p>
    <w:p>
      <w:pPr>
        <w:spacing w:after="0" w:line="277" w:lineRule="exact"/>
        <w:rPr>
          <w:sz w:val="20"/>
          <w:szCs w:val="20"/>
          <w:color w:val="auto"/>
        </w:rPr>
      </w:pPr>
    </w:p>
    <w:p>
      <w:pPr>
        <w:ind w:right="240" w:firstLine="228"/>
        <w:spacing w:after="0" w:line="277" w:lineRule="auto"/>
        <w:rPr>
          <w:sz w:val="20"/>
          <w:szCs w:val="20"/>
          <w:color w:val="auto"/>
        </w:rPr>
      </w:pPr>
      <w:r>
        <w:rPr>
          <w:rFonts w:ascii="Arial" w:cs="Arial" w:eastAsia="Arial" w:hAnsi="Arial"/>
          <w:sz w:val="18"/>
          <w:szCs w:val="18"/>
          <w:b w:val="1"/>
          <w:bCs w:val="1"/>
          <w:i w:val="1"/>
          <w:iCs w:val="1"/>
          <w:color w:val="auto"/>
        </w:rPr>
        <w:t>We may in the future determine to fund a portion of our investments with preferred stock, which is another form of leverage and would magnify the potential for loss and the risks of investing in us.</w:t>
      </w:r>
    </w:p>
    <w:p>
      <w:pPr>
        <w:spacing w:after="0" w:line="6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Preferred stock, which is another form of leverage, has the same risks to our common stockholders as borrowings because the distributions on any preferred stock we issue must be cumulative. If we issue preferred securities they would rank “senior” to common stock in our capital structure. Payment of distributions on, and repayment of the liquidation preference of, such preferred stock would typically take preference over any distributions or other payments to our common stockholders. Also, preferred stockholders are not, typically, subject to any of our expenses or losses and are not entitled to participate in any income or appreciation in excess of their stated preference. Furthermore, preferred stockholders would have separate voting rights and may have rights, preferences or privileges more favorable than those of our common stockholders. Also, the issuance of preferred securities could have the adverse effect of delaying, deferring or preventing a transaction or a change of control that might involve a premium price for our common stockholders or otherwise be in your best interest.</w:t>
      </w:r>
    </w:p>
    <w:p>
      <w:pPr>
        <w:spacing w:after="0" w:line="300" w:lineRule="exact"/>
        <w:rPr>
          <w:sz w:val="20"/>
          <w:szCs w:val="20"/>
          <w:color w:val="auto"/>
        </w:rPr>
      </w:pPr>
    </w:p>
    <w:p>
      <w:pPr>
        <w:jc w:val="both"/>
        <w:ind w:right="400" w:firstLine="228"/>
        <w:spacing w:after="0" w:line="264" w:lineRule="auto"/>
        <w:rPr>
          <w:sz w:val="20"/>
          <w:szCs w:val="20"/>
          <w:color w:val="auto"/>
        </w:rPr>
      </w:pPr>
      <w:r>
        <w:rPr>
          <w:rFonts w:ascii="Arial" w:cs="Arial" w:eastAsia="Arial" w:hAnsi="Arial"/>
          <w:sz w:val="18"/>
          <w:szCs w:val="18"/>
          <w:b w:val="1"/>
          <w:bCs w:val="1"/>
          <w:i w:val="1"/>
          <w:iCs w:val="1"/>
          <w:color w:val="auto"/>
        </w:rPr>
        <w:t>We are dependent upon our Investment Adviser’s key personnel for our future success, and if our Investment Adviser is unable to hire and retain qualified personnel or if our Investment Adviser loses any member of its management team, our ability to achieve our investment objectives could be significantly harmed.</w:t>
      </w:r>
    </w:p>
    <w:p>
      <w:pPr>
        <w:spacing w:after="0" w:line="73" w:lineRule="exact"/>
        <w:rPr>
          <w:sz w:val="20"/>
          <w:szCs w:val="20"/>
          <w:color w:val="auto"/>
        </w:rPr>
      </w:pPr>
    </w:p>
    <w:p>
      <w:pPr>
        <w:jc w:val="both"/>
        <w:ind w:right="100" w:firstLine="456"/>
        <w:spacing w:after="0" w:line="312" w:lineRule="auto"/>
        <w:rPr>
          <w:sz w:val="20"/>
          <w:szCs w:val="20"/>
          <w:color w:val="auto"/>
        </w:rPr>
      </w:pPr>
      <w:r>
        <w:rPr>
          <w:rFonts w:ascii="Arial" w:cs="Arial" w:eastAsia="Arial" w:hAnsi="Arial"/>
          <w:sz w:val="16"/>
          <w:szCs w:val="16"/>
          <w:color w:val="auto"/>
        </w:rPr>
        <w:t>We depend on the diligence, skill and network of business contacts of the senior investment professionals of our Investment Adviser. We also depend, to a significant extent, on PennantPark Investment Advisers’ access to the investment information and deal flow generated by these investment professionals and any others that may be hired by PennantPark Investment Advisers. Subject to the overall supervision of our board of directors, the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managers of our Investment Adviser evaluate, negotiate, structure, close and monitor our investments. Our future success depends on the continued service of management personnel of our Investment Adviser. The departure of managers of PennantPark Investment Advisers could have a material adverse effect on our ability to achieve our investment objectives. In addition, we can offer no assurance that PennantPark Investment Advisers will remain our Investment Adviser. The Investment Adviser has the right, under the Investment Management Agreement, to resign at any time upon 60 days’ written notice, whether we have found a replacement or not.</w:t>
      </w:r>
    </w:p>
    <w:p>
      <w:pPr>
        <w:spacing w:after="0" w:line="18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If our Investment Management Agreement or Administration Agreement discussed above is terminated, our costs under new agreements that we enter into may increase. In addition, we will likely incur significant time and expense in locating alternative parties to provide the services we expect to receive under our Investment Management Agreement and Administration Agreement. Any new investment management agreement would also be subject to approval by our stockholders.</w:t>
      </w:r>
    </w:p>
    <w:p>
      <w:pPr>
        <w:spacing w:after="0" w:line="295" w:lineRule="exact"/>
        <w:rPr>
          <w:sz w:val="20"/>
          <w:szCs w:val="20"/>
          <w:color w:val="auto"/>
        </w:rPr>
      </w:pPr>
    </w:p>
    <w:p>
      <w:pPr>
        <w:ind w:right="260" w:firstLine="228"/>
        <w:spacing w:after="0" w:line="277" w:lineRule="auto"/>
        <w:rPr>
          <w:sz w:val="20"/>
          <w:szCs w:val="20"/>
          <w:color w:val="auto"/>
        </w:rPr>
      </w:pPr>
      <w:r>
        <w:rPr>
          <w:rFonts w:ascii="Arial" w:cs="Arial" w:eastAsia="Arial" w:hAnsi="Arial"/>
          <w:sz w:val="18"/>
          <w:szCs w:val="18"/>
          <w:b w:val="1"/>
          <w:bCs w:val="1"/>
          <w:i w:val="1"/>
          <w:iCs w:val="1"/>
          <w:color w:val="auto"/>
        </w:rPr>
        <w:t>We are highly dependent on information systems and systems failures could have a material adverse effect on our business, financial condition and results of operations.</w:t>
      </w:r>
    </w:p>
    <w:p>
      <w:pPr>
        <w:spacing w:after="0" w:line="62"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Our business depends on the communications and information systems of the Investment Adviser and the Administrator. Any failure or interruption of such systems could cause delays or other problems in our activities. This, in turn, could have a material adverse effect on our business, financial condition and results of operations.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financial condition and results of operation depend on our ability to manage future growth effectively.</w:t>
      </w:r>
    </w:p>
    <w:p>
      <w:pPr>
        <w:spacing w:after="0" w:line="225"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Our ability to achieve our investment objectives depends on our ability to grow, which depends, in turn, on our Investment Adviser’s ability to identify, invest in and monitor companies that meet our investment criteria. Accomplishing this result on a cost-effective basis is largely a function of our Investment Adviser’s structuring of the investment process, its ability to provide competent, attentive and efficient services to us and our access to financing on acceptable terms. The management team of PennantPark Investment Advisers has substantial responsibilities under our Investment Management Agreement. In order to grow, our Investment Adviser will need to hire, train, supervise and manage new employees. However, we can offer no assurance that any such employees will contribute effectively to the work of the Investment Adviser. We caution you that the principals of our Investment Adviser or Administrator may also be called upon to provide and currently do provide managerial assistance to portfolio companies and other investment vehicles, including other BDCs, which are managed by the Investment Adviser. Such demands on their time may distract them or slow our rate of investment. Any failure to manage our future growth effectively could have a material adverse effect on our business, financial condition and results of operations.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operate in a highly competitive market for investment opportunities.</w:t>
      </w:r>
    </w:p>
    <w:p>
      <w:pPr>
        <w:spacing w:after="0" w:line="11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A number of entities compete with us to make the types of investments that we make in middle-market companies. We compete with public and private funds, including other BDCs, commercial and investment banks, commercial financing companies, CLO funds and, to the extent they provide an alternative form of financing, private equity funds. Additionally, alternative investment vehicles, such as hedge funds, also invest in middle-market companies. As a result, competition for investment opportunities at middle-market companies can be intense. Many of our potential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We cannot assure you that the competitive pressures we face will not have a material adverse effect on our business, financial condition and results of operations. Also, as a result of this competition, we may not be able to take advantage of attractive investment opportunities from</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time to time, and we can offer no assurance that we will be able to identify and make investments that are consistent with our investment objectives.</w:t>
      </w:r>
    </w:p>
    <w:p>
      <w:pPr>
        <w:spacing w:after="0" w:line="237" w:lineRule="exact"/>
        <w:rPr>
          <w:sz w:val="20"/>
          <w:szCs w:val="20"/>
          <w:color w:val="auto"/>
        </w:rPr>
      </w:pPr>
    </w:p>
    <w:p>
      <w:pPr>
        <w:ind w:right="440" w:firstLine="456"/>
        <w:spacing w:after="0" w:line="257" w:lineRule="auto"/>
        <w:rPr>
          <w:sz w:val="20"/>
          <w:szCs w:val="20"/>
          <w:color w:val="auto"/>
        </w:rPr>
      </w:pPr>
      <w:r>
        <w:rPr>
          <w:rFonts w:ascii="Arial" w:cs="Arial" w:eastAsia="Arial" w:hAnsi="Arial"/>
          <w:sz w:val="18"/>
          <w:szCs w:val="18"/>
          <w:color w:val="auto"/>
        </w:rPr>
        <w:t>Participants in our industry compete on several factors, including price, flexibility in transaction structuring, customer service, reputation, market knowledge and speed in decision-making. We do not seek to compete primarily based on the interest rates we offer, and we believe that some of our competitors may make loans with interest rates that are lower than the rates we offer. We may lose investment opportunities if we do not match our competitors’ pricing, terms and structure. However, if we match our competitors’ pricing, terms and structure, we may experience decreased net interest income and increased risk of credit loss.</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We may not replicate the historical performance of other investment companies with which our investment professionals have been affiliated.</w:t>
      </w:r>
    </w:p>
    <w:p>
      <w:pPr>
        <w:spacing w:after="0" w:line="14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1940 Act imposes numerous constraints on the investment activities of BDCs. For example, BDCs are required to invest at least 70% of their total assets primarily in securities of U.S. private companies or thinly traded public companies (public companies with a market capitalization of less than $250 million), cash, cash equivalents, U.S. government securities and high-quality debt investments that mature in one year or less. These constraints may hinder the Investment Adviser’s ability to take advantage of attractive investment opportunities and to achieve our investment objectives. In addition, the investment philosophy and techniques used by the Investment Adviser may differ from those used by other investment companies advised by the Investment Adviser. Accordingly, we can offer no assurance that we will replicate the historical performance of other investment companies with which our investment professionals have been affiliated, and we caution that our investment returns could be substantially lower than the returns achieved by such other companies.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Any failure on our part to maintain our status as a business development company would reduce our operating flexibility.</w:t>
      </w:r>
    </w:p>
    <w:p>
      <w:pPr>
        <w:spacing w:after="0" w:line="117"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If we do not remain a BDC, we might be regulated as a closed-end investment company under the 1940 Act, which would subject us to substantially more regulatory restrictions under the 1940 Act and correspondingly decrease our operating flexibility, which could have a material adverse effect on our business, financial condition and results of operations.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Loss of RIC tax status would substantially reduce net assets and income available for debt service and distributions.</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have operated and continue to operate so as to maintain our election to be taxed as a RIC under Subchapter M of the Code. If we meet source of income, quarterly asset diversification, and distribution requirements, we generally will not be subject to corporate-level income taxation on income we timely distribute, or deem to distribute, to our stockholders as distributions. We would cease to qualify for such tax treatment if we were unable to comply with these requirements. In addition, we may have difficulty meeting the requirement to make distributions to our stockholders because in certain cases we may recognize income before or without receiving cash representing such income. If we fail to qualify as a RIC, we will have to pay corporate-level taxes on all of our income whether or not we distribute it, which would substantially reduce the amount of income available for debt service as well as reduce and/or affect the character and amount of our distributions to our stockholders. Even if we qualify as a RIC, we generally will be subject to an excise tax if we do not distribute an amount at least equal to the sum of (1) 98% of our net ordinary income (for the calendar year), plus (2) 98.2% of the sum of our net realized capital gains (during each 12-month period ending on October 31). We generally will be required to pay an excise tax on amounts carried over and distributed to stockholders in the next year equal to 4% of the undistributed amount.</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We may have difficulty paying our required distributions if we recognize income before or without receiving cash representing such income.</w:t>
      </w:r>
    </w:p>
    <w:p>
      <w:pPr>
        <w:spacing w:after="0" w:line="140"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For federal income tax purposes, we include in income certain amounts that we have not yet received in cash, such as original issue discount, or OID, and payment-in-kind, or PIK, interest, which represents interest added to the loan balance and due at the end of the loan term. OID, which could be significant relative to our overall investment assets, and increases in loan balances as a result of PIK interest will be included in income before we receive any corresponding cash payments. We also may be required to include in income certain other amounts that we will not receive in cash.</w:t>
      </w:r>
    </w:p>
    <w:p>
      <w:pPr>
        <w:spacing w:after="0" w:line="17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part of the incentive fee payable by us that relates to our net investment income is computed and paid on income that may include interest that has been accrued but not yet received in cash. If a portfolio company defaults on a loan that is structured to provide accrued interest, it is possible that accrued interest previously used in the calculation of the incentive fee will become uncollectible.</w:t>
      </w:r>
    </w:p>
    <w:p>
      <w:pPr>
        <w:spacing w:after="0" w:line="18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In some cases we may recognize income before or without receiving cash representing such income. As a result, we may have difficulty meeting the tax requirement to distribute at least 90% of the sum of our ordinary income and realized net short-term capital gains, if any, to obtain RIC tax benefits. Accordingly, we may have to sell some of our investments at times we would not consider advantageous, raise additional debt or equity capital or reduce new investment originations to meet these distribution requirements, which could have a material adverse effect on our business, financial condition and results of operations. If we are not able to obtain cash from other sources, we may fail to qualify for RIC tax benefits and thus be subject to corporate-level income tax.</w:t>
      </w:r>
    </w:p>
    <w:p>
      <w:pPr>
        <w:spacing w:after="0" w:line="266" w:lineRule="exact"/>
        <w:rPr>
          <w:sz w:val="20"/>
          <w:szCs w:val="20"/>
          <w:color w:val="auto"/>
        </w:rPr>
      </w:pPr>
    </w:p>
    <w:p>
      <w:pPr>
        <w:ind w:right="320" w:firstLine="228"/>
        <w:spacing w:after="0" w:line="375" w:lineRule="auto"/>
        <w:rPr>
          <w:sz w:val="20"/>
          <w:szCs w:val="20"/>
          <w:color w:val="auto"/>
        </w:rPr>
      </w:pPr>
      <w:r>
        <w:rPr>
          <w:rFonts w:ascii="Arial" w:cs="Arial" w:eastAsia="Arial" w:hAnsi="Arial"/>
          <w:sz w:val="15"/>
          <w:szCs w:val="15"/>
          <w:b w:val="1"/>
          <w:bCs w:val="1"/>
          <w:i w:val="1"/>
          <w:iCs w:val="1"/>
          <w:color w:val="auto"/>
        </w:rPr>
        <w:t>Because we intend to distribute substantially all of our income to our stockholders to maintain our status as a RIC, we will need to raise additional capital to finance our growth. If funds are not available to us, we may need to curtail new investments, and our common stock value could decline.</w:t>
      </w:r>
    </w:p>
    <w:p>
      <w:pPr>
        <w:spacing w:after="0" w:line="1"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In order to satisfy the requirements applicable to a RIC, we intend to distribute to our stockholders substantially all of our net ordinary income and net capital gains except for certain net long-term capital gains, some or all of which we may retain, pay applicable income taxes with respect thereto and elect to treat as deemed distributions to our stockholders. As a BDC, we generally are required to meet the asset coverage ratio of total assets to total senior securities, which includes all of our borrowings, exclusive of the SBA debentures pursuant to SEC exemptive relief, and any preferred stock we may issue in the future. This requirement limits the amount we may borrow. If the value of our assets declines, we may be unable to satisfy this test. If that happens, we may be required to sell a portion of our investments or sell additional common stock and, depending on the nature of our leverage, to repay a portion of our indebtedness at a time when such sales and repayments may be disadvantageous. In addition, the issuance of additional securities could dilute the percentage ownership of our current stockholders in us.</w:t>
      </w:r>
    </w:p>
    <w:p>
      <w:pPr>
        <w:spacing w:after="0" w:line="179"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We will be partially dependent on our SBIC Funds for cash distributions to enable us to meet the RIC distribution requirements. Our SBIC Funds may be limited by the SBA regulations governing SBICs from making certain distributions to us that may be necessary to maintain our status as a RIC. We may have to request a waiver of the SBA’s restrictions for our SBIC Funds to make certain distributions to maintain our RIC status. We cannot assure you that the SBA will grant such waiver, and if our SBIC Funds are unable to obtain a waiver, compliance with the SBA regulations may result in a corporate-level income tax on us.</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Regulations governing our operation as a business development company will affect our ability to, and the way in which we, raise additional capital.</w:t>
      </w:r>
    </w:p>
    <w:p>
      <w:pPr>
        <w:spacing w:after="0" w:line="152"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Our business requires a substantial amount of capital. We may acquire additional capital from the issuance of additional senior securities or other indebtedness, the issuance of additional shares of our common stock, the issuance of warrants or subscription rights to purchase certain of our securities, or from securitization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transactions or through SBA debentures. However, we may not be able to raise additional capital in the future on favorable terms or at all. We may issue additional debt securities or preferred securities, which we refer to collectively as “senior securities,” and we may borrow money from banks, through the SBA debenture program or other financial institutions, up to the maximum amount permitted by the 1940 Act. The 1940 Act permits us to issue senior securities or incur indebtedness only in amounts permissible under the asset coverage definition in the 1940 Act, exclusive of the SBA debentures pursuant to our SEC exemptive relief. Our ability to pay distributions or issue additional senior securities would be restricted if our asset coverage requirements were not met. If the value of our assets declines, we may be unable to satisfy this test. If that happens, we may be required to liquidate a portion of our investments and repay a portion of our indebtedness at a time when such sales may be disadvantageous, which could materially damage our business.</w:t>
      </w:r>
    </w:p>
    <w:p>
      <w:pPr>
        <w:spacing w:after="0" w:line="194" w:lineRule="exact"/>
        <w:rPr>
          <w:sz w:val="20"/>
          <w:szCs w:val="20"/>
          <w:color w:val="auto"/>
        </w:rPr>
      </w:pPr>
    </w:p>
    <w:p>
      <w:pPr>
        <w:ind w:left="900" w:hanging="325"/>
        <w:spacing w:after="0" w:line="273" w:lineRule="auto"/>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Senior Securities. </w:t>
      </w:r>
      <w:r>
        <w:rPr>
          <w:rFonts w:ascii="Arial" w:cs="Arial" w:eastAsia="Arial" w:hAnsi="Arial"/>
          <w:sz w:val="17"/>
          <w:szCs w:val="17"/>
          <w:color w:val="auto"/>
        </w:rPr>
        <w:t>As a result of issuing senior securities, we are exposed to typical risks associated with leverage, including an increased risk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loss. If we issue preferred securities, they would rank “senior” to common stock in our capital structure. Preferred stockholders would have separate voting rights and may have rights, preferences or privileges more favorable than those of holders of our common stock. Furthermore, the issuance of preferred securities could have the adverse effect of delaying, deferring or preventing a transaction or a change of control that might involve a premium price for our common stockholders or otherwise be in your best interest. Our senior securities may include conversion features that cause them to bear risks more closely associated with an investment in our common stock.</w:t>
      </w:r>
    </w:p>
    <w:p>
      <w:pPr>
        <w:spacing w:after="0" w:line="205" w:lineRule="exact"/>
        <w:rPr>
          <w:rFonts w:ascii="Arial" w:cs="Arial" w:eastAsia="Arial" w:hAnsi="Arial"/>
          <w:sz w:val="17"/>
          <w:szCs w:val="17"/>
          <w:color w:val="auto"/>
        </w:rPr>
      </w:pPr>
    </w:p>
    <w:p>
      <w:pPr>
        <w:ind w:left="900" w:hanging="325"/>
        <w:spacing w:after="0" w:line="286"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Additional Common Stock. </w:t>
      </w:r>
      <w:r>
        <w:rPr>
          <w:rFonts w:ascii="Arial" w:cs="Arial" w:eastAsia="Arial" w:hAnsi="Arial"/>
          <w:sz w:val="16"/>
          <w:szCs w:val="16"/>
          <w:color w:val="auto"/>
        </w:rPr>
        <w:t>Our board of directors may decide to issue common stock to finance our operations rather than issuing debt or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senior securities. As a BDC, we are generally not able to issue our common stock at a price below NAV per share without first obtaining certain approvals from our stockholders and our board of directors. Also, subject to the requirements of the 1940 Act, we may issue rights to acquire our common stock at a price below the current NAV per share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such rights represents no more than one-third of our outstanding common stock at the time such rights are issued. In addition, we note that for us to file a post-effective amendment to a registration statement on Form N-2, we must then be qualified to register our securities under the requirements of Form S-3. We may actually issue shares above or below a future NAV. If we raise additional funds by issuing more common stock or warrants or senior securities convertible into, or exchangeable for, our common stock, the percentage ownership of our common stockholders at that time would decrease, and our common stockholders would experience voting dilution.</w:t>
      </w:r>
    </w:p>
    <w:p>
      <w:pPr>
        <w:spacing w:after="0" w:line="201" w:lineRule="exact"/>
        <w:rPr>
          <w:rFonts w:ascii="Arial" w:cs="Arial" w:eastAsia="Arial" w:hAnsi="Arial"/>
          <w:sz w:val="16"/>
          <w:szCs w:val="16"/>
          <w:color w:val="auto"/>
        </w:rPr>
      </w:pPr>
    </w:p>
    <w:p>
      <w:pPr>
        <w:ind w:left="900" w:right="20" w:hanging="325"/>
        <w:spacing w:after="0" w:line="290"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Securitization. </w:t>
      </w:r>
      <w:r>
        <w:rPr>
          <w:rFonts w:ascii="Arial" w:cs="Arial" w:eastAsia="Arial" w:hAnsi="Arial"/>
          <w:sz w:val="16"/>
          <w:szCs w:val="16"/>
          <w:color w:val="auto"/>
        </w:rPr>
        <w:t>In addition to issuing securities to raise capital as described above, we anticipate that in the future, as market conditions permit,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may securitize our loans to generate cash for funding new investments. To securitize loans, we may create a wholly-owned subsidiary, contribute a pool of loans to the subsidiary and have the subsidiary issue primarily investment grade debt securities to purchasers who we would expect to be willing to accept a substantially lower interest rate than the loans earn. Even though we expect the pool of loans that we contribute to any such securitization vehicle to be rated below investment grade, because the securitization vehicle’s portfolio of loans would secure all of the debt issued by such vehicle, a portion of such debt may be rated investment grade, subject in each case to market conditions that may require such portion of the debt to be over collateralized and various other restrictions. If applicable accounting pronouncements or SEC staff guidance require us to consolidate the securitization vehicle’s financial statements with our financial statements, any debt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40"/>
        <w:spacing w:after="0" w:line="289" w:lineRule="auto"/>
        <w:rPr>
          <w:sz w:val="20"/>
          <w:szCs w:val="20"/>
          <w:color w:val="auto"/>
        </w:rPr>
      </w:pPr>
      <w:r>
        <w:rPr>
          <w:rFonts w:ascii="Arial" w:cs="Arial" w:eastAsia="Arial" w:hAnsi="Arial"/>
          <w:sz w:val="16"/>
          <w:szCs w:val="16"/>
          <w:color w:val="auto"/>
        </w:rPr>
        <w:t>issued by it would be generally treated as if it were issued by us for purposes of the asset coverage ratio applicable to us. In such case, we would expect to retain all or a portion of the equity and/or subordinated notes in the securitization vehicle. Our retained equity would be exposed to any losses on the portfolio of loans before any of the debt securities would be exposed to such losses. Accordingly, if the pool of loans experienced a low level of losses due to defaults, we would earn an incremental amount of income on our retained equity but we would be exposed, up to the amount of equity we retained, to that proportion of any losses we would have experienced if we had continued to hold the loans in our portfolio. We may hold subordinated debentures in any such securitization vehicle and, if so, we would not consider such securities to be senior securities. An inability to successfully securitize our loan portfolio could limit our ability to grow our business and fully execute our business strategy and adversely affect our earnings, if any. Moreover, the successful securitization of a portion of our loan portfolio might expose us to losses as the residual loans in which we do not sell interests will tend to be those that are riskier and less liquid.</w:t>
      </w:r>
    </w:p>
    <w:p>
      <w:pPr>
        <w:spacing w:after="0" w:line="194" w:lineRule="exact"/>
        <w:rPr>
          <w:sz w:val="20"/>
          <w:szCs w:val="20"/>
          <w:color w:val="auto"/>
        </w:rPr>
      </w:pPr>
    </w:p>
    <w:p>
      <w:pPr>
        <w:ind w:left="900" w:hanging="325"/>
        <w:spacing w:after="0" w:line="25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SBA Debentures. </w:t>
      </w:r>
      <w:r>
        <w:rPr>
          <w:rFonts w:ascii="Arial" w:cs="Arial" w:eastAsia="Arial" w:hAnsi="Arial"/>
          <w:sz w:val="18"/>
          <w:szCs w:val="18"/>
          <w:color w:val="auto"/>
        </w:rPr>
        <w:t>In addition to issuing securities and using securitizations to raise capital as described above, we have issued and may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future issue, as permitted under SBA regulations and through our wholly owned subsidiaries, SBIC LP, SBIC II and any future SBIC subsidiary, SBA debentures to generate cash for funding new investments. To issue SBA debentures, we may request commitments for debt capital from the SBA. SBIC LP is and in the future SBIC II or any future SBIC subsidiary would be exposed to any losses on its portfolio of loans, however, such debentures are non-recourse to us.</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SBIC Funds may be unable to make distributions to us that will enable us to meet or maintain RIC status.</w:t>
      </w:r>
    </w:p>
    <w:p>
      <w:pPr>
        <w:spacing w:after="0" w:line="11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In order for us to continue to qualify for RIC tax treatment and to minimize corporate-level income taxes, we will be required to distribute substantially all of our consolidated net ordinary income and net capital gains, including income from our SBIC Funds. We will be partially dependent on our SBIC Funds for cash distributions to enable us to meet the RIC distribution requirements. Our SBIC Funds may be limited by SBA regulations governing SBICs from making certain distributions to us that may be necessary to maintain our status as a RIC. We may have to request a waiver of the SBA’s restrictions for our SBIC Funds to make certain distributions to maintain our RIC status. We cannot assure you that the SBA will grant such waiver and if our SBIC Funds are unable to obtain a waiver, compliance with the SBA regulations may result in corporate level income tax on us.</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SBIC Funds are licensed by the SBA and are subject to SBA regulations.</w:t>
      </w:r>
    </w:p>
    <w:p>
      <w:pPr>
        <w:spacing w:after="0" w:line="117"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Our wholly owned subsidiaries, SBIC LP and SBIC II, received licenses to operate as SBICs under the 1958 Act and are regulated by the SBA. The SBA places certain limitations on the financing terms of investments by SBICs in portfolio companies and regulates the types of financings and prohibits investing in certain industries. Compliance with SBIC requirements may cause our SBIC Funds to invest at less competitive rates in order to qualify investments under the SBA regulations.</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Further, SBA regulations require that a licensed SBIC be periodically examined and audited by the SBA to determine its compliance with the relevant regulations. If our SBIC Funds fail to comply with applicable regulations, the SBA could, depending on the severity of the violation, limit or prohibit their use of debentures, declare outstanding debentures immediately due and payable, and/or limit them from making new investments. In addition, the SBA could revoke or suspend our SBIC Funds’ licenses for willful or repeated violation of, or willful or repeated failure to observe, any provision of the 1958 Act or any rule or regulation promulgated thereunder. These actions by the SBA would, in turn, negatively affect us because our SBIC Funds are our wholly owned subsidiaries.</w:t>
      </w:r>
    </w:p>
    <w:p>
      <w:pPr>
        <w:spacing w:after="0" w:line="193"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SBA-guaranteed debentures are non-recourse to us, have a 10-year maturity, and may be prepaid at any time without penalty. The interest rate of SBA-guaranteed debentures is fixed at the time of issuance at a market-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driven spread over 10-year U.S. Treasury Notes. Leverage through SBA-guaranteed debentures is subject to required capitalization thresholds. SBA current regulations limit the amount that our SBIC Funds may borrow to a maximum of $150 million for any one SBIC, which is up to twice its regulatory capital, and a maximum of $225 million as part of a group of SBICs under common control.</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currently use borrowed funds to make investments and are exposed to the typical risks associated with leverage.</w:t>
      </w:r>
    </w:p>
    <w:p>
      <w:pPr>
        <w:spacing w:after="0" w:line="117"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Because we borrow funds to make investments we are exposed to increased risk of loss due to our use of debt to make investments. A decrease in the value of our investments will have a greater negative impact on the NAV attributable to our common stock than it would if we did not use debt. Our ability to pay distributions is restricted when our asset coverage ratio is not met, exclusive of the SBA debentures pursuant to SEC exemptive relief, and any amounts that we use to service our indebtedness are not available for distribution to our common stockholders.</w:t>
      </w:r>
    </w:p>
    <w:p>
      <w:pPr>
        <w:spacing w:after="0" w:line="171"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Our current debt is governed by the terms of our 2025 Notes, Credit Facility or the SBA debentures and may in the future be governed by an indenture or other instrument containing covenants restricting our operating flexibility. We, and indirectly our stockholders, bear the cost of issuing and servicing debt. Any convertible or exchangeable securities that we issue in the future may have rights, preferences and privileges more favorable than those of our common stock.</w:t>
      </w:r>
    </w:p>
    <w:p>
      <w:pPr>
        <w:spacing w:after="0" w:line="18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Additionally, our subsidiary, SBIC LP, has received borrowed funds and SBIC II may in the future receive funds from the SBA through its debenture program. In connection with the filing of its initial SBA license application, PennantPark Investment received exemptive relief, in June 2011, from the SEC to permit us to exclude the debt of our SBIC Funds from our consolidated asset coverage ratio. Our ratio of total assets on a consolidated basis to outstanding indebtedness may be less than the applicable asset coverage ratio, which while providing increased investment flexibility, would also increase our exposure to risks associated with leverage.</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If we incur additional debt, it could increase the risk of investing in our shares.</w:t>
      </w:r>
    </w:p>
    <w:p>
      <w:pPr>
        <w:spacing w:after="0" w:line="117"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We have indebtedness outstanding pursuant to our 2025 Notes, Credit Facility and SBA debentures and expect in the future to borrow additional amounts under our Credit Facility or other debt securities, subject to market availability, and, may increase the size of our Credit Facility. We cannot assure you that our leverage will remain in this range. The amount of leverage that we employ will depend upon our assessment of the market and other factors at the time of any proposed borrowing. Lenders have fixed dollar claims on our assets that are superior to the claims of our common stockholders or preferred stockholders, if any, and we have granted a security interest in our assets, excluding those of our SBIC Funds, in connection with our Credit Facility borrowings. In the case of a liquidation event, those lenders would receive proceeds before our stockholders. Additionally, the SBA, as a lender and an administrative agent, has a superior claim over the assets of our SBIC Funds in relation to our other creditors. Any future debt issuance will increase our leverage and may be subordinate to our Credit Facility and SBA debentures. In addition, borrowings or debt issuances and SBA debentures, also known as leverage, magnify the potential for gain or loss on amounts invested and, therefore, increase the risks associated with investing in our securities. Leverage is generally considered a speculative investment technique. If the value of our assets decreases, then leveraging would cause the NAV attributable to our common stock to decline more than it otherwise would have had we not utilized leverage. Similarly, any decrease in our revenue would cause our net income to decline more than it would have had we not borrowed funds and could negatively affect our ability to make distributions on our common or preferred stock. Our ability to service any debt that we incur depends largely on our financial performance and is subject to prevailing economic conditions and competitive pressures.</w:t>
      </w:r>
    </w:p>
    <w:p>
      <w:pPr>
        <w:spacing w:after="0" w:line="18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As of September 30, 2013, we had outstanding borrowings of $145.5 million under our Credit Facility, $71.3 million outstanding under our 2025 Notes and $150.0 million outstanding under the SBA debentures. Our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consolidated debt outstanding was $366.8 million and had a weighted average annual interest rate at the time of 4.05% exclusive of the fee on undrawn commitment on our Credit Facility of 0.50% and 3.43% of upfront fees on the SBA debentures. Accordingly, to cover the annual interest on our borrowings outstanding at September 30, 2013, at the then current rate, we would have to receive an annual yield of at least 1.39%. This example is for illustrative purposes only, and actual interest rates on our Credit Facility or any future borrowings are likely to fluctuate. The costs associated with our borrowings, including any increase in the management fee or incentive fee payable to our Investment Adviser, are and will be borne by our common stockholders.</w:t>
      </w:r>
    </w:p>
    <w:p>
      <w:pPr>
        <w:spacing w:after="0" w:line="15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following table is designed to illustrate the effect on return to a holder of our common stock of the leverage created by our use of borrowing at September 30, 2013 of 32% of total assets (including such borrowed funds), at a weighted average rate at the time of 4.05%, and assumes hypothetical annual returns on our portfolio of minus 10 to plus 10 percent. The table also assumes that we will maintain a constant level and weighted average rate of leverage. The amount of leverage and cost of borrowings that we use will vary from time to time. As can be seen, leverage generally increases the return to stockholders when the portfolio return is positive and decreases return when the portfolio return is negative. Actual returns may be greater or less than those appearing in the table.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Assumed return on portfolio (net of expenses)</w:t>
            </w:r>
            <w:r>
              <w:rPr>
                <w:rFonts w:ascii="Arial" w:cs="Arial" w:eastAsia="Arial" w:hAnsi="Arial"/>
                <w:sz w:val="15"/>
                <w:szCs w:val="15"/>
                <w:color w:val="auto"/>
              </w:rPr>
              <w:t>(1)</w:t>
            </w:r>
          </w:p>
        </w:tc>
        <w:tc>
          <w:tcPr>
            <w:tcW w:w="22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(10.0)%</w:t>
            </w:r>
          </w:p>
        </w:tc>
        <w:tc>
          <w:tcPr>
            <w:tcW w:w="12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(5.0)%</w:t>
            </w:r>
          </w:p>
        </w:tc>
        <w:tc>
          <w:tcPr>
            <w:tcW w:w="1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5.0%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84"/>
        </w:trPr>
        <w:tc>
          <w:tcPr>
            <w:tcW w:w="4860" w:type="dxa"/>
            <w:vAlign w:val="bottom"/>
          </w:tcPr>
          <w:p>
            <w:pPr>
              <w:spacing w:after="0"/>
              <w:rPr>
                <w:sz w:val="20"/>
                <w:szCs w:val="20"/>
                <w:color w:val="auto"/>
              </w:rPr>
            </w:pPr>
            <w:r>
              <w:rPr>
                <w:rFonts w:ascii="Arial" w:cs="Arial" w:eastAsia="Arial" w:hAnsi="Arial"/>
                <w:sz w:val="18"/>
                <w:szCs w:val="18"/>
                <w:color w:val="auto"/>
              </w:rPr>
              <w:t>Corresponding return to common stockholders</w:t>
            </w:r>
            <w:r>
              <w:rPr>
                <w:rFonts w:ascii="Arial" w:cs="Arial" w:eastAsia="Arial" w:hAnsi="Arial"/>
                <w:sz w:val="15"/>
                <w:szCs w:val="15"/>
                <w:color w:val="auto"/>
              </w:rPr>
              <w:t>(2)</w:t>
            </w:r>
          </w:p>
        </w:tc>
        <w:tc>
          <w:tcPr>
            <w:tcW w:w="2220" w:type="dxa"/>
            <w:vAlign w:val="bottom"/>
          </w:tcPr>
          <w:p>
            <w:pPr>
              <w:jc w:val="right"/>
              <w:ind w:right="230"/>
              <w:spacing w:after="0"/>
              <w:rPr>
                <w:sz w:val="20"/>
                <w:szCs w:val="20"/>
                <w:color w:val="auto"/>
              </w:rPr>
            </w:pPr>
            <w:r>
              <w:rPr>
                <w:rFonts w:ascii="Arial" w:cs="Arial" w:eastAsia="Arial" w:hAnsi="Arial"/>
                <w:sz w:val="18"/>
                <w:szCs w:val="18"/>
                <w:color w:val="auto"/>
              </w:rPr>
              <w:t>(18.7)%</w:t>
            </w: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(10.4)%</w:t>
            </w:r>
          </w:p>
        </w:tc>
        <w:tc>
          <w:tcPr>
            <w:tcW w:w="1140" w:type="dxa"/>
            <w:vAlign w:val="bottom"/>
          </w:tcPr>
          <w:p>
            <w:pPr>
              <w:ind w:left="320"/>
              <w:spacing w:after="0"/>
              <w:rPr>
                <w:sz w:val="20"/>
                <w:szCs w:val="20"/>
                <w:color w:val="auto"/>
              </w:rPr>
            </w:pPr>
            <w:r>
              <w:rPr>
                <w:rFonts w:ascii="Arial" w:cs="Arial" w:eastAsia="Arial" w:hAnsi="Arial"/>
                <w:sz w:val="18"/>
                <w:szCs w:val="18"/>
                <w:color w:val="auto"/>
              </w:rPr>
              <w:t>(2.1)%</w:t>
            </w: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6.2%</w:t>
            </w:r>
          </w:p>
        </w:tc>
        <w:tc>
          <w:tcPr>
            <w:tcW w:w="900" w:type="dxa"/>
            <w:vAlign w:val="bottom"/>
          </w:tcPr>
          <w:p>
            <w:pPr>
              <w:jc w:val="right"/>
              <w:spacing w:after="0"/>
              <w:rPr>
                <w:sz w:val="20"/>
                <w:szCs w:val="20"/>
                <w:color w:val="auto"/>
              </w:rPr>
            </w:pPr>
            <w:r>
              <w:rPr>
                <w:rFonts w:ascii="Arial" w:cs="Arial" w:eastAsia="Arial" w:hAnsi="Arial"/>
                <w:sz w:val="18"/>
                <w:szCs w:val="18"/>
                <w:color w:val="auto"/>
              </w:rPr>
              <w:t>14.4%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960" w:hanging="452"/>
        <w:spacing w:after="0" w:line="258"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assumed portfolio return is required by regulation of the SEC and is not a prediction of, and does not represent, our projected or actual performance.</w:t>
      </w:r>
    </w:p>
    <w:p>
      <w:pPr>
        <w:spacing w:after="0" w:line="1" w:lineRule="exact"/>
        <w:rPr>
          <w:rFonts w:ascii="Arial" w:cs="Arial" w:eastAsia="Arial" w:hAnsi="Arial"/>
          <w:sz w:val="18"/>
          <w:szCs w:val="18"/>
          <w:color w:val="auto"/>
        </w:rPr>
      </w:pPr>
    </w:p>
    <w:p>
      <w:pPr>
        <w:ind w:left="460" w:right="20" w:hanging="452"/>
        <w:spacing w:after="0" w:line="273" w:lineRule="auto"/>
        <w:tabs>
          <w:tab w:leader="none" w:pos="4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 order to compute the “corresponding return to common stockholders,” the “assumed return on portfolio” is multiplied by the total value of our assets at the beginning of the period to obtain an assumed return to us. From this amount, all interest expense expected to be accrued during the period is subtracted to determine the return available to stockholders. The return available to stockholders is then divided by the total value of our net assets as of the beginning of the period to determine the “corresponding return to common stockholders.”</w:t>
      </w:r>
    </w:p>
    <w:p>
      <w:pPr>
        <w:spacing w:after="0" w:line="28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are exposed to risks associated with changes in interest rates that may affect our cost of capital and net investment income.</w:t>
      </w:r>
    </w:p>
    <w:p>
      <w:pPr>
        <w:spacing w:after="0" w:line="117" w:lineRule="exact"/>
        <w:rPr>
          <w:sz w:val="20"/>
          <w:szCs w:val="20"/>
          <w:color w:val="auto"/>
        </w:rPr>
      </w:pPr>
    </w:p>
    <w:p>
      <w:pPr>
        <w:ind w:right="60" w:firstLine="456"/>
        <w:spacing w:after="0" w:line="269" w:lineRule="auto"/>
        <w:rPr>
          <w:sz w:val="20"/>
          <w:szCs w:val="20"/>
          <w:color w:val="auto"/>
        </w:rPr>
      </w:pPr>
      <w:r>
        <w:rPr>
          <w:rFonts w:ascii="Arial" w:cs="Arial" w:eastAsia="Arial" w:hAnsi="Arial"/>
          <w:sz w:val="17"/>
          <w:szCs w:val="17"/>
          <w:color w:val="auto"/>
        </w:rPr>
        <w:t>Since we borrow money to make investments, our net investment income depends, in part, upon the difference between the rate at which we borrow funds and the rate at which we invest those funds. As a result, we can offer no assurance that a significant change in market interest rates will not have a material adverse effect on our net investment income. In the period from June 2007, when we executed our original Credit Facility, through September 2013, the applicable London Interbank Offered Rate, or LIBOR, rate decreased from 5.3% to 0.2%. In periods of rising interest rates, our cost of funds will increase, which could reduce our net investment income. We may use interest rate risk management techniques, such as total return swaps and interest rate swaps, in an effort to limit our exposure to interest rate fluctuations. These techniques may include various interest rate hedging activities to the extent permitted by the 1940 Act and applicable commodities laws. These activities may limit our ability to participate in the benefits of lower interest rates with respect to the hedged portfolio. Adverse developments resulting from changes in interest rates or hedging transactions could have a material adverse effect on our business, financial condition and results of operations. Also, we have limited experience in entering into hedging transactions, and we will initially have to purchase or develop such expertise. See “Management’s Discussion and Analysis of Financial Condition and Results of Operations—Quantitative and Qualitative Disclosures about Market Risk” for more information.</w:t>
      </w:r>
    </w:p>
    <w:p>
      <w:pPr>
        <w:spacing w:after="0" w:line="183"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A rise in the general level of interest rates can be expected to lead to higher interest rates applicable to our debt investments. Accordingly, an increase in interest rates would make it easier for us to meet or exceed the incentive fee hurdle and may result in a substantial increase of the amount of incentive fees payable to our Investment Adviser with respect to Pre-Incentive Fee Net Investment Income (as defined below).</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General interest rate fluctuations may have a substantial negative impact on our investments, the value of our common stock and our rate of return on invested capital. A reduction in the interest rates on new investments relative to interest rates on current investments could also have an adverse impact on our net interest income. An increase in interest rates could decrease the value of any investments we hold which earn fixed interest rates and also could increase our interest expense, thereby decreasing our net income. Also, an increase in interest rates available to investors could make investment in our common stock less attractive if we are not able to increase our dividend rate, which could reduce the value of our common stock.</w:t>
      </w:r>
    </w:p>
    <w:p>
      <w:pPr>
        <w:spacing w:after="0" w:line="266" w:lineRule="exact"/>
        <w:rPr>
          <w:sz w:val="20"/>
          <w:szCs w:val="20"/>
          <w:color w:val="auto"/>
        </w:rPr>
      </w:pPr>
    </w:p>
    <w:p>
      <w:pPr>
        <w:ind w:right="100" w:firstLine="228"/>
        <w:spacing w:after="0" w:line="277" w:lineRule="auto"/>
        <w:rPr>
          <w:sz w:val="20"/>
          <w:szCs w:val="20"/>
          <w:color w:val="auto"/>
        </w:rPr>
      </w:pPr>
      <w:r>
        <w:rPr>
          <w:rFonts w:ascii="Arial" w:cs="Arial" w:eastAsia="Arial" w:hAnsi="Arial"/>
          <w:sz w:val="18"/>
          <w:szCs w:val="18"/>
          <w:b w:val="1"/>
          <w:bCs w:val="1"/>
          <w:i w:val="1"/>
          <w:iCs w:val="1"/>
          <w:color w:val="auto"/>
        </w:rPr>
        <w:t>We have and may in the future determine to fund a portion of our investments with debt securities, which would magnify the potential for loss and the risks of investing in us.</w:t>
      </w:r>
    </w:p>
    <w:p>
      <w:pPr>
        <w:spacing w:after="0" w:line="6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As a result of the issuance of the 2025 Notes and SBA debentures, we are exposed to typical risks associated with leverage, including an increased risk of loss and an increase in expenses, which are ultimately borne by our common stockholders. Payment of interest on such debt securities must take preference over any other distributions or other payments to our common stockholders. If we issue additional debt securities in the future, it is likely that such securities will be governed by an indenture or other instrument containing covenants restricting our operating flexibility. In addition, such securities may be rated by rating agencies, and in obtaining a rating for such securities, we may be required to abide by operating and investment guidelines that could further restrict our operating flexibility. Furthermore, any amounts that we use to service our indebtedness are not available for the payment of distributions to our common stockholders.</w:t>
      </w:r>
    </w:p>
    <w:p>
      <w:pPr>
        <w:spacing w:after="0" w:line="2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credit ratings may not reflect all risks of an investment in our debt securities.</w:t>
      </w:r>
    </w:p>
    <w:p>
      <w:pPr>
        <w:spacing w:after="0" w:line="117" w:lineRule="exact"/>
        <w:rPr>
          <w:sz w:val="20"/>
          <w:szCs w:val="20"/>
          <w:color w:val="auto"/>
        </w:rPr>
      </w:pPr>
    </w:p>
    <w:p>
      <w:pPr>
        <w:jc w:val="both"/>
        <w:ind w:right="340" w:firstLine="456"/>
        <w:spacing w:after="0" w:line="312" w:lineRule="auto"/>
        <w:rPr>
          <w:sz w:val="20"/>
          <w:szCs w:val="20"/>
          <w:color w:val="auto"/>
        </w:rPr>
      </w:pPr>
      <w:r>
        <w:rPr>
          <w:rFonts w:ascii="Arial" w:cs="Arial" w:eastAsia="Arial" w:hAnsi="Arial"/>
          <w:sz w:val="16"/>
          <w:szCs w:val="16"/>
          <w:color w:val="auto"/>
        </w:rPr>
        <w:t>Our credit ratings, if any, are an assessment of our ability to pay our obligations. Consequently, real or anticipated changes in our credit ratings will generally affect the market value of our publicly issued debt securities. Our credit ratings, however, may not reflect the potential impact of risks related to market conditions generally or other factors discussed above on the market value of, or trading market for, any publicly issued debt securities.</w:t>
      </w:r>
    </w:p>
    <w:p>
      <w:pPr>
        <w:spacing w:after="0" w:line="255" w:lineRule="exact"/>
        <w:rPr>
          <w:sz w:val="20"/>
          <w:szCs w:val="20"/>
          <w:color w:val="auto"/>
        </w:rPr>
      </w:pPr>
    </w:p>
    <w:p>
      <w:pPr>
        <w:ind w:right="60" w:firstLine="228"/>
        <w:spacing w:after="0" w:line="277" w:lineRule="auto"/>
        <w:rPr>
          <w:sz w:val="20"/>
          <w:szCs w:val="20"/>
          <w:color w:val="auto"/>
        </w:rPr>
      </w:pPr>
      <w:r>
        <w:rPr>
          <w:rFonts w:ascii="Arial" w:cs="Arial" w:eastAsia="Arial" w:hAnsi="Arial"/>
          <w:sz w:val="18"/>
          <w:szCs w:val="18"/>
          <w:b w:val="1"/>
          <w:bCs w:val="1"/>
          <w:i w:val="1"/>
          <w:iCs w:val="1"/>
          <w:color w:val="auto"/>
        </w:rPr>
        <w:t>Market conditions may make it difficult to extend the maturity of or refinance our existing indebtedness and any failure to do so could have a material adverse effect on our business.</w:t>
      </w:r>
    </w:p>
    <w:p>
      <w:pPr>
        <w:spacing w:after="0" w:line="6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Credit Facility expires in February 2016. We utilize the Credit Facility to make investments in our portfolio companies. The life of our investments typically exceeds the duration of our indebtedness under our Credit Facility. This means that we will have to extend the maturity of our Credit Facility or refinance our indebtedness under our Credit Facility in order to avoid selling investments at a time when such sales may be at prices that are disadvantageous to us, which could materially damage our business. In addition, future market conditions may affect our ability to renew or refinance our Credit Facility on terms as favorable as those in our existing Credit Facility. If we fail to extend or refinance the indebtedness outstanding under our Credit Facility by the time it becomes due and payable, the administrative agent of the Credit Facility may elect to exercise various remedies, including the sale of all or a portion of the collateral securing the Credit Facility, subject to certain restrictions, any of which could have a material adverse effect on our business, financial condition and results of operations. The illiquidity of our investments may make it difficult for us to sell such investments. If we are required to sell our investments on short-term notice, we may not receive the value that we have recorded for such investments, and this could materially affect our results of operations.</w:t>
      </w:r>
    </w:p>
    <w:p>
      <w:pPr>
        <w:spacing w:after="0" w:line="275" w:lineRule="exact"/>
        <w:rPr>
          <w:sz w:val="20"/>
          <w:szCs w:val="20"/>
          <w:color w:val="auto"/>
        </w:rPr>
      </w:pPr>
    </w:p>
    <w:p>
      <w:pPr>
        <w:ind w:right="400" w:firstLine="228"/>
        <w:spacing w:after="0" w:line="277" w:lineRule="auto"/>
        <w:rPr>
          <w:sz w:val="20"/>
          <w:szCs w:val="20"/>
          <w:color w:val="auto"/>
        </w:rPr>
      </w:pPr>
      <w:r>
        <w:rPr>
          <w:rFonts w:ascii="Arial" w:cs="Arial" w:eastAsia="Arial" w:hAnsi="Arial"/>
          <w:sz w:val="18"/>
          <w:szCs w:val="18"/>
          <w:b w:val="1"/>
          <w:bCs w:val="1"/>
          <w:i w:val="1"/>
          <w:iCs w:val="1"/>
          <w:color w:val="auto"/>
        </w:rPr>
        <w:t>If we issue preferred stock, debt securities, convertible debt securities or units, the NAV and market value of our common stock may become more volatile.</w:t>
      </w:r>
    </w:p>
    <w:p>
      <w:pPr>
        <w:spacing w:after="0" w:line="62"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We cannot assure you that the issuance of preferred stock and/or debt securities would result in a higher yield or return to the holders of our common stock. The issuance of preferred stock, debt securities, convertible debt or units would likely cause the NAV and market value of our common stock to become more volatile. If the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dividend rate on the preferred stock, or the interest rate on the debt securities, were to approach the net rate of return on our investment portfolio, the benefit of leverage to the holders of our common stock would be reduced. If the dividend rate on the preferred stock, or the interest rate on the debt securities, were to exceed the net rate of return on our portfolio, the use of leverage would result in a lower rate of return to the holders of common stock than if we had not issued the preferred stock or debt securities. Any decline in the NAV of our investment would be borne entirely by the holders of our common stock. Therefore, if the market value of our portfolio were to decline, the leverage would result in a greater decrease in NAV to the holders of our common stock than if we were not leveraged through the issuance of preferred stock, debt securities or convertible debt. This decline in NAV would also tend to cause a greater decline in the market price for our common stock.</w:t>
      </w:r>
    </w:p>
    <w:p>
      <w:pPr>
        <w:spacing w:after="0" w:line="189"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There is also a risk that, in the event of a sharp decline in the value of our net assets, we would be in danger of failing to maintain required asset coverage ratios which may be required by the preferred stock, debt securities, convertible debt or units or of a downgrade in the ratings of the preferred stock, debt securities, convertible debt or units or our current investment income might not be sufficient to meet the dividend requirements on the preferred stock or the interest payments on the debt securities. In order to counteract such an event, we might need to liquidate investments in order to fund redemption of some or all of the preferred stock, debt securities, convertible debt or units. In addition, we would pay (and the holders of our common stock would bear) all costs and expenses relating to the issuance and ongoing maintenance of the preferred stock, debt securities, convertible debt or any combination of these securities. Holders of preferred stock, debt securities, convertible debt or units may have different interests than holders of common stock and may at times have disproportionate influence over our affairs.</w:t>
      </w:r>
    </w:p>
    <w:p>
      <w:pPr>
        <w:spacing w:after="0" w:line="287" w:lineRule="exact"/>
        <w:rPr>
          <w:sz w:val="20"/>
          <w:szCs w:val="20"/>
          <w:color w:val="auto"/>
        </w:rPr>
      </w:pPr>
    </w:p>
    <w:p>
      <w:pPr>
        <w:ind w:right="160" w:firstLine="228"/>
        <w:spacing w:after="0" w:line="277" w:lineRule="auto"/>
        <w:rPr>
          <w:sz w:val="20"/>
          <w:szCs w:val="20"/>
          <w:color w:val="auto"/>
        </w:rPr>
      </w:pPr>
      <w:r>
        <w:rPr>
          <w:rFonts w:ascii="Arial" w:cs="Arial" w:eastAsia="Arial" w:hAnsi="Arial"/>
          <w:sz w:val="18"/>
          <w:szCs w:val="18"/>
          <w:b w:val="1"/>
          <w:bCs w:val="1"/>
          <w:i w:val="1"/>
          <w:iCs w:val="1"/>
          <w:color w:val="auto"/>
        </w:rPr>
        <w:t>Holders of any preferred stock that we may issue will have the right to elect members of the board of directors and have class voting rights on certain matters.</w:t>
      </w:r>
    </w:p>
    <w:p>
      <w:pPr>
        <w:spacing w:after="0" w:line="6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1940 Act requires that holders of shares of preferred stock must be entitled as a class to elect two directors at all times and to elect a majority of the directors if distributions on such preferred stock are in arrears by two years or more, until such arrearage is eliminated. In addition, certain matters under the 1940 Act require the separate vote of the holders of any issued and outstanding preferred stock, including changes in fundamental investment restrictions and conversion to open-end status and, accordingly, preferred stockholders could veto any such changes. Restrictions imposed on the declarations and payment of distributions to the holders of our common stock and preferred stock, both by the 1940 Act and by requirements imposed by rating agencies, might impair our ability to maintain our qualification as a RIC for U.S. federal income tax purposes, which could have a material adverse effect on our business, financial condition and results of operations.</w:t>
      </w:r>
    </w:p>
    <w:p>
      <w:pPr>
        <w:spacing w:after="0" w:line="2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in the future issue securities for which there is no public market and for which we expect no public market to develop.</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In order to raise additional capital, we may issue debt or other securities for which no public market exists, and for which no public market is expected to develop. If we issue shares of our common stock as a component of a unit security, we would expect the common stock to separate from the other securities in such unit after a period of time or upon occurrence of an event and to trade publicly on the NASDAQ Global Select Market, which may cause volatility in our publicly traded common stock. To the extent we issue securities for which no public market exists and for which no public market develops, a purchaser of such securities may not be able to liquidate the investment without considerable delay, if at all. If a market should develop for our debt and other securities, the price may be highly volatile, and our debt and other securities may lose value.</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There are significant potential conflicts of interest which could impact our investment returns.</w:t>
      </w:r>
    </w:p>
    <w:p>
      <w:pPr>
        <w:spacing w:after="0" w:line="11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The professionals of our Investment Adviser and Administrator may serve as officers, directors or principals of entities that operate in the same or a related line of business as we do or of investment funds managed by affiliates of PennantPark Investment that currently exist or may be formed in the future. The Investment Adviser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and Administrator may be engaged by such funds at any time and without the prior approval of our stockholders or our board of directors. Our board of directors monitors any potential conflict that may arise upon such a development. Accordingly, if this occurs, they may have obligations to investors in those entities, the fulfillment of which might not be in the best interests of us or our stockholders. Currently, the executive officers and directors, as well as the current senior investment professionals of the Investment Adviser, may serve as officers and directors of our controlled affiliates and affiliated funds. In addition, we note that any affiliated investment vehicle currently formed or formed in the future and managed by the Investment Adviser or its affiliates may have overlapping investment objectives with our own and, accordingly, may invest in asset classes similar to those targeted by us. As a result, the Investment Adviser may face conflicts in allocating investment opportunities between us and such other entities. Although the Investment Adviser will endeavor to allocate investment opportunities in a fair and equitable manner, it is possible that, in the future, we may not be given the opportunity to participate in investments made by investment funds managed by the Investment Adviser or an investment manager affiliated with the Investment Adviser. In any such case, when the Investment Adviser identifies an investment, it will be forced to choose which investment fund should make the investment. We may co-invest on a concurrent basis with any other affiliates that the Investment Adviser has or forms in the future, subject to compliance with applicable regulations and regulatory guidance and our allocation procedures. In certain circumstances, negotiated co-investments may be made only if we receive an order from the SEC permitting us to do so. We, the Investment Adviser and our affiliated funds have submitted an exemptive application to the SEC for such an order, but there can be no assurance that such order will be obtained.</w:t>
      </w:r>
    </w:p>
    <w:p>
      <w:pPr>
        <w:spacing w:after="0" w:line="185"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In the course of our investing activities, we will pay investment advisory and incentive fees to our Investment Adviser, and will reimburse our Investment Adviser for certain expenses it incurs. As a result, investors in our common stock will invest on a “gross” basis and receive distributions on a “net” basis after expenses, resulting in a lower rate of return than an investor might achieve through direct investments. Accordingly, there may be times when the management team of the Investment Adviser has interests that differ from those of our stockholders, giving rise to a conflict.</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entered into a license agreement, or the License Agreement, with PennantPark Investment Advisers, pursuant to which our Investment Adviser has granted us a royalty-free non-exclusive license to use the name “PennantPark.” The License Agreement will expire (i) upon expiration or termination of the Investment Management Agreement, (ii) if the Investment Adviser ceases to serve as our investment adviser, (iii) by either party upon 60 days’ written notice or (iv) by the Investment Adviser at any time in the event we assign or attempt to assign or sublicense the License Agreement or any of our rights or duties thereunder without the prior written consent of the Investment Adviser. Other than with respect to this limited license, we have no legal right to the “PennantPark” name.</w:t>
      </w:r>
    </w:p>
    <w:p>
      <w:pPr>
        <w:spacing w:after="0" w:line="19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addition, we pay PennantPark Investment Administration, an affiliate of the Investment Adviser, our allocable portion of overhead and other expenses incurred by PennantPark Investment Administration in performing its obligations under our Administration Agreement, including rent and our allocable portion of the cost of our Chief Financial Officer and Chief Compliance Officer and their respective staffs. These arrangements may create conflicts of interest that our board of directors must monitor.</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trading market or market value of any publicly issued debt or convertible debt securities may be volatile.</w:t>
      </w:r>
    </w:p>
    <w:p>
      <w:pPr>
        <w:spacing w:after="0" w:line="117" w:lineRule="exact"/>
        <w:rPr>
          <w:sz w:val="20"/>
          <w:szCs w:val="20"/>
          <w:color w:val="auto"/>
        </w:rPr>
      </w:pPr>
    </w:p>
    <w:p>
      <w:pPr>
        <w:ind w:right="280" w:firstLine="456"/>
        <w:spacing w:after="0" w:line="312" w:lineRule="auto"/>
        <w:rPr>
          <w:sz w:val="20"/>
          <w:szCs w:val="20"/>
          <w:color w:val="auto"/>
        </w:rPr>
      </w:pPr>
      <w:r>
        <w:rPr>
          <w:rFonts w:ascii="Arial" w:cs="Arial" w:eastAsia="Arial" w:hAnsi="Arial"/>
          <w:sz w:val="16"/>
          <w:szCs w:val="16"/>
          <w:color w:val="auto"/>
        </w:rPr>
        <w:t>If we publicly issue debt or convertible debt securities, they may or may not have an established trading market. We cannot assure investors that a trading market for our publicly issued debt or convertible debt securities would develop or be maintained if developed. In addition to our creditworthiness, many factors may have a material adverse effect on the trading market for, and market value of, our publicly issued debt or convertible debt securities.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factors include the following:</w:t>
      </w:r>
    </w:p>
    <w:p>
      <w:pPr>
        <w:spacing w:after="0" w:line="131" w:lineRule="exact"/>
        <w:rPr>
          <w:sz w:val="20"/>
          <w:szCs w:val="20"/>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time remaining to the maturity of these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outstanding principal amount of debt securities with terms identical to these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supply of debt securities trading in the secondary market, if any;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redemption, repayment or convertible features, if any, of these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level, direction and volatility of market interest rates;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market rates of interest higher or lower than rates borne by the debt securities.</w:t>
      </w:r>
    </w:p>
    <w:p>
      <w:pPr>
        <w:spacing w:after="0" w:line="225" w:lineRule="exact"/>
        <w:rPr>
          <w:sz w:val="20"/>
          <w:szCs w:val="20"/>
          <w:color w:val="auto"/>
        </w:rPr>
      </w:pPr>
    </w:p>
    <w:p>
      <w:pPr>
        <w:ind w:right="500" w:firstLine="456"/>
        <w:spacing w:after="0" w:line="264" w:lineRule="auto"/>
        <w:rPr>
          <w:sz w:val="20"/>
          <w:szCs w:val="20"/>
          <w:color w:val="auto"/>
        </w:rPr>
      </w:pPr>
      <w:r>
        <w:rPr>
          <w:rFonts w:ascii="Arial" w:cs="Arial" w:eastAsia="Arial" w:hAnsi="Arial"/>
          <w:sz w:val="18"/>
          <w:szCs w:val="18"/>
          <w:color w:val="auto"/>
        </w:rPr>
        <w:t>There also may be a limited number of buyers for our debt securities. This too may have a material adverse effect on the market value of the debt securities or the trading market for the debt securities. Our debt securities may include convertible features that cause them to more closely bear risks associated with an investment in our common stock.</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Terms relating to redemption may have a material adverse effect on the return on any debt securities.</w:t>
      </w:r>
    </w:p>
    <w:p>
      <w:pPr>
        <w:spacing w:after="0" w:line="117"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If we issue debt securities that are redeemable at our option, we may choose to redeem the debt securities at times when prevailing interest rates are lower than the interest rate paid on the debt securities. In addition, if the debt securities are subject to mandatory redemption, we may be required to redeem the debt securities at times when prevailing interest rates are lower than the interest rate paid on the debt securities. In this circumstance, a holder of our debt securities may not be able to reinvest the redemption proceeds in a comparable security at an effective interest rate as high as the debt securities being redeemed.</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If we issue subscription rights or warrants for our common stock, your interest in us may be diluted as a result of such rights or warrants offering.</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Stockholders who do not fully exercise rights or warrants issued to them in an offering of subscription rights or warrants to purchase our common stock should expect that they will, at the completion of an offering, own a smaller proportional interest in us than would otherwise be the case if they fully exercised their rights or warrants. We cannot state precisely the amount of any such dilution in share ownership because we do not know what proportion of the common stock would be purchased as a result of any such offering.</w:t>
      </w:r>
    </w:p>
    <w:p>
      <w:pPr>
        <w:spacing w:after="0" w:line="18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addition, if the subscription price or warrant price is less than our NAV per share of common stock at the time of such offering, then our stockholders would experience an immediate dilution of the aggregate NAV of their shares as a result of the offering. The amount of any such decrease in NAV is not predictable because it is not known at this time what the subscription price, warrant price or NAV per share will be on the expiration date of such rights offering or what proportion of our common stock will be purchased as a result of any such offering.</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experience fluctuations in our quarterly results.</w:t>
      </w:r>
    </w:p>
    <w:p>
      <w:pPr>
        <w:spacing w:after="0" w:line="117"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We could experience fluctuations in our quarterly operating results due to a number of factors, including the interest rate payable on the debt securities we acquire, the default rate on such securities, the level of our expenses, variations in, and the timing of the recognition of, realized and unrealized gains or losses, the degree to which we encounter competition in our markets and general economic conditions. However, as a result of our irrevocable election to apply the fair value option to our Credit Facility and the 2025 Notes, future decreases of fair value of our debt will have a corresponding increase to our NAV. Further increases of fair value of our debt will have the opposite effect. Any future indebtedness that we elect the fair value option for may have similar effects on our NAV as our Credit Facility and 2025 Notes. This will tend to mitigate volatility in our earnings and NAV. As a result of these factors, results for any period should not be relied upon as being indicative of performance in future periods.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impact of recent financial reform legislation on us is uncertain.</w:t>
      </w:r>
    </w:p>
    <w:p>
      <w:pPr>
        <w:spacing w:after="0" w:line="117"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In light of current conditions in the U.S. and global financial markets and the U.S. and global economy, legislators, the presidential administration and regulators have increased their focus on the regulation of the financial services industry. The Dodd-Frank Wall Street Reform and Consumer Protection Act, or the Dodd-Frank Act, became effective in July 2010. Although many provisions of the Dodd-Frank Act have delayed effectiveness or will not become effective until the relevant federal agencies issue new rules to implement the Dodd-Frank Act, the Dodd-Frank Act may nevertheless have a material adverse impact on the financial services industry as a whole and on our business, financial condition and results of operations. Accordingly, we cannot predict the effect the Dodd-Frank Act or implementing its regulations will have on our business, financial condition and results of operations.</w:t>
      </w:r>
    </w:p>
    <w:p>
      <w:pPr>
        <w:spacing w:after="0" w:line="27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Changes in laws or regulations governing our operations may adversely affect our business.</w:t>
      </w:r>
    </w:p>
    <w:p>
      <w:pPr>
        <w:spacing w:after="0" w:line="11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We and our portfolio companies are subject to regulation by laws at the local, state and federal levels. These laws and regulations, as well as their interpretation, may be changed from time to time. Accordingly, any change in these laws or regulations could have a material adverse effect on our business. See “Regulation” for more information.</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Our board of directors may change our investment objectives, operating policies and strategies without prior notice or stockholder approval.</w:t>
      </w:r>
    </w:p>
    <w:p>
      <w:pPr>
        <w:spacing w:after="0" w:line="140"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Our board of directors has the authority to modify or waive certain of our operating policies and strategies without prior notice and without stockholder approval (except as required by the 1940 Act). However, absent stockholder approval, under the 1940 Act we may not change the nature of our business so as to cease to be, or withdraw our election as, a BDC. We cannot predict the effect any changes to our current operating policies and strategies would have on our business, operating results and value of our stock. Nevertheless, the effects may adversely affect our business and impact our ability to make distributions.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ILLIQUID NATURE OF OUR PORTFOLIO ASSETS</w:t>
      </w:r>
    </w:p>
    <w:p>
      <w:pPr>
        <w:spacing w:after="0" w:line="121" w:lineRule="exact"/>
        <w:rPr>
          <w:sz w:val="20"/>
          <w:szCs w:val="20"/>
          <w:color w:val="auto"/>
        </w:rPr>
      </w:pPr>
    </w:p>
    <w:p>
      <w:pPr>
        <w:ind w:right="160" w:firstLine="228"/>
        <w:spacing w:after="0" w:line="277" w:lineRule="auto"/>
        <w:rPr>
          <w:sz w:val="20"/>
          <w:szCs w:val="20"/>
          <w:color w:val="auto"/>
        </w:rPr>
      </w:pPr>
      <w:r>
        <w:rPr>
          <w:rFonts w:ascii="Arial" w:cs="Arial" w:eastAsia="Arial" w:hAnsi="Arial"/>
          <w:sz w:val="18"/>
          <w:szCs w:val="18"/>
          <w:b w:val="1"/>
          <w:bCs w:val="1"/>
          <w:i w:val="1"/>
          <w:iCs w:val="1"/>
          <w:color w:val="auto"/>
        </w:rPr>
        <w:t>We invest in illiquid assets, and our valuation procedures with respect to such assets may result in recording values that are materially different than the values we ultimately receive upon disposition of such assets.</w:t>
      </w:r>
    </w:p>
    <w:p>
      <w:pPr>
        <w:spacing w:after="0" w:line="62"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All of our investments are recorded using broker or dealer quotes, or at fair value as determined in good faith by our board of directors. We expect that primarily most, if not all, of our investments (other than cash and cash equivalents) and the fair value of our Credit Facility will be classified as Level 3 under the Financial Accounting Standards Board, or FASB, Accounting Standards Codification, or ASC, 820, Fair Value Measurement. This means that our portfolio valuations will be based on unobservable inputs and our own assumptions about how market participants would price the asset or liability. We expect that inputs into the determination of fair value of our portfolio investments and Credit Facility borrowings will require significant management judgment or estimation. Even if observable market data are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materially reduces the reliability of such information.</w:t>
      </w:r>
    </w:p>
    <w:p>
      <w:pPr>
        <w:spacing w:after="0" w:line="179"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Determining fair value requires that judgment be applied to the specific facts and circumstances of each portfolio investment while employing a consistently applied valuation process for the types of investments we make. In determining fair value in good faith, we generally obtain financial and other information from portfolio companies, which may represent unaudited, projected or proforma financial information. Unlike banks, we are not permitted to provide a general reserve for anticipated loan losses; we are instead required by the 1940 Act to specifically fair value each individual investment on a quarterly basis. We record unrealized appreciation if we believe that the underlying portfolio company has appreciated in value. Likewise, we record unrealized</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depreciation if we believe that the underlying portfolio company has depreciated in value. As a result, there will be uncertainty as to the value of our portfolio investments.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adjust quarterly the valuation of our portfolio to reflect our board of directors’ determination of the fair value of each investment in our portfolio.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Any changes in fair value are recorded in the Consolidated Statement of Operations as net change in unrealized appreciation or depreciation.</w:t>
      </w:r>
    </w:p>
    <w:p>
      <w:pPr>
        <w:spacing w:after="0" w:line="211" w:lineRule="exact"/>
        <w:rPr>
          <w:sz w:val="20"/>
          <w:szCs w:val="20"/>
          <w:color w:val="auto"/>
        </w:rPr>
      </w:pPr>
    </w:p>
    <w:p>
      <w:pPr>
        <w:ind w:right="140" w:firstLine="456"/>
        <w:spacing w:after="0" w:line="271" w:lineRule="auto"/>
        <w:rPr>
          <w:sz w:val="20"/>
          <w:szCs w:val="20"/>
          <w:color w:val="auto"/>
        </w:rPr>
      </w:pPr>
      <w:r>
        <w:rPr>
          <w:rFonts w:ascii="Arial" w:cs="Arial" w:eastAsia="Arial" w:hAnsi="Arial"/>
          <w:sz w:val="17"/>
          <w:szCs w:val="17"/>
          <w:color w:val="auto"/>
        </w:rPr>
        <w:t>At September 30, 2013, all our portfolio assets were recorded at fair value as approved in good faith by our board of directors. Our board of directors uses the services of one or more nationally recognized independent valuation firms to aid it in determining the fair value of these securities. The factors that may be considered in fair value pricing of our investments include the nature and realizable value of any collateral, the portfolio company’s ability to make payments and its earnings and cash flows, the markets in which the portfolio company does business, comparison to publicly traded companies and other relevant factors. Because valuations may fluctuate over short periods of time and may be based on estimates, our determinations of fair value may differ materially from the value received in an actual transaction. Additionally, valuations of private securities and private companies are inherently uncertain. Our NAV could be adversely affected if our determinations regarding the fair value of our investments were materially higher than the values that we ultimately realize upon the disposal of such securities.</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lack of liquidity in our investments may adversely affect our business.</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We may acquire our investments directly from the issuer in privately negotiated transactions. Substantially all of these securities are subject to legal and other restrictions on resale or are otherwise less liquid than publicly traded securities. We typically exit our investments when the portfolio company has a liquidity event such as a sale, refinancing, or initial public offering of the company, but we are not required to do so.</w:t>
      </w:r>
    </w:p>
    <w:p>
      <w:pPr>
        <w:spacing w:after="0" w:line="166"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The illiquidity of our investments may make it difficult or impossible for us to sell such investments if the need arises, particularly at times when the market for illiquid securities is substantially diminished. In addition, if we are required to liquidate all or a portion of our portfolio quickly, we may realize significantly less than the value at which we have previously recorded our investments, which could have a material adverse effect on our business, financial condition and results of operations. In addition, we may face other restrictions on our ability to liquidate an investment in a portfolio company to the extent that we have material non-public information regarding such portfolio company.</w:t>
      </w:r>
    </w:p>
    <w:p>
      <w:pPr>
        <w:spacing w:after="0" w:line="188"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Securities purchased by us that are liquid at the time of purchase may subsequently become illiquid due to events relating to the issuer of the securities, market events, economic conditions or investor perceptions. Domestic and foreign markets are complex and interrelated, so that events in one sector of the world markets or economy, or in one geographical region, can reverberate and have materially negative consequences for other market, economic or regional sectors in a manner that may not be foreseen and which may materially harm our business.</w:t>
      </w:r>
    </w:p>
    <w:p>
      <w:pPr>
        <w:spacing w:after="0" w:line="28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general disruption in the credit markets could materially damage our business.</w:t>
      </w:r>
    </w:p>
    <w:p>
      <w:pPr>
        <w:spacing w:after="0" w:line="11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We are susceptible to the risk of significant loss if we are forced to discount the value of our investments in order to provide liquidity to meet our liability maturities. Our borrowings under our Credit Facility are collateralized by the assets in our investment portfolio (excluding assets held by our SBIC Funds). A general disruption in the credit markets could result in a diminished appetite for our securities. In addition, with respect to over-the-counter traded securities, the continued viability of any over-the-counter secondary market depends on the continued willingness of dealers and other participants to purchase the securities.</w:t>
      </w:r>
    </w:p>
    <w:p>
      <w:pPr>
        <w:spacing w:after="0" w:line="188"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If the fair value of our assets declines substantially, we may fail to maintain the asset coverage ratios stipulated by the 1940 Act, which could, in turn, cause us to lose our status as a BDC and materially impair our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business operations. Our liquidity could be impaired further by an inability to access the capital markets or to draw down our Credit Facility. These situations may arise due to circumstances that we may be unable to control, such as a general disruption in the credit markets, a severe decline in the value of the U.S. dollar, a sharp economic downturn or an operational problem that affects third parties or us, and could materially damage our business.</w:t>
      </w:r>
    </w:p>
    <w:p>
      <w:pPr>
        <w:spacing w:after="0" w:line="255" w:lineRule="exact"/>
        <w:rPr>
          <w:sz w:val="20"/>
          <w:szCs w:val="20"/>
          <w:color w:val="auto"/>
        </w:rPr>
      </w:pPr>
    </w:p>
    <w:p>
      <w:pPr>
        <w:ind w:right="440" w:firstLine="228"/>
        <w:spacing w:after="0" w:line="277" w:lineRule="auto"/>
        <w:rPr>
          <w:sz w:val="20"/>
          <w:szCs w:val="20"/>
          <w:color w:val="auto"/>
        </w:rPr>
      </w:pPr>
      <w:r>
        <w:rPr>
          <w:rFonts w:ascii="Arial" w:cs="Arial" w:eastAsia="Arial" w:hAnsi="Arial"/>
          <w:sz w:val="18"/>
          <w:szCs w:val="18"/>
          <w:b w:val="1"/>
          <w:bCs w:val="1"/>
          <w:i w:val="1"/>
          <w:iCs w:val="1"/>
          <w:color w:val="auto"/>
        </w:rPr>
        <w:t>We rely in part on our over-the-counter securities, which faced liquidity constraints under recent market conditions, to provide us with additional liquidity.</w:t>
      </w:r>
    </w:p>
    <w:p>
      <w:pPr>
        <w:spacing w:after="0" w:line="62"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The market for other over-the-counter traded securities has weakened in the recent past as the viability of any over-the-counter secondary market depends on the continued willingness of dealers and other participants to purchase the securities.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INVESTMENTS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investments in prospective portfolio companies may be risky, and you could lose all or part of your investment.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intend to invest primarily in senior secured loans, mezzanine debt and selected equity investments issued by U.S. middle-market companies.</w:t>
      </w:r>
    </w:p>
    <w:p>
      <w:pPr>
        <w:spacing w:after="0" w:line="237" w:lineRule="exact"/>
        <w:rPr>
          <w:sz w:val="20"/>
          <w:szCs w:val="20"/>
          <w:color w:val="auto"/>
        </w:rPr>
      </w:pPr>
    </w:p>
    <w:p>
      <w:pPr>
        <w:ind w:left="460"/>
        <w:spacing w:after="0" w:line="270" w:lineRule="auto"/>
        <w:rPr>
          <w:sz w:val="20"/>
          <w:szCs w:val="20"/>
          <w:color w:val="auto"/>
        </w:rPr>
      </w:pPr>
      <w:r>
        <w:rPr>
          <w:rFonts w:ascii="Arial" w:cs="Arial" w:eastAsia="Arial" w:hAnsi="Arial"/>
          <w:sz w:val="17"/>
          <w:szCs w:val="17"/>
          <w:b w:val="1"/>
          <w:bCs w:val="1"/>
          <w:i w:val="1"/>
          <w:iCs w:val="1"/>
          <w:color w:val="auto"/>
        </w:rPr>
        <w:t xml:space="preserve">Senior Secured Loans: </w:t>
      </w:r>
      <w:r>
        <w:rPr>
          <w:rFonts w:ascii="Arial" w:cs="Arial" w:eastAsia="Arial" w:hAnsi="Arial"/>
          <w:sz w:val="17"/>
          <w:szCs w:val="17"/>
          <w:color w:val="auto"/>
        </w:rPr>
        <w:t>When we extend senior secured loans, which we define to include first lien debt, we will generally take a security interest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available assets of these portfolio companies, including the equity interests of their subsidiaries, although this will not always be the case. We expect this security interest, if any, to help mitigate the risk that we will not be repaid. However, 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the portfolio company to raise additional capital. Also, in some circumstances, our lien could be subordinated to claims of other creditors. In addition, deterioration in a portfolio company’s financial condition and prospects, including its inability to raise additional capital, may be accompanied by deterioration in the value of the collateral for the loan. Consequently, the fact that a loan is secured does not guarantee that we will receive principal and interest payments according to the loan’s terms, or at all, or that we will be able to collect on the loan should we be forced to enforce our remedies.</w:t>
      </w:r>
    </w:p>
    <w:p>
      <w:pPr>
        <w:spacing w:after="0" w:line="182" w:lineRule="exact"/>
        <w:rPr>
          <w:sz w:val="20"/>
          <w:szCs w:val="20"/>
          <w:color w:val="auto"/>
        </w:rPr>
      </w:pPr>
    </w:p>
    <w:p>
      <w:pPr>
        <w:ind w:left="460" w:right="60"/>
        <w:spacing w:after="0" w:line="272" w:lineRule="auto"/>
        <w:rPr>
          <w:sz w:val="20"/>
          <w:szCs w:val="20"/>
          <w:color w:val="auto"/>
        </w:rPr>
      </w:pPr>
      <w:r>
        <w:rPr>
          <w:rFonts w:ascii="Arial" w:cs="Arial" w:eastAsia="Arial" w:hAnsi="Arial"/>
          <w:sz w:val="17"/>
          <w:szCs w:val="17"/>
          <w:b w:val="1"/>
          <w:bCs w:val="1"/>
          <w:i w:val="1"/>
          <w:iCs w:val="1"/>
          <w:color w:val="auto"/>
        </w:rPr>
        <w:t xml:space="preserve">Mezzanine Debt: </w:t>
      </w:r>
      <w:r>
        <w:rPr>
          <w:rFonts w:ascii="Arial" w:cs="Arial" w:eastAsia="Arial" w:hAnsi="Arial"/>
          <w:sz w:val="17"/>
          <w:szCs w:val="17"/>
          <w:color w:val="auto"/>
        </w:rPr>
        <w:t>Our mezzanine debt investments, which we define to include second lien secured and subordinated debt, will generally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subordinated to senior secured loans and will generally be unsecured. Our second lien debt is subordinated debt that benefits from a collateral interest in the borrower. As such, other creditors may rank senior to us in the event of insolvency. This may result in an above average amount of risk and volatility or a loss of principal. These investments may involve additional risks that could adversely affect our investment returns. To the extent interest payments associated with such debt are deferred, such debt may be subject to greater fluctuations in valuations, and such debt could subject us and our stockholders to non-cash income. Since we may not receive cash interest or principal prior to the maturity of some of our mezzanine debt investments, such investments may be of greater risk than cash paying loans.</w:t>
      </w:r>
    </w:p>
    <w:p>
      <w:pPr>
        <w:spacing w:after="0" w:line="178" w:lineRule="exact"/>
        <w:rPr>
          <w:sz w:val="20"/>
          <w:szCs w:val="20"/>
          <w:color w:val="auto"/>
        </w:rPr>
      </w:pPr>
    </w:p>
    <w:p>
      <w:pPr>
        <w:ind w:left="460" w:right="260"/>
        <w:spacing w:after="0" w:line="276" w:lineRule="auto"/>
        <w:rPr>
          <w:sz w:val="20"/>
          <w:szCs w:val="20"/>
          <w:color w:val="auto"/>
        </w:rPr>
      </w:pPr>
      <w:r>
        <w:rPr>
          <w:rFonts w:ascii="Arial" w:cs="Arial" w:eastAsia="Arial" w:hAnsi="Arial"/>
          <w:sz w:val="17"/>
          <w:szCs w:val="17"/>
          <w:b w:val="1"/>
          <w:bCs w:val="1"/>
          <w:i w:val="1"/>
          <w:iCs w:val="1"/>
          <w:color w:val="auto"/>
        </w:rPr>
        <w:t xml:space="preserve">Equity Investments: </w:t>
      </w:r>
      <w:r>
        <w:rPr>
          <w:rFonts w:ascii="Arial" w:cs="Arial" w:eastAsia="Arial" w:hAnsi="Arial"/>
          <w:sz w:val="17"/>
          <w:szCs w:val="17"/>
          <w:color w:val="auto"/>
        </w:rPr>
        <w:t>We have made and expect to continue to make select equity investments. In addition, when we invest in senior secured loans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mezzanine debt, we may acquire warrants to purchase equity investments from time to time. Our goal is ultimately to dispose of these equity investments and realize gains upon our disposition of such interests. However, the equity investments we receive may not appreciate in value and, in fact, may decline in value. Accordingly, we may not be able to realize gains from our equity investments, and any gains that we do realize on the disposition of any equity investments may not be sufficient to offset any other losses we experience.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investing in middle-market companies involves a number of significant risks, including:</w:t>
      </w:r>
    </w:p>
    <w:p>
      <w:pPr>
        <w:spacing w:after="0" w:line="131" w:lineRule="exact"/>
        <w:rPr>
          <w:sz w:val="20"/>
          <w:szCs w:val="20"/>
          <w:color w:val="auto"/>
        </w:rPr>
      </w:pPr>
    </w:p>
    <w:p>
      <w:pPr>
        <w:ind w:left="900" w:right="120" w:hanging="325"/>
        <w:spacing w:after="0" w:line="264"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companies may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86" w:lineRule="exact"/>
        <w:rPr>
          <w:rFonts w:ascii="Arial" w:cs="Arial" w:eastAsia="Arial" w:hAnsi="Arial"/>
          <w:sz w:val="18"/>
          <w:szCs w:val="18"/>
          <w:color w:val="auto"/>
        </w:rPr>
      </w:pPr>
    </w:p>
    <w:p>
      <w:pPr>
        <w:ind w:left="900" w:right="400" w:hanging="325"/>
        <w:spacing w:after="0" w:line="308" w:lineRule="auto"/>
        <w:tabs>
          <w:tab w:leader="none" w:pos="9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they typically have shorter operating histories, narrower product lines and smaller market shares than larger businesses, which tend to render them more vulnerable to competitors’ actions and changing market conditions, as well as general economic downturns;</w:t>
      </w:r>
    </w:p>
    <w:p>
      <w:pPr>
        <w:spacing w:after="0" w:line="51" w:lineRule="exact"/>
        <w:rPr>
          <w:rFonts w:ascii="Arial" w:cs="Arial" w:eastAsia="Arial" w:hAnsi="Arial"/>
          <w:sz w:val="17"/>
          <w:szCs w:val="17"/>
          <w:color w:val="auto"/>
        </w:rPr>
      </w:pPr>
    </w:p>
    <w:p>
      <w:pPr>
        <w:ind w:left="900" w:right="200" w:hanging="325"/>
        <w:spacing w:after="0" w:line="342" w:lineRule="auto"/>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they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29" w:lineRule="exact"/>
        <w:rPr>
          <w:rFonts w:ascii="Arial" w:cs="Arial" w:eastAsia="Arial" w:hAnsi="Arial"/>
          <w:sz w:val="16"/>
          <w:szCs w:val="16"/>
          <w:color w:val="auto"/>
        </w:rPr>
      </w:pPr>
    </w:p>
    <w:p>
      <w:pPr>
        <w:ind w:left="900" w:right="200" w:hanging="325"/>
        <w:spacing w:after="0" w:line="302" w:lineRule="auto"/>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they 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 In addition, our executive officers, directors and our Investment Adviser may, in the ordinary course of business, be named as defendants in litigation arising from our investments in the portfolio companies; and</w:t>
      </w:r>
    </w:p>
    <w:p>
      <w:pPr>
        <w:spacing w:after="0" w:line="59" w:lineRule="exact"/>
        <w:rPr>
          <w:rFonts w:ascii="Arial" w:cs="Arial" w:eastAsia="Arial" w:hAnsi="Arial"/>
          <w:sz w:val="16"/>
          <w:szCs w:val="16"/>
          <w:color w:val="auto"/>
        </w:rPr>
      </w:pPr>
    </w:p>
    <w:p>
      <w:pPr>
        <w:ind w:left="900" w:right="640" w:hanging="325"/>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they may have difficulty accessing the capital markets to meet future capital needs, which may limit their ability to grow or to repay their outstanding indebtedness upon maturity.</w:t>
      </w:r>
    </w:p>
    <w:p>
      <w:pPr>
        <w:spacing w:after="0" w:line="279" w:lineRule="exact"/>
        <w:rPr>
          <w:sz w:val="20"/>
          <w:szCs w:val="20"/>
          <w:color w:val="auto"/>
        </w:rPr>
      </w:pPr>
    </w:p>
    <w:p>
      <w:pPr>
        <w:ind w:right="80" w:firstLine="228"/>
        <w:spacing w:after="0" w:line="264" w:lineRule="auto"/>
        <w:rPr>
          <w:sz w:val="20"/>
          <w:szCs w:val="20"/>
          <w:color w:val="auto"/>
        </w:rPr>
      </w:pPr>
      <w:r>
        <w:rPr>
          <w:rFonts w:ascii="Arial" w:cs="Arial" w:eastAsia="Arial" w:hAnsi="Arial"/>
          <w:sz w:val="18"/>
          <w:szCs w:val="18"/>
          <w:b w:val="1"/>
          <w:bCs w:val="1"/>
          <w:i w:val="1"/>
          <w:iCs w:val="1"/>
          <w:color w:val="auto"/>
        </w:rPr>
        <w:t>Under the 1940 Act we may invest up to 30% of our assets in investments that are not qualifying assets for business development companies under the 1940 Act. If we do not invest a sufficient portion of our assets in qualifying assets, we could be precluded from investing in assets that we deem to be attractive.</w:t>
      </w:r>
    </w:p>
    <w:p>
      <w:pPr>
        <w:spacing w:after="0" w:line="73" w:lineRule="exact"/>
        <w:rPr>
          <w:sz w:val="20"/>
          <w:szCs w:val="20"/>
          <w:color w:val="auto"/>
        </w:rPr>
      </w:pPr>
    </w:p>
    <w:p>
      <w:pPr>
        <w:jc w:val="both"/>
        <w:ind w:right="240" w:firstLine="456"/>
        <w:spacing w:after="0" w:line="257" w:lineRule="auto"/>
        <w:rPr>
          <w:sz w:val="20"/>
          <w:szCs w:val="20"/>
          <w:color w:val="auto"/>
        </w:rPr>
      </w:pPr>
      <w:r>
        <w:rPr>
          <w:rFonts w:ascii="Arial" w:cs="Arial" w:eastAsia="Arial" w:hAnsi="Arial"/>
          <w:sz w:val="18"/>
          <w:szCs w:val="18"/>
          <w:color w:val="auto"/>
        </w:rPr>
        <w:t>As a BDC, we may not acquire any asset other than qualifying assets, as defined under the 1940 Act, unless at the time the acquisition is made such qualifying assets represent at least 70% of the value of our total assets. Qualifying assets include investments in U.S. operating companies whose securities are not listed on a national securities exchange and companies listed on a national securities exchange subject to a maximum market capitalization of $250 million. Qualifying assets also include cash, cash equivalents, government securities and high quality debt securities maturing in one year or less from the time of investment.</w:t>
      </w:r>
    </w:p>
    <w:p>
      <w:pPr>
        <w:spacing w:after="0" w:line="188"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We believe that most of our debt and equity investments do and will constitute qualifying assets. However, we may be precluded from investing in what we believe are attractive investments if such investments are not qualifying assets for purposes of the 1940 Act. If we do not invest a sufficient portion of our assets in qualifying assets, we will be prohibited from making any additional investment that is not a qualifying asset and could be forced to forgo attractive investment opportunities. Similarly, these rules could prevent us from making follow-on investments in existing portfolio companies (which could result in the dilution of our position) or could require us to dispose of investments at inappropriate times in order to comply with the 1940 Act. If we need to dispose of such investments quickly, it would be difficult to dispose of such investments on favorable terms. For example, we may have difficulty in finding a buyer and, even if we do find a buyer, we may have to sell the investments at a substantial loss.</w:t>
      </w:r>
    </w:p>
    <w:p>
      <w:pPr>
        <w:spacing w:after="0" w:line="286" w:lineRule="exact"/>
        <w:rPr>
          <w:sz w:val="20"/>
          <w:szCs w:val="20"/>
          <w:color w:val="auto"/>
        </w:rPr>
      </w:pPr>
    </w:p>
    <w:p>
      <w:pPr>
        <w:ind w:right="560" w:firstLine="228"/>
        <w:spacing w:after="0" w:line="277" w:lineRule="auto"/>
        <w:rPr>
          <w:sz w:val="20"/>
          <w:szCs w:val="20"/>
          <w:color w:val="auto"/>
        </w:rPr>
      </w:pPr>
      <w:r>
        <w:rPr>
          <w:rFonts w:ascii="Arial" w:cs="Arial" w:eastAsia="Arial" w:hAnsi="Arial"/>
          <w:sz w:val="18"/>
          <w:szCs w:val="18"/>
          <w:b w:val="1"/>
          <w:bCs w:val="1"/>
          <w:i w:val="1"/>
          <w:iCs w:val="1"/>
          <w:color w:val="auto"/>
        </w:rPr>
        <w:t>We are a non-diversified investment company within the meaning of the 1940 Act, and therefore we generally are not limited with respect to the proportion of our assets that may be invested in securities of a single issuer.</w:t>
      </w:r>
    </w:p>
    <w:p>
      <w:pPr>
        <w:spacing w:after="0" w:line="62"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We are classified as a non-diversified investment company within the meaning of the 1940 Act, which means that we are not limited by the 1940 Act with respect to the proportion of our assets that we may invest in securities of a single issuer, excluding limitations on investments in other investment companies. To the extent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that we assume large positions in the securities of a small number of issuers, our NAV may fluctuate to a greater extent than that of a diversified investment company as a result of changes in the financial condition or the market’s assessment of the issuer. We may also be more susceptible to any single economic or regulatory occurrence than a diversified investment company. Beyond our income tax diversification requirements, we do not have fixed guidelines for diversification, and our investments could be concentrated in relatively few portfolio companies.</w:t>
      </w:r>
    </w:p>
    <w:p>
      <w:pPr>
        <w:spacing w:after="0" w:line="28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Economic recessions or downturns could impair our portfolio companies and harm our operating results.</w:t>
      </w:r>
    </w:p>
    <w:p>
      <w:pPr>
        <w:spacing w:after="0" w:line="117"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Many of our portfolio companies are susceptible to economic slowdowns or recessions and may be unable to repay loans from us during these periods. Therefore, our non-performing assets are likely to increase, and the value of our portfolio is likely to decrease during these periods. Adverse economic conditions also may decrease the value of collateral securing some of our loans and the value of our equity investments. Economic slowdowns or recessions could lead to financial losses in our portfolio and a material decrease in revenues, net income and assets. Unfavorable economic conditions also could increase our funding costs, limit our access to the capital markets or result in a decision by lenders not to extend credit to us. These events could prevent us from increasing investments and materially harm our operating results.</w:t>
      </w:r>
    </w:p>
    <w:p>
      <w:pPr>
        <w:spacing w:after="0" w:line="17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 portfolio company’s failure to satisfy financial or operating covenants imposed by us or other lenders could lead to defaults and potential termination of its loans and foreclosure on its secured assets, which could trigger cross-defaults under other agreements and jeopardize our portfolio company’s ability to meet its obligations under the debt securities that we hold. We may incur expenses to the extent necessary to seek recovery upon default or to negotiate new terms with a defaulting portfolio company. Depending on the facts and circumstances of our investments and the extent of our involvement in the management of a portfolio company, upon the bankruptcy of a portfolio company, a bankruptcy court may recharacterize our debt investments as equity investments and subordinate all or a portion of our claim to that of other creditors. This could occur regardless of how we may have structured our investment.</w:t>
      </w:r>
    </w:p>
    <w:p>
      <w:pPr>
        <w:spacing w:after="0" w:line="2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If we fail to make follow-on investments in our portfolio companies, this could materially impair the value of our portfolio.</w:t>
      </w:r>
    </w:p>
    <w:p>
      <w:pPr>
        <w:spacing w:after="0" w:line="11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Following an initial investment in a portfolio company, we may make additional investments in that portfolio company as “follow-on” investments, in order to:</w:t>
      </w:r>
    </w:p>
    <w:p>
      <w:pPr>
        <w:spacing w:after="0" w:line="76" w:lineRule="exact"/>
        <w:rPr>
          <w:sz w:val="20"/>
          <w:szCs w:val="20"/>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increase or maintain in whole or in part our equity ownership percentage;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exercise warrants, options or convertible securities that were acquired in the original or subsequent financing;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attempt to preserve or enhance the value of our investment.</w:t>
      </w:r>
    </w:p>
    <w:p>
      <w:pPr>
        <w:spacing w:after="0" w:line="225"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have the discretion to make any follow-on investments, subject to the availability of capital resources and regulatory considerations. We may elect not to make follow-on investments or otherwise lack sufficient funds to make those investments. Any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may not want to increase our concentration of risk, because we prefer other opportunities, or because we are inhibited by compliance with BDC requirements or the desire to maintain our tax status.</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228"/>
        <w:spacing w:after="0" w:line="342" w:lineRule="auto"/>
        <w:rPr>
          <w:sz w:val="20"/>
          <w:szCs w:val="20"/>
          <w:color w:val="auto"/>
        </w:rPr>
      </w:pPr>
      <w:r>
        <w:rPr>
          <w:rFonts w:ascii="Arial" w:cs="Arial" w:eastAsia="Arial" w:hAnsi="Arial"/>
          <w:sz w:val="16"/>
          <w:szCs w:val="16"/>
          <w:b w:val="1"/>
          <w:bCs w:val="1"/>
          <w:i w:val="1"/>
          <w:iCs w:val="1"/>
          <w:color w:val="auto"/>
        </w:rPr>
        <w:t>Because we do not generally hold controlling equity interests in our portfolio companies, we are not in a position to exercise control over our portfolio companies or to prevent decisions by management of our portfolio companies that could decrease the value of our investments.</w:t>
      </w:r>
    </w:p>
    <w:p>
      <w:pPr>
        <w:spacing w:after="0" w:line="16"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Because we do not generally have controlling equity positions in our portfolio companies, we are subject to the risk that a portfolio company may make business decisions with which we disagree, and the stockholders and management of a portfolio company may take risks or otherwise act in ways that are adverse to our interests. Due to the lack of liquidity for the debt and equity investments that we typically hold in our portfolio companies, we may not be able to dispose of our investments in the event we disagree with the actions of a portfolio company, and may therefore suffer a decrease in the value of our investments.</w:t>
      </w:r>
    </w:p>
    <w:p>
      <w:pPr>
        <w:spacing w:after="0" w:line="296" w:lineRule="exact"/>
        <w:rPr>
          <w:sz w:val="20"/>
          <w:szCs w:val="20"/>
          <w:color w:val="auto"/>
        </w:rPr>
      </w:pPr>
    </w:p>
    <w:p>
      <w:pPr>
        <w:ind w:right="100" w:firstLine="228"/>
        <w:spacing w:after="0" w:line="264" w:lineRule="auto"/>
        <w:rPr>
          <w:sz w:val="20"/>
          <w:szCs w:val="20"/>
          <w:color w:val="auto"/>
        </w:rPr>
      </w:pPr>
      <w:r>
        <w:rPr>
          <w:rFonts w:ascii="Arial" w:cs="Arial" w:eastAsia="Arial" w:hAnsi="Arial"/>
          <w:sz w:val="18"/>
          <w:szCs w:val="18"/>
          <w:b w:val="1"/>
          <w:bCs w:val="1"/>
          <w:i w:val="1"/>
          <w:iCs w:val="1"/>
          <w:color w:val="auto"/>
        </w:rPr>
        <w:t>An investment strategy focused primarily on privately held companies, including controlled equity interests, presents certain challenges, including the lack of available or comparable information about these companies, a dependence on the talents and efforts of only a few key portfolio company personnel and a greater vulnerability to economic downturns.</w:t>
      </w:r>
    </w:p>
    <w:p>
      <w:pPr>
        <w:spacing w:after="0" w:line="7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have invested and intend to continue to invest primarily in privately held companies. Generally, little public information exists about these companies, and we will rely on the ability of our Investment Adviser’s investment professionals to obtain adequate information to evaluate the potential returns from investing in these companies. If they are unable to uncover all material information about these companies, we may not make a fully informed investment decision, and we may lose value on our investments. Also, privately held companies frequently have less diverse product lines and smaller market presence than larger competitors. These factors could have a material adverse impact on our investment returns as compared to companies investing primarily in the securities of public companies.</w:t>
      </w:r>
    </w:p>
    <w:p>
      <w:pPr>
        <w:spacing w:after="0" w:line="3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portfolio companies may incur debt that ranks equally with, or senior to, our investments in such companies.</w:t>
      </w:r>
    </w:p>
    <w:p>
      <w:pPr>
        <w:spacing w:after="0" w:line="11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invest primarily in senior secured loans, mezzanine debt and equity investments issued by our portfolio companies. The portfolio companies usually will have, or may be permitted to incur, other debt that ranks equally with, or senior to our investments. By their terms, such debt instruments may provide that the holders are entitled to receive payment of interest or principal on or before the dates on which we are entitled to receive payments in respect of the debt securities in which we invest.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in respect of our investment. After repaying such senior creditors, the portfolio company may not have any remaining assets to use for repaying its obligation to us. In the case of debt ranking equally with debt securities in which we invest, we would have to share on an equal basis any distributions with other creditors holding such debt in the event of an insolvency, liquidation, dissolution, reorganization or bankruptcy of the relevant portfolio company.</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incentive fee may induce the Investment Adviser to make speculative investments.</w:t>
      </w:r>
    </w:p>
    <w:p>
      <w:pPr>
        <w:spacing w:after="0" w:line="117"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The incentive fee payable by us to PennantPark Investment Advisers may create an incentive for PennantPark Investment Advisers to make investments on our behalf that are risky or more speculative than would be the case in the absence of such compensation arrangement. The incentive fee payable to our Investment Adviser is calculated based on a percentage of our return on invested capital. This may encourage our Investment Adviser to use leverage to increase the return on our investments. Under certain circumstances, the use of leverage may increase the likelihood of default, which would disfavor the holders of our common stock. In addition, our Investment Adviser will receive the incentive fee based, in part, upon net capital gains realized on our investments. Unlike that portion of the incentive fee based on income, there is no hurdle applicable to the portion of the incentive fee based on net capital gains. As a result, the Investment Adviser may have a tendency</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to invest more capital in investments that are likely to result in capital gains as compared to income producing securities. Such a practice could result in our investing in more speculative securities than would otherwise be the case, which could result in higher investment losses, particularly during economic downturns.</w:t>
      </w:r>
    </w:p>
    <w:p>
      <w:pPr>
        <w:spacing w:after="0" w:line="18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part of our incentive fee payable by us to PennantPark Investment Advisers that relates to net investment income is computed and paid on income that has been accrued but that has not been received in cash. PennantPark Investment Advisers is not obligated to reimburse us for any such incentive fees even if we subsequently incur losses or never receive in cash the deferred income that was previously accrued. As a result, there is a risk that we will pay incentive fees with respect to income that we never receive in cash.</w:t>
      </w:r>
    </w:p>
    <w:p>
      <w:pPr>
        <w:spacing w:after="0" w:line="295" w:lineRule="exact"/>
        <w:rPr>
          <w:sz w:val="20"/>
          <w:szCs w:val="20"/>
          <w:color w:val="auto"/>
        </w:rPr>
      </w:pPr>
    </w:p>
    <w:p>
      <w:pPr>
        <w:ind w:right="400" w:firstLine="228"/>
        <w:spacing w:after="0" w:line="277" w:lineRule="auto"/>
        <w:rPr>
          <w:sz w:val="20"/>
          <w:szCs w:val="20"/>
          <w:color w:val="auto"/>
        </w:rPr>
      </w:pPr>
      <w:r>
        <w:rPr>
          <w:rFonts w:ascii="Arial" w:cs="Arial" w:eastAsia="Arial" w:hAnsi="Arial"/>
          <w:sz w:val="18"/>
          <w:szCs w:val="18"/>
          <w:b w:val="1"/>
          <w:bCs w:val="1"/>
          <w:i w:val="1"/>
          <w:iCs w:val="1"/>
          <w:color w:val="auto"/>
        </w:rPr>
        <w:t>We may make investments that cause our stockholders to bear investment advisory fees and other expenses on such investments in addition to our management fees and expenses.</w:t>
      </w:r>
    </w:p>
    <w:p>
      <w:pPr>
        <w:spacing w:after="0" w:line="62"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We may invest, to the extent permitted by law, in the securities and instruments of other investment companies and companies that would be investment companies but are excluded from the definition of an investment company provided in Section 3(c) of the 1940 Act. To the extent we so invest, we will bear our ratable share of any such investment company’s expenses, including management and performance fees. We will also remain obligated to pay investment advisory fees, consisting of a base management fee and incentive fees, to PennantPark Investment Advisers with respect to investments in the securities and instruments of other investment companies under our Investment Management Agreement. With respect to any such investments, each of our stockholders will bear his or her share of the investment advisory fees of PennantPark Investment Advisers as well as indirectly bearing the investment advisory fees and other expenses of any investment companies in which we invest.</w:t>
      </w:r>
    </w:p>
    <w:p>
      <w:pPr>
        <w:spacing w:after="0" w:line="2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be obligated to pay our Investment Adviser incentive compensation even if we incur a loss.</w:t>
      </w:r>
    </w:p>
    <w:p>
      <w:pPr>
        <w:spacing w:after="0" w:line="117"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Our Investment Adviser is entitled to incentive compensation for each fiscal quarter in an amount equal to a percentage of the excess of our investment income for that quarter (before deducting incentive compensation, net operating losses and certain other items) above a threshold return for that quarter. Our Pre-Incentive Fee Net Investment Income for incentive compensation purposes excludes realized and unrealized capital losses that we may incur in the fiscal quarter, even if such capital losses result in a net loss on our Consolidated Statement of Operations for that quarter. Thus, we may be required to pay our Investment Adviser incentive compensation for a fiscal quarter even if there is a decline in the value of our portfolio or we incur a net loss for that quarter.</w:t>
      </w:r>
    </w:p>
    <w:p>
      <w:pPr>
        <w:spacing w:after="0" w:line="2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effect of global climate change may impact the operations of our portfolio companies.</w:t>
      </w:r>
    </w:p>
    <w:p>
      <w:pPr>
        <w:spacing w:after="0" w:line="11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There may be evidence of global climate change. Climate change creates physical and financial risk and some of our portfolio companies may be adversely affected by climate change. For example, the needs of customers of energy companies vary with weather conditions, primarily temperature and humidity. To the extent weather conditions are affected by climate change, energy use could increase or decrease depending on the duration and magnitude of any changes. Increases in the cost of energy could adversely affect the cost of operations of our portfolio companies if the use of energy products or services is material to their business. A decrease in energy use due to weather changes may affect some of our portfolio companies’ financial condition, through decreased revenues. Extreme weather conditions in general require more system backup, adding to costs, and can contribute to increased system stresses, including service interruptions.</w:t>
      </w:r>
    </w:p>
    <w:p>
      <w:pPr>
        <w:spacing w:after="0" w:line="2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investments in foreign securities may involve significant risks in addition to the risks inherent in U.S. investments.</w:t>
      </w:r>
    </w:p>
    <w:p>
      <w:pPr>
        <w:spacing w:after="0" w:line="11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Our investment strategy contemplates potential investments in securities of companies located outside of the United States. Investments in securities located outside of the United States would not be qualifying assets under Section 55(a) of the 1940 Act. Investing in companies located outside of the United States may expose us to</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additional risks not typically associated with investing in U.S. companies. These risks include changes in exchange control regulations, political and social instability, expropriation, imposition of foreign taxes, less liquid markets and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w:t>
      </w:r>
    </w:p>
    <w:p>
      <w:pPr>
        <w:spacing w:after="0" w:line="18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Although most of our investments will be U.S. dollar-denominated, any investments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currencies, long-term opportunities for investment and capital appreciation, and political developments. We may employ hedging techniques to minimize these risks, but we can offer no assurance that we will, in fact, hedge currency risk or, that if we do, such strategies will be effective.</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expose ourselves to risks if we engage in hedging transactions.</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If we engage in hedging transactions, we may expose ourselves to risks associated with such transactions. We may borrow under a credit facility in currencies selected to minimize our foreign currency exposure or, to the extent permitted by the 1940 Act and applicable commodities laws, use instruments such as forward contracts, currency options and interest rate swaps, caps, collars and floors to seek to hedge against fluctuations in the relative values of our portfolio positions from changes in currency exchange rates and market interest rates. Hedging against a decline in the values of our portfolio positions does not eliminate the possibility of fluctuations in the values of such positions or prevent losses if the values of such positions decline. 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should increase. Moreover, it may not be possible to hedge against an exchange rate or interest rate fluctuation that is so generally anticipated that we are not able to enter into a hedging transaction at an acceptable price.</w:t>
      </w:r>
    </w:p>
    <w:p>
      <w:pPr>
        <w:spacing w:after="0" w:line="182"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While we may enter into such transactions to seek to reduce currency exchange rate and interest rate risks, unanticipated changes in currency exchange rates or interest rates may result in poorer overall investment performance than if we had not engaged in any such hedging transactions. In addition, the degree of correlation between price movements of the instruments used in a hedging strategy and price movements in the portfolio positions being hedged may vary. Moreover, for a variety of reasons, we may not seek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 Our ability to engage in hedging transactions may also be adversely affected by recent rules adopted by the Commodity Futures Trading Commission.</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Any investments in distressed debt may not produce income and may require us to bear large expenses in order to protect and recover our investment.</w:t>
      </w:r>
    </w:p>
    <w:p>
      <w:pPr>
        <w:spacing w:after="0" w:line="15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Distressed debt investments may not produce income and may require us to bear certain additional expenses in order to protect and recover our investment. Therefore, to the extent we invest in distressed debt, our ability to achieve current income for our stockholders may be diminished. We also will be subject to significant uncertainty as to when and in what manner and for what value the distressed debt we invest will eventually be satisfied (e.g., through liquidation of the obligor’s assets, an exchange offer or plan of reorganization involving the distressed debt securities or a payment of some amount in satisfaction of the obligation). In addition, even if an exchange offer is made or plan of reorganization is adopted with respect to distressed debt we hold, there can</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be no assurance that the securities or other assets received by us in connection with such exchange offer or plan of reorganization will not have a lower value or income potential than may have been anticipated when the investment was made. Moreover, any securities received by us upon completion of an exchange offer or plan of reorganization may be restricted as to resale. If we participate in negotiations with respect to any exchange offer or plan of reorganization with respect to an issuer of distressed debt, we may be restricted from disposing of such securities.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AN INVESTMENT IN OUR COMMON STOCK</w:t>
      </w:r>
    </w:p>
    <w:p>
      <w:pPr>
        <w:spacing w:after="0" w:line="121" w:lineRule="exact"/>
        <w:rPr>
          <w:sz w:val="20"/>
          <w:szCs w:val="20"/>
          <w:color w:val="auto"/>
        </w:rPr>
      </w:pPr>
    </w:p>
    <w:p>
      <w:pPr>
        <w:jc w:val="both"/>
        <w:ind w:right="260" w:firstLine="228"/>
        <w:spacing w:after="0" w:line="340" w:lineRule="auto"/>
        <w:rPr>
          <w:sz w:val="20"/>
          <w:szCs w:val="20"/>
          <w:color w:val="auto"/>
        </w:rPr>
      </w:pPr>
      <w:r>
        <w:rPr>
          <w:rFonts w:ascii="Arial" w:cs="Arial" w:eastAsia="Arial" w:hAnsi="Arial"/>
          <w:sz w:val="15"/>
          <w:szCs w:val="15"/>
          <w:b w:val="1"/>
          <w:bCs w:val="1"/>
          <w:i w:val="1"/>
          <w:iCs w:val="1"/>
          <w:color w:val="auto"/>
        </w:rPr>
        <w:t>We may again obtain the approval of our stockholders to issue shares of our common stock at prices below the then current NAV per share of our common stock. If we receive such approval from stockholders in the future, we may again issue shares of our common stock at a price below the then current NAV per share of common stock. Any such issuance could materially dilute your interest in our common stock and reduce our NAV per share.</w:t>
      </w:r>
    </w:p>
    <w:p>
      <w:pPr>
        <w:spacing w:after="0" w:line="23"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We may again obtain the approval of our stockholders to issue shares of our common stock at prices below the then current NAV per share of our common stock in one or more offerings for a twelve-month period. Such approval has allowed, and may again allow, us to access the capital markets in a way that we typically are unable to do as a result of restrictions that, absent stockholder approval, apply to BDCs under the 1940 Act.</w:t>
      </w:r>
    </w:p>
    <w:p>
      <w:pPr>
        <w:spacing w:after="0" w:line="16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Any sale or other issuance of shares of our common stock at a price below NAV per share has resulted and will continue to result in an immediate dilution to your interest in our common stock and a reduction of our NAV value per share. This dilution would occur as a result of a proportionately greater decrease in a stockholder’s interest in our earnings and assets and voting interest in us than the increase in our assets resulting from such issuance. Because the number of future shares of common stock that may be issued below our NAV per share and the price and timing of such issuances are not currently known, we cannot predict the actual dilutive effect of any such issuance. We also cannot determine the resulting reduction in our NAV per share of any such issuance at this time. We caution you that such effects may be material, and we undertake to describe all the material risks and dilutive effects of any offering that we make at a price below our then current NAV in the future in a prospectus supplement issued in connection with any such offering.</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There is a risk that our stockholders may not receive distributions or that our distributions may not grow over time.</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We intend to make distributions on a quarterly basis to our stockholders out of assets legally available for distribution. We cannot assure you that we will achieve investment results that will allow us to make a specified level of cash distributions or year-to-year increases in cash distributions. In addition, due to the asset coverage ratio applicable to us as a BDC, we may be limited in our ability to make distributions. Further, if more stockholders opt to receive cash distributions rather than participate in our dividend reinvestment plan, we may be forced to liquidate some of our investments and raise cash in order to make distribution payments, which could materially harm our business. Finally, to the extent we make distributions to stockholders which include a return of capital, that portion of the distribution essentially constitutes a return of the stockholders’ investment. Although such return of capital may not be taxable, such distributions may increase an investor’s tax liability for capital gains upon the future sale of our common stock.</w:t>
      </w:r>
    </w:p>
    <w:p>
      <w:pPr>
        <w:spacing w:after="0" w:line="2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Investing in our shares may involve an above average degree of risk.</w:t>
      </w:r>
    </w:p>
    <w:p>
      <w:pPr>
        <w:spacing w:after="0" w:line="117"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The investments we make in accordance with our investment objectives may result in a higher amount of risk and volatility than alternative investment options or loss of principal. Our investments in portfolio companies may be highly speculative and aggressive and therefore, an investment in our shares may not be suitable for someone with lower risk tolerance.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allocate the net proceeds from an offering of securities in ways with which you may not agree.</w:t>
      </w:r>
    </w:p>
    <w:p>
      <w:pPr>
        <w:spacing w:after="0" w:line="11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We have significant flexibility in investing the net proceeds of any offering of our securities and may use the net proceeds from an offering in ways with which you may not agree or for purposes other than those contemplated at the time of the offering.</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shares may trade at discounts from NAV or at premiums that are unsustainable over the long term.</w:t>
      </w:r>
    </w:p>
    <w:p>
      <w:pPr>
        <w:spacing w:after="0" w:line="117"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Shares of BDCs may trade at a market price that is less than the NAV that is attributable to those shares. Our shares have traded above and below our NAV. Our shares closed on the NASDAQ Global Select Market at $11.28 and $10.61 as of September 30, 2013 and 2012, respectively. Our NAV per share was $10.49 and $10.22 as of September 30, 2013 and 2012, respectively.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NAV in the future.</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market price of our common stock may fluctuate significantly.</w:t>
      </w:r>
    </w:p>
    <w:p>
      <w:pPr>
        <w:spacing w:after="0" w:line="11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76" w:lineRule="exact"/>
        <w:rPr>
          <w:sz w:val="20"/>
          <w:szCs w:val="20"/>
          <w:color w:val="auto"/>
        </w:rPr>
      </w:pPr>
    </w:p>
    <w:p>
      <w:pPr>
        <w:ind w:left="900" w:right="240" w:hanging="325"/>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securities of BDCs or other companies in our sector, which are not necessarily related to the operating performance of these companies;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regulatory policies or tax guidelines, particularly with respect to RICs, BDCs or SBICs;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loss of our BDC or RIC status or any loss of our subsidiaries’ SBIC licenses;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earnings or variations in operating results;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the value of our portfolio of investments;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shortfall in revenue or net income or any increase in losses from levels expected by investors or securities analysts;</w:t>
      </w:r>
    </w:p>
    <w:p>
      <w:pPr>
        <w:spacing w:after="0" w:line="130" w:lineRule="exact"/>
        <w:rPr>
          <w:rFonts w:ascii="Arial" w:cs="Arial" w:eastAsia="Arial" w:hAnsi="Arial"/>
          <w:sz w:val="18"/>
          <w:szCs w:val="18"/>
          <w:color w:val="auto"/>
        </w:rPr>
      </w:pPr>
    </w:p>
    <w:p>
      <w:pPr>
        <w:ind w:left="900" w:right="340" w:hanging="325"/>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inability of our Investment Adviser to employ additional experienced investment professionals or the departure of any of the Investment Adviser’s key personnel;</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operating performance of companies comparable to us;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general economic trends and other external factors;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conversion features of subscription rights, warrants or convertible debt;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loss of a major funding source.</w:t>
      </w:r>
    </w:p>
    <w:p>
      <w:pPr>
        <w:spacing w:after="0" w:line="225" w:lineRule="exact"/>
        <w:rPr>
          <w:sz w:val="20"/>
          <w:szCs w:val="20"/>
          <w:color w:val="auto"/>
        </w:rPr>
      </w:pPr>
    </w:p>
    <w:p>
      <w:pPr>
        <w:ind w:right="180" w:firstLine="571"/>
        <w:spacing w:after="0" w:line="277" w:lineRule="auto"/>
        <w:rPr>
          <w:sz w:val="20"/>
          <w:szCs w:val="20"/>
          <w:color w:val="auto"/>
        </w:rPr>
      </w:pPr>
      <w:r>
        <w:rPr>
          <w:rFonts w:ascii="Arial" w:cs="Arial" w:eastAsia="Arial" w:hAnsi="Arial"/>
          <w:sz w:val="18"/>
          <w:szCs w:val="18"/>
          <w:color w:val="auto"/>
        </w:rPr>
        <w:t>Since our initial listing on the NASDAQ Global Select Market, our shares of common stock have traded at a wide range of prices. We can offer no assurance that our shares of common stock will not display similar volatility in future periods.</w:t>
      </w:r>
    </w:p>
    <w:p>
      <w:pPr>
        <w:spacing w:after="0" w:line="279" w:lineRule="exact"/>
        <w:rPr>
          <w:sz w:val="20"/>
          <w:szCs w:val="20"/>
          <w:color w:val="auto"/>
        </w:rPr>
      </w:pPr>
    </w:p>
    <w:p>
      <w:pPr>
        <w:ind w:right="380" w:firstLine="228"/>
        <w:spacing w:after="0" w:line="277" w:lineRule="auto"/>
        <w:rPr>
          <w:sz w:val="20"/>
          <w:szCs w:val="20"/>
          <w:color w:val="auto"/>
        </w:rPr>
      </w:pPr>
      <w:r>
        <w:rPr>
          <w:rFonts w:ascii="Arial" w:cs="Arial" w:eastAsia="Arial" w:hAnsi="Arial"/>
          <w:sz w:val="18"/>
          <w:szCs w:val="18"/>
          <w:b w:val="1"/>
          <w:bCs w:val="1"/>
          <w:i w:val="1"/>
          <w:iCs w:val="1"/>
          <w:color w:val="auto"/>
        </w:rPr>
        <w:t>We may be unable to invest the net proceeds raised from offerings on acceptable terms, which would harm our financial condition and operating results.</w:t>
      </w:r>
    </w:p>
    <w:p>
      <w:pPr>
        <w:spacing w:after="0" w:line="62" w:lineRule="exact"/>
        <w:rPr>
          <w:sz w:val="20"/>
          <w:szCs w:val="20"/>
          <w:color w:val="auto"/>
        </w:rPr>
      </w:pPr>
    </w:p>
    <w:p>
      <w:pPr>
        <w:ind w:right="240" w:firstLine="456"/>
        <w:spacing w:after="0" w:line="312" w:lineRule="auto"/>
        <w:rPr>
          <w:sz w:val="20"/>
          <w:szCs w:val="20"/>
          <w:color w:val="auto"/>
        </w:rPr>
      </w:pPr>
      <w:r>
        <w:rPr>
          <w:rFonts w:ascii="Arial" w:cs="Arial" w:eastAsia="Arial" w:hAnsi="Arial"/>
          <w:sz w:val="16"/>
          <w:szCs w:val="16"/>
          <w:color w:val="auto"/>
        </w:rPr>
        <w:t>Until we identify new investment opportunities, we intend to either invest the net proceeds of future offerings in cash equivalents, U.S. government securities and other high-quality debt investments that mature in one year or less or use the net proceeds from such offerings to reduce then-outstanding obligations under our Credit Facility. We cannot assure you that we will be able to find enough appropriate investments that meet our</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20"/>
          </w:cols>
          <w:pgMar w:left="240" w:top="459" w:right="3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investment criteria or that any investment we complete using the proceeds from an offering will produce a sufficient return.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SBA also limits an SBIC’s choices to invest idle funds to the following types of securities:</w:t>
      </w:r>
    </w:p>
    <w:p>
      <w:pPr>
        <w:spacing w:after="0" w:line="131" w:lineRule="exact"/>
        <w:rPr>
          <w:sz w:val="20"/>
          <w:szCs w:val="20"/>
          <w:color w:val="auto"/>
        </w:rPr>
      </w:pPr>
    </w:p>
    <w:p>
      <w:pPr>
        <w:ind w:left="900" w:hanging="325"/>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direct obligations of, or obligations guaranteed as to principal and interest by, the U.S. government, which mature within 15 months from the date of the investment;</w:t>
      </w:r>
    </w:p>
    <w:p>
      <w:pPr>
        <w:spacing w:after="0" w:line="75" w:lineRule="exact"/>
        <w:rPr>
          <w:rFonts w:ascii="Arial" w:cs="Arial" w:eastAsia="Arial" w:hAnsi="Arial"/>
          <w:sz w:val="18"/>
          <w:szCs w:val="18"/>
          <w:color w:val="auto"/>
        </w:rPr>
      </w:pPr>
    </w:p>
    <w:p>
      <w:pPr>
        <w:ind w:left="900" w:right="440" w:hanging="325"/>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repurchase agreements with federally insured institutions with a maturity of seven days or less (and the securities underlying the repurchase obligations must be direct obligations of or guaranteed by the federal government);</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certificates of deposit with a maturity of one year or less, issued by a federally insured institution;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deposit account in a federally insured institution that is subject to a withdrawal restriction of one year or less.</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Sales of substantial amounts of our securities may have an adverse effect on the market price of our securities.</w:t>
      </w:r>
    </w:p>
    <w:p>
      <w:pPr>
        <w:spacing w:after="0" w:line="117" w:lineRule="exact"/>
        <w:rPr>
          <w:sz w:val="20"/>
          <w:szCs w:val="20"/>
          <w:color w:val="auto"/>
        </w:rPr>
      </w:pPr>
    </w:p>
    <w:p>
      <w:pPr>
        <w:ind w:right="180" w:firstLine="456"/>
        <w:spacing w:after="0" w:line="342" w:lineRule="auto"/>
        <w:rPr>
          <w:sz w:val="20"/>
          <w:szCs w:val="20"/>
          <w:color w:val="auto"/>
        </w:rPr>
      </w:pPr>
      <w:r>
        <w:rPr>
          <w:rFonts w:ascii="Arial" w:cs="Arial" w:eastAsia="Arial" w:hAnsi="Arial"/>
          <w:sz w:val="16"/>
          <w:szCs w:val="16"/>
          <w:color w:val="auto"/>
        </w:rPr>
        <w:t>Sales of substantial amounts of our securities, or the availability of such securities for sale, could adversely affect the prevailing market prices for our securities. If this occurs and continues it could impair our ability to raise additional capital through the sale of securities should we desire to do so.</w:t>
      </w:r>
    </w:p>
    <w:p>
      <w:pPr>
        <w:spacing w:after="0" w:line="2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You may have current tax liabilities on distributions you reinvest in our common stock.</w:t>
      </w:r>
    </w:p>
    <w:p>
      <w:pPr>
        <w:spacing w:after="0" w:line="11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Under the dividend reinvestment plan, if you own shares of our common stock registered in your own name, you will have all cash distributions automatically reinvested in additional shares of our common stock unless you opt out of the dividend reinvestment plan by delivering a written notice to the plan administrator prior to the record date of the next dividend or distribution. If you have not “opted out” of the dividend reinvestment plan, you will be deemed to have received, and for federal income tax purposes will be taxed on, the amount reinvested in our common stock to the extent the amount reinvested was not a tax-free return of capital. As a result, you may have to use funds from other sources to pay your federal income tax liability on the value of the common stock received. See “Management’s Discussion and Analysis of Financial Condition and Results of Operations—Liquidity and Capital Resources—Distributions” for more information.</w:t>
      </w:r>
    </w:p>
    <w:p>
      <w:pPr>
        <w:spacing w:after="0" w:line="297" w:lineRule="exact"/>
        <w:rPr>
          <w:sz w:val="20"/>
          <w:szCs w:val="20"/>
          <w:color w:val="auto"/>
        </w:rPr>
      </w:pPr>
    </w:p>
    <w:p>
      <w:pPr>
        <w:ind w:right="220" w:firstLine="228"/>
        <w:spacing w:after="0" w:line="277" w:lineRule="auto"/>
        <w:rPr>
          <w:sz w:val="20"/>
          <w:szCs w:val="20"/>
          <w:color w:val="auto"/>
        </w:rPr>
      </w:pPr>
      <w:r>
        <w:rPr>
          <w:rFonts w:ascii="Arial" w:cs="Arial" w:eastAsia="Arial" w:hAnsi="Arial"/>
          <w:sz w:val="18"/>
          <w:szCs w:val="18"/>
          <w:b w:val="1"/>
          <w:bCs w:val="1"/>
          <w:i w:val="1"/>
          <w:iCs w:val="1"/>
          <w:color w:val="auto"/>
        </w:rPr>
        <w:t>There is a risk that our common stockholders may receive our stock as distributions in which case they may be required to pay taxes in excess of the cash they receive.</w:t>
      </w:r>
    </w:p>
    <w:p>
      <w:pPr>
        <w:spacing w:after="0" w:line="62"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may distribute our common stock as a dividend of our taxable income and a stockholder could receive a portion of the distributions declared and distributed by us in shares of our common stock with the remaining amount in cash. A stockholder will be considered to have recognized dividend income equal to the fair market value of the stock paid by us plus cash received with respect to such dividend. The total dividend declared would be taxable income to a stockholder even though he or she may only receive a relatively small portion of the dividend in cash to pay any taxes due on the dividend. We have not elected to distribute stock as a dividend but reserve the right to do so.</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incur significant costs as a result of being a publicly traded company.</w:t>
      </w:r>
    </w:p>
    <w:p>
      <w:pPr>
        <w:spacing w:after="0" w:line="11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As a publicly traded company, we incur legal, accounting and other expenses, including costs associated with the periodic reporting requirements applicable to a company whose securities are registered under the Securities Exchange Act of 1934, as amended, or the Exchange Act, as well as additional corporate governance requirements, including requirements under the Sarbanes Oxley Act, and other rules implemented by the SEC and the listing standards of the NASDAQ Stock Market LLC and the NYSE.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228"/>
        <w:spacing w:after="0" w:line="277" w:lineRule="auto"/>
        <w:rPr>
          <w:sz w:val="20"/>
          <w:szCs w:val="20"/>
          <w:color w:val="auto"/>
        </w:rPr>
      </w:pPr>
      <w:r>
        <w:rPr>
          <w:rFonts w:ascii="Arial" w:cs="Arial" w:eastAsia="Arial" w:hAnsi="Arial"/>
          <w:sz w:val="18"/>
          <w:szCs w:val="18"/>
          <w:b w:val="1"/>
          <w:bCs w:val="1"/>
          <w:i w:val="1"/>
          <w:iCs w:val="1"/>
          <w:color w:val="auto"/>
        </w:rPr>
        <w:t>Provisions of the Maryland General Corporation Law and of our charter and bylaws could deter takeover attempts and have an adverse impact on the price of our common stock.</w:t>
      </w:r>
    </w:p>
    <w:p>
      <w:pPr>
        <w:spacing w:after="0" w:line="62"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The Maryland General Corporation Law, our charter and our bylaws contain provisions that may discourage, delay or make more difficult a change in control of us or the removal of our directors. We are subject to the Maryland Business Combination Act, the application of which is subject to any applicable requirements of the 1940 Act. Our board of directors has adopted a resolution exempting from the Business Combination Act any business combination between us and any other person, subject to prior approval of such business combination by our board, including approval by a majority of our disinterested directors. If the resolution exempting business combinations is repealed or our board does not approve a business combination, the Business Combination Act may discourage third parties from trying to acquire control of us and increase the difficulty of consummating such an offer.</w:t>
      </w:r>
    </w:p>
    <w:p>
      <w:pPr>
        <w:spacing w:after="0" w:line="165"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In addition, our bylaws exempt from the Maryland Control Share Acquisition Act acquisitions of our common stock by any person. If we amend our bylaws to repeal the exemption from such act, it may make it more difficult for a third party to obtain control of us and increase the difficulty of consummating such an offer. Our bylaws require us to consult with the SEC staff before we repeal such exemption. Also, our charter provides for classifying our board of directors in three classes serving staggered three-year terms, and provisions of our charter authorize our board of directors to classify or reclassify shares of our stock in one or more classes or series, to cause the issuance of additional shares of our stock, and to amend our charter, without stockholder approval, to increase or decrease the number of shares of stock that we have authority to issue.</w:t>
      </w:r>
    </w:p>
    <w:p>
      <w:pPr>
        <w:spacing w:after="0" w:line="178"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These anti-takeover provisions may inhibit a change of control in circumstances that could give our stockholders the opportunity to realize a premium over the market price for our common stock.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AN INVESTMENT IN OUR DEBT SECURITIES</w:t>
      </w:r>
    </w:p>
    <w:p>
      <w:pPr>
        <w:spacing w:after="0" w:line="121" w:lineRule="exact"/>
        <w:rPr>
          <w:sz w:val="20"/>
          <w:szCs w:val="20"/>
          <w:color w:val="auto"/>
        </w:rPr>
      </w:pPr>
    </w:p>
    <w:p>
      <w:pPr>
        <w:ind w:right="140" w:firstLine="228"/>
        <w:spacing w:after="0" w:line="277" w:lineRule="auto"/>
        <w:rPr>
          <w:sz w:val="20"/>
          <w:szCs w:val="20"/>
          <w:color w:val="auto"/>
        </w:rPr>
      </w:pPr>
      <w:r>
        <w:rPr>
          <w:rFonts w:ascii="Arial" w:cs="Arial" w:eastAsia="Arial" w:hAnsi="Arial"/>
          <w:sz w:val="18"/>
          <w:szCs w:val="18"/>
          <w:b w:val="1"/>
          <w:bCs w:val="1"/>
          <w:i w:val="1"/>
          <w:iCs w:val="1"/>
          <w:color w:val="auto"/>
        </w:rPr>
        <w:t>The 2025 Notes are unsecured and therefore are effectively subordinated to any secured indebtedness we have currently incurred or may incur in the future.</w:t>
      </w:r>
    </w:p>
    <w:p>
      <w:pPr>
        <w:spacing w:after="0" w:line="62"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2025 Notes are not secured by any of our assets or any of the assets of our subsidiaries. As a result, the 2025 Notes are effectively subordinated to any secured indebtedness we or our subsidiaries have currently incurred and may incur in the future (or any indebtedness that is initially unsecured to which we subsequently grant security) to the extent of the value of the assets securing such indebtedness. In any liquidation, dissolution, bankruptcy or other similar proceeding, the holders of any of our existing or future secured indebtedness and the secured indebtedness of our subsidiaries may assert rights against the assets pledged to secure that indebtedness in order to receive full payment of their indebtedness before the assets may be used to pay other creditors, including the holders of the 2025 Notes. As of September 30, 2013, we had $145.5 million outstanding under the Credit Facility. The Credit Facility is secured by substantially all of the assets in our portfolio (other than assets held by our SBIC Funds), and the indebtedness under the Credit Facility is therefore effectively senior in right of payment to the 2025 Notes to the extent of the value of such assets.</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2025 Notes are structurally subordinated to the indebtedness and other liabilities of our subsidiaries.</w:t>
      </w:r>
    </w:p>
    <w:p>
      <w:pPr>
        <w:spacing w:after="0" w:line="11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2025 Notes are obligations exclusively of PennantPark Investment Corporation and not of any of our subsidiaries. None of our subsidiaries are or act as guarantors of the 2025 Notes and the 2025 Notes are not required to be guaranteed by any subsidiaries we may acquire or create in the future. Our secured indebtedness with respect to the SBA debentures is held through our SBIC Funds. The assets of any such subsidiaries are not directly available to satisfy the claims of our creditors, including holders of the 2025 Notes.</w:t>
      </w:r>
    </w:p>
    <w:p>
      <w:pPr>
        <w:spacing w:after="0" w:line="187" w:lineRule="exact"/>
        <w:rPr>
          <w:sz w:val="20"/>
          <w:szCs w:val="20"/>
          <w:color w:val="auto"/>
        </w:rPr>
      </w:pPr>
    </w:p>
    <w:p>
      <w:pPr>
        <w:jc w:val="both"/>
        <w:ind w:right="280" w:firstLine="456"/>
        <w:spacing w:after="0" w:line="264" w:lineRule="auto"/>
        <w:rPr>
          <w:sz w:val="20"/>
          <w:szCs w:val="20"/>
          <w:color w:val="auto"/>
        </w:rPr>
      </w:pPr>
      <w:r>
        <w:rPr>
          <w:rFonts w:ascii="Arial" w:cs="Arial" w:eastAsia="Arial" w:hAnsi="Arial"/>
          <w:sz w:val="18"/>
          <w:szCs w:val="18"/>
          <w:color w:val="auto"/>
        </w:rPr>
        <w:t>Except to the extent we are a creditor with recognized claims against our subsidiaries, all claims of creditors (including holders of preferred stock, if any, of our subsidiaries) will have priority over our equity interests in such subsidiaries (and therefore the claims of our creditors, including holders of the 2025 Notes) with respect to</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assets of such subsidiaries. Even if we are recognized as a creditor of one or more of our subsidiaries, our claims would still be effectively subordinated to any security interests in the assets of any such subsidiary and to any indebtedness or other liabilities of any such subsidiary senior to our claims. Consequently, the 2025 Notes are structurally subordinated to all indebtedness and other liabilities (including trade payables) of our subsidiaries and any subsidiaries that we may in the future acquire or establish as financing vehicles or otherwise. As of September 30, 2013, SBIC LP had $150.0 million of SBA debentures outstanding. All of such indebtedness is structurally senior to the 2025 Notes. In addition, our subsidiaries may incur substantial additional indebtedness in the future, all of which would be structurally senior to the 2025 Notes.</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indenture under which the 2025 Notes were issued contains limited protection for holders of the 2025 Notes.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indenture under which the 2025 Notes were issued offers limited protection to holders of the 2025 Notes. The terms of the indenture and the 2025 Notes do not restrict our or any of our subsidiaries’ ability to engage in, or otherwise be a party to, a variety of corporate transactions, circumstances or events that could have an adverse impact on investment in the 2025 Notes. In particular, the terms of the indenture and the 2025 Notes do not place any restrictions on our or our subsidiaries’ ability to:</w:t>
      </w:r>
    </w:p>
    <w:p>
      <w:pPr>
        <w:spacing w:after="0" w:line="92" w:lineRule="exact"/>
        <w:rPr>
          <w:sz w:val="20"/>
          <w:szCs w:val="20"/>
          <w:color w:val="auto"/>
        </w:rPr>
      </w:pPr>
    </w:p>
    <w:p>
      <w:pPr>
        <w:ind w:left="900" w:right="40" w:hanging="325"/>
        <w:spacing w:after="0" w:line="254"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issue securities or otherwise incur additional indebtedness or other obligations, including (1) any indebtedness or other obligations that would be equal in right of payment to the 2025 Notes, (2) any indebtedness or other obligations that would be secured and therefore rank effectively senior in right of payment to the 2025 Notes to the extent of the values of the assets securing such debt, (3) indebtedness of ours that is guaranteed by one or more of our subsidiaries and which therefore would rank structurally senior to the 2025 Notes and (4) securities, indebtedness or other obligations issued or incurred by our subsidiaries that would be senior in right of payment to our equity interests in our subsidiaries and therefore would rank structurally senior in right of payment to the 2025 Notes with respect to the assets of our subsidiaries, in each case other than an incurrence of indebtedness or other obligation that would cause a violation of Section 18(a)(1)(A) as modified by Section 61(a)(1) of the 1940 Act or any successor provisions;</w:t>
      </w:r>
    </w:p>
    <w:p>
      <w:pPr>
        <w:spacing w:after="0" w:line="97" w:lineRule="exact"/>
        <w:rPr>
          <w:rFonts w:ascii="Arial" w:cs="Arial" w:eastAsia="Arial" w:hAnsi="Arial"/>
          <w:sz w:val="18"/>
          <w:szCs w:val="18"/>
          <w:color w:val="auto"/>
        </w:rPr>
      </w:pPr>
    </w:p>
    <w:p>
      <w:pPr>
        <w:ind w:left="900" w:right="600" w:hanging="325"/>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pay distributions on, or purchase or redeem or make any payments in respect of, capital stock or other securities ranking junior in right of payment to the 2025 Notes;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sell assets (other than certain limited restrictions on our ability to consolidate, merge or sell all or substantially all of our assets);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create liens (including liens on the shares of our subsidiaries) or enter into sale and leaseback transactions;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make investments;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create restrictions on the payment of distributions or other amounts to us from our subsidiaries.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addition, the indenture does not require us to offer to purchase the 2025 Notes in connection with a change of control or any other event.</w:t>
      </w:r>
    </w:p>
    <w:p>
      <w:pPr>
        <w:spacing w:after="0" w:line="237"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Furthermore, the terms of the indenture and the 2025 Notes do not protect holders of the 2025 Notes in the event that we experience changes (including significant adverse changes) in our financial condition, results of operations or credit ratings, as they do not require that we or our subsidiaries adhere to any financial tests or ratios or specified levels of net worth, revenues, income, cash flow or liquidity, except as required under the 1940 Act.</w:t>
      </w:r>
    </w:p>
    <w:p>
      <w:pPr>
        <w:spacing w:after="0" w:line="147"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Our ability to recapitalize, incur additional debt and take a number of other actions that are not limited by the terms of the 2025 Notes may have important consequences for a holder of the 2025 Notes, including making</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it more difficult for us to satisfy our obligations with respect to the 2025 Notes or negatively affecting the trading value of the 2025 Notes.</w:t>
      </w:r>
    </w:p>
    <w:p>
      <w:pPr>
        <w:spacing w:after="0" w:line="225"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Certain of our current debt instruments include more protections for their holders than the indenture and the 2025 Notes. In addition, other debt we issue or incur in the future could contain more protections for its holders than the indenture and the 2025 Notes, including additional covenants and events of default. The issuance or incurrence of any such debt with incremental protections could affect the market for and trading levels and prices of the 2025 Notes.</w:t>
      </w:r>
    </w:p>
    <w:p>
      <w:pPr>
        <w:spacing w:after="0" w:line="255" w:lineRule="exact"/>
        <w:rPr>
          <w:sz w:val="20"/>
          <w:szCs w:val="20"/>
          <w:color w:val="auto"/>
        </w:rPr>
      </w:pPr>
    </w:p>
    <w:p>
      <w:pPr>
        <w:jc w:val="both"/>
        <w:ind w:right="60" w:firstLine="228"/>
        <w:spacing w:after="0" w:line="264" w:lineRule="auto"/>
        <w:rPr>
          <w:sz w:val="20"/>
          <w:szCs w:val="20"/>
          <w:color w:val="auto"/>
        </w:rPr>
      </w:pPr>
      <w:r>
        <w:rPr>
          <w:rFonts w:ascii="Arial" w:cs="Arial" w:eastAsia="Arial" w:hAnsi="Arial"/>
          <w:sz w:val="18"/>
          <w:szCs w:val="18"/>
          <w:b w:val="1"/>
          <w:bCs w:val="1"/>
          <w:i w:val="1"/>
          <w:iCs w:val="1"/>
          <w:color w:val="auto"/>
        </w:rPr>
        <w:t>An active trading market for the 2025 Notes may not develop, which could limit the market price of the 2025 Notes or the ability of holders of the 2025 Notes to sell them. If a rating agency assigns the 2025 Notes a non-investment grade rating, the 2025 Notes may be subject to greater price volatility than similar securities without such a rating.</w:t>
      </w:r>
    </w:p>
    <w:p>
      <w:pPr>
        <w:spacing w:after="0" w:line="73"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have listed the 2025 Notes on the NYSE. However, we cannot provide any assurances that an active trading market will develop for the 2025 Notes or that holders of the 2025 Notes will be able to sell their 2025 Notes. The 2025 Notes may trade at a discount from their initial offering price depending on prevailing interest rates, the market for similar securities, our credit ratings, general economic conditions, our financial condition, performance and prospects and other factors. If a rating agency assigns the 2025 Notes a non-investment grade rating, the 2025 Notes may be subject to greater price volatility than securities of similar maturity without such a non-investment grade rating. The underwriters may discontinue any market-making in the 2025 Notes at any time at their sole discretion. Accordingly, we cannot assure holders of the 2025 Notes that a liquid trading market will develop for the 2025 Notes, that they will be able to sell their 2025 Notes at a particular time or that the price holders receive upon such sale will be favorable. To the extent an active trading market does not develop, the liquidity and trading price for the 2025 Notes may be harmed. Accordingly, holders of the 2025 Notes may be required to bear the financial risk of an investment in the 2025 Notes for an indefinite period of time.</w:t>
      </w:r>
    </w:p>
    <w:p>
      <w:pPr>
        <w:spacing w:after="0" w:line="29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FATCA withholding may apply to payments to certain foreign entities.</w:t>
      </w:r>
    </w:p>
    <w:p>
      <w:pPr>
        <w:spacing w:after="0" w:line="117"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Payments made under the 2025 Notes to a foreign financial institution or non-financial foreign entity (including such an institution or entity acting as an intermediary) may be subject to a U.S. withholding tax of 30% under a law (commonly known as “FATCA”) that was enacted in 2010. This tax may apply to certain payments of interest as well as payments made upon maturity, redemption, or sale of the 2025 Notes, unless the foreign financial institution or non-financial foreign entity complies with certain information reporting, withholding, identification, certification and related requirements imposed by FATCA. Holders of the 2025 Notes should consult their own tax advisors regarding FATCA and how it may affect their investment in the 2025 Notes.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This prospectus contains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in this prospectus involve risks and uncertainties, including statements as to:</w:t>
      </w:r>
    </w:p>
    <w:p>
      <w:pPr>
        <w:spacing w:after="0" w:line="52" w:lineRule="exact"/>
        <w:rPr>
          <w:sz w:val="20"/>
          <w:szCs w:val="20"/>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business prospects and the prospects of our prospective portfolio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impact of fluctuations in interest rates on our business and our portfolio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ability of our Investment Adviser to locate suitable investments for us and to monitor and administer our investments;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impact of future legislation and regulation on our business and our portfolio companies.</w:t>
      </w:r>
    </w:p>
    <w:p>
      <w:pPr>
        <w:spacing w:after="0" w:line="225"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We use words such as “anticipates,” “believes,” “expects,” “intends,” “seeks,” “plans,” “estimates” and similar expressions to identify forward-looking statements. You should not place undue influence on the forward looking statements as our actual results could differ materially from those projected in the forward-looking statements for any reason, including the factors set forth in “Risk Factors” and elsewhere in this prospectus.</w:t>
      </w:r>
    </w:p>
    <w:p>
      <w:pPr>
        <w:spacing w:after="0" w:line="166"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prospectus should not be regarded as a representation by us that our plans and objectives will be achieved.</w:t>
      </w:r>
    </w:p>
    <w:p>
      <w:pPr>
        <w:spacing w:after="0" w:line="18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have based the forward-looking statements included in this prospectus on information available to us on the date of this prospectus, and we assume no obligation to update any such forward-looking statements. Although we undertake no obligation to revise or update any forward-looking statements in this prospectus, whether as a result of new information, future events or otherwise, you are advised to consult any additional disclosures that we may make directly to you or through a supplemental prospectus that we in the future may file with SEC including annual and quarterly reports on Form 10-K/Q and current reports on Form 8-K.</w:t>
      </w:r>
    </w:p>
    <w:p>
      <w:pPr>
        <w:spacing w:after="0" w:line="188"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You should understand that, under Sections 27A(b)(2)(B) of the Securities Act of 1933, as amended, or the Securities Act, and Section 21E(b)(2)(B) of the Exchange Act, the “safe harbor” provisions of the Private Securities Litigation Reform Act of 1995, do not apply to forward-looking statements made in connection with any offering of securities pursuant to this prospectus or in periodic reports we file under the Exchange Act.</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60"/>
          </w:cols>
          <w:pgMar w:left="240" w:top="459" w:right="29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We may use the net proceeds from selling securities pursuant to this prospectus to reduce our then-outstanding obligations under our Credit Facility, to invest in new or existing portfolio companies, to form and capitalize a subsidiary or for other general corporate or strategic purposes. Any supplements to this prospectus relating to an offering may more fully identify the use of the proceeds from such offering.</w:t>
      </w:r>
    </w:p>
    <w:p>
      <w:pPr>
        <w:spacing w:after="0" w:line="18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As of September 30, 2013, we had $284.5 million of unused borrowing capacity, subject to maintenance of the applicable total assets to debt ratio, as set forth in the 1940 Act, and $145.5 million (including a temporary draw of $28.0 million) in borrowings outstanding under our $430.0 million Credit Facility. Borrowings under our Credit Facility bear interest at an annual rate equal to LIBOR plus 275 basis points per annum. At September 30, 2013, the weighted average interest rate on the Credit Facility was 3.33%. The Credit Facility is a revolving facility with a stated maturity date of February 21, 2016 and is secured by substantially all of the assets in our investment portfolio, excluding assets of our SBIC Funds. Amounts repaid under our Credit Facility remain available for future borrowings. See “Management’s Discussion and Analysis of Financial Condition and Results of Operations” for more information.</w:t>
      </w:r>
    </w:p>
    <w:p>
      <w:pPr>
        <w:spacing w:after="0" w:line="165"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We may invest the proceeds from an offering of securities in new or existing portfolio companies, and such investments may take up to a year from the closing of such offering, in part because privately negotiated investments in illiquid securities or private middle-market companies require substantial due diligence and structuring. During this period, we may use the net proceeds from our offering to reduce then-outstanding obligations under our Credit Facility, which may dilute our NAV per share,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non-temporary investments. As a result, any distributions we make during this investment period may be lower than the distributions that we would expect to pay when such proceeds are fully invested in non-temporary investments. See “Regulation—Temporary Investments” for more information.</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229"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have derived the financial information below from our audited and unaudited financial data and, in the opinion of management, such information reflects all adjustments (consisting of normal recurring adjustments) that are necessary to present fairly the results of such years. The Consolidated Statement of Operations data, Per share data and Consolidated Statement of Assets and Liabilities data for the prior five fiscal years are derived from our Consolidated Financial Statements which have been audited by KPMG LLP, an independent registered public accounting firm for those periods. These selected financial data should be read in conjunction with our Consolidated Financial Statements and related notes thereto and “Management’s Discussion and Analysis of Financial Condition and Results of Operations.”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7"/>
          </w:tcPr>
          <w:p>
            <w:pPr>
              <w:jc w:val="right"/>
              <w:ind w:right="660"/>
              <w:spacing w:after="0"/>
              <w:rPr>
                <w:sz w:val="20"/>
                <w:szCs w:val="20"/>
                <w:color w:val="auto"/>
              </w:rPr>
            </w:pPr>
            <w:r>
              <w:rPr>
                <w:rFonts w:ascii="Arial" w:cs="Arial" w:eastAsia="Arial" w:hAnsi="Arial"/>
                <w:sz w:val="14"/>
                <w:szCs w:val="14"/>
                <w:b w:val="1"/>
                <w:bCs w:val="1"/>
                <w:color w:val="auto"/>
              </w:rPr>
              <w:t>For the years ended September 30,</w:t>
            </w:r>
          </w:p>
        </w:tc>
        <w:tc>
          <w:tcPr>
            <w:tcW w:w="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820" w:type="dxa"/>
            <w:vAlign w:val="bottom"/>
          </w:tcPr>
          <w:p>
            <w:pPr>
              <w:jc w:val="right"/>
              <w:ind w:right="171"/>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2"/>
                <w:szCs w:val="12"/>
                <w:color w:val="auto"/>
              </w:rPr>
            </w:pPr>
          </w:p>
        </w:tc>
        <w:tc>
          <w:tcPr>
            <w:tcW w:w="900" w:type="dxa"/>
            <w:vAlign w:val="bottom"/>
            <w:gridSpan w:val="2"/>
          </w:tcPr>
          <w:p>
            <w:pPr>
              <w:jc w:val="right"/>
              <w:ind w:right="188"/>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2"/>
                <w:szCs w:val="12"/>
                <w:color w:val="auto"/>
              </w:rPr>
            </w:pPr>
          </w:p>
        </w:tc>
        <w:tc>
          <w:tcPr>
            <w:tcW w:w="780" w:type="dxa"/>
            <w:vAlign w:val="bottom"/>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2011</w:t>
            </w:r>
          </w:p>
        </w:tc>
        <w:tc>
          <w:tcPr>
            <w:tcW w:w="340" w:type="dxa"/>
            <w:vAlign w:val="bottom"/>
          </w:tcPr>
          <w:p>
            <w:pPr>
              <w:spacing w:after="0"/>
              <w:rPr>
                <w:sz w:val="12"/>
                <w:szCs w:val="12"/>
                <w:color w:val="auto"/>
              </w:rPr>
            </w:pPr>
          </w:p>
        </w:tc>
        <w:tc>
          <w:tcPr>
            <w:tcW w:w="700" w:type="dxa"/>
            <w:vAlign w:val="bottom"/>
          </w:tcPr>
          <w:p>
            <w:pPr>
              <w:jc w:val="right"/>
              <w:ind w:right="111"/>
              <w:spacing w:after="0" w:line="142" w:lineRule="exact"/>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12"/>
                <w:szCs w:val="12"/>
                <w:color w:val="auto"/>
              </w:rPr>
            </w:pPr>
          </w:p>
        </w:tc>
        <w:tc>
          <w:tcPr>
            <w:tcW w:w="76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(Dollar amounts in thousands, except per share data)</w:t>
            </w: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b w:val="1"/>
                <w:bCs w:val="1"/>
                <w:color w:val="auto"/>
              </w:rPr>
              <w:t>Consolidated Statement of Operations data:</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  129,187</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113,392</w:t>
            </w: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$ 91,738</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6"/>
              </w:rPr>
              <w:t>$ 60,140</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$ 45,119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Total expenses</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62,189</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56,323</w:t>
            </w:r>
          </w:p>
        </w:tc>
        <w:tc>
          <w:tcPr>
            <w:tcW w:w="1120" w:type="dxa"/>
            <w:vAlign w:val="bottom"/>
            <w:gridSpan w:val="3"/>
          </w:tcPr>
          <w:p>
            <w:pPr>
              <w:jc w:val="right"/>
              <w:ind w:right="340"/>
              <w:spacing w:after="0"/>
              <w:rPr>
                <w:sz w:val="20"/>
                <w:szCs w:val="20"/>
                <w:color w:val="auto"/>
              </w:rPr>
            </w:pPr>
            <w:r>
              <w:rPr>
                <w:rFonts w:ascii="Arial" w:cs="Arial" w:eastAsia="Arial" w:hAnsi="Arial"/>
                <w:sz w:val="18"/>
                <w:szCs w:val="18"/>
                <w:color w:val="auto"/>
              </w:rPr>
              <w:t>39,093</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28,065</w:t>
            </w: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22,400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66,998</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57,069</w:t>
            </w: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52,645</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32,075</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22,719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Net realized and unrealized gain (loss)</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24,780</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6,284</w:t>
            </w:r>
          </w:p>
        </w:tc>
        <w:tc>
          <w:tcPr>
            <w:tcW w:w="1120" w:type="dxa"/>
            <w:vAlign w:val="bottom"/>
            <w:gridSpan w:val="3"/>
          </w:tcPr>
          <w:p>
            <w:pPr>
              <w:jc w:val="right"/>
              <w:ind w:right="280"/>
              <w:spacing w:after="0"/>
              <w:rPr>
                <w:sz w:val="20"/>
                <w:szCs w:val="20"/>
                <w:color w:val="auto"/>
              </w:rPr>
            </w:pPr>
            <w:r>
              <w:rPr>
                <w:rFonts w:ascii="Arial" w:cs="Arial" w:eastAsia="Arial" w:hAnsi="Arial"/>
                <w:sz w:val="18"/>
                <w:szCs w:val="18"/>
                <w:color w:val="auto"/>
              </w:rPr>
              <w:t>(42,382)</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(15,539)</w:t>
            </w: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13,083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91,778</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63,353</w:t>
            </w: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10,263</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16,535</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35,802</w:t>
            </w:r>
          </w:p>
        </w:tc>
        <w:tc>
          <w:tcPr>
            <w:tcW w:w="0" w:type="dxa"/>
            <w:vAlign w:val="bottom"/>
          </w:tcPr>
          <w:p>
            <w:pPr>
              <w:spacing w:after="0"/>
              <w:rPr>
                <w:sz w:val="1"/>
                <w:szCs w:val="1"/>
                <w:color w:val="auto"/>
              </w:rPr>
            </w:pPr>
          </w:p>
        </w:tc>
      </w:tr>
      <w:tr>
        <w:trPr>
          <w:trHeight w:val="324"/>
        </w:trPr>
        <w:tc>
          <w:tcPr>
            <w:tcW w:w="6260" w:type="dxa"/>
            <w:vAlign w:val="bottom"/>
            <w:gridSpan w:val="2"/>
          </w:tcPr>
          <w:p>
            <w:pPr>
              <w:spacing w:after="0"/>
              <w:rPr>
                <w:sz w:val="20"/>
                <w:szCs w:val="20"/>
                <w:color w:val="auto"/>
              </w:rPr>
            </w:pPr>
            <w:r>
              <w:rPr>
                <w:rFonts w:ascii="Arial" w:cs="Arial" w:eastAsia="Arial" w:hAnsi="Arial"/>
                <w:sz w:val="18"/>
                <w:szCs w:val="18"/>
                <w:b w:val="1"/>
                <w:bCs w:val="1"/>
                <w:color w:val="auto"/>
              </w:rPr>
              <w:t>Per share data:</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(at year end)</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10.49</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10.22</w:t>
            </w: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10.13</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10.69</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Net investment income</w:t>
            </w:r>
            <w:r>
              <w:rPr>
                <w:rFonts w:ascii="Arial" w:cs="Arial" w:eastAsia="Arial" w:hAnsi="Arial"/>
                <w:sz w:val="15"/>
                <w:szCs w:val="15"/>
                <w:color w:val="auto"/>
              </w:rPr>
              <w:t>(1)</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1.01</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1.08</w:t>
            </w:r>
          </w:p>
        </w:tc>
        <w:tc>
          <w:tcPr>
            <w:tcW w:w="1120" w:type="dxa"/>
            <w:vAlign w:val="bottom"/>
            <w:gridSpan w:val="3"/>
          </w:tcPr>
          <w:p>
            <w:pPr>
              <w:jc w:val="right"/>
              <w:ind w:right="340"/>
              <w:spacing w:after="0"/>
              <w:rPr>
                <w:sz w:val="20"/>
                <w:szCs w:val="20"/>
                <w:color w:val="auto"/>
              </w:rPr>
            </w:pPr>
            <w:r>
              <w:rPr>
                <w:rFonts w:ascii="Arial" w:cs="Arial" w:eastAsia="Arial" w:hAnsi="Arial"/>
                <w:sz w:val="18"/>
                <w:szCs w:val="18"/>
                <w:color w:val="auto"/>
              </w:rPr>
              <w:t>1.25</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1.09</w:t>
            </w: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r>
              <w:rPr>
                <w:rFonts w:ascii="Arial" w:cs="Arial" w:eastAsia="Arial" w:hAnsi="Arial"/>
                <w:sz w:val="15"/>
                <w:szCs w:val="15"/>
                <w:color w:val="auto"/>
              </w:rPr>
              <w:t>(1)</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0.38</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0.12</w:t>
            </w:r>
          </w:p>
        </w:tc>
        <w:tc>
          <w:tcPr>
            <w:tcW w:w="1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(1.01)</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(0.53)</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Net increase in net assets resulting from operations</w:t>
            </w:r>
            <w:r>
              <w:rPr>
                <w:rFonts w:ascii="Arial" w:cs="Arial" w:eastAsia="Arial" w:hAnsi="Arial"/>
                <w:sz w:val="15"/>
                <w:szCs w:val="15"/>
                <w:color w:val="auto"/>
              </w:rPr>
              <w:t>(1)</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1.39</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1.20</w:t>
            </w:r>
          </w:p>
        </w:tc>
        <w:tc>
          <w:tcPr>
            <w:tcW w:w="1120" w:type="dxa"/>
            <w:vAlign w:val="bottom"/>
            <w:gridSpan w:val="3"/>
          </w:tcPr>
          <w:p>
            <w:pPr>
              <w:jc w:val="right"/>
              <w:ind w:right="340"/>
              <w:spacing w:after="0"/>
              <w:rPr>
                <w:sz w:val="20"/>
                <w:szCs w:val="20"/>
                <w:color w:val="auto"/>
              </w:rPr>
            </w:pPr>
            <w:r>
              <w:rPr>
                <w:rFonts w:ascii="Arial" w:cs="Arial" w:eastAsia="Arial" w:hAnsi="Arial"/>
                <w:sz w:val="18"/>
                <w:szCs w:val="18"/>
                <w:color w:val="auto"/>
              </w:rPr>
              <w:t>0.24</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0.56</w:t>
            </w: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Distributions declared</w:t>
            </w:r>
            <w:r>
              <w:rPr>
                <w:rFonts w:ascii="Arial" w:cs="Arial" w:eastAsia="Arial" w:hAnsi="Arial"/>
                <w:sz w:val="15"/>
                <w:szCs w:val="15"/>
                <w:color w:val="auto"/>
              </w:rPr>
              <w:t>(1),(2)</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1.13</w:t>
            </w: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1.10</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r>
        <w:trPr>
          <w:trHeight w:val="324"/>
        </w:trPr>
        <w:tc>
          <w:tcPr>
            <w:tcW w:w="6260" w:type="dxa"/>
            <w:vAlign w:val="bottom"/>
            <w:gridSpan w:val="2"/>
          </w:tcPr>
          <w:p>
            <w:pPr>
              <w:spacing w:after="0"/>
              <w:rPr>
                <w:sz w:val="20"/>
                <w:szCs w:val="20"/>
                <w:color w:val="auto"/>
              </w:rPr>
            </w:pPr>
            <w:r>
              <w:rPr>
                <w:rFonts w:ascii="Arial" w:cs="Arial" w:eastAsia="Arial" w:hAnsi="Arial"/>
                <w:sz w:val="18"/>
                <w:szCs w:val="18"/>
                <w:b w:val="1"/>
                <w:bCs w:val="1"/>
                <w:color w:val="auto"/>
              </w:rPr>
              <w:t>Consolidated Statement of Assets and Liabilities data:</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1,153,327</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1,018,968</w:t>
            </w: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928,738</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711,494</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512,381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Total investment portfolio</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1,078,176</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990,480</w:t>
            </w:r>
          </w:p>
        </w:tc>
        <w:tc>
          <w:tcPr>
            <w:tcW w:w="1120" w:type="dxa"/>
            <w:vAlign w:val="bottom"/>
            <w:gridSpan w:val="3"/>
          </w:tcPr>
          <w:p>
            <w:pPr>
              <w:jc w:val="right"/>
              <w:ind w:right="340"/>
              <w:spacing w:after="0"/>
              <w:rPr>
                <w:sz w:val="20"/>
                <w:szCs w:val="20"/>
                <w:color w:val="auto"/>
              </w:rPr>
            </w:pPr>
            <w:r>
              <w:rPr>
                <w:rFonts w:ascii="Arial" w:cs="Arial" w:eastAsia="Arial" w:hAnsi="Arial"/>
                <w:sz w:val="18"/>
                <w:szCs w:val="18"/>
                <w:color w:val="auto"/>
              </w:rPr>
              <w:t>827,549</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664,724</w:t>
            </w: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469,760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Borrowings outstanding</w:t>
            </w:r>
            <w:r>
              <w:rPr>
                <w:rFonts w:ascii="Arial" w:cs="Arial" w:eastAsia="Arial" w:hAnsi="Arial"/>
                <w:sz w:val="15"/>
                <w:szCs w:val="15"/>
                <w:color w:val="auto"/>
              </w:rPr>
              <w:t>(3)</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363,900</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294,452</w:t>
            </w: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388,792</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233,641</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175,475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Total NAV</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697,506</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669,717</w:t>
            </w:r>
          </w:p>
        </w:tc>
        <w:tc>
          <w:tcPr>
            <w:tcW w:w="1120" w:type="dxa"/>
            <w:vAlign w:val="bottom"/>
            <w:gridSpan w:val="3"/>
          </w:tcPr>
          <w:p>
            <w:pPr>
              <w:jc w:val="right"/>
              <w:ind w:right="340"/>
              <w:spacing w:after="0"/>
              <w:rPr>
                <w:sz w:val="20"/>
                <w:szCs w:val="20"/>
                <w:color w:val="auto"/>
              </w:rPr>
            </w:pPr>
            <w:r>
              <w:rPr>
                <w:rFonts w:ascii="Arial" w:cs="Arial" w:eastAsia="Arial" w:hAnsi="Arial"/>
                <w:sz w:val="18"/>
                <w:szCs w:val="18"/>
                <w:color w:val="auto"/>
              </w:rPr>
              <w:t>462,657</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386,575</w:t>
            </w: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300,580</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6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data:</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Total return</w:t>
            </w:r>
            <w:r>
              <w:rPr>
                <w:rFonts w:ascii="Arial" w:cs="Arial" w:eastAsia="Arial" w:hAnsi="Arial"/>
                <w:sz w:val="15"/>
                <w:szCs w:val="15"/>
                <w:color w:val="auto"/>
              </w:rPr>
              <w:t>(4)</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17.37%</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28.71%</w:t>
            </w:r>
          </w:p>
        </w:tc>
        <w:tc>
          <w:tcPr>
            <w:tcW w:w="1120" w:type="dxa"/>
            <w:vAlign w:val="bottom"/>
            <w:gridSpan w:val="3"/>
          </w:tcPr>
          <w:p>
            <w:pPr>
              <w:jc w:val="right"/>
              <w:ind w:right="140"/>
              <w:spacing w:after="0"/>
              <w:rPr>
                <w:sz w:val="20"/>
                <w:szCs w:val="20"/>
                <w:color w:val="auto"/>
              </w:rPr>
            </w:pPr>
            <w:r>
              <w:rPr>
                <w:rFonts w:ascii="Arial" w:cs="Arial" w:eastAsia="Arial" w:hAnsi="Arial"/>
                <w:sz w:val="18"/>
                <w:szCs w:val="18"/>
                <w:color w:val="auto"/>
              </w:rPr>
              <w:t>(7.37)%</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44.79%</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30.39%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Number of portfolio companies (at year end)</w:t>
            </w:r>
            <w:r>
              <w:rPr>
                <w:rFonts w:ascii="Arial" w:cs="Arial" w:eastAsia="Arial" w:hAnsi="Arial"/>
                <w:sz w:val="15"/>
                <w:szCs w:val="15"/>
                <w:color w:val="auto"/>
              </w:rPr>
              <w:t>(5)</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54</w:t>
            </w: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48</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Yield on debt portfolio (at year end)</w:t>
            </w:r>
            <w:r>
              <w:rPr>
                <w:rFonts w:ascii="Arial" w:cs="Arial" w:eastAsia="Arial" w:hAnsi="Arial"/>
                <w:sz w:val="15"/>
                <w:szCs w:val="15"/>
                <w:color w:val="auto"/>
              </w:rPr>
              <w:t>(5)</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13.0%</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13.2%</w:t>
            </w: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13.3%</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12.7%</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the weighted average shares outstanding for the respective years.</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taxable income calculated in accordance with income tax regulations, which may differ from amounts determined under GAAP.</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At fair value.</w:t>
      </w:r>
    </w:p>
    <w:p>
      <w:pPr>
        <w:spacing w:after="0" w:line="9" w:lineRule="exact"/>
        <w:rPr>
          <w:rFonts w:ascii="Arial" w:cs="Arial" w:eastAsia="Arial" w:hAnsi="Arial"/>
          <w:sz w:val="18"/>
          <w:szCs w:val="18"/>
          <w:color w:val="auto"/>
        </w:rPr>
      </w:pPr>
    </w:p>
    <w:p>
      <w:pPr>
        <w:ind w:left="460" w:right="20" w:hanging="452"/>
        <w:spacing w:after="0" w:line="250"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the change in market price per share during the periods and takes into account distributions, if any, reinvested in accordance with our dividend reinvestment plan.</w:t>
      </w: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Unaudited.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Quarterly Data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rPr>
              <w:t>Q4</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660"/>
              <w:spacing w:after="0" w:line="142" w:lineRule="exact"/>
              <w:rPr>
                <w:sz w:val="20"/>
                <w:szCs w:val="20"/>
                <w:color w:val="auto"/>
              </w:rPr>
            </w:pPr>
            <w:r>
              <w:rPr>
                <w:rFonts w:ascii="Arial" w:cs="Arial" w:eastAsia="Arial" w:hAnsi="Arial"/>
                <w:sz w:val="14"/>
                <w:szCs w:val="14"/>
                <w:b w:val="1"/>
                <w:bCs w:val="1"/>
                <w:color w:val="auto"/>
              </w:rPr>
              <w:t>Q3</w:t>
            </w:r>
          </w:p>
        </w:tc>
        <w:tc>
          <w:tcPr>
            <w:tcW w:w="100" w:type="dxa"/>
            <w:vAlign w:val="bottom"/>
          </w:tcPr>
          <w:p>
            <w:pPr>
              <w:spacing w:after="0"/>
              <w:rPr>
                <w:sz w:val="12"/>
                <w:szCs w:val="12"/>
                <w:color w:val="auto"/>
              </w:rPr>
            </w:pPr>
          </w:p>
        </w:tc>
        <w:tc>
          <w:tcPr>
            <w:tcW w:w="94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Q2</w:t>
            </w:r>
          </w:p>
        </w:tc>
        <w:tc>
          <w:tcPr>
            <w:tcW w:w="80" w:type="dxa"/>
            <w:vAlign w:val="bottom"/>
          </w:tcPr>
          <w:p>
            <w:pPr>
              <w:spacing w:after="0"/>
              <w:rPr>
                <w:sz w:val="12"/>
                <w:szCs w:val="12"/>
                <w:color w:val="auto"/>
              </w:rPr>
            </w:pPr>
          </w:p>
        </w:tc>
        <w:tc>
          <w:tcPr>
            <w:tcW w:w="50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210"/>
        </w:trPr>
        <w:tc>
          <w:tcPr>
            <w:tcW w:w="7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31,447</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33,725</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31,057</w:t>
            </w: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32,958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Net investment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17,099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17,655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w w:val="87"/>
              </w:rPr>
              <w:t>14,063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18,181</w:t>
            </w: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5,379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(3,869)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7"/>
              </w:rPr>
              <w:t>12,910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10,360</w:t>
            </w: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22,479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13,786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w w:val="87"/>
              </w:rPr>
              <w:t>26,972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28,541</w:t>
            </w: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0.33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0.21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0.41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0.44</w:t>
            </w: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10.49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10.43</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10.50</w:t>
            </w:r>
          </w:p>
        </w:tc>
        <w:tc>
          <w:tcPr>
            <w:tcW w:w="4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10.38</w:t>
            </w:r>
          </w:p>
        </w:tc>
        <w:tc>
          <w:tcPr>
            <w:tcW w:w="100" w:type="dxa"/>
            <w:vAlign w:val="bottom"/>
          </w:tcPr>
          <w:p>
            <w:pPr>
              <w:spacing w:after="0"/>
              <w:rPr>
                <w:sz w:val="18"/>
                <w:szCs w:val="18"/>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11.28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11.05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11.30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11.00</w:t>
            </w:r>
          </w:p>
        </w:tc>
      </w:tr>
      <w:tr>
        <w:trPr>
          <w:trHeight w:val="365"/>
        </w:trPr>
        <w:tc>
          <w:tcPr>
            <w:tcW w:w="75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7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rPr>
              <w:t>Q4</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660"/>
              <w:spacing w:after="0" w:line="142" w:lineRule="exact"/>
              <w:rPr>
                <w:sz w:val="20"/>
                <w:szCs w:val="20"/>
                <w:color w:val="auto"/>
              </w:rPr>
            </w:pPr>
            <w:r>
              <w:rPr>
                <w:rFonts w:ascii="Arial" w:cs="Arial" w:eastAsia="Arial" w:hAnsi="Arial"/>
                <w:sz w:val="14"/>
                <w:szCs w:val="14"/>
                <w:b w:val="1"/>
                <w:bCs w:val="1"/>
                <w:color w:val="auto"/>
              </w:rPr>
              <w:t>Q3</w:t>
            </w:r>
          </w:p>
        </w:tc>
        <w:tc>
          <w:tcPr>
            <w:tcW w:w="100" w:type="dxa"/>
            <w:vAlign w:val="bottom"/>
          </w:tcPr>
          <w:p>
            <w:pPr>
              <w:spacing w:after="0"/>
              <w:rPr>
                <w:sz w:val="12"/>
                <w:szCs w:val="12"/>
                <w:color w:val="auto"/>
              </w:rPr>
            </w:pPr>
          </w:p>
        </w:tc>
        <w:tc>
          <w:tcPr>
            <w:tcW w:w="94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Q2</w:t>
            </w:r>
          </w:p>
        </w:tc>
        <w:tc>
          <w:tcPr>
            <w:tcW w:w="80" w:type="dxa"/>
            <w:vAlign w:val="bottom"/>
          </w:tcPr>
          <w:p>
            <w:pPr>
              <w:spacing w:after="0"/>
              <w:rPr>
                <w:sz w:val="12"/>
                <w:szCs w:val="12"/>
                <w:color w:val="auto"/>
              </w:rPr>
            </w:pPr>
          </w:p>
        </w:tc>
        <w:tc>
          <w:tcPr>
            <w:tcW w:w="50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210"/>
        </w:trPr>
        <w:tc>
          <w:tcPr>
            <w:tcW w:w="7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30,806</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29,385</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26,362</w:t>
            </w: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26,839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Net investment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16,742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15,571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9,759</w:t>
            </w:r>
          </w:p>
        </w:tc>
        <w:tc>
          <w:tcPr>
            <w:tcW w:w="4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14,997</w:t>
            </w: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948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2"/>
              </w:rPr>
              <w:t>(12,151)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7"/>
              </w:rPr>
              <w:t>16,638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849</w:t>
            </w: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17,690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3,420</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w w:val="87"/>
              </w:rPr>
              <w:t>26,397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15,846</w:t>
            </w: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0.31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0.50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0.34</w:t>
            </w: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10.22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10.16</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10.38</w:t>
            </w:r>
          </w:p>
        </w:tc>
        <w:tc>
          <w:tcPr>
            <w:tcW w:w="4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10.19</w:t>
            </w:r>
          </w:p>
        </w:tc>
        <w:tc>
          <w:tcPr>
            <w:tcW w:w="100" w:type="dxa"/>
            <w:vAlign w:val="bottom"/>
          </w:tcPr>
          <w:p>
            <w:pPr>
              <w:spacing w:after="0"/>
              <w:rPr>
                <w:sz w:val="18"/>
                <w:szCs w:val="18"/>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10.61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100" w:type="dxa"/>
            <w:vAlign w:val="bottom"/>
            <w:shd w:val="clear" w:color="auto" w:fill="CCEEFF"/>
          </w:tcPr>
          <w:p>
            <w:pPr>
              <w:spacing w:after="0"/>
              <w:rPr>
                <w:sz w:val="18"/>
                <w:szCs w:val="18"/>
                <w:color w:val="auto"/>
              </w:rPr>
            </w:pPr>
          </w:p>
        </w:tc>
      </w:tr>
      <w:tr>
        <w:trPr>
          <w:trHeight w:val="365"/>
        </w:trPr>
        <w:tc>
          <w:tcPr>
            <w:tcW w:w="75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7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rPr>
              <w:t>Q4</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660"/>
              <w:spacing w:after="0" w:line="142" w:lineRule="exact"/>
              <w:rPr>
                <w:sz w:val="20"/>
                <w:szCs w:val="20"/>
                <w:color w:val="auto"/>
              </w:rPr>
            </w:pPr>
            <w:r>
              <w:rPr>
                <w:rFonts w:ascii="Arial" w:cs="Arial" w:eastAsia="Arial" w:hAnsi="Arial"/>
                <w:sz w:val="14"/>
                <w:szCs w:val="14"/>
                <w:b w:val="1"/>
                <w:bCs w:val="1"/>
                <w:color w:val="auto"/>
              </w:rPr>
              <w:t>Q3</w:t>
            </w:r>
          </w:p>
        </w:tc>
        <w:tc>
          <w:tcPr>
            <w:tcW w:w="100" w:type="dxa"/>
            <w:vAlign w:val="bottom"/>
          </w:tcPr>
          <w:p>
            <w:pPr>
              <w:spacing w:after="0"/>
              <w:rPr>
                <w:sz w:val="12"/>
                <w:szCs w:val="12"/>
                <w:color w:val="auto"/>
              </w:rPr>
            </w:pPr>
          </w:p>
        </w:tc>
        <w:tc>
          <w:tcPr>
            <w:tcW w:w="94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Q2</w:t>
            </w:r>
          </w:p>
        </w:tc>
        <w:tc>
          <w:tcPr>
            <w:tcW w:w="80" w:type="dxa"/>
            <w:vAlign w:val="bottom"/>
          </w:tcPr>
          <w:p>
            <w:pPr>
              <w:spacing w:after="0"/>
              <w:rPr>
                <w:sz w:val="12"/>
                <w:szCs w:val="12"/>
                <w:color w:val="auto"/>
              </w:rPr>
            </w:pPr>
          </w:p>
        </w:tc>
        <w:tc>
          <w:tcPr>
            <w:tcW w:w="50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210"/>
        </w:trPr>
        <w:tc>
          <w:tcPr>
            <w:tcW w:w="7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26,139</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22,908</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22,712</w:t>
            </w: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19,979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Net investment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15,095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13,220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w w:val="87"/>
              </w:rPr>
              <w:t>13,159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11,171</w:t>
            </w:r>
          </w:p>
        </w:tc>
        <w:tc>
          <w:tcPr>
            <w:tcW w:w="100" w:type="dxa"/>
            <w:vAlign w:val="bottom"/>
          </w:tcPr>
          <w:p>
            <w:pPr>
              <w:spacing w:after="0"/>
              <w:rPr>
                <w:sz w:val="18"/>
                <w:szCs w:val="18"/>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(loss) gain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(46,260)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2"/>
              </w:rPr>
              <w:t>(10,901)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428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14,351</w:t>
            </w: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Net (decrease) increase in net assets resulting from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(31,165)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2,319</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w w:val="87"/>
              </w:rPr>
              <w:t>13,587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25,522</w:t>
            </w: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net assets resulting from operations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(0.68)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0.33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0.71</w:t>
            </w: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10.13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11.08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11.30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11.14</w:t>
            </w: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8.92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11.21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11.92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w:t>
            </w:r>
          </w:p>
        </w:tc>
        <w:tc>
          <w:tcPr>
            <w:tcW w:w="100" w:type="dxa"/>
            <w:vAlign w:val="bottom"/>
            <w:shd w:val="clear" w:color="auto" w:fill="CCEEFF"/>
          </w:tcPr>
          <w:p>
            <w:pPr>
              <w:spacing w:after="0"/>
              <w:rPr>
                <w:sz w:val="18"/>
                <w:szCs w:val="18"/>
                <w:color w:val="auto"/>
              </w:rPr>
            </w:pPr>
          </w:p>
        </w:tc>
      </w:tr>
      <w:tr>
        <w:trPr>
          <w:trHeight w:val="365"/>
        </w:trPr>
        <w:tc>
          <w:tcPr>
            <w:tcW w:w="7520" w:type="dxa"/>
            <w:vAlign w:val="bottom"/>
          </w:tcPr>
          <w:p>
            <w:pPr>
              <w:ind w:left="562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RESULTS OF OPERATIONS</w:t>
      </w:r>
    </w:p>
    <w:p>
      <w:pPr>
        <w:spacing w:after="0" w:line="21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i w:val="1"/>
          <w:iCs w:val="1"/>
          <w:color w:val="auto"/>
        </w:rPr>
        <w:t>The information contained in this section should be read in conjunction with the selected financial data and our consolidated financial statements and notes thereto appearing elsewhere in this prospectus.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color w:val="auto"/>
        </w:rPr>
        <w:t>PennantPark Investment Corporation is a BDC whose objectives are to generate both current income and capital appreciation through debt and equity investments primarily in U.S. middle-market companies in the form of senior secured loans, mezzanine debt and equity investments.</w:t>
      </w:r>
    </w:p>
    <w:p>
      <w:pPr>
        <w:spacing w:after="0" w:line="14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We believe middle-market companies offer attractive risk-reward to investors due to the limited amount of capital available for such companies. We seek to create a diversified portfolio that includes senior secured loans, mezzanine debt and equity investments by investing approximately $10 million to $50 million of capital, on average, in the securities of middle-market companies. We expect this investment size to vary proportionately with the size of our capital base. We use the term “middle-market” to refer to companies with annual revenues between $50 million and $1 billion.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7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SBA debentures, proceeds from the rotation of our portfolio and proceeds from public and private offerings of securities to finance our investment objectives.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Structure of PennantPark Investment Corporation</w:t>
      </w:r>
    </w:p>
    <w:p>
      <w:pPr>
        <w:spacing w:after="0" w:line="121"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PennantPark Investment Corporation, a Maryland corporation organized in January 2007,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wholly owned subsidiaries, SBIC LP and SBIC II, were organized as Delaware limited partnerships in May 2010 and July 2012, respectively. SBIC LP and SBIC II received licenses from the SBA to operate as SBICs, under Section 301(c) of the 1958 Act in July 2010 and January 2013, respectively. Our SBIC Funds’ objectives are to generate both current income and capital appreciation through debt and equity investments generally by investing with us in SBA eligible businesses that meet the investment criteria used by PennantPark Investment.</w:t>
      </w:r>
    </w:p>
    <w:p>
      <w:pPr>
        <w:spacing w:after="0" w:line="187" w:lineRule="exact"/>
        <w:rPr>
          <w:sz w:val="20"/>
          <w:szCs w:val="20"/>
          <w:color w:val="auto"/>
        </w:rPr>
      </w:pPr>
    </w:p>
    <w:p>
      <w:pPr>
        <w:ind w:right="120" w:firstLine="456"/>
        <w:spacing w:after="0" w:line="293" w:lineRule="auto"/>
        <w:rPr>
          <w:sz w:val="20"/>
          <w:szCs w:val="20"/>
          <w:color w:val="auto"/>
        </w:rPr>
      </w:pPr>
      <w:r>
        <w:rPr>
          <w:rFonts w:ascii="Arial" w:cs="Arial" w:eastAsia="Arial" w:hAnsi="Arial"/>
          <w:sz w:val="16"/>
          <w:szCs w:val="16"/>
          <w:color w:val="auto"/>
        </w:rPr>
        <w:t>Our investment activities are managed by the Investment Adviser. Under our Investment Management Agreement, we have agreed to pay our Investment Adviser an annual base management fee based on our average adjusted gross assets as well as an incentive fee based on our investment performance. PennantPark Investment, through the Investment Adviser, provides similar services to our SBIC Funds under their investment management agreements. Our SBIC Funds investment management agreements do not affect the management and incentive fees on a consolidated basis. We have also entered into an Administration Agreement with the Administrator. Under our Administration Agreement, we have agreed to reimburse the Administrator for our allocable portion of overhead and other expenses incurred by the Administrator in performing its obligations</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459" w:right="27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under our Administration Agreement, including rent and our allocable portion of the costs of compensation and related expenses of our Chief Compliance Officer, Chief Financial Officer and their respective staffs. PennantPark Investment, through the Administrator, provides similar services to our SBIC Funds under their administration agreements with us. Our board of directors, a majority of whom are independent of us, supervises our activities, and the Investment Adviser manages our day-to-day activities.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generate revenue in the form of interest income on the debt securities we hold and capital gains and distributions, if any, on investment securities that we may acquire in portfolio companies. Our debt investments, whether in the form of senior secured loans or mezzanine debt, typically have terms of three to ten years and bear interest at a fixed or a floating rate. Interest on debt securities is generally payable quarterly or semiannually. In some cases, some of our investments provide for deferred interest payments and PIK interest. The principal amount of the debt securities and any accrued but unpaid interest generally becomes due at the maturity date. In addition, we may generate revenue in the form of amendment, commitment, origination, structuring or diligence fees, fees for providing managerial assistance and possibly consulting fees. Loan origination fees, OID, and market discount or premium are capitalized, and we accrete or amortize such amounts as income. We record prepayment penalties on loans and debt securities as income. Dividend income, if any, is recognized on an accrual basis on the ex-dividend date to the extent that we expect to collect such amounts.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12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Our primary operating expenses include the payment of Management Fees (as defined below) to our Investment Adviser,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and unused commitment fees under our various debt facilities. We bear all other direct or indirect costs and expenses of our operations and transactions, including:</w:t>
      </w:r>
    </w:p>
    <w:p>
      <w:pPr>
        <w:spacing w:after="0" w:line="94" w:lineRule="exact"/>
        <w:rPr>
          <w:sz w:val="20"/>
          <w:szCs w:val="20"/>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cost of calculating our NAV, including the cost of any third-party valuation services;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cost of effecting sales and repurchases of shares of our common stock and other securities;</w:t>
      </w:r>
    </w:p>
    <w:p>
      <w:pPr>
        <w:spacing w:after="0" w:line="130" w:lineRule="exact"/>
        <w:rPr>
          <w:rFonts w:ascii="Arial" w:cs="Arial" w:eastAsia="Arial" w:hAnsi="Arial"/>
          <w:sz w:val="18"/>
          <w:szCs w:val="18"/>
          <w:color w:val="auto"/>
        </w:rPr>
      </w:pPr>
    </w:p>
    <w:p>
      <w:pPr>
        <w:ind w:left="900" w:right="400" w:hanging="325"/>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fees payable to third parties relating to, or associated with, making investments, including fees and expenses associated with performing due diligence and reviews of prospective investments or complimentary businesses;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expenses incurred by the Investment Adviser in performing due diligence and reviews of investments;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federal and state registration fees and any exchange listing fees;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fidelity bond, directors and officers, errors and omissions liability insurance and other insurance premiums;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direct costs such as printing, mailing, long distance telephone and staff;</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w:t>
      </w:r>
    </w:p>
    <w:p>
      <w:pPr>
        <w:spacing w:after="0" w:line="130"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costs associated with our reporting and compliance obligations under the 1940 Act, the 1958 Act and applicable federal and state securities laws; and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40" w:hanging="325"/>
        <w:spacing w:after="0" w:line="259"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87"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181"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The SEC requires that estimated “Total Annual Expenses” be calculated as a percentage of net assets in the chart on page 6 of this prospectus rather than as a percentage of total assets. Total assets include assets that have been funded with borrowed money (leverage). For reference, the chart below illustrates our estimated “Total Annual Expenses” as a percentage of total assets:</w:t>
      </w:r>
    </w:p>
    <w:p>
      <w:pPr>
        <w:spacing w:after="0" w:line="177" w:lineRule="exact"/>
        <w:rPr>
          <w:sz w:val="20"/>
          <w:szCs w:val="20"/>
          <w:color w:val="auto"/>
        </w:rPr>
      </w:pPr>
    </w:p>
    <w:tbl>
      <w:tblPr>
        <w:tblLayout w:type="fixed"/>
        <w:tblInd w:w="18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980" w:type="dxa"/>
            <w:vAlign w:val="bottom"/>
          </w:tcPr>
          <w:p>
            <w:pPr>
              <w:ind w:left="1100"/>
              <w:spacing w:after="0"/>
              <w:rPr>
                <w:sz w:val="20"/>
                <w:szCs w:val="20"/>
                <w:color w:val="auto"/>
              </w:rPr>
            </w:pPr>
            <w:r>
              <w:rPr>
                <w:rFonts w:ascii="Arial" w:cs="Arial" w:eastAsia="Arial" w:hAnsi="Arial"/>
                <w:sz w:val="18"/>
                <w:szCs w:val="18"/>
                <w:b w:val="1"/>
                <w:bCs w:val="1"/>
                <w:color w:val="auto"/>
                <w:w w:val="93"/>
              </w:rPr>
              <w:t>Estimated Annual Expenses (as a Percentage of Average Total Assets)</w:t>
            </w:r>
            <w:r>
              <w:rPr>
                <w:rFonts w:ascii="Arial" w:cs="Arial" w:eastAsia="Arial" w:hAnsi="Arial"/>
                <w:sz w:val="15"/>
                <w:szCs w:val="15"/>
                <w:b w:val="1"/>
                <w:bCs w:val="1"/>
                <w:color w:val="auto"/>
                <w:w w:val="93"/>
              </w:rPr>
              <w:t>(1)</w:t>
            </w: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Base management fees</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2.00%</w:t>
            </w:r>
            <w:r>
              <w:rPr>
                <w:rFonts w:ascii="Arial" w:cs="Arial" w:eastAsia="Arial" w:hAnsi="Arial"/>
                <w:sz w:val="15"/>
                <w:szCs w:val="15"/>
                <w:color w:val="auto"/>
                <w:w w:val="97"/>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Incentive fees</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1.60%</w:t>
            </w:r>
            <w:r>
              <w:rPr>
                <w:rFonts w:ascii="Arial" w:cs="Arial" w:eastAsia="Arial" w:hAnsi="Arial"/>
                <w:sz w:val="15"/>
                <w:szCs w:val="15"/>
                <w:color w:val="auto"/>
                <w:w w:val="97"/>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Interest payments on borrowed funds</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1.53%</w:t>
            </w:r>
            <w:r>
              <w:rPr>
                <w:rFonts w:ascii="Arial" w:cs="Arial" w:eastAsia="Arial" w:hAnsi="Arial"/>
                <w:sz w:val="15"/>
                <w:szCs w:val="15"/>
                <w:color w:val="auto"/>
                <w:w w:val="97"/>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Other expenses</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0.21%</w:t>
            </w:r>
            <w:r>
              <w:rPr>
                <w:rFonts w:ascii="Arial" w:cs="Arial" w:eastAsia="Arial" w:hAnsi="Arial"/>
                <w:sz w:val="15"/>
                <w:szCs w:val="15"/>
                <w:color w:val="auto"/>
                <w:w w:val="97"/>
              </w:rPr>
              <w:t>(5)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Total annual expenses</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5.34%</w:t>
            </w:r>
            <w:r>
              <w:rPr>
                <w:rFonts w:ascii="Arial" w:cs="Arial" w:eastAsia="Arial" w:hAnsi="Arial"/>
                <w:sz w:val="15"/>
                <w:szCs w:val="15"/>
                <w:color w:val="auto"/>
                <w:w w:val="97"/>
              </w:rPr>
              <w:t>(6)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Average total assets equals average adjusted gross assets for the three months ended September 30, 2013.</w:t>
      </w:r>
    </w:p>
    <w:p>
      <w:pPr>
        <w:spacing w:after="0" w:line="23" w:lineRule="exact"/>
        <w:rPr>
          <w:rFonts w:ascii="Arial" w:cs="Arial" w:eastAsia="Arial" w:hAnsi="Arial"/>
          <w:sz w:val="18"/>
          <w:szCs w:val="18"/>
          <w:color w:val="auto"/>
        </w:rPr>
      </w:pPr>
    </w:p>
    <w:p>
      <w:pPr>
        <w:ind w:left="460" w:right="780" w:hanging="452"/>
        <w:spacing w:after="0" w:line="250"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contractual management fee is calculated at an annual rate of 2.00% of our average adjusted gross assets. See “Certain Relationships and Transactions—Investment Management Agreement” for more information.</w:t>
      </w:r>
    </w:p>
    <w:p>
      <w:pPr>
        <w:ind w:left="460" w:right="20" w:hanging="452"/>
        <w:spacing w:after="0" w:line="281" w:lineRule="auto"/>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portion of incentive fees paid with respect to net investment income is based on actual amounts incurred during the three months ended September 30, 2013, annualized for a full year. Such incentive fees are based on performance, vary from period to period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As of September 30, 2013, our unrealized capital gains did not exceed our cumulative realized and unrealized capital losses. As we cannot predict our future net investment income or capital gains, the incentive fee paid in future years, if any, may be substantially different than the fee earned during the three months ended September 30, 2013. For more detailed information about the incentive fee, please see “Certain Relationships and Transactions—Investment Management Agreement” for more information.</w:t>
      </w:r>
    </w:p>
    <w:p>
      <w:pPr>
        <w:spacing w:after="0" w:line="6" w:lineRule="exact"/>
        <w:rPr>
          <w:rFonts w:ascii="Arial" w:cs="Arial" w:eastAsia="Arial" w:hAnsi="Arial"/>
          <w:sz w:val="16"/>
          <w:szCs w:val="16"/>
          <w:color w:val="auto"/>
        </w:rPr>
      </w:pPr>
    </w:p>
    <w:p>
      <w:pPr>
        <w:ind w:left="460" w:hanging="452"/>
        <w:spacing w:after="0" w:line="269" w:lineRule="auto"/>
        <w:tabs>
          <w:tab w:leader="none" w:pos="4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As of September 30, 2013, we had $284.5 million of unused borrowing capacity, subject to maintenance of the applicable total assets to debt ratio, which is defined in the 1940 Act, and $145.5 million in borrowings outstanding under our $430 million Credit Facility and had $71.3 million in aggregate principal of 2025 Notes at an annual interest rate of 6.25%. As of September 30, 2013, SBIC LP had $150.0 million outstanding with a weighted average interest rate of 3.70%, exclusive of the 3.43% of upfront fees (4.04% inclusive of the 3.43% upfront fee). We may use proceeds of an offering of securities under this registration statement to repay outstanding obligations under our Credit Facility. After completing any such offering, we may continue to borrow under our Credit Facility to finance our investment objectives. We have estimated the annual interest expense on borrowed funds and caution you that our actual interest expense will depend</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460" w:right="200"/>
        <w:spacing w:after="0" w:line="256" w:lineRule="auto"/>
        <w:rPr>
          <w:sz w:val="20"/>
          <w:szCs w:val="20"/>
          <w:color w:val="auto"/>
        </w:rPr>
      </w:pPr>
      <w:r>
        <w:rPr>
          <w:rFonts w:ascii="Arial" w:cs="Arial" w:eastAsia="Arial" w:hAnsi="Arial"/>
          <w:sz w:val="18"/>
          <w:szCs w:val="18"/>
          <w:color w:val="auto"/>
        </w:rPr>
        <w:t>on prevailing interest rates and our rate of borrowing, which may be substantially higher than the estimate provided in this table. See “Risk Factors— Risks Relating to our Business and Structure—We currently use borrowed funds to make investments and are exposed to the typical risks associated with leverage” for more information.</w:t>
      </w:r>
    </w:p>
    <w:p>
      <w:pPr>
        <w:ind w:left="460" w:right="120" w:hanging="452"/>
        <w:spacing w:after="0" w:line="250"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“Other expenses” includes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actual other expenses for the three months ended September 30, 2013, annualized for a full year.</w:t>
      </w:r>
    </w:p>
    <w:p>
      <w:pPr>
        <w:spacing w:after="0" w:line="1" w:lineRule="exact"/>
        <w:rPr>
          <w:rFonts w:ascii="Arial" w:cs="Arial" w:eastAsia="Arial" w:hAnsi="Arial"/>
          <w:sz w:val="18"/>
          <w:szCs w:val="18"/>
          <w:color w:val="auto"/>
        </w:rPr>
      </w:pPr>
    </w:p>
    <w:p>
      <w:pPr>
        <w:ind w:left="460" w:hanging="452"/>
        <w:spacing w:after="0" w:line="290" w:lineRule="auto"/>
        <w:tabs>
          <w:tab w:leader="none" w:pos="4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table above is intended to assist you in understanding the various costs and expenses that an investor in shares of our common stock will bear as a percentage of our average gross assets as of September 30, 2013. However, we caution you that these percentages are estimates and may vary with changes in the market value of our investments, the amount of equity capital raised and used to invest in portfolio companies and changes in the level of expenses as a percentage of our gross assets. We may borrow money to leverage our net assets and increase our total assets and such leverage will affect both the total annual expenses and gross assets used in deriving the ratios in the above table. Thus, any differences in the estimated expenses and the corresponding level of average asset balances will affect the estimated percentages and those differences could be material.</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121"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As of September 30, 2013, our portfolio totaled $1,078.2 million and consisted of $299.5 million of senior secured loans, $357.5 million of second lien secured debt, $302.5 million of subordinated debt and $118.7 million of preferred and common equity investments. Our debt portfolio consisted of 52% fixed-rate and 48% variable-rate investments (including 44% with a LIBOR or prime floor). Our overall portfolio consisted of 61 companies with an average investment size of $17.7 million, had a weighted average yield on debt investments of 13.0% and was invested 28% in senior secured loans, 33% in second lien secured debt, 28% in subordinated debt and 11% in preferred and common equity investments.</w:t>
      </w:r>
    </w:p>
    <w:p>
      <w:pPr>
        <w:spacing w:after="0" w:line="173"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color w:val="auto"/>
        </w:rPr>
        <w:t>As of September 30, 2012, our portfolio totaled $990.5 million and consisted of $291.7 million of senior secured loans, $191.3 million of second lien secured debt, $400.7 million of subordinated debt and $106.8 million of preferred and common equity investments. Our debt portfolio consisted of 69% fixed-rate and 31% variable-rate investments (including 26% with a LIBOR or prime floor). As of September 30, 2012, we had one non-accrual debt investment, representing 3.2% and 1.1% of our overall portfolio on a cost and fair value basis, respectively. Our overall portfolio consisted of 54 companies with an average investment size of $18.3 million, had a weighted average yield on debt investments of 13.2% and was invested 30% in senior secured loans, 19% in second lien secured debt, 40% in subordinated debt and 11% in preferred and common equity investments.</w:t>
      </w:r>
    </w:p>
    <w:p>
      <w:pPr>
        <w:spacing w:after="0" w:line="178" w:lineRule="exact"/>
        <w:rPr>
          <w:sz w:val="20"/>
          <w:szCs w:val="20"/>
          <w:color w:val="auto"/>
        </w:rPr>
      </w:pPr>
    </w:p>
    <w:p>
      <w:pPr>
        <w:ind w:right="220" w:firstLine="456"/>
        <w:spacing w:after="0" w:line="279" w:lineRule="auto"/>
        <w:rPr>
          <w:sz w:val="20"/>
          <w:szCs w:val="20"/>
          <w:color w:val="auto"/>
        </w:rPr>
      </w:pPr>
      <w:r>
        <w:rPr>
          <w:rFonts w:ascii="Arial" w:cs="Arial" w:eastAsia="Arial" w:hAnsi="Arial"/>
          <w:sz w:val="17"/>
          <w:szCs w:val="17"/>
          <w:color w:val="auto"/>
        </w:rPr>
        <w:t>For the fiscal year ended September 30, 2013, we purchased $504.4 million of investments in 14 new and 26 existing portfolio companies with a weighted average yield of 12.7% on debt investments. This compares to purchasing $328.3 million in 13 new and 17 existing portfolio companies with an overall weighted average yield of 13.3% on debt investments, and purchasing $479.7 million in 17 new and 11 existing portfolio companies with an overall weighted average yield of 13.7% on debt investments for the fiscal years ended September 30, 2012 and 2011, respectively.</w:t>
      </w:r>
    </w:p>
    <w:p>
      <w:pPr>
        <w:spacing w:after="0" w:line="171"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For the fiscal year ended September 30, 2013, sales and repayments generated proceeds of $437.1 million. For the fiscal years ended September 30, 2012 and 2011, sales and repayments generated proceeds of $201.7 million and $304.0 million,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discussion of our financial condition and results of operations are based upon our Consolidated Financial Statements, which have been prepared in accordance with U.S. generally accepted accounting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principles, or GAAP. The preparation of these Consolidated Financial Statements requires management to make estimates and assumptions that affect the reported amounts of assets, liabilities, revenues and expenses during the reporting period. Actual results could differ from these estimates. We may reclassify certain prior period amounts to conform to the current period presentation. We have eliminated all intercompany balances and transactions. References to ASC serve as a single source of literature. Subsequent events are evaluated and disclosed as appropriate for events occurring through the date the Consolidated Financial Statements are issued. Changes in the economic and regulatory environment, financial markets and any other parameters used in determining such estimates could cause actual results to differ. In addition to the discussion below, we describe our critical accounting policies in the notes to our Consolidated Financial Statements.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Portfolio Investments</w:t>
      </w:r>
    </w:p>
    <w:p>
      <w:pPr>
        <w:spacing w:after="0" w:line="117"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Our investments generally consist of illiquid securities, including debt and equity investments. 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by a principal market maker or a primary market dealer. The Investment Adviser assesses the source and reliability of bids from brokers or dealers. If our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178"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described below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differ from our valuation and the difference could be material.</w:t>
      </w:r>
    </w:p>
    <w:p>
      <w:pPr>
        <w:spacing w:after="0" w:line="19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76" w:lineRule="exact"/>
        <w:rPr>
          <w:sz w:val="20"/>
          <w:szCs w:val="20"/>
          <w:color w:val="auto"/>
        </w:rPr>
      </w:pPr>
    </w:p>
    <w:p>
      <w:pPr>
        <w:ind w:left="900" w:right="200" w:hanging="446"/>
        <w:spacing w:after="0" w:line="277"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130"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an investment. The independent valuation firms review management’s preliminary valuations in light of its own independent assessment and also in light of any market quotations obtained from an independent pricing service, broker, dealer or market maker;</w:t>
      </w:r>
    </w:p>
    <w:p>
      <w:pPr>
        <w:spacing w:after="0" w:line="92" w:lineRule="exact"/>
        <w:rPr>
          <w:rFonts w:ascii="Arial" w:cs="Arial" w:eastAsia="Arial" w:hAnsi="Arial"/>
          <w:sz w:val="18"/>
          <w:szCs w:val="18"/>
          <w:color w:val="auto"/>
        </w:rPr>
      </w:pPr>
    </w:p>
    <w:p>
      <w:pPr>
        <w:ind w:left="900" w:right="660" w:hanging="446"/>
        <w:spacing w:after="0" w:line="277"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audit committee of our board of directors reviews the preliminary valuations of the Investment Adviser and those of the independent valuation firms on a quarterly basis, periodically assesses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40"/>
        <w:spacing w:after="0" w:line="277" w:lineRule="auto"/>
        <w:rPr>
          <w:sz w:val="20"/>
          <w:szCs w:val="20"/>
          <w:color w:val="auto"/>
        </w:rPr>
      </w:pPr>
      <w:r>
        <w:rPr>
          <w:rFonts w:ascii="Arial" w:cs="Arial" w:eastAsia="Arial" w:hAnsi="Arial"/>
          <w:sz w:val="18"/>
          <w:szCs w:val="18"/>
          <w:color w:val="auto"/>
        </w:rPr>
        <w:t>valuation methodologies of the independent valuation firms, and responds to and supplements the valuation recommendations of the independent valuation firms to reflect any comments; and</w:t>
      </w:r>
    </w:p>
    <w:p>
      <w:pPr>
        <w:spacing w:after="0" w:line="76" w:lineRule="exact"/>
        <w:rPr>
          <w:sz w:val="20"/>
          <w:szCs w:val="20"/>
          <w:color w:val="auto"/>
        </w:rPr>
      </w:pPr>
    </w:p>
    <w:p>
      <w:pPr>
        <w:ind w:left="900" w:right="100" w:hanging="446"/>
        <w:spacing w:after="0" w:line="277"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board of directors discusses the valuations and determines the fair value of each investment in our portfolio in good faith, based on the input of our Investment Adviser, the independent valuation firms and the audit committee.</w:t>
      </w:r>
    </w:p>
    <w:p>
      <w:pPr>
        <w:spacing w:after="0" w:line="170"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131" w:lineRule="exact"/>
        <w:rPr>
          <w:sz w:val="20"/>
          <w:szCs w:val="20"/>
          <w:color w:val="auto"/>
        </w:rPr>
      </w:pPr>
    </w:p>
    <w:p>
      <w:pPr>
        <w:ind w:left="1420" w:right="760" w:hanging="944"/>
        <w:spacing w:after="0" w:line="277" w:lineRule="auto"/>
        <w:tabs>
          <w:tab w:leader="none" w:pos="14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Inputs that are quoted prices (unadjusted) in active markets for identical assets or liabilities, accessible by us at the measurement date.</w:t>
      </w:r>
    </w:p>
    <w:p>
      <w:pPr>
        <w:spacing w:after="0" w:line="62" w:lineRule="exact"/>
        <w:rPr>
          <w:sz w:val="20"/>
          <w:szCs w:val="20"/>
          <w:color w:val="auto"/>
        </w:rPr>
      </w:pPr>
    </w:p>
    <w:p>
      <w:pPr>
        <w:ind w:left="1420" w:right="560" w:hanging="944"/>
        <w:spacing w:after="0" w:line="264" w:lineRule="auto"/>
        <w:tabs>
          <w:tab w:leader="none" w:pos="140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73" w:lineRule="exact"/>
        <w:rPr>
          <w:sz w:val="20"/>
          <w:szCs w:val="20"/>
          <w:color w:val="auto"/>
        </w:rPr>
      </w:pPr>
    </w:p>
    <w:p>
      <w:pPr>
        <w:ind w:left="1420" w:right="600" w:hanging="944"/>
        <w:spacing w:after="0" w:line="277" w:lineRule="auto"/>
        <w:tabs>
          <w:tab w:leader="none" w:pos="140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Inputs that are unobservable for an asset or liability because they are based on our own assumptions about how market participants would price the asset or liability.</w:t>
      </w:r>
    </w:p>
    <w:p>
      <w:pPr>
        <w:spacing w:after="0" w:line="17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87"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In addition to using the above inputs in cash equivalents, investments, the 2025 Notes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18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adopted ASC 825-10, which provides companies with an option to report selected financial assets and liabilities at fair value, and made an irrevocable election to apply ASC 825-10 to our Credit Facility and our 2025 Notes. We elected to use the fair value option for the Credit Facility and the 2025 Notes to align the measurement attributes of both our assets and liabilities while mitigating volatility in earnings from using different measurement attributes. Due to that election and in accordance with GAAP, we incurred $2.8 million, $5.4 million and zero debt issuance costs during the fiscal years ended September 30, 2013, 2012 and 2011, respectively.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 of Assets and Liabilities and changes in fair value of the Credit Facility and 2025 Notes are reported in our Consolidated Statement of Operations. We elected not to apply ASC 825-10 to any other financial assets or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liabilities, including the SBA debentures. For the fiscal years ended September 30, 2013 and 2012, our Credit Facility and 2025 Notes had a net change in unrealized depreciation (appreciation) of $2.3 million and $(1.6) million, respectively. As of September 30, 2013 and 2012, net unrealized depreciation on our Credit Facility and 2025 Notes totaled $2.8 million and $0.5 million, respectively. We use a nationally recognized independent valuation service to fair value our Credit Facility in a manner consistent with the valuation process that the board of directors approves to value investments. Our 2025 Notes trade on the NYSE and we use the closing price on the exchange to determine their fair value.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We record interest income on an accrual basis to the extent that we expect to collect such amounts. For loans and debt investments with contractual PIK interest which represents contractual interest accrued and added to the loan balance that generally becomes due at maturity, we will generally not accrue PIK interest if the portfolio company valuation indicates that such PIK interest is not collectible. We do not accrue as a receivable interest on loans and debt investments if we determine that it is probable that we will not be able to collect such interest. Loan origination fees, OID, market discount or premium and deferred financing costs are capitalized and we then accrete or amortize such amounts as interest income or expense, as applicable, using the effective interest method. We record contractual prepayment penalties on loans and debt investments as income. Dividend income, if any, is recognized on an accrual basis on the ex-dividend date to the extent that we expect to collect such amounts.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Gains or Losses and Net Change in Unrealized Appreciation or Depreciation</w:t>
      </w:r>
    </w:p>
    <w:p>
      <w:pPr>
        <w:spacing w:after="0" w:line="117" w:lineRule="exact"/>
        <w:rPr>
          <w:sz w:val="20"/>
          <w:szCs w:val="20"/>
          <w:color w:val="auto"/>
        </w:rPr>
      </w:pPr>
    </w:p>
    <w:p>
      <w:pPr>
        <w:ind w:right="180" w:firstLine="456"/>
        <w:spacing w:after="0" w:line="302" w:lineRule="auto"/>
        <w:rPr>
          <w:sz w:val="20"/>
          <w:szCs w:val="20"/>
          <w:color w:val="auto"/>
        </w:rPr>
      </w:pPr>
      <w:r>
        <w:rPr>
          <w:rFonts w:ascii="Arial" w:cs="Arial" w:eastAsia="Arial" w:hAnsi="Arial"/>
          <w:sz w:val="16"/>
          <w:szCs w:val="16"/>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values during the reporting period, including any reversal of previously recorded unrealized appreciation or depreciation, when gains or losses are realized.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Payment-in-Kind Interest or PIK</w:t>
      </w:r>
    </w:p>
    <w:p>
      <w:pPr>
        <w:spacing w:after="0" w:line="117" w:lineRule="exact"/>
        <w:rPr>
          <w:sz w:val="20"/>
          <w:szCs w:val="20"/>
          <w:color w:val="auto"/>
        </w:rPr>
      </w:pPr>
    </w:p>
    <w:p>
      <w:pPr>
        <w:ind w:right="100" w:firstLine="571"/>
        <w:spacing w:after="0" w:line="264" w:lineRule="auto"/>
        <w:rPr>
          <w:sz w:val="20"/>
          <w:szCs w:val="20"/>
          <w:color w:val="auto"/>
        </w:rPr>
      </w:pPr>
      <w:r>
        <w:rPr>
          <w:rFonts w:ascii="Arial" w:cs="Arial" w:eastAsia="Arial" w:hAnsi="Arial"/>
          <w:sz w:val="18"/>
          <w:szCs w:val="18"/>
          <w:color w:val="auto"/>
        </w:rPr>
        <w:t>We have investments in our portfolio which contain a PIK interest provision. PIK interest is added to the principal balance of the investment and is recorded as income. For us to maintain our status as a RIC, substantially all of this income must be paid out to stockholders in the form of distributions, even though we have not collected any cash with respect to PIK securities.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Income Taxes</w:t>
      </w:r>
    </w:p>
    <w:p>
      <w:pPr>
        <w:spacing w:after="0" w:line="117"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We have elected to be taxed, and intend to qualify annually to maintain our election to be taxed, as a RIC under Subchapter M of the Code. To maintain our RIC tax election, we must, among other requirements, meet certain source-of-income and quarterly asset diversification requirements. We also must annually distribute at least 90% of the sum of our net ordinary income and realized net short-term capital gains in excess of realized net long-term capital losses, if any, out of the assets legally available for distribution. Although not required for us to maintain our RIC tax status, in order to preclude the imposition of a 4% nondeductible federal excise tax imposed on RICs, we must distribute during each calendar year an amount at least equal to the sum of</w:t>
      </w:r>
    </w:p>
    <w:p>
      <w:pPr>
        <w:spacing w:after="0" w:line="2" w:lineRule="exact"/>
        <w:rPr>
          <w:sz w:val="20"/>
          <w:szCs w:val="20"/>
          <w:color w:val="auto"/>
        </w:rPr>
      </w:pPr>
    </w:p>
    <w:p>
      <w:pPr>
        <w:ind w:firstLine="8"/>
        <w:spacing w:after="0" w:line="254" w:lineRule="auto"/>
        <w:tabs>
          <w:tab w:leader="none" w:pos="2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98% of our net ordinary income for the calendar year, (2) 98.2% of the sum of our net capital gains income (i.e. the excess, if any, of our capital gains over capital losses) for the one-year period ending on October 31 of the calendar year and (3) the sum of any net ordinary income plus net capital gain income for preceding years that were not distributed during such years. In addition, although we may distribute realized net capital gains (i.e., net long-term capital gains in excess of short-term capital losses), if any, at least annually, out of the assets legally</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available for such distributions in the manner described above, we have retained and may continue to retain such net capital gains or net ordinary income to provide us with additional liquidity.</w:t>
      </w:r>
    </w:p>
    <w:p>
      <w:pPr>
        <w:spacing w:after="0" w:line="17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Set forth below are our results of operations for the fiscal years ended September 30, 2013, 2012 and 2011.</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117"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Investment income for the fiscal year ended September 30, 2013 was $129.2 million and was attributable to $38.9 million from senior secured loan investments, $31.9 million from second lien secured debt investments, $55.1 million from subordinated debt investments and $3.3 million from preferred and common equity. The increase in investment income over the prior year was due to the growth of our portfolio which was driven by reinvesting proceeds from the rotation in our portfolio and the investment of the proceeds from our equity and debt offerings.</w:t>
      </w:r>
    </w:p>
    <w:p>
      <w:pPr>
        <w:spacing w:after="0" w:line="171"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Investment income for the fiscal year ended September 30, 2012 was $113.4 million and was primarily attributable to $42.8 million from senior secured loan investments, $21.2 million from second lien secured debt investments, and $49.4 million from subordinated debt investments. The increase in investment income over the prior year was due to the growth of our portfolio which was also driven by the investment of the proceeds from our equity offerings.</w:t>
      </w:r>
    </w:p>
    <w:p>
      <w:pPr>
        <w:spacing w:after="0" w:line="14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Investment income for the fiscal year ended September 30, 2011 was $91.7 million and was primarily attributable to $37.1 million from senior secured loan investments, $15.2 million from second lien secured debt investments, and $38.8 million from subordinated debt investments. The increase in investment income over the prior year was due to the growth of our portfolio which was also driven by investment of the proceeds from our equity offering and rotation out of lower yielding assets.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Expenses for the fiscal year ended September 30, 2013 totaled $62.2 million. Base management fees for the same period totaled $21.3 million, incentive fees totaled $16.8 million, debt related interest and expenses totaled $18.1 million (including $2.8 million associated with the 2025 Notes and expanding our Credit Facility) and general and administrative expenses totaled $6.0 million. The increase in expenses over the prior year was primarily due to increased borrowing costs and the growth of our portfolio.</w:t>
      </w:r>
    </w:p>
    <w:p>
      <w:pPr>
        <w:spacing w:after="0" w:line="187"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Expenses for the fiscal year ended September 30, 2012 totaled $56.3 million. Base management fees for the same period totaled $17.5 million, incentive fees totaled $14.2 million, Credit Facility and SBA debentures related expenses totaled $17.1 million (including $5.4 million of upfront fees associated with amending and extending our Credit Facility), general and administrative expenses totaled $7.2 million and an excise tax of $0.3 million was incurred. The increase in expenses over the prior year was primarily due to the upfront costs of amending our Credit Facility, increased borrowing costs and the growth of our portfolio.</w:t>
      </w:r>
    </w:p>
    <w:p>
      <w:pPr>
        <w:spacing w:after="0" w:line="188"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Expenses for the fiscal year ended September 30, 2011 totaled $39.1 million. Base management fees for the same period totaled $14.9 million, incentive fees totaled $13.2 million, Credit Facility and SBA debentures related expenses totaled $5.3 million, general and administrative expenses totaled $5.5 million and an excise tax</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of $0.2 million was incurred. The increase in expenses over the prior year was the result of the growth of our portfolio as well as increased borrowing costs.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11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Net investment income totaled $67.0 million or $1.01 per share, $57.1 million or $1.08 per share and $52.6 million or $1.25 per share for the fiscal years ended September 30, 2013, 2012 and 2011, respectively. The increase in net investment income was the result of the growth of our portfolio, while the per share net investment income decrease was the result of share issuances.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Gains or Losses</w:t>
      </w:r>
    </w:p>
    <w:p>
      <w:pPr>
        <w:spacing w:after="0" w:line="117"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Sales and repayments of investments for the fiscal years ended September 30, 2013, 2012 and 2011 totaled $437.1 million, $201.7 million and $304.0 million, respectively, and net realized gains (losses) totaled $17.7 million, $(12.8) million and $16.3 million, respectively. Net realized gains increased over the prior year primarily due to sales, restructurings and repayments of our investments.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Change in Unrealized Appreciation or Depreciation on Investments, Credit Facility and 2025 Notes</w:t>
      </w:r>
    </w:p>
    <w:p>
      <w:pPr>
        <w:spacing w:after="0" w:line="11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Net change in unrealized (depreciation) appreciation on investments totaled $4.8 million, $20.6 million and $(46.8) million for the fiscal years ended September 30, 2013, 2012 and 2011, respectively. Net change in unrealized (appreciation) depreciation on our Credit Facility and 2025 Notes totaled $2.3 million, $(1.6) million and $(11.9) million for the same periods, respectively. The decrease in net unrealized change in appreciation on investments from the fiscal year ended September 30, 2011 to the fiscal year ended September 30, 2013 was due to the overall variations in the leveraged finance markets. The increase in net unrealized change in depreciation (appreciation) on our Credit Facility and 2025 Notes was the result of the fluctuating interest rate environment.</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Increase in Net Assets Resulting From Operations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Net increase in net assets resulting from operations totaled $91.8 million or $1.39 per share, $63.4 million or $1.20 per share, and $10.3 million 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$0.24 per share for the fiscal years ended September 30, 2013, 2012 and 2011, respectively. The net increase in net assets from operations was higher than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prior years primarily due to realized gains and continued growth in net investment income.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debt capital and proceeds from the rotation of our portfolio and proceeds from public and private offerings of securities to finance our investment objectives.</w:t>
      </w:r>
    </w:p>
    <w:p>
      <w:pPr>
        <w:spacing w:after="0" w:line="171"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We have a $430 million multi-currency Credit Facility with certain lenders and SunTrust Bank, acting as administrative agent, and JPMorgan Chase Bank, N.A., acting as syndication agent for the lenders. As of September 30, 2013 and 2012, there was $145.5 million (including a temporary draw of $28.0 million) and $145.0 million (including a temporary draw of $35.5 million), respectively, in outstanding borrowings under the Credit Facility, with a weighted average interest rate at the time of 3.33% and 3.49%, exclusive of the fee on undrawn commitments of 0.50%. The Credit Facility is a four-year revolving facility with a stated maturity date of February 2016, and a one-year term-out period following its third year. Borrowings under the Credit Facility bear interest at 275 basis points over LIBOR. As of September 30, 2013 and 2012, we had $284.5 million and $235.0 million of unused borrowing capacity, respectively, subject to the regulatory restrictions that the 1940 Act</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459" w:right="27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imposes on us as a BDC. The Credit Facility is secured by substantially all of our assets excluding assets held by our SBIC Funds.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Credit Facility contains customary affirmative and restrictive covenants, including maintenance of a minimum stockholders’ equity of the sum of</w:t>
      </w:r>
    </w:p>
    <w:p>
      <w:pPr>
        <w:spacing w:after="0" w:line="46" w:lineRule="exact"/>
        <w:rPr>
          <w:sz w:val="20"/>
          <w:szCs w:val="20"/>
          <w:color w:val="auto"/>
        </w:rPr>
      </w:pPr>
    </w:p>
    <w:p>
      <w:pPr>
        <w:ind w:right="100" w:firstLine="8"/>
        <w:spacing w:after="0" w:line="269" w:lineRule="auto"/>
        <w:tabs>
          <w:tab w:leader="none" w:pos="245" w:val="left"/>
        </w:tabs>
        <w:numPr>
          <w:ilvl w:val="0"/>
          <w:numId w:val="49"/>
        </w:numPr>
        <w:rPr>
          <w:rFonts w:ascii="Arial" w:cs="Arial" w:eastAsia="Arial" w:hAnsi="Arial"/>
          <w:sz w:val="17"/>
          <w:szCs w:val="17"/>
          <w:color w:val="auto"/>
        </w:rPr>
      </w:pPr>
      <w:r>
        <w:rPr>
          <w:rFonts w:ascii="Arial" w:cs="Arial" w:eastAsia="Arial" w:hAnsi="Arial"/>
          <w:sz w:val="17"/>
          <w:szCs w:val="17"/>
          <w:color w:val="auto"/>
        </w:rPr>
        <w:t>$220.0 million plus (b) 25% of the net proceeds from the sale of equity interests in us and our subsidiaries after the closing date of the Credit Facility and maintenance of a ratio of total assets (less total liabilities other than indebtedness) to total indebtedness of not less than 2.0:1.0 (before any exemptive relief granted by the SEC with respect to the indebtedness of our SBIC subsidiaries). In addition to the asset coverage ratio described in the preceding sentence, borrowings under our Credit Facility (and the incurrence of certain other permitted debt) are subject to compliance with a borrowing base that applies different advance rates to different types of assets in the Company’s portfolio. For a complete list of covenants contained in the Credit Facility, see our Form 8-K filed on February 22, 2012 and the Credit Facility agreement filed as an exhibit to our Form 10-Q filed on May 2, 2012. As of September 30, 2013, we were in compliance with the terms of our Credit Facility.</w:t>
      </w:r>
    </w:p>
    <w:p>
      <w:pPr>
        <w:spacing w:after="0" w:line="1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January 2013, we issued $71.3 million in aggregate principal amount of 2025 Notes, after exercise of the over-allotment option, for net proceeds of $68.8 million after underwriting discounts and offering costs. Interest on the 2025 Notes is paid quarterly on February 1, May 1, August 1 and November 1, at a rate of 6.25% per year. The 2025 Notes mature on February 1, 2025. We may redeem the 2025 Notes in whole or in part at any time or from time to time on or after February 1, 2016. The 2025 Notes are general, unsecured obligations and rank equal in right of payment with all of our existing and future senior unsecured indebtedness. The 2025 Notes are structurally subordinated to our SBA debentures and the assets pledged or secured under our Credit Facility. Our 2025 Notes trade on the NYSE under the symbol “PNTA.”</w:t>
      </w:r>
    </w:p>
    <w:p>
      <w:pPr>
        <w:spacing w:after="0" w:line="193" w:lineRule="exact"/>
        <w:rPr>
          <w:sz w:val="20"/>
          <w:szCs w:val="20"/>
          <w:color w:val="auto"/>
        </w:rPr>
      </w:pPr>
    </w:p>
    <w:p>
      <w:pPr>
        <w:jc w:val="both"/>
        <w:ind w:right="160" w:firstLine="456"/>
        <w:spacing w:after="0" w:line="297" w:lineRule="auto"/>
        <w:rPr>
          <w:sz w:val="20"/>
          <w:szCs w:val="20"/>
          <w:color w:val="auto"/>
        </w:rPr>
      </w:pPr>
      <w:r>
        <w:rPr>
          <w:rFonts w:ascii="Arial" w:cs="Arial" w:eastAsia="Arial" w:hAnsi="Arial"/>
          <w:sz w:val="16"/>
          <w:szCs w:val="16"/>
          <w:color w:val="auto"/>
        </w:rPr>
        <w:t>We may raise additional equity or debt capital through both registered offerings off our shelf registration statement and private offerings of securities, by securitizing a portion of our investments or borrowing from the SBA, among other sources. Any future additional debt capital we incur, to the extent it is available, may be issued at a higher cost and on less favorable terms and conditions than our current Credit Facility or 2025 Notes. Furthermore, our Credit Facility availability depends on various covenants and restrictions. The primary use of existing funds and any funds raised in the future is expected to be for repayment of indebtedness, investments in portfolio companies, cash distributions to our stockholders or for other general corporate or strategic purposes.</w:t>
      </w:r>
    </w:p>
    <w:p>
      <w:pPr>
        <w:spacing w:after="0" w:line="15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the fiscal year ended September 30, 2013 we sold 0.7 million shares of common stock pursuant to the underwriters’ exercise of the overallotment option, resulting in net proceeds of $7.3 million. This compares to selling 19.4 million shares of our common stock resulting in net proceeds of $198.9 million for the fiscal year ended September 30, 2012. Any decision to sell shares below the then current NAV per share of our common stock is subject to stockholder approval and a determination by our board of directors that such issuance and sale is in our and our stockholders’ best interests. Any sale or other issuance of shares of our common stock at a price below NAV per share results in immediate dilution to our stockholders’ interests in our common stock and a reduction in our NAV per share.</w:t>
      </w:r>
    </w:p>
    <w:p>
      <w:pPr>
        <w:spacing w:after="0" w:line="193"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In accordance with the 1940 Act, with certain limited exceptions, PennantPark Investment is only allowed to borrow amounts such that our asset coverage ratio is met after such borrowing. As of September 30, 2013, we excluded the principal amounts of our SBA debentures from our asset coverage ratio pursuant to SEC exemptive relief. In June 2011, we received exemptive relief from the SEC allowing us to modify the asset coverage ratio requirement to exclude the SBA debentures from the calculation. Accordingly, our ratio of total assets on a consolidated basis to outstanding indebtedness may be less than 200%, which while providing increased investment flexibility, also increases our exposure to risks associated with leverage.</w:t>
      </w:r>
    </w:p>
    <w:p>
      <w:pPr>
        <w:spacing w:after="0" w:line="158"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SBIC LP is able to borrow funds from the SBA against regulatory capital (which approximates equity capital) that is paid-in and is subject to customary regulatory requirements including but not limited to an examination by the SBA. We have funded SBIC LP with $75.0 million of equity capital and had SBA debentures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outstanding of $150.0 million as of September 30, 2013. Effective January 2013, our wholly-owned subsidiary, SBIC II, received a license from the SBA to operate as an SBIC under the 1958 Act. Our SBIC Funds are subject to a variety of regulations and oversight by the SBA concerning, among other things, the size and nature of the companies in which it may invest as well as the structure of those investments. SBA debentures are non-recourse to us, have a 10-year maturity, and may be prepaid at any time without penalty. The interest rate of SBA debentures is fixed at the time of issuance, often referred to as pooling, at a market-driven spread over 10-year U.S. Treasury Notes. SBA regulations limit the amount that SBIC LP may borrow to a maximum of $150.0 million, which is up to twice its potential regulatory capital, and may borrow to a maximum of $225 million as part of a group of SBICs under common control. SBIC LP has accessed the maximum borrowing with its $75.0 million in regulatory capital.</w:t>
      </w:r>
    </w:p>
    <w:p>
      <w:pPr>
        <w:spacing w:after="0" w:line="178"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As of September 30, 2013 and 2012, our $150.0 million in debt commitments were fully drawn with a weighted average interest rate of 3.70% exclusive of the 3.43% in upfront fees (4.04% after upfront fees). The SBA debentures upfront fees of 3.43% consist of a commitment fee of 1.00% and an issuance at a 2.43% discount to face. Both fees will be amortized over the lives of the loans. Our fixed rate SBA debentures as of September 30, 2013 and 2012 are as follows:</w:t>
      </w:r>
    </w:p>
    <w:p>
      <w:pPr>
        <w:spacing w:after="0" w:line="19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920" w:type="dxa"/>
            <w:vAlign w:val="bottom"/>
            <w:vMerge w:val="restart"/>
          </w:tcPr>
          <w:p>
            <w:pPr>
              <w:spacing w:after="0"/>
              <w:rPr>
                <w:sz w:val="20"/>
                <w:szCs w:val="20"/>
                <w:color w:val="auto"/>
              </w:rPr>
            </w:pPr>
            <w:r>
              <w:rPr>
                <w:rFonts w:ascii="Arial" w:cs="Arial" w:eastAsia="Arial" w:hAnsi="Arial"/>
                <w:sz w:val="14"/>
                <w:szCs w:val="14"/>
                <w:b w:val="1"/>
                <w:bCs w:val="1"/>
                <w:color w:val="auto"/>
                <w:w w:val="88"/>
              </w:rPr>
              <w:t>Issuance Dates</w:t>
            </w:r>
          </w:p>
        </w:tc>
        <w:tc>
          <w:tcPr>
            <w:tcW w:w="3580" w:type="dxa"/>
            <w:vAlign w:val="bottom"/>
            <w:vMerge w:val="restart"/>
          </w:tcPr>
          <w:p>
            <w:pPr>
              <w:spacing w:after="0"/>
              <w:rPr>
                <w:sz w:val="14"/>
                <w:szCs w:val="14"/>
                <w:color w:val="auto"/>
              </w:rPr>
            </w:pPr>
          </w:p>
        </w:tc>
        <w:tc>
          <w:tcPr>
            <w:tcW w:w="140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Maturity</w:t>
            </w:r>
          </w:p>
        </w:tc>
        <w:tc>
          <w:tcPr>
            <w:tcW w:w="800" w:type="dxa"/>
            <w:vAlign w:val="bottom"/>
            <w:vMerge w:val="restart"/>
          </w:tcPr>
          <w:p>
            <w:pPr>
              <w:spacing w:after="0"/>
              <w:rPr>
                <w:sz w:val="14"/>
                <w:szCs w:val="14"/>
                <w:color w:val="auto"/>
              </w:rPr>
            </w:pPr>
          </w:p>
        </w:tc>
        <w:tc>
          <w:tcPr>
            <w:tcW w:w="1460" w:type="dxa"/>
            <w:vAlign w:val="bottom"/>
            <w:gridSpan w:val="2"/>
          </w:tcPr>
          <w:p>
            <w:pPr>
              <w:ind w:left="300"/>
              <w:spacing w:after="0"/>
              <w:rPr>
                <w:sz w:val="20"/>
                <w:szCs w:val="20"/>
                <w:color w:val="auto"/>
              </w:rPr>
            </w:pPr>
            <w:r>
              <w:rPr>
                <w:rFonts w:ascii="Arial" w:cs="Arial" w:eastAsia="Arial" w:hAnsi="Arial"/>
                <w:sz w:val="14"/>
                <w:szCs w:val="14"/>
                <w:b w:val="1"/>
                <w:bCs w:val="1"/>
                <w:color w:val="auto"/>
              </w:rPr>
              <w:t>All-in</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Principal</w:t>
            </w: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tcBorders>
            <w:vMerge w:val="continue"/>
          </w:tcPr>
          <w:p>
            <w:pPr>
              <w:spacing w:after="0"/>
              <w:rPr>
                <w:sz w:val="14"/>
                <w:szCs w:val="14"/>
                <w:color w:val="auto"/>
              </w:rPr>
            </w:pPr>
          </w:p>
        </w:tc>
        <w:tc>
          <w:tcPr>
            <w:tcW w:w="3580" w:type="dxa"/>
            <w:vAlign w:val="bottom"/>
            <w:tcBorders>
              <w:bottom w:val="single" w:sz="8" w:color="CCEEFF"/>
            </w:tcBorders>
            <w:vMerge w:val="continue"/>
          </w:tcPr>
          <w:p>
            <w:pPr>
              <w:spacing w:after="0"/>
              <w:rPr>
                <w:sz w:val="14"/>
                <w:szCs w:val="14"/>
                <w:color w:val="auto"/>
              </w:rPr>
            </w:pPr>
          </w:p>
        </w:tc>
        <w:tc>
          <w:tcPr>
            <w:tcW w:w="1400" w:type="dxa"/>
            <w:vAlign w:val="bottom"/>
            <w:tcBorders>
              <w:bottom w:val="single" w:sz="8" w:color="auto"/>
            </w:tcBorders>
            <w:vMerge w:val="continue"/>
          </w:tcPr>
          <w:p>
            <w:pPr>
              <w:spacing w:after="0"/>
              <w:rPr>
                <w:sz w:val="14"/>
                <w:szCs w:val="14"/>
                <w:color w:val="auto"/>
              </w:rPr>
            </w:pPr>
          </w:p>
        </w:tc>
        <w:tc>
          <w:tcPr>
            <w:tcW w:w="800" w:type="dxa"/>
            <w:vAlign w:val="bottom"/>
            <w:tcBorders>
              <w:bottom w:val="single" w:sz="8" w:color="CCEEFF"/>
            </w:tcBorders>
            <w:vMerge w:val="continue"/>
          </w:tcPr>
          <w:p>
            <w:pPr>
              <w:spacing w:after="0"/>
              <w:rPr>
                <w:sz w:val="14"/>
                <w:szCs w:val="14"/>
                <w:color w:val="auto"/>
              </w:rPr>
            </w:pPr>
          </w:p>
        </w:tc>
        <w:tc>
          <w:tcPr>
            <w:tcW w:w="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 xml:space="preserve">Coupon Rate </w:t>
            </w:r>
            <w:r>
              <w:rPr>
                <w:rFonts w:ascii="Arial" w:cs="Arial" w:eastAsia="Arial" w:hAnsi="Arial"/>
                <w:sz w:val="12"/>
                <w:szCs w:val="12"/>
                <w:b w:val="1"/>
                <w:bCs w:val="1"/>
                <w:color w:val="auto"/>
                <w:w w:val="90"/>
              </w:rPr>
              <w:t>(1)</w:t>
            </w:r>
          </w:p>
        </w:tc>
        <w:tc>
          <w:tcPr>
            <w:tcW w:w="48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Balance</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22, 2010</w:t>
            </w:r>
          </w:p>
        </w:tc>
        <w:tc>
          <w:tcPr>
            <w:tcW w:w="140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September 1, 2020</w:t>
            </w:r>
          </w:p>
        </w:tc>
        <w:tc>
          <w:tcPr>
            <w:tcW w:w="8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3.50%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March 29, 2011</w:t>
            </w:r>
          </w:p>
        </w:tc>
        <w:tc>
          <w:tcPr>
            <w:tcW w:w="2200" w:type="dxa"/>
            <w:vAlign w:val="bottom"/>
            <w:gridSpan w:val="2"/>
          </w:tcPr>
          <w:p>
            <w:pPr>
              <w:ind w:left="40"/>
              <w:spacing w:after="0"/>
              <w:rPr>
                <w:sz w:val="20"/>
                <w:szCs w:val="20"/>
                <w:color w:val="auto"/>
              </w:rPr>
            </w:pPr>
            <w:r>
              <w:rPr>
                <w:rFonts w:ascii="Arial" w:cs="Arial" w:eastAsia="Arial" w:hAnsi="Arial"/>
                <w:sz w:val="18"/>
                <w:szCs w:val="18"/>
                <w:color w:val="auto"/>
              </w:rPr>
              <w:t>March 1, 2021</w:t>
            </w:r>
          </w:p>
        </w:tc>
        <w:tc>
          <w:tcPr>
            <w:tcW w:w="1460" w:type="dxa"/>
            <w:vAlign w:val="bottom"/>
            <w:gridSpan w:val="2"/>
          </w:tcPr>
          <w:p>
            <w:pPr>
              <w:ind w:left="660"/>
              <w:spacing w:after="0"/>
              <w:rPr>
                <w:sz w:val="20"/>
                <w:szCs w:val="20"/>
                <w:color w:val="auto"/>
              </w:rPr>
            </w:pPr>
            <w:r>
              <w:rPr>
                <w:rFonts w:ascii="Arial" w:cs="Arial" w:eastAsia="Arial" w:hAnsi="Arial"/>
                <w:sz w:val="18"/>
                <w:szCs w:val="18"/>
                <w:color w:val="auto"/>
              </w:rPr>
              <w:t>4.46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44,500,000</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21, 2011</w:t>
            </w:r>
          </w:p>
        </w:tc>
        <w:tc>
          <w:tcPr>
            <w:tcW w:w="2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September 1, 2021</w:t>
            </w:r>
          </w:p>
        </w:tc>
        <w:tc>
          <w:tcPr>
            <w:tcW w:w="98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w w:val="85"/>
              </w:rPr>
              <w:t>3.38</w:t>
            </w: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105,000,000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00" w:type="dxa"/>
            <w:vAlign w:val="bottom"/>
            <w:gridSpan w:val="2"/>
          </w:tcPr>
          <w:p>
            <w:pPr>
              <w:spacing w:after="0"/>
              <w:rPr>
                <w:sz w:val="20"/>
                <w:szCs w:val="20"/>
                <w:color w:val="auto"/>
              </w:rPr>
            </w:pPr>
            <w:r>
              <w:rPr>
                <w:rFonts w:ascii="Arial" w:cs="Arial" w:eastAsia="Arial" w:hAnsi="Arial"/>
                <w:sz w:val="18"/>
                <w:szCs w:val="18"/>
                <w:color w:val="auto"/>
              </w:rPr>
              <w:t>Weighted average rate / Total</w:t>
            </w:r>
          </w:p>
        </w:tc>
        <w:tc>
          <w:tcPr>
            <w:tcW w:w="1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60" w:type="dxa"/>
            <w:vAlign w:val="bottom"/>
            <w:gridSpan w:val="2"/>
          </w:tcPr>
          <w:p>
            <w:pPr>
              <w:ind w:left="660"/>
              <w:spacing w:after="0"/>
              <w:rPr>
                <w:sz w:val="20"/>
                <w:szCs w:val="20"/>
                <w:color w:val="auto"/>
              </w:rPr>
            </w:pPr>
            <w:r>
              <w:rPr>
                <w:rFonts w:ascii="Arial" w:cs="Arial" w:eastAsia="Arial" w:hAnsi="Arial"/>
                <w:sz w:val="18"/>
                <w:szCs w:val="18"/>
                <w:color w:val="auto"/>
              </w:rPr>
              <w:t>3.70%</w:t>
            </w:r>
          </w:p>
        </w:tc>
        <w:tc>
          <w:tcPr>
            <w:tcW w:w="3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150,000,000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Excludes 3.43% of upfront fees.</w:t>
      </w:r>
    </w:p>
    <w:p>
      <w:pPr>
        <w:spacing w:after="0" w:line="225"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The SBIC program is designed to stimulate the flow of capital into eligible businesses. Under SBA regulations, our SBIC Funds are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investment in certain industries and requiring capitalization thresholds that limit distributions to us, and are subject to periodic audits and examinations of their financial statements that are prepared on a basis of accounting other than GAAP (for example, fair value, as defined under ASC 820, is not required to be used for assets or liabilities for such compliance reporting). As of September 30, 2013, our SBIC Funds were in compliance with their regulatory requirements.</w:t>
      </w:r>
    </w:p>
    <w:p>
      <w:pPr>
        <w:spacing w:after="0" w:line="178"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On September 30, 2013 and September 30, 2012, we had cash equivalents of $58.4 million and $7.6 million, respectively, available for investing and general corporate purposes. This was primarily the result of repayments in SBIC LP. We believe our liquidity and capital resources are sufficient to take advantage of market opportunities.</w:t>
      </w:r>
    </w:p>
    <w:p>
      <w:pPr>
        <w:spacing w:after="0" w:line="181" w:lineRule="exact"/>
        <w:rPr>
          <w:sz w:val="20"/>
          <w:szCs w:val="20"/>
          <w:color w:val="auto"/>
        </w:rPr>
      </w:pPr>
    </w:p>
    <w:p>
      <w:pPr>
        <w:ind w:right="620" w:firstLine="456"/>
        <w:spacing w:after="0" w:line="264" w:lineRule="auto"/>
        <w:rPr>
          <w:sz w:val="20"/>
          <w:szCs w:val="20"/>
          <w:color w:val="auto"/>
        </w:rPr>
      </w:pPr>
      <w:r>
        <w:rPr>
          <w:rFonts w:ascii="Arial" w:cs="Arial" w:eastAsia="Arial" w:hAnsi="Arial"/>
          <w:sz w:val="18"/>
          <w:szCs w:val="18"/>
          <w:color w:val="auto"/>
        </w:rPr>
        <w:t>Our operating activities provided cash of $40.3 million for the fiscal year ended September 30, 2013, and our financing activities provided cash proceeds of $10.6 million for the same period. Our operating activities used cash primarily for investing that was offset by proceeds from sales and repayments on our investments and issuance of the 2025 Notes.</w:t>
      </w:r>
    </w:p>
    <w:p>
      <w:pPr>
        <w:spacing w:after="0" w:line="18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Our operating activities used cash of $115.3 million for the fiscal year ended September 30, 2012, and our financing activities provided cash proceeds of $51.3 million for the same period. Our operating activities used cash primarily for investing that was provided primarily from proceeds from our follow-on public offerings of common stock.</w:t>
      </w:r>
    </w:p>
    <w:p>
      <w:pPr>
        <w:spacing w:after="0" w:line="18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Our operating activities used cash of $137.8 million for the fiscal year ended September 30, 2011, and our financing activities provided cash proceeds of $207.6 million for the same period. Our operating activities used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cash primarily for investing that was provided primarily from proceeds from our follow-on public offering of common stock and draws under our Credit Facility and SBA debentures.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A summary of our significant contractual payment obligations as of September 30, 2013, including borrowings under our multi-currency Credit Facility and other contractual obligations, are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6"/>
          </w:tcPr>
          <w:p>
            <w:pPr>
              <w:jc w:val="right"/>
              <w:ind w:right="95"/>
              <w:spacing w:after="0"/>
              <w:rPr>
                <w:sz w:val="20"/>
                <w:szCs w:val="20"/>
                <w:color w:val="auto"/>
              </w:rPr>
            </w:pPr>
            <w:r>
              <w:rPr>
                <w:rFonts w:ascii="Arial" w:cs="Arial" w:eastAsia="Arial" w:hAnsi="Arial"/>
                <w:sz w:val="14"/>
                <w:szCs w:val="14"/>
                <w:b w:val="1"/>
                <w:bCs w:val="1"/>
                <w:color w:val="auto"/>
              </w:rPr>
              <w:t>Payments due by period (millions)</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16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80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0"/>
                <w:szCs w:val="10"/>
                <w:color w:val="auto"/>
              </w:rPr>
            </w:pPr>
          </w:p>
        </w:tc>
        <w:tc>
          <w:tcPr>
            <w:tcW w:w="900" w:type="dxa"/>
            <w:vAlign w:val="bottom"/>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w w:val="95"/>
              </w:rPr>
              <w:t>Less than</w:t>
            </w:r>
          </w:p>
        </w:tc>
        <w:tc>
          <w:tcPr>
            <w:tcW w:w="800" w:type="dxa"/>
            <w:vAlign w:val="bottom"/>
            <w:gridSpan w:val="2"/>
          </w:tcPr>
          <w:p>
            <w:pPr>
              <w:jc w:val="right"/>
              <w:ind w:right="73"/>
              <w:spacing w:after="0" w:line="119" w:lineRule="exact"/>
              <w:rPr>
                <w:sz w:val="20"/>
                <w:szCs w:val="20"/>
                <w:color w:val="auto"/>
              </w:rPr>
            </w:pPr>
            <w:r>
              <w:rPr>
                <w:rFonts w:ascii="Arial" w:cs="Arial" w:eastAsia="Arial" w:hAnsi="Arial"/>
                <w:sz w:val="13"/>
                <w:szCs w:val="13"/>
                <w:b w:val="1"/>
                <w:bCs w:val="1"/>
                <w:color w:val="auto"/>
              </w:rPr>
              <w:t>1-3</w:t>
            </w:r>
          </w:p>
        </w:tc>
        <w:tc>
          <w:tcPr>
            <w:tcW w:w="580" w:type="dxa"/>
            <w:vAlign w:val="bottom"/>
          </w:tcPr>
          <w:p>
            <w:pPr>
              <w:spacing w:after="0"/>
              <w:rPr>
                <w:sz w:val="10"/>
                <w:szCs w:val="10"/>
                <w:color w:val="auto"/>
              </w:rPr>
            </w:pPr>
          </w:p>
        </w:tc>
        <w:tc>
          <w:tcPr>
            <w:tcW w:w="36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3-5</w:t>
            </w:r>
          </w:p>
        </w:tc>
        <w:tc>
          <w:tcPr>
            <w:tcW w:w="600" w:type="dxa"/>
            <w:vAlign w:val="bottom"/>
          </w:tcPr>
          <w:p>
            <w:pPr>
              <w:spacing w:after="0"/>
              <w:rPr>
                <w:sz w:val="10"/>
                <w:szCs w:val="10"/>
                <w:color w:val="auto"/>
              </w:rPr>
            </w:pPr>
          </w:p>
        </w:tc>
        <w:tc>
          <w:tcPr>
            <w:tcW w:w="66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9"/>
              </w:rPr>
              <w:t>More than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gridSpan w:val="2"/>
          </w:tcPr>
          <w:p>
            <w:pPr>
              <w:ind w:left="100"/>
              <w:spacing w:after="0"/>
              <w:rPr>
                <w:sz w:val="20"/>
                <w:szCs w:val="20"/>
                <w:color w:val="auto"/>
              </w:rPr>
            </w:pPr>
            <w:r>
              <w:rPr>
                <w:rFonts w:ascii="Arial" w:cs="Arial" w:eastAsia="Arial" w:hAnsi="Arial"/>
                <w:sz w:val="14"/>
                <w:szCs w:val="14"/>
                <w:b w:val="1"/>
                <w:bCs w:val="1"/>
                <w:color w:val="auto"/>
              </w:rPr>
              <w:t>1 year</w:t>
            </w:r>
          </w:p>
        </w:tc>
        <w:tc>
          <w:tcPr>
            <w:tcW w:w="300" w:type="dxa"/>
            <w:vAlign w:val="bottom"/>
          </w:tcPr>
          <w:p>
            <w:pPr>
              <w:spacing w:after="0"/>
              <w:rPr>
                <w:sz w:val="14"/>
                <w:szCs w:val="14"/>
                <w:color w:val="auto"/>
              </w:rPr>
            </w:pPr>
          </w:p>
        </w:tc>
        <w:tc>
          <w:tcPr>
            <w:tcW w:w="10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years</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2"/>
              </w:rPr>
              <w:t>years</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1"/>
              </w:rPr>
              <w:t>5 years</w:t>
            </w:r>
          </w:p>
        </w:tc>
        <w:tc>
          <w:tcPr>
            <w:tcW w:w="0" w:type="dxa"/>
            <w:vAlign w:val="bottom"/>
          </w:tcPr>
          <w:p>
            <w:pPr>
              <w:spacing w:after="0"/>
              <w:rPr>
                <w:sz w:val="1"/>
                <w:szCs w:val="1"/>
                <w:color w:val="auto"/>
              </w:rPr>
            </w:pPr>
          </w:p>
        </w:tc>
      </w:tr>
      <w:tr>
        <w:trPr>
          <w:trHeight w:val="210"/>
        </w:trPr>
        <w:tc>
          <w:tcPr>
            <w:tcW w:w="42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Credit Facility</w:t>
            </w:r>
          </w:p>
        </w:tc>
        <w:tc>
          <w:tcPr>
            <w:tcW w:w="2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$145.5</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   —</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$145.5</w:t>
            </w:r>
          </w:p>
        </w:tc>
        <w:tc>
          <w:tcPr>
            <w:tcW w:w="5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SBA debentures</w:t>
            </w:r>
          </w:p>
        </w:tc>
        <w:tc>
          <w:tcPr>
            <w:tcW w:w="2640" w:type="dxa"/>
            <w:vAlign w:val="bottom"/>
            <w:gridSpan w:val="3"/>
          </w:tcPr>
          <w:p>
            <w:pPr>
              <w:jc w:val="right"/>
              <w:ind w:right="20"/>
              <w:spacing w:after="0"/>
              <w:rPr>
                <w:sz w:val="20"/>
                <w:szCs w:val="20"/>
                <w:color w:val="auto"/>
              </w:rPr>
            </w:pPr>
            <w:r>
              <w:rPr>
                <w:rFonts w:ascii="Arial" w:cs="Arial" w:eastAsia="Arial" w:hAnsi="Arial"/>
                <w:sz w:val="18"/>
                <w:szCs w:val="18"/>
                <w:color w:val="auto"/>
              </w:rPr>
              <w:t>150.0</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2025 Notes</w:t>
            </w:r>
          </w:p>
        </w:tc>
        <w:tc>
          <w:tcPr>
            <w:tcW w:w="292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71.3</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23"/>
        </w:trPr>
        <w:tc>
          <w:tcPr>
            <w:tcW w:w="4200" w:type="dxa"/>
            <w:vAlign w:val="bottom"/>
            <w:gridSpan w:val="2"/>
          </w:tcPr>
          <w:p>
            <w:pPr>
              <w:spacing w:after="0"/>
              <w:rPr>
                <w:sz w:val="20"/>
                <w:szCs w:val="20"/>
                <w:color w:val="auto"/>
              </w:rPr>
            </w:pPr>
            <w:r>
              <w:rPr>
                <w:rFonts w:ascii="Arial" w:cs="Arial" w:eastAsia="Arial" w:hAnsi="Arial"/>
                <w:sz w:val="18"/>
                <w:szCs w:val="18"/>
                <w:color w:val="auto"/>
              </w:rPr>
              <w:t>Total debt outstanding</w:t>
            </w:r>
            <w:r>
              <w:rPr>
                <w:rFonts w:ascii="Arial" w:cs="Arial" w:eastAsia="Arial" w:hAnsi="Arial"/>
                <w:sz w:val="15"/>
                <w:szCs w:val="15"/>
                <w:color w:val="auto"/>
              </w:rPr>
              <w:t>(1)</w:t>
            </w:r>
          </w:p>
        </w:tc>
        <w:tc>
          <w:tcPr>
            <w:tcW w:w="212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366.8</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145.5</w:t>
            </w:r>
          </w:p>
        </w:tc>
        <w:tc>
          <w:tcPr>
            <w:tcW w:w="580" w:type="dxa"/>
            <w:vAlign w:val="bottom"/>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Unfunded investments</w:t>
            </w:r>
            <w:r>
              <w:rPr>
                <w:rFonts w:ascii="Arial" w:cs="Arial" w:eastAsia="Arial" w:hAnsi="Arial"/>
                <w:sz w:val="15"/>
                <w:szCs w:val="15"/>
                <w:color w:val="auto"/>
              </w:rPr>
              <w:t>(2)</w:t>
            </w:r>
          </w:p>
        </w:tc>
        <w:tc>
          <w:tcPr>
            <w:tcW w:w="2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7.2</w:t>
            </w:r>
          </w:p>
        </w:tc>
        <w:tc>
          <w:tcPr>
            <w:tcW w:w="2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4.8</w:t>
            </w:r>
          </w:p>
        </w:tc>
        <w:tc>
          <w:tcPr>
            <w:tcW w:w="13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1.9</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00" w:type="dxa"/>
            <w:vAlign w:val="bottom"/>
            <w:gridSpan w:val="2"/>
          </w:tcPr>
          <w:p>
            <w:pPr>
              <w:spacing w:after="0"/>
              <w:rPr>
                <w:sz w:val="20"/>
                <w:szCs w:val="20"/>
                <w:color w:val="auto"/>
              </w:rPr>
            </w:pPr>
            <w:r>
              <w:rPr>
                <w:rFonts w:ascii="Arial" w:cs="Arial" w:eastAsia="Arial" w:hAnsi="Arial"/>
                <w:sz w:val="18"/>
                <w:szCs w:val="18"/>
                <w:color w:val="auto"/>
              </w:rPr>
              <w:t>Total contractual obligations</w:t>
            </w:r>
          </w:p>
        </w:tc>
        <w:tc>
          <w:tcPr>
            <w:tcW w:w="21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374.0</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147.4</w:t>
            </w:r>
          </w:p>
        </w:tc>
        <w:tc>
          <w:tcPr>
            <w:tcW w:w="5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160" w:type="dxa"/>
            <w:vAlign w:val="bottom"/>
            <w:tcBorders>
              <w:bottom w:val="single" w:sz="8" w:color="auto"/>
            </w:tcBorders>
          </w:tcPr>
          <w:p>
            <w:pPr>
              <w:spacing w:after="0"/>
              <w:rPr>
                <w:sz w:val="11"/>
                <w:szCs w:val="11"/>
                <w:color w:val="auto"/>
              </w:rPr>
            </w:pPr>
          </w:p>
        </w:tc>
        <w:tc>
          <w:tcPr>
            <w:tcW w:w="30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right="60" w:hanging="452"/>
        <w:spacing w:after="0" w:line="258"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weighted average interest rate on the total debt outstanding as of September 30, 2013 was 4.05%, exclusive of the fee on the undrawn commitment of 0.50% on the Credit Facility and 3.43% of upfront fees on SBIC LP’s SBA debentures.</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Unfunded investments described in the Consolidated Statement of Assets and Liabilities represent unfunded delayed draws on investments.</w:t>
      </w:r>
    </w:p>
    <w:p>
      <w:pPr>
        <w:spacing w:after="0" w:line="22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have entered into certain contracts under which we have material future commitments. Under our Investment Management Agreement, which was most recently re-approved by our board of directors, including a majority of our directors who are not interested persons of us or the Investment Adviser, in February 2013, PennantPark Investment Advisers serves as our Investment Adviser in accordance with the terms of that Investment Management Agreement. PennantPark Investment, through the Investment Adviser, provides similar services to our SBIC Funds under their investment management agreements with us. Our SBIC Funds’ investment management agreements do not affect the management or incentive fees that we pay to the Investment Adviser on a consolidated basis. Payments under our Investment Management Agreement in each reporting period are equal to (1) a management fee equal to a percentage of the value of our average adjusted gross assets and (2) an incentive fee based on our performance.</w:t>
      </w:r>
    </w:p>
    <w:p>
      <w:pPr>
        <w:spacing w:after="0" w:line="16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Under our Administration Agreement, which was most recently re-approved by our board of directors, including a majority of our directors who are not interested persons of us, in February 2013. PennantPark Investment Administration furnishes us with office facilities and administrative services necessary to conduct our day-to-day operations. PennantPark Investment, through the Administrator, provides similar services to our SBIC Funds under their administration agreements, which are intended to have no effect on the consolidated administration fee. If requested to provide managerial assistance to our portfolio companies, PennantPark Investment Advisers or PennantPark Investment Administration will be paid an additional amount based on the services provided, which amount will not in any case exceed the amount we receive from the portfolio companies for such services. Payment under our Administration Agreement is based upon our allocable portion of the Administrator’s overhead in performing its obligations under our Administration Agreement, including rent, technology systems, insurance and our allocable portion of the costs of our Chief Compliance Officer, Chief Financial Officer and their respective staffs.</w:t>
      </w:r>
    </w:p>
    <w:p>
      <w:pPr>
        <w:spacing w:after="0" w:line="166"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color w:val="auto"/>
        </w:rPr>
        <w:t>If any of our contractual obligations discussed above is terminated, our costs under new agreements that we enter into may increase. In addition, we will likely incur significant time and expense in locating alternative parties to provide the services we expect to receive under our Investment Management Agreement and our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Administration Agreement. Any new investment management agreement would also be subject to approval by our stockholders.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in the ordinary course of business, have guaranteed certain obligations of our controlled affiliate, SuttonPark Holdings, Inc. and its subsidiaries, or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SPH. The guaranties are only triggered if there were administrative errors in acquiring assets which SPH subsequently sold or securitized.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2013 our maximum guaranty is $13.0 million. Based on SPH’s and industry historical loss rates, we believe the risk of loss is remote, thus, we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have not recorded a liability associated with the guaranties. The current guaranties will decline over time.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currently engage in no off-balance sheet arrangements, including any risk management of commodity pricing or other hedging practices.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121" w:lineRule="exact"/>
        <w:rPr>
          <w:sz w:val="20"/>
          <w:szCs w:val="20"/>
          <w:color w:val="auto"/>
        </w:rPr>
      </w:pPr>
    </w:p>
    <w:p>
      <w:pPr>
        <w:ind w:right="80" w:firstLine="456"/>
        <w:spacing w:after="0" w:line="285" w:lineRule="auto"/>
        <w:rPr>
          <w:sz w:val="20"/>
          <w:szCs w:val="20"/>
          <w:color w:val="auto"/>
        </w:rPr>
      </w:pPr>
      <w:r>
        <w:rPr>
          <w:rFonts w:ascii="Arial" w:cs="Arial" w:eastAsia="Arial" w:hAnsi="Arial"/>
          <w:sz w:val="16"/>
          <w:szCs w:val="16"/>
          <w:color w:val="auto"/>
        </w:rPr>
        <w:t>In order to qualify as a RIC and to not be subject to corporate-level tax on income, we are required, under Subchapter M of the Code, to distribute annually at least 90% of the sum of our net ordinary income and realized net short-term capital gains in excess of realized net long-term capital losses, if any, out of the assets legally available for distribution. Although not required for us to maintain our RIC tax status, in order to preclude the imposition of a 4% nondeductible federal excise tax imposed on RICs, we may distribute during each calendar year an amount at least equal to the sum of (1) 98% of our net ordinary income for the calendar year, (2) 98.2% of our realized net capital gains for the one-year period ending on October 31 of the calendar year and</w:t>
      </w:r>
    </w:p>
    <w:p>
      <w:pPr>
        <w:spacing w:after="0" w:line="2" w:lineRule="exact"/>
        <w:rPr>
          <w:sz w:val="20"/>
          <w:szCs w:val="20"/>
          <w:color w:val="auto"/>
        </w:rPr>
      </w:pPr>
    </w:p>
    <w:p>
      <w:pPr>
        <w:ind w:right="40" w:firstLine="8"/>
        <w:spacing w:after="0" w:line="253" w:lineRule="auto"/>
        <w:tabs>
          <w:tab w:leader="none" w:pos="2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net ordinary income and net capital gains for preceding years that were not distributed during such years. In addition, although we may distribute realized net capital gains (i.e., net long-term capital gains in excess of short-term capital losses), if any, at least annually, out of the assets legally available for such distributions, we may retain such net capital gains or ordinary income to provide us with additional liquidity. For the fiscal years ended September 30, 2013, 2012 and 2011, we elected to retain a portion of our calendar year income and incurred an excise tax of approximately $(0.1) million, $0.3 million and $0.2 million, respectively.</w:t>
      </w:r>
    </w:p>
    <w:p>
      <w:pPr>
        <w:spacing w:after="0" w:line="19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During the fiscal years ended September 30, 2013, 2012 and 2011, we declared distributions of $1.12, $1.12 and $1.07 per share, respectively, for total distributions of $74.4 million, $60.1 million and $46.3 million, respectively. We monitor available net investment income to determine if a return of capital for taxation purposes may occur for the fiscal year. To the extent our taxable earnings fall below the total amount of our distributions for any given fiscal year, a portion of those distributions may be deemed to be a return of capital to our common stockholders. Tax characteristics of all distributions will be reported to stockholders on Form 1099-DIV after the end of the calendar year and in our periodic reports filed with the SEC.</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intend to continue to make quarterly distributions to our stockholders. Our quarterly distributions, if any, are determined by our board of directors.</w:t>
      </w:r>
    </w:p>
    <w:p>
      <w:pPr>
        <w:spacing w:after="0" w:line="248"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distribution, then stockholders’ cash distributions will be automatically reinvested in additional shares of our common stock, unless they specifically “opt out” of the dividend reinvestment plan so as to receive cash distributions.</w:t>
      </w:r>
    </w:p>
    <w:p>
      <w:pPr>
        <w:spacing w:after="0" w:line="181"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applicable to us as a BDC under the 1940 Act and/or due to provisions in future credit facilities. If we do not distribute a certain percentage of our income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annually, we will suffer adverse tax consequences, including possible loss of RIC status. We cannot assure stockholders that they will receive any distributions at a particular level.</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color w:val="auto"/>
        </w:rPr>
        <w:t>On November 21, 2013, upon the recommendations of the audit committee, the board of directors dismissed KPMG LLP, and engaged McGladrey LLP, as the Company’s independent registered public accounting firm for the year ending September 30, 2014. For further information, see our Form 8-K filed on November 25, 2013.</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We are subject to financial market risks, including changes in interest rates. As of September 30, 2013, our debt portfolio consisted of 52% fixed-rate investments and 48% variable-rate investments (including 44% with a LIBOR or prime floor). The variable-rate loans are usually based on a LIBOR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w:t>
      </w:r>
    </w:p>
    <w:p>
      <w:pPr>
        <w:spacing w:after="0" w:line="178"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Assuming that the most recent statement of assets and liabilities was to remain constant, and no actions were taken to alter the existing interest rate sensitivity, the following table shows the annualized impact of hypothetical base rate changes in interest rates.</w:t>
      </w:r>
    </w:p>
    <w:p>
      <w:pPr>
        <w:spacing w:after="0" w:line="17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0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3"/>
              </w:rPr>
              <w:t>Change In Interest</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40" w:type="dxa"/>
            <w:vAlign w:val="bottom"/>
            <w:vMerge w:val="restart"/>
          </w:tcPr>
          <w:p>
            <w:pPr>
              <w:spacing w:after="0"/>
              <w:rPr>
                <w:sz w:val="20"/>
                <w:szCs w:val="20"/>
                <w:color w:val="auto"/>
              </w:rPr>
            </w:pPr>
            <w:r>
              <w:rPr>
                <w:rFonts w:ascii="Arial" w:cs="Arial" w:eastAsia="Arial" w:hAnsi="Arial"/>
                <w:sz w:val="14"/>
                <w:szCs w:val="14"/>
                <w:b w:val="1"/>
                <w:bCs w:val="1"/>
                <w:color w:val="auto"/>
                <w:w w:val="92"/>
              </w:rPr>
              <w:t>Change In Interest Rates</w:t>
            </w:r>
          </w:p>
        </w:tc>
        <w:tc>
          <w:tcPr>
            <w:tcW w:w="4980" w:type="dxa"/>
            <w:vAlign w:val="bottom"/>
            <w:gridSpan w:val="3"/>
          </w:tcPr>
          <w:p>
            <w:pPr>
              <w:jc w:val="center"/>
              <w:ind w:left="2274"/>
              <w:spacing w:after="0" w:line="149" w:lineRule="exact"/>
              <w:rPr>
                <w:sz w:val="20"/>
                <w:szCs w:val="20"/>
                <w:color w:val="auto"/>
              </w:rPr>
            </w:pPr>
            <w:r>
              <w:rPr>
                <w:rFonts w:ascii="Arial" w:cs="Arial" w:eastAsia="Arial" w:hAnsi="Arial"/>
                <w:sz w:val="14"/>
                <w:szCs w:val="14"/>
                <w:b w:val="1"/>
                <w:bCs w:val="1"/>
                <w:color w:val="auto"/>
                <w:w w:val="95"/>
              </w:rPr>
              <w:t>Income, Net Of Interest</w:t>
            </w:r>
          </w:p>
        </w:tc>
        <w:tc>
          <w:tcPr>
            <w:tcW w:w="1240" w:type="dxa"/>
            <w:vAlign w:val="bottom"/>
            <w:gridSpan w:val="4"/>
            <w:vMerge w:val="restart"/>
          </w:tcPr>
          <w:p>
            <w:pPr>
              <w:ind w:left="520"/>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171"/>
        </w:trPr>
        <w:tc>
          <w:tcPr>
            <w:tcW w:w="1540" w:type="dxa"/>
            <w:vAlign w:val="bottom"/>
            <w:vMerge w:val="continue"/>
          </w:tcPr>
          <w:p>
            <w:pPr>
              <w:spacing w:after="0"/>
              <w:rPr>
                <w:sz w:val="14"/>
                <w:szCs w:val="14"/>
                <w:color w:val="auto"/>
              </w:rPr>
            </w:pPr>
          </w:p>
        </w:tc>
        <w:tc>
          <w:tcPr>
            <w:tcW w:w="2940" w:type="dxa"/>
            <w:vAlign w:val="bottom"/>
          </w:tcPr>
          <w:p>
            <w:pPr>
              <w:spacing w:after="0"/>
              <w:rPr>
                <w:sz w:val="14"/>
                <w:szCs w:val="14"/>
                <w:color w:val="auto"/>
              </w:rPr>
            </w:pPr>
          </w:p>
        </w:tc>
        <w:tc>
          <w:tcPr>
            <w:tcW w:w="20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9"/>
              </w:rPr>
              <w:t>Expense (in thousands)</w:t>
            </w:r>
          </w:p>
        </w:tc>
        <w:tc>
          <w:tcPr>
            <w:tcW w:w="12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Up 1%</w:t>
            </w:r>
          </w:p>
        </w:tc>
        <w:tc>
          <w:tcPr>
            <w:tcW w:w="294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(1,128)</w:t>
            </w:r>
          </w:p>
        </w:tc>
        <w:tc>
          <w:tcPr>
            <w:tcW w:w="5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(0.02)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Up 2%</w:t>
            </w:r>
          </w:p>
        </w:tc>
        <w:tc>
          <w:tcPr>
            <w:tcW w:w="4400" w:type="dxa"/>
            <w:vAlign w:val="bottom"/>
            <w:gridSpan w:val="2"/>
          </w:tcPr>
          <w:p>
            <w:pPr>
              <w:jc w:val="right"/>
              <w:spacing w:after="0"/>
              <w:rPr>
                <w:sz w:val="20"/>
                <w:szCs w:val="20"/>
                <w:color w:val="auto"/>
              </w:rPr>
            </w:pPr>
            <w:r>
              <w:rPr>
                <w:rFonts w:ascii="Arial" w:cs="Arial" w:eastAsia="Arial" w:hAnsi="Arial"/>
                <w:sz w:val="18"/>
                <w:szCs w:val="18"/>
                <w:color w:val="auto"/>
              </w:rPr>
              <w:t>120</w:t>
            </w:r>
          </w:p>
        </w:tc>
        <w:tc>
          <w:tcPr>
            <w:tcW w:w="580" w:type="dxa"/>
            <w:vAlign w:val="bottom"/>
          </w:tcPr>
          <w:p>
            <w:pPr>
              <w:spacing w:after="0"/>
              <w:rPr>
                <w:sz w:val="18"/>
                <w:szCs w:val="18"/>
                <w:color w:val="auto"/>
              </w:rPr>
            </w:pPr>
          </w:p>
        </w:tc>
        <w:tc>
          <w:tcPr>
            <w:tcW w:w="6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Up 3%</w:t>
            </w:r>
          </w:p>
        </w:tc>
        <w:tc>
          <w:tcPr>
            <w:tcW w:w="4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3,249</w:t>
            </w:r>
          </w:p>
        </w:tc>
        <w:tc>
          <w:tcPr>
            <w:tcW w:w="5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40" w:type="dxa"/>
            <w:vAlign w:val="bottom"/>
          </w:tcPr>
          <w:p>
            <w:pPr>
              <w:spacing w:after="0"/>
              <w:rPr>
                <w:sz w:val="20"/>
                <w:szCs w:val="20"/>
                <w:color w:val="auto"/>
              </w:rPr>
            </w:pPr>
            <w:r>
              <w:rPr>
                <w:rFonts w:ascii="Arial" w:cs="Arial" w:eastAsia="Arial" w:hAnsi="Arial"/>
                <w:sz w:val="18"/>
                <w:szCs w:val="18"/>
                <w:color w:val="auto"/>
              </w:rPr>
              <w:t>Up 4%</w:t>
            </w:r>
          </w:p>
        </w:tc>
        <w:tc>
          <w:tcPr>
            <w:tcW w:w="4400" w:type="dxa"/>
            <w:vAlign w:val="bottom"/>
            <w:gridSpan w:val="2"/>
          </w:tcPr>
          <w:p>
            <w:pPr>
              <w:jc w:val="right"/>
              <w:spacing w:after="0"/>
              <w:rPr>
                <w:sz w:val="20"/>
                <w:szCs w:val="20"/>
                <w:color w:val="auto"/>
              </w:rPr>
            </w:pPr>
            <w:r>
              <w:rPr>
                <w:rFonts w:ascii="Arial" w:cs="Arial" w:eastAsia="Arial" w:hAnsi="Arial"/>
                <w:sz w:val="18"/>
                <w:szCs w:val="18"/>
                <w:color w:val="auto"/>
              </w:rPr>
              <w:t>6,378</w:t>
            </w:r>
          </w:p>
        </w:tc>
        <w:tc>
          <w:tcPr>
            <w:tcW w:w="580" w:type="dxa"/>
            <w:vAlign w:val="bottom"/>
          </w:tcPr>
          <w:p>
            <w:pPr>
              <w:spacing w:after="0"/>
              <w:rPr>
                <w:sz w:val="20"/>
                <w:szCs w:val="20"/>
                <w:color w:val="auto"/>
              </w:rPr>
            </w:pPr>
          </w:p>
        </w:tc>
        <w:tc>
          <w:tcPr>
            <w:tcW w:w="6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Although management believes that this measure is indicative of our sensitivity to interest rate changes, it does not adjust for potential changes in the credit market, credit quality, size and composition of the assets on the Consolidated Statement of Assets and Liabilities and other business developments that could affect net increase in net assets resulting from operations, or net investment income. Accordingly, no assurances can be given that actual results would not differ materially from those shown above.</w:t>
      </w:r>
    </w:p>
    <w:p>
      <w:pPr>
        <w:spacing w:after="0" w:line="187"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18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may hedge against interest rate fluctuations by using standard hedging instruments such as futures, options and forward contracts subject to the requirements of the 1940 Act and applicable commodities laws. While hedging activities may insulate us against adverse changes in interest rates, they may also limit our ability to participate in benefits of lower interest rates with respect to our portfolio of investments with fixed interest rates. During the periods covered by this prospectus, we did not engage in interest rate hedging activities.</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40"/>
          </w:cols>
          <w:pgMar w:left="240" w:top="459" w:right="31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SENIOR SECURITIES</w:t>
      </w:r>
    </w:p>
    <w:p>
      <w:pPr>
        <w:spacing w:after="0" w:line="229" w:lineRule="exact"/>
        <w:rPr>
          <w:sz w:val="20"/>
          <w:szCs w:val="20"/>
          <w:color w:val="auto"/>
        </w:rPr>
      </w:pPr>
    </w:p>
    <w:p>
      <w:pPr>
        <w:ind w:right="660" w:firstLine="456"/>
        <w:spacing w:after="0" w:line="279" w:lineRule="auto"/>
        <w:rPr>
          <w:sz w:val="20"/>
          <w:szCs w:val="20"/>
          <w:color w:val="auto"/>
        </w:rPr>
      </w:pPr>
      <w:r>
        <w:rPr>
          <w:rFonts w:ascii="Arial" w:cs="Arial" w:eastAsia="Arial" w:hAnsi="Arial"/>
          <w:sz w:val="17"/>
          <w:szCs w:val="17"/>
          <w:color w:val="auto"/>
        </w:rPr>
        <w:t>Information about our senior securities is shown in the following table as of September 30, 2013, 2012, 2011, 2010, 2009 and 2008 is from our Consolidated Financial Statements, which has been audited by KPMG LLP, an independent registered public accounting firm for those periods. This information about our senior securities should be read in conjunction with our Consolidated Financial Statements and related notes thereto and “Management’s Discussion and Analysis of Financial Condition and Results of Operations.”</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89"/>
              </w:rPr>
              <w:t>Asset</w:t>
            </w:r>
          </w:p>
        </w:tc>
        <w:tc>
          <w:tcPr>
            <w:tcW w:w="7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14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Total Amount</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90"/>
              </w:rPr>
              <w:t>Coverage</w:t>
            </w:r>
          </w:p>
        </w:tc>
        <w:tc>
          <w:tcPr>
            <w:tcW w:w="7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49"/>
        </w:trPr>
        <w:tc>
          <w:tcPr>
            <w:tcW w:w="940" w:type="dxa"/>
            <w:vAlign w:val="bottom"/>
            <w:vMerge w:val="restart"/>
          </w:tcPr>
          <w:p>
            <w:pPr>
              <w:spacing w:after="0"/>
              <w:rPr>
                <w:sz w:val="20"/>
                <w:szCs w:val="20"/>
                <w:color w:val="auto"/>
              </w:rPr>
            </w:pPr>
            <w:r>
              <w:rPr>
                <w:rFonts w:ascii="Arial" w:cs="Arial" w:eastAsia="Arial" w:hAnsi="Arial"/>
                <w:sz w:val="14"/>
                <w:szCs w:val="14"/>
                <w:b w:val="1"/>
                <w:bCs w:val="1"/>
                <w:color w:val="auto"/>
                <w:w w:val="91"/>
              </w:rPr>
              <w:t>Class and Year</w:t>
            </w:r>
          </w:p>
        </w:tc>
        <w:tc>
          <w:tcPr>
            <w:tcW w:w="5320" w:type="dxa"/>
            <w:vAlign w:val="bottom"/>
            <w:vMerge w:val="restart"/>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97"/>
              </w:rPr>
              <w:t>per Unit</w:t>
            </w:r>
            <w:r>
              <w:rPr>
                <w:rFonts w:ascii="Arial" w:cs="Arial" w:eastAsia="Arial" w:hAnsi="Arial"/>
                <w:sz w:val="12"/>
                <w:szCs w:val="12"/>
                <w:b w:val="1"/>
                <w:bCs w:val="1"/>
                <w:color w:val="auto"/>
                <w:w w:val="97"/>
              </w:rPr>
              <w:t>(2)</w:t>
            </w: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90"/>
              </w:rPr>
              <w:t>Value Per</w:t>
            </w:r>
          </w:p>
        </w:tc>
        <w:tc>
          <w:tcPr>
            <w:tcW w:w="0" w:type="dxa"/>
            <w:vAlign w:val="bottom"/>
          </w:tcPr>
          <w:p>
            <w:pPr>
              <w:spacing w:after="0"/>
              <w:rPr>
                <w:sz w:val="1"/>
                <w:szCs w:val="1"/>
                <w:color w:val="auto"/>
              </w:rPr>
            </w:pPr>
          </w:p>
        </w:tc>
      </w:tr>
      <w:tr>
        <w:trPr>
          <w:trHeight w:val="171"/>
        </w:trPr>
        <w:tc>
          <w:tcPr>
            <w:tcW w:w="940" w:type="dxa"/>
            <w:vAlign w:val="bottom"/>
            <w:tcBorders>
              <w:bottom w:val="single" w:sz="8" w:color="auto"/>
            </w:tcBorders>
            <w:vMerge w:val="continue"/>
          </w:tcPr>
          <w:p>
            <w:pPr>
              <w:spacing w:after="0"/>
              <w:rPr>
                <w:sz w:val="14"/>
                <w:szCs w:val="14"/>
                <w:color w:val="auto"/>
              </w:rPr>
            </w:pPr>
          </w:p>
        </w:tc>
        <w:tc>
          <w:tcPr>
            <w:tcW w:w="5320" w:type="dxa"/>
            <w:vAlign w:val="bottom"/>
            <w:tcBorders>
              <w:bottom w:val="single" w:sz="8" w:color="CCEEFF"/>
            </w:tcBorders>
            <w:vMerge w:val="continue"/>
          </w:tcPr>
          <w:p>
            <w:pPr>
              <w:spacing w:after="0"/>
              <w:rPr>
                <w:sz w:val="14"/>
                <w:szCs w:val="14"/>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Outstanding</w:t>
            </w:r>
            <w:r>
              <w:rPr>
                <w:rFonts w:ascii="Arial" w:cs="Arial" w:eastAsia="Arial" w:hAnsi="Arial"/>
                <w:sz w:val="12"/>
                <w:szCs w:val="12"/>
                <w:b w:val="1"/>
                <w:bCs w:val="1"/>
                <w:color w:val="auto"/>
                <w:w w:val="96"/>
              </w:rPr>
              <w:t>(1)</w:t>
            </w:r>
          </w:p>
        </w:tc>
        <w:tc>
          <w:tcPr>
            <w:tcW w:w="42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(unaudited)</w:t>
            </w:r>
          </w:p>
        </w:tc>
        <w:tc>
          <w:tcPr>
            <w:tcW w:w="84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Unit</w:t>
            </w:r>
            <w:r>
              <w:rPr>
                <w:rFonts w:ascii="Arial" w:cs="Arial" w:eastAsia="Arial" w:hAnsi="Arial"/>
                <w:sz w:val="12"/>
                <w:szCs w:val="12"/>
                <w:b w:val="1"/>
                <w:bCs w:val="1"/>
                <w:color w:val="auto"/>
                <w:w w:val="95"/>
              </w:rPr>
              <w:t>(3)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2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Credit Facility, SBA debentures and 2025 Notes</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Fiscal 2013</w:t>
            </w:r>
            <w:r>
              <w:rPr>
                <w:rFonts w:ascii="Arial" w:cs="Arial" w:eastAsia="Arial" w:hAnsi="Arial"/>
                <w:sz w:val="15"/>
                <w:szCs w:val="15"/>
                <w:color w:val="auto"/>
              </w:rPr>
              <w:t>(4)</w:t>
            </w:r>
          </w:p>
        </w:tc>
        <w:tc>
          <w:tcPr>
            <w:tcW w:w="260" w:type="dxa"/>
            <w:vAlign w:val="bottom"/>
          </w:tcPr>
          <w:p>
            <w:pPr>
              <w:jc w:val="right"/>
              <w:ind w:right="74"/>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216,750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840"/>
              <w:spacing w:after="0"/>
              <w:rPr>
                <w:sz w:val="20"/>
                <w:szCs w:val="20"/>
                <w:color w:val="auto"/>
              </w:rPr>
            </w:pPr>
            <w:r>
              <w:rPr>
                <w:rFonts w:ascii="Arial" w:cs="Arial" w:eastAsia="Arial" w:hAnsi="Arial"/>
                <w:sz w:val="18"/>
                <w:szCs w:val="18"/>
                <w:color w:val="auto"/>
              </w:rPr>
              <w:t>4,261</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24.79</w:t>
            </w: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2012</w:t>
            </w:r>
            <w:r>
              <w:rPr>
                <w:rFonts w:ascii="Arial" w:cs="Arial" w:eastAsia="Arial" w:hAnsi="Arial"/>
                <w:sz w:val="15"/>
                <w:szCs w:val="15"/>
                <w:color w:val="auto"/>
              </w:rPr>
              <w:t>(4)</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145,000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5,636</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Fiscal 2011</w:t>
            </w:r>
            <w:r>
              <w:rPr>
                <w:rFonts w:ascii="Arial" w:cs="Arial" w:eastAsia="Arial" w:hAnsi="Arial"/>
                <w:sz w:val="15"/>
                <w:szCs w:val="15"/>
                <w:color w:val="auto"/>
              </w:rPr>
              <w:t>(4)</w:t>
            </w:r>
          </w:p>
        </w:tc>
        <w:tc>
          <w:tcPr>
            <w:tcW w:w="260" w:type="dxa"/>
            <w:vAlign w:val="bottom"/>
          </w:tcPr>
          <w:p>
            <w:pPr>
              <w:jc w:val="right"/>
              <w:ind w:right="74"/>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240,900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840"/>
              <w:spacing w:after="0"/>
              <w:rPr>
                <w:sz w:val="20"/>
                <w:szCs w:val="20"/>
                <w:color w:val="auto"/>
              </w:rPr>
            </w:pPr>
            <w:r>
              <w:rPr>
                <w:rFonts w:ascii="Arial" w:cs="Arial" w:eastAsia="Arial" w:hAnsi="Arial"/>
                <w:sz w:val="18"/>
                <w:szCs w:val="18"/>
                <w:color w:val="auto"/>
              </w:rPr>
              <w:t>2,937</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2010</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247,600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2,655</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Fiscal 2009</w:t>
            </w:r>
          </w:p>
        </w:tc>
        <w:tc>
          <w:tcPr>
            <w:tcW w:w="260" w:type="dxa"/>
            <w:vAlign w:val="bottom"/>
          </w:tcPr>
          <w:p>
            <w:pPr>
              <w:jc w:val="right"/>
              <w:ind w:right="74"/>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225,100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840"/>
              <w:spacing w:after="0"/>
              <w:rPr>
                <w:sz w:val="20"/>
                <w:szCs w:val="20"/>
                <w:color w:val="auto"/>
              </w:rPr>
            </w:pPr>
            <w:r>
              <w:rPr>
                <w:rFonts w:ascii="Arial" w:cs="Arial" w:eastAsia="Arial" w:hAnsi="Arial"/>
                <w:sz w:val="18"/>
                <w:szCs w:val="18"/>
                <w:color w:val="auto"/>
              </w:rPr>
              <w:t>2,713</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2008</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202,000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2,043</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Total cost of each class of senior securities outstanding at the end of the period presented in thousands (000s).</w:t>
      </w:r>
    </w:p>
    <w:p>
      <w:pPr>
        <w:spacing w:after="0" w:line="23" w:lineRule="exact"/>
        <w:rPr>
          <w:rFonts w:ascii="Arial" w:cs="Arial" w:eastAsia="Arial" w:hAnsi="Arial"/>
          <w:sz w:val="18"/>
          <w:szCs w:val="18"/>
          <w:color w:val="auto"/>
        </w:rPr>
      </w:pPr>
    </w:p>
    <w:p>
      <w:pPr>
        <w:ind w:left="460" w:right="320" w:hanging="452"/>
        <w:spacing w:after="0" w:line="250"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asset coverage ratio for a class of senior securities representing indebtedness is calculated as our consolidated total assets, less all liabilities and indebtedness not represented by senior securities, divided by senior securities representing indebtedness. This asset coverage ratio is multiplied by $1,000 to determine the Asset Coverage Per Unit.</w:t>
      </w:r>
    </w:p>
    <w:p>
      <w:pPr>
        <w:spacing w:after="0" w:line="1"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average market value per unit is derived based on the monthly average closing price of the 2025 Notes trading on NYSE under the symbol “PNTA” since issuance, which were issued in increments of $25 per unit.</w:t>
      </w:r>
    </w:p>
    <w:p>
      <w:pPr>
        <w:ind w:left="460" w:right="40" w:hanging="452"/>
        <w:spacing w:after="0" w:line="261"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These amounts exclude SBIC LP’s SBA debentures from our asset coverage per unit computation pursuant to an exemptive relief letter provided by the SEC in June 2011.</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FIXED CHARGES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years ended September 30, 2013, 2012, 2011, 2010, 2009 and 2008, the ratios of earnings to fixed charges were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72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40" w:type="dxa"/>
            <w:vAlign w:val="bottom"/>
            <w:tcBorders>
              <w:bottom w:val="single" w:sz="8" w:color="auto"/>
            </w:tcBorders>
            <w:gridSpan w:val="10"/>
          </w:tcPr>
          <w:p>
            <w:pPr>
              <w:jc w:val="right"/>
              <w:ind w:right="720"/>
              <w:spacing w:after="0"/>
              <w:rPr>
                <w:sz w:val="20"/>
                <w:szCs w:val="20"/>
                <w:color w:val="auto"/>
              </w:rPr>
            </w:pPr>
            <w:r>
              <w:rPr>
                <w:rFonts w:ascii="Arial" w:cs="Arial" w:eastAsia="Arial" w:hAnsi="Arial"/>
                <w:sz w:val="14"/>
                <w:szCs w:val="14"/>
                <w:b w:val="1"/>
                <w:bCs w:val="1"/>
                <w:color w:val="auto"/>
                <w:w w:val="96"/>
              </w:rPr>
              <w:t>For the Fiscal Years Ended September 30,</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6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2013</w:t>
            </w:r>
          </w:p>
        </w:tc>
        <w:tc>
          <w:tcPr>
            <w:tcW w:w="26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2010</w:t>
            </w:r>
          </w:p>
        </w:tc>
        <w:tc>
          <w:tcPr>
            <w:tcW w:w="5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Earnings</w:t>
            </w:r>
            <w:r>
              <w:rPr>
                <w:rFonts w:ascii="Arial" w:cs="Arial" w:eastAsia="Arial" w:hAnsi="Arial"/>
                <w:sz w:val="15"/>
                <w:szCs w:val="15"/>
                <w:b w:val="1"/>
                <w:bCs w:val="1"/>
                <w:color w:val="auto"/>
              </w:rPr>
              <w:t>(1)</w:t>
            </w:r>
          </w:p>
        </w:tc>
        <w:tc>
          <w:tcPr>
            <w:tcW w:w="7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340"/>
              <w:spacing w:after="0"/>
              <w:rPr>
                <w:sz w:val="20"/>
                <w:szCs w:val="20"/>
                <w:color w:val="auto"/>
              </w:rPr>
            </w:pPr>
            <w:r>
              <w:rPr>
                <w:rFonts w:ascii="Arial" w:cs="Arial" w:eastAsia="Arial" w:hAnsi="Arial"/>
                <w:sz w:val="18"/>
                <w:szCs w:val="18"/>
                <w:color w:val="auto"/>
              </w:rPr>
              <w:t>Net investment income (after taxes)</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$ 66,998</w:t>
            </w:r>
          </w:p>
        </w:tc>
        <w:tc>
          <w:tcPr>
            <w:tcW w:w="26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57,069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52,645</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w w:val="98"/>
              </w:rPr>
              <w:t>32,075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22,719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 Net realized gain (losses) gains on investments</w:t>
            </w:r>
          </w:p>
        </w:tc>
        <w:tc>
          <w:tcPr>
            <w:tcW w:w="16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17,687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(12,798)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16,260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(15,417)</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(39,244)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340"/>
              <w:spacing w:after="0"/>
              <w:rPr>
                <w:sz w:val="20"/>
                <w:szCs w:val="20"/>
                <w:color w:val="auto"/>
              </w:rPr>
            </w:pPr>
            <w:r>
              <w:rPr>
                <w:rFonts w:ascii="Arial" w:cs="Arial" w:eastAsia="Arial" w:hAnsi="Arial"/>
                <w:sz w:val="18"/>
                <w:szCs w:val="18"/>
                <w:color w:val="auto"/>
              </w:rPr>
              <w:t>Add: Net change in unrealized appreciation (depreciation)</w:t>
            </w:r>
          </w:p>
        </w:tc>
        <w:tc>
          <w:tcPr>
            <w:tcW w:w="7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7,092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19,082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(58,641)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(122)</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52,327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Earnings</w:t>
            </w:r>
          </w:p>
        </w:tc>
        <w:tc>
          <w:tcPr>
            <w:tcW w:w="16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$ 91,777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63,353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10,263</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8"/>
              </w:rPr>
              <w:t>16,535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35,802</w:t>
            </w:r>
          </w:p>
        </w:tc>
        <w:tc>
          <w:tcPr>
            <w:tcW w:w="0" w:type="dxa"/>
            <w:vAlign w:val="bottom"/>
          </w:tcPr>
          <w:p>
            <w:pPr>
              <w:spacing w:after="0"/>
              <w:rPr>
                <w:sz w:val="1"/>
                <w:szCs w:val="1"/>
                <w:color w:val="auto"/>
              </w:rPr>
            </w:pPr>
          </w:p>
        </w:tc>
      </w:tr>
      <w:tr>
        <w:trPr>
          <w:trHeight w:val="223"/>
        </w:trPr>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Fixed Charges</w:t>
            </w:r>
            <w:r>
              <w:rPr>
                <w:rFonts w:ascii="Arial" w:cs="Arial" w:eastAsia="Arial" w:hAnsi="Arial"/>
                <w:sz w:val="15"/>
                <w:szCs w:val="15"/>
                <w:b w:val="1"/>
                <w:bCs w:val="1"/>
                <w:color w:val="auto"/>
              </w:rPr>
              <w:t>(2)</w:t>
            </w:r>
          </w:p>
        </w:tc>
        <w:tc>
          <w:tcPr>
            <w:tcW w:w="72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and expenses on debt</w:t>
            </w:r>
          </w:p>
        </w:tc>
        <w:tc>
          <w:tcPr>
            <w:tcW w:w="16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$ 15,384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11,681</w:t>
            </w:r>
          </w:p>
        </w:tc>
        <w:tc>
          <w:tcPr>
            <w:tcW w:w="3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5,322</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3,672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4,629</w:t>
            </w:r>
          </w:p>
        </w:tc>
        <w:tc>
          <w:tcPr>
            <w:tcW w:w="0" w:type="dxa"/>
            <w:vAlign w:val="bottom"/>
          </w:tcPr>
          <w:p>
            <w:pPr>
              <w:spacing w:after="0"/>
              <w:rPr>
                <w:sz w:val="1"/>
                <w:szCs w:val="1"/>
                <w:color w:val="auto"/>
              </w:rPr>
            </w:pPr>
          </w:p>
        </w:tc>
      </w:tr>
      <w:tr>
        <w:trPr>
          <w:trHeight w:val="223"/>
        </w:trPr>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Ratio of Total Earnings to Fixed Charges</w:t>
            </w:r>
          </w:p>
        </w:tc>
        <w:tc>
          <w:tcPr>
            <w:tcW w:w="72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5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 of Net Investment Income to Fixed Charges</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8.7</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Earnings include net realized and unrealized gains or losses. Net realized and unrealized gains or losses can vary substantially from period to period.</w:t>
      </w:r>
    </w:p>
    <w:p>
      <w:pPr>
        <w:spacing w:after="0" w:line="46" w:lineRule="exact"/>
        <w:rPr>
          <w:rFonts w:ascii="Arial" w:cs="Arial" w:eastAsia="Arial" w:hAnsi="Arial"/>
          <w:sz w:val="16"/>
          <w:szCs w:val="16"/>
          <w:color w:val="auto"/>
        </w:rPr>
      </w:pPr>
    </w:p>
    <w:p>
      <w:pPr>
        <w:ind w:left="460" w:right="180" w:hanging="452"/>
        <w:spacing w:after="0" w:line="261"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Fixed charges include interest and related expenses on our Credit Facility, which is indexed to LIBOR and fluctuate with changes in interest rates, the 2025 Notes and SBA debentures and amortization of debt issuance costs on our SBA debentures.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 RANGE OF COMMON STOCK</w:t>
      </w:r>
    </w:p>
    <w:p>
      <w:pPr>
        <w:spacing w:after="0" w:line="229"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Our common stock is traded on the NASDAQ Global Select Market under the symbol “PNNT.” The following table lists the high and low closing sale price for our common stock, the closing sale price as a premium or (discount) to our NAV and quarterly distributions per share since October 1, 2008. On December 6, 2013, the last reported closing price of our common stock was $11.93 per share.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0" w:type="dxa"/>
            <w:vAlign w:val="bottom"/>
            <w:gridSpan w:val="2"/>
          </w:tcPr>
          <w:p>
            <w:pPr>
              <w:jc w:val="center"/>
              <w:ind w:right="540"/>
              <w:spacing w:after="0"/>
              <w:rPr>
                <w:sz w:val="20"/>
                <w:szCs w:val="20"/>
                <w:color w:val="auto"/>
              </w:rPr>
            </w:pPr>
            <w:r>
              <w:rPr>
                <w:rFonts w:ascii="Arial" w:cs="Arial" w:eastAsia="Arial" w:hAnsi="Arial"/>
                <w:sz w:val="12"/>
                <w:szCs w:val="12"/>
                <w:b w:val="1"/>
                <w:bCs w:val="1"/>
                <w:color w:val="auto"/>
                <w:w w:val="89"/>
              </w:rPr>
              <w:t>Premium</w:t>
            </w:r>
          </w:p>
        </w:tc>
        <w:tc>
          <w:tcPr>
            <w:tcW w:w="96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89"/>
              </w:rPr>
              <w:t>Premium</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80" w:type="dxa"/>
            <w:vAlign w:val="bottom"/>
            <w:gridSpan w:val="5"/>
            <w:vMerge w:val="restart"/>
          </w:tcPr>
          <w:p>
            <w:pPr>
              <w:ind w:left="360"/>
              <w:spacing w:after="0"/>
              <w:rPr>
                <w:sz w:val="20"/>
                <w:szCs w:val="20"/>
                <w:color w:val="auto"/>
              </w:rPr>
            </w:pPr>
            <w:r>
              <w:rPr>
                <w:rFonts w:ascii="Arial" w:cs="Arial" w:eastAsia="Arial" w:hAnsi="Arial"/>
                <w:sz w:val="12"/>
                <w:szCs w:val="12"/>
                <w:b w:val="1"/>
                <w:bCs w:val="1"/>
                <w:color w:val="auto"/>
              </w:rPr>
              <w:t>Closing Sales Price</w:t>
            </w:r>
          </w:p>
        </w:tc>
        <w:tc>
          <w:tcPr>
            <w:tcW w:w="1200" w:type="dxa"/>
            <w:vAlign w:val="bottom"/>
            <w:gridSpan w:val="2"/>
          </w:tcPr>
          <w:p>
            <w:pPr>
              <w:jc w:val="center"/>
              <w:ind w:right="520"/>
              <w:spacing w:after="0" w:line="135" w:lineRule="exact"/>
              <w:rPr>
                <w:sz w:val="20"/>
                <w:szCs w:val="20"/>
                <w:color w:val="auto"/>
              </w:rPr>
            </w:pPr>
            <w:r>
              <w:rPr>
                <w:rFonts w:ascii="Arial" w:cs="Arial" w:eastAsia="Arial" w:hAnsi="Arial"/>
                <w:sz w:val="12"/>
                <w:szCs w:val="12"/>
                <w:b w:val="1"/>
                <w:bCs w:val="1"/>
                <w:color w:val="auto"/>
                <w:w w:val="87"/>
              </w:rPr>
              <w:t>(Discount)</w:t>
            </w:r>
          </w:p>
        </w:tc>
        <w:tc>
          <w:tcPr>
            <w:tcW w:w="960" w:type="dxa"/>
            <w:vAlign w:val="bottom"/>
            <w:gridSpan w:val="2"/>
          </w:tcPr>
          <w:p>
            <w:pPr>
              <w:jc w:val="center"/>
              <w:ind w:right="320"/>
              <w:spacing w:after="0" w:line="135" w:lineRule="exact"/>
              <w:rPr>
                <w:sz w:val="20"/>
                <w:szCs w:val="20"/>
                <w:color w:val="auto"/>
              </w:rPr>
            </w:pPr>
            <w:r>
              <w:rPr>
                <w:rFonts w:ascii="Arial" w:cs="Arial" w:eastAsia="Arial" w:hAnsi="Arial"/>
                <w:sz w:val="12"/>
                <w:szCs w:val="12"/>
                <w:b w:val="1"/>
                <w:bCs w:val="1"/>
                <w:color w:val="auto"/>
                <w:w w:val="87"/>
              </w:rPr>
              <w:t>(Discount)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47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80" w:type="dxa"/>
            <w:vAlign w:val="bottom"/>
            <w:gridSpan w:val="5"/>
            <w:vMerge w:val="continue"/>
          </w:tcPr>
          <w:p>
            <w:pPr>
              <w:spacing w:after="0"/>
              <w:rPr>
                <w:sz w:val="4"/>
                <w:szCs w:val="4"/>
                <w:color w:val="auto"/>
              </w:rPr>
            </w:pPr>
          </w:p>
        </w:tc>
        <w:tc>
          <w:tcPr>
            <w:tcW w:w="1200" w:type="dxa"/>
            <w:vAlign w:val="bottom"/>
            <w:gridSpan w:val="2"/>
            <w:vMerge w:val="restart"/>
          </w:tcPr>
          <w:p>
            <w:pPr>
              <w:jc w:val="center"/>
              <w:ind w:right="540"/>
              <w:spacing w:after="0" w:line="135" w:lineRule="exact"/>
              <w:rPr>
                <w:sz w:val="20"/>
                <w:szCs w:val="20"/>
                <w:color w:val="auto"/>
              </w:rPr>
            </w:pPr>
            <w:r>
              <w:rPr>
                <w:rFonts w:ascii="Arial" w:cs="Arial" w:eastAsia="Arial" w:hAnsi="Arial"/>
                <w:sz w:val="12"/>
                <w:szCs w:val="12"/>
                <w:b w:val="1"/>
                <w:bCs w:val="1"/>
                <w:color w:val="auto"/>
                <w:w w:val="86"/>
              </w:rPr>
              <w:t>of High Sales</w:t>
            </w:r>
          </w:p>
        </w:tc>
        <w:tc>
          <w:tcPr>
            <w:tcW w:w="960" w:type="dxa"/>
            <w:vAlign w:val="bottom"/>
            <w:gridSpan w:val="2"/>
            <w:vMerge w:val="restart"/>
          </w:tcPr>
          <w:p>
            <w:pPr>
              <w:jc w:val="center"/>
              <w:ind w:right="340"/>
              <w:spacing w:after="0" w:line="135" w:lineRule="exact"/>
              <w:rPr>
                <w:sz w:val="20"/>
                <w:szCs w:val="20"/>
                <w:color w:val="auto"/>
              </w:rPr>
            </w:pPr>
            <w:r>
              <w:rPr>
                <w:rFonts w:ascii="Arial" w:cs="Arial" w:eastAsia="Arial" w:hAnsi="Arial"/>
                <w:sz w:val="12"/>
                <w:szCs w:val="12"/>
                <w:b w:val="1"/>
                <w:bCs w:val="1"/>
                <w:color w:val="auto"/>
                <w:w w:val="84"/>
              </w:rPr>
              <w:t>of Low Sales</w:t>
            </w: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47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4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4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Period</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0" w:type="dxa"/>
            <w:vAlign w:val="bottom"/>
            <w:gridSpan w:val="2"/>
          </w:tcPr>
          <w:p>
            <w:pPr>
              <w:jc w:val="center"/>
              <w:ind w:right="540"/>
              <w:spacing w:after="0" w:line="135" w:lineRule="exact"/>
              <w:rPr>
                <w:sz w:val="20"/>
                <w:szCs w:val="20"/>
                <w:color w:val="auto"/>
              </w:rPr>
            </w:pPr>
            <w:r>
              <w:rPr>
                <w:rFonts w:ascii="Arial" w:cs="Arial" w:eastAsia="Arial" w:hAnsi="Arial"/>
                <w:sz w:val="12"/>
                <w:szCs w:val="12"/>
                <w:b w:val="1"/>
                <w:bCs w:val="1"/>
                <w:color w:val="auto"/>
                <w:w w:val="86"/>
              </w:rPr>
              <w:t>Price to</w:t>
            </w:r>
          </w:p>
        </w:tc>
        <w:tc>
          <w:tcPr>
            <w:tcW w:w="960" w:type="dxa"/>
            <w:vAlign w:val="bottom"/>
            <w:gridSpan w:val="2"/>
          </w:tcPr>
          <w:p>
            <w:pPr>
              <w:jc w:val="center"/>
              <w:ind w:right="340"/>
              <w:spacing w:after="0" w:line="135" w:lineRule="exact"/>
              <w:rPr>
                <w:sz w:val="20"/>
                <w:szCs w:val="20"/>
                <w:color w:val="auto"/>
              </w:rPr>
            </w:pPr>
            <w:r>
              <w:rPr>
                <w:rFonts w:ascii="Arial" w:cs="Arial" w:eastAsia="Arial" w:hAnsi="Arial"/>
                <w:sz w:val="12"/>
                <w:szCs w:val="12"/>
                <w:b w:val="1"/>
                <w:bCs w:val="1"/>
                <w:color w:val="auto"/>
                <w:w w:val="86"/>
              </w:rPr>
              <w:t>Price to</w:t>
            </w:r>
          </w:p>
        </w:tc>
        <w:tc>
          <w:tcPr>
            <w:tcW w:w="200" w:type="dxa"/>
            <w:vAlign w:val="bottom"/>
          </w:tcPr>
          <w:p>
            <w:pPr>
              <w:spacing w:after="0"/>
              <w:rPr>
                <w:sz w:val="11"/>
                <w:szCs w:val="11"/>
                <w:color w:val="auto"/>
              </w:rPr>
            </w:pPr>
          </w:p>
        </w:tc>
        <w:tc>
          <w:tcPr>
            <w:tcW w:w="8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Distributions</w:t>
            </w:r>
          </w:p>
        </w:tc>
        <w:tc>
          <w:tcPr>
            <w:tcW w:w="0" w:type="dxa"/>
            <w:vAlign w:val="bottom"/>
          </w:tcPr>
          <w:p>
            <w:pPr>
              <w:spacing w:after="0"/>
              <w:rPr>
                <w:sz w:val="1"/>
                <w:szCs w:val="1"/>
                <w:color w:val="auto"/>
              </w:rPr>
            </w:pPr>
          </w:p>
        </w:tc>
      </w:tr>
      <w:tr>
        <w:trPr>
          <w:trHeight w:val="143"/>
        </w:trPr>
        <w:tc>
          <w:tcPr>
            <w:tcW w:w="474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NAV</w:t>
            </w:r>
            <w:r>
              <w:rPr>
                <w:rFonts w:ascii="Arial" w:cs="Arial" w:eastAsia="Arial" w:hAnsi="Arial"/>
                <w:sz w:val="9"/>
                <w:szCs w:val="9"/>
                <w:b w:val="1"/>
                <w:bCs w:val="1"/>
                <w:color w:val="auto"/>
              </w:rPr>
              <w:t>(1)</w:t>
            </w:r>
          </w:p>
        </w:tc>
        <w:tc>
          <w:tcPr>
            <w:tcW w:w="820" w:type="dxa"/>
            <w:vAlign w:val="bottom"/>
            <w:gridSpan w:val="2"/>
          </w:tcPr>
          <w:p>
            <w:pPr>
              <w:ind w:left="200"/>
              <w:spacing w:after="0"/>
              <w:rPr>
                <w:sz w:val="20"/>
                <w:szCs w:val="20"/>
                <w:color w:val="auto"/>
              </w:rPr>
            </w:pPr>
            <w:r>
              <w:rPr>
                <w:rFonts w:ascii="Arial" w:cs="Arial" w:eastAsia="Arial" w:hAnsi="Arial"/>
                <w:sz w:val="11"/>
                <w:szCs w:val="11"/>
                <w:b w:val="1"/>
                <w:bCs w:val="1"/>
                <w:color w:val="auto"/>
              </w:rPr>
              <w:t>High</w:t>
            </w:r>
          </w:p>
        </w:tc>
        <w:tc>
          <w:tcPr>
            <w:tcW w:w="220" w:type="dxa"/>
            <w:vAlign w:val="bottom"/>
          </w:tcPr>
          <w:p>
            <w:pPr>
              <w:spacing w:after="0"/>
              <w:rPr>
                <w:sz w:val="12"/>
                <w:szCs w:val="12"/>
                <w:color w:val="auto"/>
              </w:rPr>
            </w:pPr>
          </w:p>
        </w:tc>
        <w:tc>
          <w:tcPr>
            <w:tcW w:w="1040" w:type="dxa"/>
            <w:vAlign w:val="bottom"/>
            <w:gridSpan w:val="2"/>
          </w:tcPr>
          <w:p>
            <w:pPr>
              <w:ind w:left="200"/>
              <w:spacing w:after="0"/>
              <w:rPr>
                <w:sz w:val="20"/>
                <w:szCs w:val="20"/>
                <w:color w:val="auto"/>
              </w:rPr>
            </w:pPr>
            <w:r>
              <w:rPr>
                <w:rFonts w:ascii="Arial" w:cs="Arial" w:eastAsia="Arial" w:hAnsi="Arial"/>
                <w:sz w:val="11"/>
                <w:szCs w:val="11"/>
                <w:b w:val="1"/>
                <w:bCs w:val="1"/>
                <w:color w:val="auto"/>
              </w:rPr>
              <w:t>Low</w:t>
            </w:r>
          </w:p>
        </w:tc>
        <w:tc>
          <w:tcPr>
            <w:tcW w:w="1200" w:type="dxa"/>
            <w:vAlign w:val="bottom"/>
            <w:gridSpan w:val="2"/>
          </w:tcPr>
          <w:p>
            <w:pPr>
              <w:jc w:val="center"/>
              <w:ind w:right="520"/>
              <w:spacing w:after="0"/>
              <w:rPr>
                <w:sz w:val="20"/>
                <w:szCs w:val="20"/>
                <w:color w:val="auto"/>
              </w:rPr>
            </w:pPr>
            <w:r>
              <w:rPr>
                <w:rFonts w:ascii="Arial" w:cs="Arial" w:eastAsia="Arial" w:hAnsi="Arial"/>
                <w:sz w:val="12"/>
                <w:szCs w:val="12"/>
                <w:b w:val="1"/>
                <w:bCs w:val="1"/>
                <w:color w:val="auto"/>
                <w:w w:val="98"/>
              </w:rPr>
              <w:t>NAV</w:t>
            </w:r>
            <w:r>
              <w:rPr>
                <w:rFonts w:ascii="Arial" w:cs="Arial" w:eastAsia="Arial" w:hAnsi="Arial"/>
                <w:sz w:val="9"/>
                <w:szCs w:val="9"/>
                <w:b w:val="1"/>
                <w:bCs w:val="1"/>
                <w:color w:val="auto"/>
                <w:w w:val="98"/>
              </w:rPr>
              <w:t>(2)</w:t>
            </w:r>
          </w:p>
        </w:tc>
        <w:tc>
          <w:tcPr>
            <w:tcW w:w="96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3"/>
              </w:rPr>
              <w:t>NAV</w:t>
            </w:r>
            <w:r>
              <w:rPr>
                <w:rFonts w:ascii="Arial" w:cs="Arial" w:eastAsia="Arial" w:hAnsi="Arial"/>
                <w:sz w:val="9"/>
                <w:szCs w:val="9"/>
                <w:b w:val="1"/>
                <w:bCs w:val="1"/>
                <w:color w:val="auto"/>
                <w:w w:val="93"/>
              </w:rPr>
              <w:t>(2)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Declared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Fiscal Year Ending September 30, 2014</w:t>
            </w: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78"/>
        </w:trPr>
        <w:tc>
          <w:tcPr>
            <w:tcW w:w="4740" w:type="dxa"/>
            <w:vAlign w:val="bottom"/>
            <w:gridSpan w:val="2"/>
          </w:tcPr>
          <w:p>
            <w:pPr>
              <w:spacing w:after="0"/>
              <w:rPr>
                <w:sz w:val="20"/>
                <w:szCs w:val="20"/>
                <w:color w:val="auto"/>
              </w:rPr>
            </w:pPr>
            <w:r>
              <w:rPr>
                <w:rFonts w:ascii="Arial" w:cs="Arial" w:eastAsia="Arial" w:hAnsi="Arial"/>
                <w:sz w:val="16"/>
                <w:szCs w:val="16"/>
                <w:color w:val="auto"/>
              </w:rPr>
              <w:t>First quarter (through December 6, 2013)</w:t>
            </w:r>
          </w:p>
        </w:tc>
        <w:tc>
          <w:tcPr>
            <w:tcW w:w="4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420"/>
              <w:spacing w:after="0"/>
              <w:rPr>
                <w:sz w:val="20"/>
                <w:szCs w:val="20"/>
                <w:color w:val="auto"/>
              </w:rPr>
            </w:pPr>
            <w:r>
              <w:rPr>
                <w:rFonts w:ascii="Arial" w:cs="Arial" w:eastAsia="Arial" w:hAnsi="Arial"/>
                <w:sz w:val="16"/>
                <w:szCs w:val="16"/>
                <w:color w:val="auto"/>
              </w:rPr>
              <w:t>N/A</w:t>
            </w:r>
          </w:p>
        </w:tc>
        <w:tc>
          <w:tcPr>
            <w:tcW w:w="620" w:type="dxa"/>
            <w:vAlign w:val="bottom"/>
          </w:tcPr>
          <w:p>
            <w:pPr>
              <w:jc w:val="right"/>
              <w:spacing w:after="0"/>
              <w:rPr>
                <w:sz w:val="20"/>
                <w:szCs w:val="20"/>
                <w:color w:val="auto"/>
              </w:rPr>
            </w:pPr>
            <w:r>
              <w:rPr>
                <w:rFonts w:ascii="Arial" w:cs="Arial" w:eastAsia="Arial" w:hAnsi="Arial"/>
                <w:sz w:val="16"/>
                <w:szCs w:val="16"/>
                <w:color w:val="auto"/>
              </w:rPr>
              <w:t>$  12.17</w:t>
            </w:r>
          </w:p>
        </w:tc>
        <w:tc>
          <w:tcPr>
            <w:tcW w:w="200" w:type="dxa"/>
            <w:vAlign w:val="bottom"/>
          </w:tcPr>
          <w:p>
            <w:pPr>
              <w:spacing w:after="0"/>
              <w:rPr>
                <w:sz w:val="24"/>
                <w:szCs w:val="24"/>
                <w:color w:val="auto"/>
              </w:rPr>
            </w:pPr>
          </w:p>
        </w:tc>
        <w:tc>
          <w:tcPr>
            <w:tcW w:w="1260" w:type="dxa"/>
            <w:vAlign w:val="bottom"/>
            <w:gridSpan w:val="3"/>
          </w:tcPr>
          <w:p>
            <w:pPr>
              <w:jc w:val="right"/>
              <w:ind w:right="420"/>
              <w:spacing w:after="0"/>
              <w:rPr>
                <w:sz w:val="20"/>
                <w:szCs w:val="20"/>
                <w:color w:val="auto"/>
              </w:rPr>
            </w:pPr>
            <w:r>
              <w:rPr>
                <w:rFonts w:ascii="Arial" w:cs="Arial" w:eastAsia="Arial" w:hAnsi="Arial"/>
                <w:sz w:val="16"/>
                <w:szCs w:val="16"/>
                <w:color w:val="auto"/>
              </w:rPr>
              <w:t>$  10.83</w:t>
            </w:r>
          </w:p>
        </w:tc>
        <w:tc>
          <w:tcPr>
            <w:tcW w:w="1200" w:type="dxa"/>
            <w:vAlign w:val="bottom"/>
            <w:gridSpan w:val="2"/>
          </w:tcPr>
          <w:p>
            <w:pPr>
              <w:jc w:val="right"/>
              <w:ind w:right="400"/>
              <w:spacing w:after="0"/>
              <w:rPr>
                <w:sz w:val="20"/>
                <w:szCs w:val="20"/>
                <w:color w:val="auto"/>
              </w:rPr>
            </w:pPr>
            <w:r>
              <w:rPr>
                <w:rFonts w:ascii="Arial" w:cs="Arial" w:eastAsia="Arial" w:hAnsi="Arial"/>
                <w:sz w:val="16"/>
                <w:szCs w:val="16"/>
                <w:color w:val="auto"/>
              </w:rPr>
              <w:t>N/A%</w:t>
            </w: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N/A%</w:t>
            </w:r>
          </w:p>
        </w:tc>
        <w:tc>
          <w:tcPr>
            <w:tcW w:w="300" w:type="dxa"/>
            <w:vAlign w:val="bottom"/>
            <w:gridSpan w:val="2"/>
          </w:tcPr>
          <w:p>
            <w:pPr>
              <w:ind w:left="200"/>
              <w:spacing w:after="0"/>
              <w:rPr>
                <w:sz w:val="20"/>
                <w:szCs w:val="20"/>
                <w:color w:val="auto"/>
              </w:rPr>
            </w:pPr>
            <w:r>
              <w:rPr>
                <w:rFonts w:ascii="Arial" w:cs="Arial" w:eastAsia="Arial" w:hAnsi="Arial"/>
                <w:sz w:val="16"/>
                <w:szCs w:val="16"/>
                <w:color w:val="auto"/>
                <w:w w:val="89"/>
              </w:rPr>
              <w:t>$</w:t>
            </w:r>
          </w:p>
        </w:tc>
        <w:tc>
          <w:tcPr>
            <w:tcW w:w="760" w:type="dxa"/>
            <w:vAlign w:val="bottom"/>
            <w:gridSpan w:val="2"/>
          </w:tcPr>
          <w:p>
            <w:pPr>
              <w:ind w:left="280"/>
              <w:spacing w:after="0"/>
              <w:rPr>
                <w:sz w:val="20"/>
                <w:szCs w:val="20"/>
                <w:color w:val="auto"/>
              </w:rPr>
            </w:pPr>
            <w:r>
              <w:rPr>
                <w:rFonts w:ascii="Arial" w:cs="Arial" w:eastAsia="Arial" w:hAnsi="Arial"/>
                <w:sz w:val="16"/>
                <w:szCs w:val="16"/>
                <w:color w:val="auto"/>
                <w:w w:val="86"/>
              </w:rPr>
              <w:t>0.28</w:t>
            </w:r>
            <w:r>
              <w:rPr>
                <w:rFonts w:ascii="Arial" w:cs="Arial" w:eastAsia="Arial" w:hAnsi="Arial"/>
                <w:sz w:val="27"/>
                <w:szCs w:val="27"/>
                <w:color w:val="auto"/>
                <w:w w:val="86"/>
                <w:vertAlign w:val="superscript"/>
              </w:rPr>
              <w:t>(3)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Fiscal Year Ended September 30, 2013</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740" w:type="dxa"/>
            <w:vAlign w:val="bottom"/>
            <w:gridSpan w:val="2"/>
          </w:tcPr>
          <w:p>
            <w:pPr>
              <w:spacing w:after="0"/>
              <w:rPr>
                <w:sz w:val="20"/>
                <w:szCs w:val="20"/>
                <w:color w:val="auto"/>
              </w:rPr>
            </w:pPr>
            <w:r>
              <w:rPr>
                <w:rFonts w:ascii="Arial" w:cs="Arial" w:eastAsia="Arial" w:hAnsi="Arial"/>
                <w:sz w:val="16"/>
                <w:szCs w:val="16"/>
                <w:color w:val="auto"/>
              </w:rPr>
              <w:t>Fourth quarter</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6"/>
                <w:szCs w:val="16"/>
                <w:color w:val="auto"/>
              </w:rPr>
              <w:t>10.49</w:t>
            </w: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11.83</w:t>
            </w:r>
          </w:p>
        </w:tc>
        <w:tc>
          <w:tcPr>
            <w:tcW w:w="1260" w:type="dxa"/>
            <w:vAlign w:val="bottom"/>
            <w:gridSpan w:val="3"/>
          </w:tcPr>
          <w:p>
            <w:pPr>
              <w:jc w:val="right"/>
              <w:ind w:right="420"/>
              <w:spacing w:after="0"/>
              <w:rPr>
                <w:sz w:val="20"/>
                <w:szCs w:val="20"/>
                <w:color w:val="auto"/>
              </w:rPr>
            </w:pPr>
            <w:r>
              <w:rPr>
                <w:rFonts w:ascii="Arial" w:cs="Arial" w:eastAsia="Arial" w:hAnsi="Arial"/>
                <w:sz w:val="16"/>
                <w:szCs w:val="16"/>
                <w:color w:val="auto"/>
              </w:rPr>
              <w:t>10.97</w:t>
            </w:r>
          </w:p>
        </w:tc>
        <w:tc>
          <w:tcPr>
            <w:tcW w:w="660" w:type="dxa"/>
            <w:vAlign w:val="bottom"/>
          </w:tcPr>
          <w:p>
            <w:pPr>
              <w:jc w:val="right"/>
              <w:spacing w:after="0"/>
              <w:rPr>
                <w:sz w:val="20"/>
                <w:szCs w:val="20"/>
                <w:color w:val="auto"/>
              </w:rPr>
            </w:pPr>
            <w:r>
              <w:rPr>
                <w:rFonts w:ascii="Arial" w:cs="Arial" w:eastAsia="Arial" w:hAnsi="Arial"/>
                <w:sz w:val="16"/>
                <w:szCs w:val="16"/>
                <w:color w:val="auto"/>
              </w:rPr>
              <w:t>13</w:t>
            </w:r>
          </w:p>
        </w:tc>
        <w:tc>
          <w:tcPr>
            <w:tcW w:w="540" w:type="dxa"/>
            <w:vAlign w:val="bottom"/>
          </w:tcPr>
          <w:p>
            <w:pPr>
              <w:spacing w:after="0"/>
              <w:rPr>
                <w:sz w:val="22"/>
                <w:szCs w:val="22"/>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6"/>
                <w:szCs w:val="16"/>
                <w:color w:val="auto"/>
              </w:rPr>
              <w:t>5</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ind w:left="280"/>
              <w:spacing w:after="0"/>
              <w:rPr>
                <w:sz w:val="20"/>
                <w:szCs w:val="20"/>
                <w:color w:val="auto"/>
              </w:rPr>
            </w:pPr>
            <w:r>
              <w:rPr>
                <w:rFonts w:ascii="Arial" w:cs="Arial" w:eastAsia="Arial" w:hAnsi="Arial"/>
                <w:sz w:val="16"/>
                <w:szCs w:val="16"/>
                <w:color w:val="auto"/>
              </w:rPr>
              <w:t>0.28</w:t>
            </w: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47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6"/>
                <w:szCs w:val="16"/>
                <w:color w:val="auto"/>
              </w:rPr>
              <w:t>Third quarter</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10.43</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11.83</w:t>
            </w:r>
          </w:p>
        </w:tc>
        <w:tc>
          <w:tcPr>
            <w:tcW w:w="1260" w:type="dxa"/>
            <w:vAlign w:val="bottom"/>
            <w:gridSpan w:val="3"/>
            <w:shd w:val="clear" w:color="auto" w:fill="CCEEFF"/>
          </w:tcPr>
          <w:p>
            <w:pPr>
              <w:jc w:val="right"/>
              <w:ind w:right="420"/>
              <w:spacing w:after="0"/>
              <w:rPr>
                <w:sz w:val="20"/>
                <w:szCs w:val="20"/>
                <w:color w:val="auto"/>
              </w:rPr>
            </w:pPr>
            <w:r>
              <w:rPr>
                <w:rFonts w:ascii="Arial" w:cs="Arial" w:eastAsia="Arial" w:hAnsi="Arial"/>
                <w:sz w:val="16"/>
                <w:szCs w:val="16"/>
                <w:color w:val="auto"/>
              </w:rPr>
              <w:t>10.45</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5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0.28</w:t>
            </w:r>
          </w:p>
        </w:tc>
        <w:tc>
          <w:tcPr>
            <w:tcW w:w="0" w:type="dxa"/>
            <w:vAlign w:val="bottom"/>
          </w:tcPr>
          <w:p>
            <w:pPr>
              <w:spacing w:after="0"/>
              <w:rPr>
                <w:sz w:val="1"/>
                <w:szCs w:val="1"/>
                <w:color w:val="auto"/>
              </w:rPr>
            </w:pPr>
          </w:p>
        </w:tc>
      </w:tr>
      <w:tr>
        <w:trPr>
          <w:trHeight w:val="264"/>
        </w:trPr>
        <w:tc>
          <w:tcPr>
            <w:tcW w:w="4740" w:type="dxa"/>
            <w:vAlign w:val="bottom"/>
            <w:gridSpan w:val="2"/>
          </w:tcPr>
          <w:p>
            <w:pPr>
              <w:spacing w:after="0"/>
              <w:rPr>
                <w:sz w:val="20"/>
                <w:szCs w:val="20"/>
                <w:color w:val="auto"/>
              </w:rPr>
            </w:pPr>
            <w:r>
              <w:rPr>
                <w:rFonts w:ascii="Arial" w:cs="Arial" w:eastAsia="Arial" w:hAnsi="Arial"/>
                <w:sz w:val="16"/>
                <w:szCs w:val="16"/>
                <w:color w:val="auto"/>
              </w:rPr>
              <w:t>Second quarter</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6"/>
                <w:szCs w:val="16"/>
                <w:color w:val="auto"/>
              </w:rPr>
              <w:t>10.50</w:t>
            </w:r>
          </w:p>
        </w:tc>
        <w:tc>
          <w:tcPr>
            <w:tcW w:w="620" w:type="dxa"/>
            <w:vAlign w:val="bottom"/>
          </w:tcPr>
          <w:p>
            <w:pPr>
              <w:jc w:val="right"/>
              <w:spacing w:after="0"/>
              <w:rPr>
                <w:sz w:val="20"/>
                <w:szCs w:val="20"/>
                <w:color w:val="auto"/>
              </w:rPr>
            </w:pPr>
            <w:r>
              <w:rPr>
                <w:rFonts w:ascii="Arial" w:cs="Arial" w:eastAsia="Arial" w:hAnsi="Arial"/>
                <w:sz w:val="16"/>
                <w:szCs w:val="16"/>
                <w:color w:val="auto"/>
              </w:rPr>
              <w:t>12.18</w:t>
            </w:r>
          </w:p>
        </w:tc>
        <w:tc>
          <w:tcPr>
            <w:tcW w:w="200" w:type="dxa"/>
            <w:vAlign w:val="bottom"/>
          </w:tcPr>
          <w:p>
            <w:pPr>
              <w:spacing w:after="0"/>
              <w:rPr>
                <w:sz w:val="22"/>
                <w:szCs w:val="22"/>
                <w:color w:val="auto"/>
              </w:rPr>
            </w:pPr>
          </w:p>
        </w:tc>
        <w:tc>
          <w:tcPr>
            <w:tcW w:w="1260" w:type="dxa"/>
            <w:vAlign w:val="bottom"/>
            <w:gridSpan w:val="3"/>
          </w:tcPr>
          <w:p>
            <w:pPr>
              <w:jc w:val="right"/>
              <w:ind w:right="420"/>
              <w:spacing w:after="0"/>
              <w:rPr>
                <w:sz w:val="20"/>
                <w:szCs w:val="20"/>
                <w:color w:val="auto"/>
              </w:rPr>
            </w:pPr>
            <w:r>
              <w:rPr>
                <w:rFonts w:ascii="Arial" w:cs="Arial" w:eastAsia="Arial" w:hAnsi="Arial"/>
                <w:sz w:val="16"/>
                <w:szCs w:val="16"/>
                <w:color w:val="auto"/>
              </w:rPr>
              <w:t>11.01</w:t>
            </w:r>
          </w:p>
        </w:tc>
        <w:tc>
          <w:tcPr>
            <w:tcW w:w="660" w:type="dxa"/>
            <w:vAlign w:val="bottom"/>
          </w:tcPr>
          <w:p>
            <w:pPr>
              <w:jc w:val="right"/>
              <w:spacing w:after="0"/>
              <w:rPr>
                <w:sz w:val="20"/>
                <w:szCs w:val="20"/>
                <w:color w:val="auto"/>
              </w:rPr>
            </w:pPr>
            <w:r>
              <w:rPr>
                <w:rFonts w:ascii="Arial" w:cs="Arial" w:eastAsia="Arial" w:hAnsi="Arial"/>
                <w:sz w:val="16"/>
                <w:szCs w:val="16"/>
                <w:color w:val="auto"/>
              </w:rPr>
              <w:t>16</w:t>
            </w:r>
          </w:p>
        </w:tc>
        <w:tc>
          <w:tcPr>
            <w:tcW w:w="540" w:type="dxa"/>
            <w:vAlign w:val="bottom"/>
          </w:tcPr>
          <w:p>
            <w:pPr>
              <w:spacing w:after="0"/>
              <w:rPr>
                <w:sz w:val="22"/>
                <w:szCs w:val="22"/>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6"/>
                <w:szCs w:val="16"/>
                <w:color w:val="auto"/>
              </w:rPr>
              <w:t>5</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ind w:left="280"/>
              <w:spacing w:after="0"/>
              <w:rPr>
                <w:sz w:val="20"/>
                <w:szCs w:val="20"/>
                <w:color w:val="auto"/>
              </w:rPr>
            </w:pPr>
            <w:r>
              <w:rPr>
                <w:rFonts w:ascii="Arial" w:cs="Arial" w:eastAsia="Arial" w:hAnsi="Arial"/>
                <w:sz w:val="16"/>
                <w:szCs w:val="16"/>
                <w:color w:val="auto"/>
              </w:rPr>
              <w:t>0.28</w:t>
            </w: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47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6"/>
                <w:szCs w:val="16"/>
                <w:color w:val="auto"/>
              </w:rPr>
              <w:t>First quarter</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10.38</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11.10</w:t>
            </w:r>
          </w:p>
        </w:tc>
        <w:tc>
          <w:tcPr>
            <w:tcW w:w="1260" w:type="dxa"/>
            <w:vAlign w:val="bottom"/>
            <w:gridSpan w:val="3"/>
            <w:shd w:val="clear" w:color="auto" w:fill="CCEEFF"/>
          </w:tcPr>
          <w:p>
            <w:pPr>
              <w:jc w:val="right"/>
              <w:ind w:right="420"/>
              <w:spacing w:after="0"/>
              <w:rPr>
                <w:sz w:val="20"/>
                <w:szCs w:val="20"/>
                <w:color w:val="auto"/>
              </w:rPr>
            </w:pPr>
            <w:r>
              <w:rPr>
                <w:rFonts w:ascii="Arial" w:cs="Arial" w:eastAsia="Arial" w:hAnsi="Arial"/>
                <w:sz w:val="16"/>
                <w:szCs w:val="16"/>
                <w:color w:val="auto"/>
              </w:rPr>
              <w:t>10.07</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5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(3)</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0.28</w:t>
            </w:r>
          </w:p>
        </w:tc>
        <w:tc>
          <w:tcPr>
            <w:tcW w:w="0" w:type="dxa"/>
            <w:vAlign w:val="bottom"/>
          </w:tcPr>
          <w:p>
            <w:pPr>
              <w:spacing w:after="0"/>
              <w:rPr>
                <w:sz w:val="1"/>
                <w:szCs w:val="1"/>
                <w:color w:val="auto"/>
              </w:rPr>
            </w:pPr>
          </w:p>
        </w:tc>
      </w:tr>
      <w:tr>
        <w:trPr>
          <w:trHeight w:val="305"/>
        </w:trPr>
        <w:tc>
          <w:tcPr>
            <w:tcW w:w="4740" w:type="dxa"/>
            <w:vAlign w:val="bottom"/>
            <w:gridSpan w:val="2"/>
          </w:tcPr>
          <w:p>
            <w:pPr>
              <w:spacing w:after="0"/>
              <w:rPr>
                <w:sz w:val="20"/>
                <w:szCs w:val="20"/>
                <w:color w:val="auto"/>
              </w:rPr>
            </w:pPr>
            <w:r>
              <w:rPr>
                <w:rFonts w:ascii="Arial" w:cs="Arial" w:eastAsia="Arial" w:hAnsi="Arial"/>
                <w:sz w:val="16"/>
                <w:szCs w:val="16"/>
                <w:b w:val="1"/>
                <w:bCs w:val="1"/>
                <w:color w:val="auto"/>
              </w:rPr>
              <w:t>Fiscal Year Ended September 30, 2012</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47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6"/>
                <w:szCs w:val="16"/>
                <w:color w:val="auto"/>
              </w:rPr>
              <w:t>Fourth quarter</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10.22</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11.44</w:t>
            </w:r>
          </w:p>
        </w:tc>
        <w:tc>
          <w:tcPr>
            <w:tcW w:w="1260" w:type="dxa"/>
            <w:vAlign w:val="bottom"/>
            <w:gridSpan w:val="3"/>
            <w:shd w:val="clear" w:color="auto" w:fill="CCEEFF"/>
          </w:tcPr>
          <w:p>
            <w:pPr>
              <w:jc w:val="right"/>
              <w:ind w:right="420"/>
              <w:spacing w:after="0"/>
              <w:rPr>
                <w:sz w:val="20"/>
                <w:szCs w:val="20"/>
                <w:color w:val="auto"/>
              </w:rPr>
            </w:pPr>
            <w:r>
              <w:rPr>
                <w:rFonts w:ascii="Arial" w:cs="Arial" w:eastAsia="Arial" w:hAnsi="Arial"/>
                <w:sz w:val="16"/>
                <w:szCs w:val="16"/>
                <w:color w:val="auto"/>
              </w:rPr>
              <w:t>10.36</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5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1</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0.28</w:t>
            </w:r>
          </w:p>
        </w:tc>
        <w:tc>
          <w:tcPr>
            <w:tcW w:w="0" w:type="dxa"/>
            <w:vAlign w:val="bottom"/>
          </w:tcPr>
          <w:p>
            <w:pPr>
              <w:spacing w:after="0"/>
              <w:rPr>
                <w:sz w:val="1"/>
                <w:szCs w:val="1"/>
                <w:color w:val="auto"/>
              </w:rPr>
            </w:pPr>
          </w:p>
        </w:tc>
      </w:tr>
      <w:tr>
        <w:trPr>
          <w:trHeight w:val="264"/>
        </w:trPr>
        <w:tc>
          <w:tcPr>
            <w:tcW w:w="4740" w:type="dxa"/>
            <w:vAlign w:val="bottom"/>
            <w:gridSpan w:val="2"/>
          </w:tcPr>
          <w:p>
            <w:pPr>
              <w:spacing w:after="0"/>
              <w:rPr>
                <w:sz w:val="20"/>
                <w:szCs w:val="20"/>
                <w:color w:val="auto"/>
              </w:rPr>
            </w:pPr>
            <w:r>
              <w:rPr>
                <w:rFonts w:ascii="Arial" w:cs="Arial" w:eastAsia="Arial" w:hAnsi="Arial"/>
                <w:sz w:val="16"/>
                <w:szCs w:val="16"/>
                <w:color w:val="auto"/>
              </w:rPr>
              <w:t>Third quarter</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6"/>
                <w:szCs w:val="16"/>
                <w:color w:val="auto"/>
              </w:rPr>
              <w:t>10.16</w:t>
            </w:r>
          </w:p>
        </w:tc>
        <w:tc>
          <w:tcPr>
            <w:tcW w:w="620" w:type="dxa"/>
            <w:vAlign w:val="bottom"/>
          </w:tcPr>
          <w:p>
            <w:pPr>
              <w:jc w:val="right"/>
              <w:spacing w:after="0"/>
              <w:rPr>
                <w:sz w:val="20"/>
                <w:szCs w:val="20"/>
                <w:color w:val="auto"/>
              </w:rPr>
            </w:pPr>
            <w:r>
              <w:rPr>
                <w:rFonts w:ascii="Arial" w:cs="Arial" w:eastAsia="Arial" w:hAnsi="Arial"/>
                <w:sz w:val="16"/>
                <w:szCs w:val="16"/>
                <w:color w:val="auto"/>
              </w:rPr>
              <w:t>10.70</w:t>
            </w:r>
          </w:p>
        </w:tc>
        <w:tc>
          <w:tcPr>
            <w:tcW w:w="200" w:type="dxa"/>
            <w:vAlign w:val="bottom"/>
          </w:tcPr>
          <w:p>
            <w:pPr>
              <w:spacing w:after="0"/>
              <w:rPr>
                <w:sz w:val="22"/>
                <w:szCs w:val="22"/>
                <w:color w:val="auto"/>
              </w:rPr>
            </w:pPr>
          </w:p>
        </w:tc>
        <w:tc>
          <w:tcPr>
            <w:tcW w:w="1260" w:type="dxa"/>
            <w:vAlign w:val="bottom"/>
            <w:gridSpan w:val="3"/>
          </w:tcPr>
          <w:p>
            <w:pPr>
              <w:jc w:val="right"/>
              <w:ind w:right="420"/>
              <w:spacing w:after="0"/>
              <w:rPr>
                <w:sz w:val="20"/>
                <w:szCs w:val="20"/>
                <w:color w:val="auto"/>
              </w:rPr>
            </w:pPr>
            <w:r>
              <w:rPr>
                <w:rFonts w:ascii="Arial" w:cs="Arial" w:eastAsia="Arial" w:hAnsi="Arial"/>
                <w:sz w:val="16"/>
                <w:szCs w:val="16"/>
                <w:color w:val="auto"/>
              </w:rPr>
              <w:t>9.27</w:t>
            </w:r>
          </w:p>
        </w:tc>
        <w:tc>
          <w:tcPr>
            <w:tcW w:w="660" w:type="dxa"/>
            <w:vAlign w:val="bottom"/>
          </w:tcPr>
          <w:p>
            <w:pPr>
              <w:jc w:val="right"/>
              <w:spacing w:after="0"/>
              <w:rPr>
                <w:sz w:val="20"/>
                <w:szCs w:val="20"/>
                <w:color w:val="auto"/>
              </w:rPr>
            </w:pPr>
            <w:r>
              <w:rPr>
                <w:rFonts w:ascii="Arial" w:cs="Arial" w:eastAsia="Arial" w:hAnsi="Arial"/>
                <w:sz w:val="16"/>
                <w:szCs w:val="16"/>
                <w:color w:val="auto"/>
              </w:rPr>
              <w:t>5</w:t>
            </w:r>
          </w:p>
        </w:tc>
        <w:tc>
          <w:tcPr>
            <w:tcW w:w="540" w:type="dxa"/>
            <w:vAlign w:val="bottom"/>
          </w:tcPr>
          <w:p>
            <w:pPr>
              <w:spacing w:after="0"/>
              <w:rPr>
                <w:sz w:val="22"/>
                <w:szCs w:val="22"/>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(9)</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ind w:left="280"/>
              <w:spacing w:after="0"/>
              <w:rPr>
                <w:sz w:val="20"/>
                <w:szCs w:val="20"/>
                <w:color w:val="auto"/>
              </w:rPr>
            </w:pPr>
            <w:r>
              <w:rPr>
                <w:rFonts w:ascii="Arial" w:cs="Arial" w:eastAsia="Arial" w:hAnsi="Arial"/>
                <w:sz w:val="16"/>
                <w:szCs w:val="16"/>
                <w:color w:val="auto"/>
              </w:rPr>
              <w:t>0.28</w:t>
            </w: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47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6"/>
                <w:szCs w:val="16"/>
                <w:color w:val="auto"/>
              </w:rPr>
              <w:t>Second quarter</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10.38</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11.23</w:t>
            </w:r>
          </w:p>
        </w:tc>
        <w:tc>
          <w:tcPr>
            <w:tcW w:w="1260" w:type="dxa"/>
            <w:vAlign w:val="bottom"/>
            <w:gridSpan w:val="3"/>
            <w:shd w:val="clear" w:color="auto" w:fill="CCEEFF"/>
          </w:tcPr>
          <w:p>
            <w:pPr>
              <w:jc w:val="right"/>
              <w:ind w:right="420"/>
              <w:spacing w:after="0"/>
              <w:rPr>
                <w:sz w:val="20"/>
                <w:szCs w:val="20"/>
                <w:color w:val="auto"/>
              </w:rPr>
            </w:pPr>
            <w:r>
              <w:rPr>
                <w:rFonts w:ascii="Arial" w:cs="Arial" w:eastAsia="Arial" w:hAnsi="Arial"/>
                <w:sz w:val="16"/>
                <w:szCs w:val="16"/>
                <w:color w:val="auto"/>
              </w:rPr>
              <w:t>10.31</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5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0.28</w:t>
            </w:r>
          </w:p>
        </w:tc>
        <w:tc>
          <w:tcPr>
            <w:tcW w:w="0" w:type="dxa"/>
            <w:vAlign w:val="bottom"/>
          </w:tcPr>
          <w:p>
            <w:pPr>
              <w:spacing w:after="0"/>
              <w:rPr>
                <w:sz w:val="1"/>
                <w:szCs w:val="1"/>
                <w:color w:val="auto"/>
              </w:rPr>
            </w:pPr>
          </w:p>
        </w:tc>
      </w:tr>
      <w:tr>
        <w:trPr>
          <w:trHeight w:val="264"/>
        </w:trPr>
        <w:tc>
          <w:tcPr>
            <w:tcW w:w="4740" w:type="dxa"/>
            <w:vAlign w:val="bottom"/>
            <w:gridSpan w:val="2"/>
          </w:tcPr>
          <w:p>
            <w:pPr>
              <w:spacing w:after="0"/>
              <w:rPr>
                <w:sz w:val="20"/>
                <w:szCs w:val="20"/>
                <w:color w:val="auto"/>
              </w:rPr>
            </w:pPr>
            <w:r>
              <w:rPr>
                <w:rFonts w:ascii="Arial" w:cs="Arial" w:eastAsia="Arial" w:hAnsi="Arial"/>
                <w:sz w:val="16"/>
                <w:szCs w:val="16"/>
                <w:color w:val="auto"/>
              </w:rPr>
              <w:t>First quarter</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6"/>
                <w:szCs w:val="16"/>
                <w:color w:val="auto"/>
              </w:rPr>
              <w:t>10.19</w:t>
            </w: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11.02</w:t>
            </w:r>
          </w:p>
        </w:tc>
        <w:tc>
          <w:tcPr>
            <w:tcW w:w="1260" w:type="dxa"/>
            <w:vAlign w:val="bottom"/>
            <w:gridSpan w:val="3"/>
          </w:tcPr>
          <w:p>
            <w:pPr>
              <w:jc w:val="right"/>
              <w:ind w:right="420"/>
              <w:spacing w:after="0"/>
              <w:rPr>
                <w:sz w:val="20"/>
                <w:szCs w:val="20"/>
                <w:color w:val="auto"/>
              </w:rPr>
            </w:pPr>
            <w:r>
              <w:rPr>
                <w:rFonts w:ascii="Arial" w:cs="Arial" w:eastAsia="Arial" w:hAnsi="Arial"/>
                <w:sz w:val="16"/>
                <w:szCs w:val="16"/>
                <w:color w:val="auto"/>
              </w:rPr>
              <w:t>8.57</w:t>
            </w:r>
          </w:p>
        </w:tc>
        <w:tc>
          <w:tcPr>
            <w:tcW w:w="660" w:type="dxa"/>
            <w:vAlign w:val="bottom"/>
          </w:tcPr>
          <w:p>
            <w:pPr>
              <w:jc w:val="right"/>
              <w:spacing w:after="0"/>
              <w:rPr>
                <w:sz w:val="20"/>
                <w:szCs w:val="20"/>
                <w:color w:val="auto"/>
              </w:rPr>
            </w:pPr>
            <w:r>
              <w:rPr>
                <w:rFonts w:ascii="Arial" w:cs="Arial" w:eastAsia="Arial" w:hAnsi="Arial"/>
                <w:sz w:val="16"/>
                <w:szCs w:val="16"/>
                <w:color w:val="auto"/>
              </w:rPr>
              <w:t>8</w:t>
            </w:r>
          </w:p>
        </w:tc>
        <w:tc>
          <w:tcPr>
            <w:tcW w:w="540" w:type="dxa"/>
            <w:vAlign w:val="bottom"/>
          </w:tcPr>
          <w:p>
            <w:pPr>
              <w:spacing w:after="0"/>
              <w:rPr>
                <w:sz w:val="22"/>
                <w:szCs w:val="22"/>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(16)</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ind w:left="280"/>
              <w:spacing w:after="0"/>
              <w:rPr>
                <w:sz w:val="20"/>
                <w:szCs w:val="20"/>
                <w:color w:val="auto"/>
              </w:rPr>
            </w:pPr>
            <w:r>
              <w:rPr>
                <w:rFonts w:ascii="Arial" w:cs="Arial" w:eastAsia="Arial" w:hAnsi="Arial"/>
                <w:sz w:val="16"/>
                <w:szCs w:val="16"/>
                <w:color w:val="auto"/>
              </w:rPr>
              <w:t>0.28</w:t>
            </w: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47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Fiscal Year Ended September 30, 2011</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740" w:type="dxa"/>
            <w:vAlign w:val="bottom"/>
            <w:gridSpan w:val="2"/>
          </w:tcPr>
          <w:p>
            <w:pPr>
              <w:spacing w:after="0"/>
              <w:rPr>
                <w:sz w:val="20"/>
                <w:szCs w:val="20"/>
                <w:color w:val="auto"/>
              </w:rPr>
            </w:pPr>
            <w:r>
              <w:rPr>
                <w:rFonts w:ascii="Arial" w:cs="Arial" w:eastAsia="Arial" w:hAnsi="Arial"/>
                <w:sz w:val="16"/>
                <w:szCs w:val="16"/>
                <w:color w:val="auto"/>
              </w:rPr>
              <w:t>Fourth quarter</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6"/>
                <w:szCs w:val="16"/>
                <w:color w:val="auto"/>
              </w:rPr>
              <w:t>10.13</w:t>
            </w: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11.52</w:t>
            </w:r>
          </w:p>
        </w:tc>
        <w:tc>
          <w:tcPr>
            <w:tcW w:w="1260" w:type="dxa"/>
            <w:vAlign w:val="bottom"/>
            <w:gridSpan w:val="3"/>
          </w:tcPr>
          <w:p>
            <w:pPr>
              <w:jc w:val="right"/>
              <w:ind w:right="420"/>
              <w:spacing w:after="0"/>
              <w:rPr>
                <w:sz w:val="20"/>
                <w:szCs w:val="20"/>
                <w:color w:val="auto"/>
              </w:rPr>
            </w:pPr>
            <w:r>
              <w:rPr>
                <w:rFonts w:ascii="Arial" w:cs="Arial" w:eastAsia="Arial" w:hAnsi="Arial"/>
                <w:sz w:val="16"/>
                <w:szCs w:val="16"/>
                <w:color w:val="auto"/>
              </w:rPr>
              <w:t>8.89</w:t>
            </w:r>
          </w:p>
        </w:tc>
        <w:tc>
          <w:tcPr>
            <w:tcW w:w="660" w:type="dxa"/>
            <w:vAlign w:val="bottom"/>
          </w:tcPr>
          <w:p>
            <w:pPr>
              <w:jc w:val="right"/>
              <w:spacing w:after="0"/>
              <w:rPr>
                <w:sz w:val="20"/>
                <w:szCs w:val="20"/>
                <w:color w:val="auto"/>
              </w:rPr>
            </w:pPr>
            <w:r>
              <w:rPr>
                <w:rFonts w:ascii="Arial" w:cs="Arial" w:eastAsia="Arial" w:hAnsi="Arial"/>
                <w:sz w:val="16"/>
                <w:szCs w:val="16"/>
                <w:color w:val="auto"/>
              </w:rPr>
              <w:t>14</w:t>
            </w:r>
          </w:p>
        </w:tc>
        <w:tc>
          <w:tcPr>
            <w:tcW w:w="540" w:type="dxa"/>
            <w:vAlign w:val="bottom"/>
          </w:tcPr>
          <w:p>
            <w:pPr>
              <w:spacing w:after="0"/>
              <w:rPr>
                <w:sz w:val="22"/>
                <w:szCs w:val="22"/>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(12)</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ind w:left="280"/>
              <w:spacing w:after="0"/>
              <w:rPr>
                <w:sz w:val="20"/>
                <w:szCs w:val="20"/>
                <w:color w:val="auto"/>
              </w:rPr>
            </w:pPr>
            <w:r>
              <w:rPr>
                <w:rFonts w:ascii="Arial" w:cs="Arial" w:eastAsia="Arial" w:hAnsi="Arial"/>
                <w:sz w:val="16"/>
                <w:szCs w:val="16"/>
                <w:color w:val="auto"/>
              </w:rPr>
              <w:t>0.27</w:t>
            </w: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47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6"/>
                <w:szCs w:val="16"/>
                <w:color w:val="auto"/>
              </w:rPr>
              <w:t>Third quarter</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11.08</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12.43</w:t>
            </w:r>
          </w:p>
        </w:tc>
        <w:tc>
          <w:tcPr>
            <w:tcW w:w="20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ind w:right="420"/>
              <w:spacing w:after="0"/>
              <w:rPr>
                <w:sz w:val="20"/>
                <w:szCs w:val="20"/>
                <w:color w:val="auto"/>
              </w:rPr>
            </w:pPr>
            <w:r>
              <w:rPr>
                <w:rFonts w:ascii="Arial" w:cs="Arial" w:eastAsia="Arial" w:hAnsi="Arial"/>
                <w:sz w:val="16"/>
                <w:szCs w:val="16"/>
                <w:color w:val="auto"/>
              </w:rPr>
              <w:t>10.97</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5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0.27</w:t>
            </w:r>
          </w:p>
        </w:tc>
        <w:tc>
          <w:tcPr>
            <w:tcW w:w="0" w:type="dxa"/>
            <w:vAlign w:val="bottom"/>
          </w:tcPr>
          <w:p>
            <w:pPr>
              <w:spacing w:after="0"/>
              <w:rPr>
                <w:sz w:val="1"/>
                <w:szCs w:val="1"/>
                <w:color w:val="auto"/>
              </w:rPr>
            </w:pPr>
          </w:p>
        </w:tc>
      </w:tr>
      <w:tr>
        <w:trPr>
          <w:trHeight w:val="264"/>
        </w:trPr>
        <w:tc>
          <w:tcPr>
            <w:tcW w:w="4740" w:type="dxa"/>
            <w:vAlign w:val="bottom"/>
            <w:gridSpan w:val="2"/>
          </w:tcPr>
          <w:p>
            <w:pPr>
              <w:spacing w:after="0"/>
              <w:rPr>
                <w:sz w:val="20"/>
                <w:szCs w:val="20"/>
                <w:color w:val="auto"/>
              </w:rPr>
            </w:pPr>
            <w:r>
              <w:rPr>
                <w:rFonts w:ascii="Arial" w:cs="Arial" w:eastAsia="Arial" w:hAnsi="Arial"/>
                <w:sz w:val="16"/>
                <w:szCs w:val="16"/>
                <w:color w:val="auto"/>
              </w:rPr>
              <w:t>Second quarter</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6"/>
                <w:szCs w:val="16"/>
                <w:color w:val="auto"/>
              </w:rPr>
              <w:t>11.30</w:t>
            </w:r>
          </w:p>
        </w:tc>
        <w:tc>
          <w:tcPr>
            <w:tcW w:w="620" w:type="dxa"/>
            <w:vAlign w:val="bottom"/>
          </w:tcPr>
          <w:p>
            <w:pPr>
              <w:jc w:val="right"/>
              <w:spacing w:after="0"/>
              <w:rPr>
                <w:sz w:val="20"/>
                <w:szCs w:val="20"/>
                <w:color w:val="auto"/>
              </w:rPr>
            </w:pPr>
            <w:r>
              <w:rPr>
                <w:rFonts w:ascii="Arial" w:cs="Arial" w:eastAsia="Arial" w:hAnsi="Arial"/>
                <w:sz w:val="16"/>
                <w:szCs w:val="16"/>
                <w:color w:val="auto"/>
              </w:rPr>
              <w:t>13.05</w:t>
            </w:r>
          </w:p>
        </w:tc>
        <w:tc>
          <w:tcPr>
            <w:tcW w:w="200" w:type="dxa"/>
            <w:vAlign w:val="bottom"/>
          </w:tcPr>
          <w:p>
            <w:pPr>
              <w:spacing w:after="0"/>
              <w:rPr>
                <w:sz w:val="22"/>
                <w:szCs w:val="22"/>
                <w:color w:val="auto"/>
              </w:rPr>
            </w:pPr>
          </w:p>
        </w:tc>
        <w:tc>
          <w:tcPr>
            <w:tcW w:w="1260" w:type="dxa"/>
            <w:vAlign w:val="bottom"/>
            <w:gridSpan w:val="3"/>
          </w:tcPr>
          <w:p>
            <w:pPr>
              <w:jc w:val="right"/>
              <w:ind w:right="420"/>
              <w:spacing w:after="0"/>
              <w:rPr>
                <w:sz w:val="20"/>
                <w:szCs w:val="20"/>
                <w:color w:val="auto"/>
              </w:rPr>
            </w:pPr>
            <w:r>
              <w:rPr>
                <w:rFonts w:ascii="Arial" w:cs="Arial" w:eastAsia="Arial" w:hAnsi="Arial"/>
                <w:sz w:val="16"/>
                <w:szCs w:val="16"/>
                <w:color w:val="auto"/>
              </w:rPr>
              <w:t>11.21</w:t>
            </w:r>
          </w:p>
        </w:tc>
        <w:tc>
          <w:tcPr>
            <w:tcW w:w="660" w:type="dxa"/>
            <w:vAlign w:val="bottom"/>
          </w:tcPr>
          <w:p>
            <w:pPr>
              <w:jc w:val="right"/>
              <w:spacing w:after="0"/>
              <w:rPr>
                <w:sz w:val="20"/>
                <w:szCs w:val="20"/>
                <w:color w:val="auto"/>
              </w:rPr>
            </w:pPr>
            <w:r>
              <w:rPr>
                <w:rFonts w:ascii="Arial" w:cs="Arial" w:eastAsia="Arial" w:hAnsi="Arial"/>
                <w:sz w:val="16"/>
                <w:szCs w:val="16"/>
                <w:color w:val="auto"/>
              </w:rPr>
              <w:t>15</w:t>
            </w:r>
          </w:p>
        </w:tc>
        <w:tc>
          <w:tcPr>
            <w:tcW w:w="540" w:type="dxa"/>
            <w:vAlign w:val="bottom"/>
          </w:tcPr>
          <w:p>
            <w:pPr>
              <w:spacing w:after="0"/>
              <w:rPr>
                <w:sz w:val="22"/>
                <w:szCs w:val="22"/>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ind w:left="280"/>
              <w:spacing w:after="0"/>
              <w:rPr>
                <w:sz w:val="20"/>
                <w:szCs w:val="20"/>
                <w:color w:val="auto"/>
              </w:rPr>
            </w:pPr>
            <w:r>
              <w:rPr>
                <w:rFonts w:ascii="Arial" w:cs="Arial" w:eastAsia="Arial" w:hAnsi="Arial"/>
                <w:sz w:val="16"/>
                <w:szCs w:val="16"/>
                <w:color w:val="auto"/>
              </w:rPr>
              <w:t>0.27</w:t>
            </w: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47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6"/>
                <w:szCs w:val="16"/>
                <w:color w:val="auto"/>
              </w:rPr>
              <w:t>First quarter</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11.14</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12.75</w:t>
            </w:r>
          </w:p>
        </w:tc>
        <w:tc>
          <w:tcPr>
            <w:tcW w:w="20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ind w:right="420"/>
              <w:spacing w:after="0"/>
              <w:rPr>
                <w:sz w:val="20"/>
                <w:szCs w:val="20"/>
                <w:color w:val="auto"/>
              </w:rPr>
            </w:pPr>
            <w:r>
              <w:rPr>
                <w:rFonts w:ascii="Arial" w:cs="Arial" w:eastAsia="Arial" w:hAnsi="Arial"/>
                <w:sz w:val="16"/>
                <w:szCs w:val="16"/>
                <w:color w:val="auto"/>
              </w:rPr>
              <w:t>10.60</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5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(5)</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0.26</w:t>
            </w:r>
          </w:p>
        </w:tc>
        <w:tc>
          <w:tcPr>
            <w:tcW w:w="0" w:type="dxa"/>
            <w:vAlign w:val="bottom"/>
          </w:tcPr>
          <w:p>
            <w:pPr>
              <w:spacing w:after="0"/>
              <w:rPr>
                <w:sz w:val="1"/>
                <w:szCs w:val="1"/>
                <w:color w:val="auto"/>
              </w:rPr>
            </w:pPr>
          </w:p>
        </w:tc>
      </w:tr>
      <w:tr>
        <w:trPr>
          <w:trHeight w:val="264"/>
        </w:trPr>
        <w:tc>
          <w:tcPr>
            <w:tcW w:w="4740" w:type="dxa"/>
            <w:vAlign w:val="bottom"/>
            <w:gridSpan w:val="2"/>
          </w:tcPr>
          <w:p>
            <w:pPr>
              <w:spacing w:after="0"/>
              <w:rPr>
                <w:sz w:val="20"/>
                <w:szCs w:val="20"/>
                <w:color w:val="auto"/>
              </w:rPr>
            </w:pPr>
            <w:r>
              <w:rPr>
                <w:rFonts w:ascii="Arial" w:cs="Arial" w:eastAsia="Arial" w:hAnsi="Arial"/>
                <w:sz w:val="16"/>
                <w:szCs w:val="16"/>
                <w:b w:val="1"/>
                <w:bCs w:val="1"/>
                <w:color w:val="auto"/>
              </w:rPr>
              <w:t>Fiscal Year Ended September 30, 2010</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47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6"/>
                <w:szCs w:val="16"/>
                <w:color w:val="auto"/>
              </w:rPr>
              <w:t>Fourth quarter</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10.69</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10.69</w:t>
            </w:r>
          </w:p>
        </w:tc>
        <w:tc>
          <w:tcPr>
            <w:tcW w:w="20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ind w:right="420"/>
              <w:spacing w:after="0"/>
              <w:rPr>
                <w:sz w:val="20"/>
                <w:szCs w:val="20"/>
                <w:color w:val="auto"/>
              </w:rPr>
            </w:pPr>
            <w:r>
              <w:rPr>
                <w:rFonts w:ascii="Arial" w:cs="Arial" w:eastAsia="Arial" w:hAnsi="Arial"/>
                <w:sz w:val="16"/>
                <w:szCs w:val="16"/>
                <w:color w:val="auto"/>
              </w:rPr>
              <w:t>9.17</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5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(14)</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0.26</w:t>
            </w:r>
          </w:p>
        </w:tc>
        <w:tc>
          <w:tcPr>
            <w:tcW w:w="0" w:type="dxa"/>
            <w:vAlign w:val="bottom"/>
          </w:tcPr>
          <w:p>
            <w:pPr>
              <w:spacing w:after="0"/>
              <w:rPr>
                <w:sz w:val="1"/>
                <w:szCs w:val="1"/>
                <w:color w:val="auto"/>
              </w:rPr>
            </w:pPr>
          </w:p>
        </w:tc>
      </w:tr>
      <w:tr>
        <w:trPr>
          <w:trHeight w:val="264"/>
        </w:trPr>
        <w:tc>
          <w:tcPr>
            <w:tcW w:w="4740" w:type="dxa"/>
            <w:vAlign w:val="bottom"/>
            <w:gridSpan w:val="2"/>
          </w:tcPr>
          <w:p>
            <w:pPr>
              <w:spacing w:after="0"/>
              <w:rPr>
                <w:sz w:val="20"/>
                <w:szCs w:val="20"/>
                <w:color w:val="auto"/>
              </w:rPr>
            </w:pPr>
            <w:r>
              <w:rPr>
                <w:rFonts w:ascii="Arial" w:cs="Arial" w:eastAsia="Arial" w:hAnsi="Arial"/>
                <w:sz w:val="16"/>
                <w:szCs w:val="16"/>
                <w:color w:val="auto"/>
              </w:rPr>
              <w:t>Third quarter</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6"/>
                <w:szCs w:val="16"/>
                <w:color w:val="auto"/>
              </w:rPr>
              <w:t>10.94</w:t>
            </w: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11.84</w:t>
            </w:r>
          </w:p>
        </w:tc>
        <w:tc>
          <w:tcPr>
            <w:tcW w:w="1260" w:type="dxa"/>
            <w:vAlign w:val="bottom"/>
            <w:gridSpan w:val="3"/>
          </w:tcPr>
          <w:p>
            <w:pPr>
              <w:jc w:val="right"/>
              <w:ind w:right="420"/>
              <w:spacing w:after="0"/>
              <w:rPr>
                <w:sz w:val="20"/>
                <w:szCs w:val="20"/>
                <w:color w:val="auto"/>
              </w:rPr>
            </w:pPr>
            <w:r>
              <w:rPr>
                <w:rFonts w:ascii="Arial" w:cs="Arial" w:eastAsia="Arial" w:hAnsi="Arial"/>
                <w:sz w:val="16"/>
                <w:szCs w:val="16"/>
                <w:color w:val="auto"/>
              </w:rPr>
              <w:t>9.02</w:t>
            </w:r>
          </w:p>
        </w:tc>
        <w:tc>
          <w:tcPr>
            <w:tcW w:w="660" w:type="dxa"/>
            <w:vAlign w:val="bottom"/>
          </w:tcPr>
          <w:p>
            <w:pPr>
              <w:jc w:val="right"/>
              <w:spacing w:after="0"/>
              <w:rPr>
                <w:sz w:val="20"/>
                <w:szCs w:val="20"/>
                <w:color w:val="auto"/>
              </w:rPr>
            </w:pPr>
            <w:r>
              <w:rPr>
                <w:rFonts w:ascii="Arial" w:cs="Arial" w:eastAsia="Arial" w:hAnsi="Arial"/>
                <w:sz w:val="16"/>
                <w:szCs w:val="16"/>
                <w:color w:val="auto"/>
              </w:rPr>
              <w:t>8</w:t>
            </w:r>
          </w:p>
        </w:tc>
        <w:tc>
          <w:tcPr>
            <w:tcW w:w="540" w:type="dxa"/>
            <w:vAlign w:val="bottom"/>
          </w:tcPr>
          <w:p>
            <w:pPr>
              <w:spacing w:after="0"/>
              <w:rPr>
                <w:sz w:val="22"/>
                <w:szCs w:val="22"/>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(18)</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ind w:left="280"/>
              <w:spacing w:after="0"/>
              <w:rPr>
                <w:sz w:val="20"/>
                <w:szCs w:val="20"/>
                <w:color w:val="auto"/>
              </w:rPr>
            </w:pPr>
            <w:r>
              <w:rPr>
                <w:rFonts w:ascii="Arial" w:cs="Arial" w:eastAsia="Arial" w:hAnsi="Arial"/>
                <w:sz w:val="16"/>
                <w:szCs w:val="16"/>
                <w:color w:val="auto"/>
              </w:rPr>
              <w:t>0.26</w:t>
            </w: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47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6"/>
                <w:szCs w:val="16"/>
                <w:color w:val="auto"/>
              </w:rPr>
              <w:t>Second quarter</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11.07</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10.77</w:t>
            </w:r>
          </w:p>
        </w:tc>
        <w:tc>
          <w:tcPr>
            <w:tcW w:w="20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ind w:right="420"/>
              <w:spacing w:after="0"/>
              <w:rPr>
                <w:sz w:val="20"/>
                <w:szCs w:val="20"/>
                <w:color w:val="auto"/>
              </w:rPr>
            </w:pPr>
            <w:r>
              <w:rPr>
                <w:rFonts w:ascii="Arial" w:cs="Arial" w:eastAsia="Arial" w:hAnsi="Arial"/>
                <w:sz w:val="16"/>
                <w:szCs w:val="16"/>
                <w:color w:val="auto"/>
              </w:rPr>
              <w:t>8.88</w:t>
            </w: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(3)</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(20)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0.26</w:t>
            </w:r>
          </w:p>
        </w:tc>
        <w:tc>
          <w:tcPr>
            <w:tcW w:w="0" w:type="dxa"/>
            <w:vAlign w:val="bottom"/>
          </w:tcPr>
          <w:p>
            <w:pPr>
              <w:spacing w:after="0"/>
              <w:rPr>
                <w:sz w:val="1"/>
                <w:szCs w:val="1"/>
                <w:color w:val="auto"/>
              </w:rPr>
            </w:pPr>
          </w:p>
        </w:tc>
      </w:tr>
      <w:tr>
        <w:trPr>
          <w:trHeight w:val="264"/>
        </w:trPr>
        <w:tc>
          <w:tcPr>
            <w:tcW w:w="4740" w:type="dxa"/>
            <w:vAlign w:val="bottom"/>
            <w:gridSpan w:val="2"/>
          </w:tcPr>
          <w:p>
            <w:pPr>
              <w:spacing w:after="0"/>
              <w:rPr>
                <w:sz w:val="20"/>
                <w:szCs w:val="20"/>
                <w:color w:val="auto"/>
              </w:rPr>
            </w:pPr>
            <w:r>
              <w:rPr>
                <w:rFonts w:ascii="Arial" w:cs="Arial" w:eastAsia="Arial" w:hAnsi="Arial"/>
                <w:sz w:val="16"/>
                <w:szCs w:val="16"/>
                <w:color w:val="auto"/>
              </w:rPr>
              <w:t>First quarter</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6"/>
                <w:szCs w:val="16"/>
                <w:color w:val="auto"/>
              </w:rPr>
              <w:t>11.86</w:t>
            </w:r>
          </w:p>
        </w:tc>
        <w:tc>
          <w:tcPr>
            <w:tcW w:w="620" w:type="dxa"/>
            <w:vAlign w:val="bottom"/>
          </w:tcPr>
          <w:p>
            <w:pPr>
              <w:jc w:val="right"/>
              <w:spacing w:after="0"/>
              <w:rPr>
                <w:sz w:val="20"/>
                <w:szCs w:val="20"/>
                <w:color w:val="auto"/>
              </w:rPr>
            </w:pPr>
            <w:r>
              <w:rPr>
                <w:rFonts w:ascii="Arial" w:cs="Arial" w:eastAsia="Arial" w:hAnsi="Arial"/>
                <w:sz w:val="16"/>
                <w:szCs w:val="16"/>
                <w:color w:val="auto"/>
              </w:rPr>
              <w:t>9.15</w:t>
            </w:r>
          </w:p>
        </w:tc>
        <w:tc>
          <w:tcPr>
            <w:tcW w:w="200" w:type="dxa"/>
            <w:vAlign w:val="bottom"/>
          </w:tcPr>
          <w:p>
            <w:pPr>
              <w:spacing w:after="0"/>
              <w:rPr>
                <w:sz w:val="22"/>
                <w:szCs w:val="22"/>
                <w:color w:val="auto"/>
              </w:rPr>
            </w:pPr>
          </w:p>
        </w:tc>
        <w:tc>
          <w:tcPr>
            <w:tcW w:w="1260" w:type="dxa"/>
            <w:vAlign w:val="bottom"/>
            <w:gridSpan w:val="3"/>
          </w:tcPr>
          <w:p>
            <w:pPr>
              <w:jc w:val="right"/>
              <w:ind w:right="420"/>
              <w:spacing w:after="0"/>
              <w:rPr>
                <w:sz w:val="20"/>
                <w:szCs w:val="20"/>
                <w:color w:val="auto"/>
              </w:rPr>
            </w:pPr>
            <w:r>
              <w:rPr>
                <w:rFonts w:ascii="Arial" w:cs="Arial" w:eastAsia="Arial" w:hAnsi="Arial"/>
                <w:sz w:val="16"/>
                <w:szCs w:val="16"/>
                <w:color w:val="auto"/>
              </w:rPr>
              <w:t>7.63</w:t>
            </w:r>
          </w:p>
        </w:tc>
        <w:tc>
          <w:tcPr>
            <w:tcW w:w="1200" w:type="dxa"/>
            <w:vAlign w:val="bottom"/>
            <w:gridSpan w:val="2"/>
          </w:tcPr>
          <w:p>
            <w:pPr>
              <w:jc w:val="right"/>
              <w:ind w:right="480"/>
              <w:spacing w:after="0"/>
              <w:rPr>
                <w:sz w:val="20"/>
                <w:szCs w:val="20"/>
                <w:color w:val="auto"/>
              </w:rPr>
            </w:pPr>
            <w:r>
              <w:rPr>
                <w:rFonts w:ascii="Arial" w:cs="Arial" w:eastAsia="Arial" w:hAnsi="Arial"/>
                <w:sz w:val="16"/>
                <w:szCs w:val="16"/>
                <w:color w:val="auto"/>
              </w:rPr>
              <w:t>(23)</w:t>
            </w: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(36)</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ind w:left="280"/>
              <w:spacing w:after="0"/>
              <w:rPr>
                <w:sz w:val="20"/>
                <w:szCs w:val="20"/>
                <w:color w:val="auto"/>
              </w:rPr>
            </w:pPr>
            <w:r>
              <w:rPr>
                <w:rFonts w:ascii="Arial" w:cs="Arial" w:eastAsia="Arial" w:hAnsi="Arial"/>
                <w:sz w:val="16"/>
                <w:szCs w:val="16"/>
                <w:color w:val="auto"/>
              </w:rPr>
              <w:t>0.25</w:t>
            </w: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47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Fiscal Year Ended September 30, 2009</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740" w:type="dxa"/>
            <w:vAlign w:val="bottom"/>
            <w:gridSpan w:val="2"/>
          </w:tcPr>
          <w:p>
            <w:pPr>
              <w:spacing w:after="0"/>
              <w:rPr>
                <w:sz w:val="20"/>
                <w:szCs w:val="20"/>
                <w:color w:val="auto"/>
              </w:rPr>
            </w:pPr>
            <w:r>
              <w:rPr>
                <w:rFonts w:ascii="Arial" w:cs="Arial" w:eastAsia="Arial" w:hAnsi="Arial"/>
                <w:sz w:val="16"/>
                <w:szCs w:val="16"/>
                <w:color w:val="auto"/>
              </w:rPr>
              <w:t>Fourth quarter</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6"/>
                <w:szCs w:val="16"/>
                <w:color w:val="auto"/>
              </w:rPr>
              <w:t>11.85</w:t>
            </w:r>
          </w:p>
        </w:tc>
        <w:tc>
          <w:tcPr>
            <w:tcW w:w="620" w:type="dxa"/>
            <w:vAlign w:val="bottom"/>
          </w:tcPr>
          <w:p>
            <w:pPr>
              <w:jc w:val="right"/>
              <w:spacing w:after="0"/>
              <w:rPr>
                <w:sz w:val="20"/>
                <w:szCs w:val="20"/>
                <w:color w:val="auto"/>
              </w:rPr>
            </w:pPr>
            <w:r>
              <w:rPr>
                <w:rFonts w:ascii="Arial" w:cs="Arial" w:eastAsia="Arial" w:hAnsi="Arial"/>
                <w:sz w:val="16"/>
                <w:szCs w:val="16"/>
                <w:color w:val="auto"/>
              </w:rPr>
              <w:t>9.06</w:t>
            </w:r>
          </w:p>
        </w:tc>
        <w:tc>
          <w:tcPr>
            <w:tcW w:w="200" w:type="dxa"/>
            <w:vAlign w:val="bottom"/>
          </w:tcPr>
          <w:p>
            <w:pPr>
              <w:spacing w:after="0"/>
              <w:rPr>
                <w:sz w:val="22"/>
                <w:szCs w:val="22"/>
                <w:color w:val="auto"/>
              </w:rPr>
            </w:pPr>
          </w:p>
        </w:tc>
        <w:tc>
          <w:tcPr>
            <w:tcW w:w="1260" w:type="dxa"/>
            <w:vAlign w:val="bottom"/>
            <w:gridSpan w:val="3"/>
          </w:tcPr>
          <w:p>
            <w:pPr>
              <w:jc w:val="right"/>
              <w:ind w:right="420"/>
              <w:spacing w:after="0"/>
              <w:rPr>
                <w:sz w:val="20"/>
                <w:szCs w:val="20"/>
                <w:color w:val="auto"/>
              </w:rPr>
            </w:pPr>
            <w:r>
              <w:rPr>
                <w:rFonts w:ascii="Arial" w:cs="Arial" w:eastAsia="Arial" w:hAnsi="Arial"/>
                <w:sz w:val="16"/>
                <w:szCs w:val="16"/>
                <w:color w:val="auto"/>
              </w:rPr>
              <w:t>6.28</w:t>
            </w:r>
          </w:p>
        </w:tc>
        <w:tc>
          <w:tcPr>
            <w:tcW w:w="1200" w:type="dxa"/>
            <w:vAlign w:val="bottom"/>
            <w:gridSpan w:val="2"/>
          </w:tcPr>
          <w:p>
            <w:pPr>
              <w:jc w:val="right"/>
              <w:ind w:right="480"/>
              <w:spacing w:after="0"/>
              <w:rPr>
                <w:sz w:val="20"/>
                <w:szCs w:val="20"/>
                <w:color w:val="auto"/>
              </w:rPr>
            </w:pPr>
            <w:r>
              <w:rPr>
                <w:rFonts w:ascii="Arial" w:cs="Arial" w:eastAsia="Arial" w:hAnsi="Arial"/>
                <w:sz w:val="16"/>
                <w:szCs w:val="16"/>
                <w:color w:val="auto"/>
              </w:rPr>
              <w:t>(24)</w:t>
            </w: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(47)</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ind w:left="280"/>
              <w:spacing w:after="0"/>
              <w:rPr>
                <w:sz w:val="20"/>
                <w:szCs w:val="20"/>
                <w:color w:val="auto"/>
              </w:rPr>
            </w:pPr>
            <w:r>
              <w:rPr>
                <w:rFonts w:ascii="Arial" w:cs="Arial" w:eastAsia="Arial" w:hAnsi="Arial"/>
                <w:sz w:val="16"/>
                <w:szCs w:val="16"/>
                <w:color w:val="auto"/>
              </w:rPr>
              <w:t>0.24</w:t>
            </w: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47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6"/>
                <w:szCs w:val="16"/>
                <w:color w:val="auto"/>
              </w:rPr>
              <w:t>Third quarter</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11.72</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7.65</w:t>
            </w:r>
          </w:p>
        </w:tc>
        <w:tc>
          <w:tcPr>
            <w:tcW w:w="20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ind w:right="420"/>
              <w:spacing w:after="0"/>
              <w:rPr>
                <w:sz w:val="20"/>
                <w:szCs w:val="20"/>
                <w:color w:val="auto"/>
              </w:rPr>
            </w:pPr>
            <w:r>
              <w:rPr>
                <w:rFonts w:ascii="Arial" w:cs="Arial" w:eastAsia="Arial" w:hAnsi="Arial"/>
                <w:sz w:val="16"/>
                <w:szCs w:val="16"/>
                <w:color w:val="auto"/>
              </w:rPr>
              <w:t>3.85</w:t>
            </w: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(35)</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(67)</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0.24</w:t>
            </w:r>
          </w:p>
        </w:tc>
        <w:tc>
          <w:tcPr>
            <w:tcW w:w="0" w:type="dxa"/>
            <w:vAlign w:val="bottom"/>
          </w:tcPr>
          <w:p>
            <w:pPr>
              <w:spacing w:after="0"/>
              <w:rPr>
                <w:sz w:val="1"/>
                <w:szCs w:val="1"/>
                <w:color w:val="auto"/>
              </w:rPr>
            </w:pPr>
          </w:p>
        </w:tc>
      </w:tr>
      <w:tr>
        <w:trPr>
          <w:trHeight w:val="264"/>
        </w:trPr>
        <w:tc>
          <w:tcPr>
            <w:tcW w:w="4740" w:type="dxa"/>
            <w:vAlign w:val="bottom"/>
            <w:gridSpan w:val="2"/>
          </w:tcPr>
          <w:p>
            <w:pPr>
              <w:spacing w:after="0"/>
              <w:rPr>
                <w:sz w:val="20"/>
                <w:szCs w:val="20"/>
                <w:color w:val="auto"/>
              </w:rPr>
            </w:pPr>
            <w:r>
              <w:rPr>
                <w:rFonts w:ascii="Arial" w:cs="Arial" w:eastAsia="Arial" w:hAnsi="Arial"/>
                <w:sz w:val="16"/>
                <w:szCs w:val="16"/>
                <w:color w:val="auto"/>
              </w:rPr>
              <w:t>Second quarter</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6"/>
                <w:szCs w:val="16"/>
                <w:color w:val="auto"/>
              </w:rPr>
              <w:t>12.00</w:t>
            </w:r>
          </w:p>
        </w:tc>
        <w:tc>
          <w:tcPr>
            <w:tcW w:w="620" w:type="dxa"/>
            <w:vAlign w:val="bottom"/>
          </w:tcPr>
          <w:p>
            <w:pPr>
              <w:jc w:val="right"/>
              <w:spacing w:after="0"/>
              <w:rPr>
                <w:sz w:val="20"/>
                <w:szCs w:val="20"/>
                <w:color w:val="auto"/>
              </w:rPr>
            </w:pPr>
            <w:r>
              <w:rPr>
                <w:rFonts w:ascii="Arial" w:cs="Arial" w:eastAsia="Arial" w:hAnsi="Arial"/>
                <w:sz w:val="16"/>
                <w:szCs w:val="16"/>
                <w:color w:val="auto"/>
              </w:rPr>
              <w:t>4.05</w:t>
            </w:r>
          </w:p>
        </w:tc>
        <w:tc>
          <w:tcPr>
            <w:tcW w:w="200" w:type="dxa"/>
            <w:vAlign w:val="bottom"/>
          </w:tcPr>
          <w:p>
            <w:pPr>
              <w:spacing w:after="0"/>
              <w:rPr>
                <w:sz w:val="22"/>
                <w:szCs w:val="22"/>
                <w:color w:val="auto"/>
              </w:rPr>
            </w:pPr>
          </w:p>
        </w:tc>
        <w:tc>
          <w:tcPr>
            <w:tcW w:w="1260" w:type="dxa"/>
            <w:vAlign w:val="bottom"/>
            <w:gridSpan w:val="3"/>
          </w:tcPr>
          <w:p>
            <w:pPr>
              <w:jc w:val="right"/>
              <w:ind w:right="420"/>
              <w:spacing w:after="0"/>
              <w:rPr>
                <w:sz w:val="20"/>
                <w:szCs w:val="20"/>
                <w:color w:val="auto"/>
              </w:rPr>
            </w:pPr>
            <w:r>
              <w:rPr>
                <w:rFonts w:ascii="Arial" w:cs="Arial" w:eastAsia="Arial" w:hAnsi="Arial"/>
                <w:sz w:val="16"/>
                <w:szCs w:val="16"/>
                <w:color w:val="auto"/>
              </w:rPr>
              <w:t>2.64</w:t>
            </w:r>
          </w:p>
        </w:tc>
        <w:tc>
          <w:tcPr>
            <w:tcW w:w="1200" w:type="dxa"/>
            <w:vAlign w:val="bottom"/>
            <w:gridSpan w:val="2"/>
          </w:tcPr>
          <w:p>
            <w:pPr>
              <w:jc w:val="right"/>
              <w:ind w:right="480"/>
              <w:spacing w:after="0"/>
              <w:rPr>
                <w:sz w:val="20"/>
                <w:szCs w:val="20"/>
                <w:color w:val="auto"/>
              </w:rPr>
            </w:pPr>
            <w:r>
              <w:rPr>
                <w:rFonts w:ascii="Arial" w:cs="Arial" w:eastAsia="Arial" w:hAnsi="Arial"/>
                <w:sz w:val="16"/>
                <w:szCs w:val="16"/>
                <w:color w:val="auto"/>
              </w:rPr>
              <w:t>(66)</w:t>
            </w: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(78)</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ind w:left="280"/>
              <w:spacing w:after="0"/>
              <w:rPr>
                <w:sz w:val="20"/>
                <w:szCs w:val="20"/>
                <w:color w:val="auto"/>
              </w:rPr>
            </w:pPr>
            <w:r>
              <w:rPr>
                <w:rFonts w:ascii="Arial" w:cs="Arial" w:eastAsia="Arial" w:hAnsi="Arial"/>
                <w:sz w:val="16"/>
                <w:szCs w:val="16"/>
                <w:color w:val="auto"/>
              </w:rPr>
              <w:t>0.24</w:t>
            </w: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47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6"/>
                <w:szCs w:val="16"/>
                <w:color w:val="auto"/>
              </w:rPr>
              <w:t>First quarter</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10.24</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7.81</w:t>
            </w:r>
          </w:p>
        </w:tc>
        <w:tc>
          <w:tcPr>
            <w:tcW w:w="20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ind w:right="420"/>
              <w:spacing w:after="0"/>
              <w:rPr>
                <w:sz w:val="20"/>
                <w:szCs w:val="20"/>
                <w:color w:val="auto"/>
              </w:rPr>
            </w:pPr>
            <w:r>
              <w:rPr>
                <w:rFonts w:ascii="Arial" w:cs="Arial" w:eastAsia="Arial" w:hAnsi="Arial"/>
                <w:sz w:val="16"/>
                <w:szCs w:val="16"/>
                <w:color w:val="auto"/>
              </w:rPr>
              <w:t>2.35</w:t>
            </w: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(24)</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(77)</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0.24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9" w:lineRule="exact"/>
        <w:rPr>
          <w:sz w:val="20"/>
          <w:szCs w:val="20"/>
          <w:color w:val="auto"/>
        </w:rPr>
      </w:pPr>
    </w:p>
    <w:p>
      <w:pPr>
        <w:ind w:left="340" w:right="280" w:hanging="332"/>
        <w:spacing w:after="0" w:line="266" w:lineRule="auto"/>
        <w:tabs>
          <w:tab w:leader="none" w:pos="3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NAV per share is determined as of the last day in the relevant quarter and therefore may not reflect the NAV per share on the date of the high and low sales prices. The NAVs shown are based on outstanding shares at the end of each period.</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Calculated as of the respective high or low closing sales price divided by the quarter end NAV.</w:t>
      </w:r>
    </w:p>
    <w:p>
      <w:pPr>
        <w:spacing w:after="0" w:line="18" w:lineRule="exact"/>
        <w:rPr>
          <w:rFonts w:ascii="Arial" w:cs="Arial" w:eastAsia="Arial" w:hAnsi="Arial"/>
          <w:sz w:val="16"/>
          <w:szCs w:val="16"/>
          <w:color w:val="auto"/>
        </w:rPr>
      </w:pPr>
    </w:p>
    <w:p>
      <w:pPr>
        <w:ind w:left="340" w:hanging="332"/>
        <w:spacing w:after="0"/>
        <w:tabs>
          <w:tab w:leader="none" w:pos="3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Includes distribution of $0.28 per share payable January 2, 2014 to stockholders of record as of December 20, 2013.</w:t>
      </w:r>
    </w:p>
    <w:p>
      <w:pPr>
        <w:spacing w:after="0" w:line="226"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Shares of BDCs may trade at a market price both above and below the NAV that is attributable to those shares. Our shares have traded above and below our NAV. Our shares closed on the NASDAQ Global Select Market at $11.28 and $10.61 as of September 30, 2013 and 2012, respectively. Our NAV per share was $10.49 and $10.22 as of September 30, 2013 and 2012, respectively.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our NAV in the future. As of September 30, 2013, we had 11 stockholders of record.</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SALES OF COMMON STOCK BELOW NET ASSET VALUE</w:t>
      </w:r>
    </w:p>
    <w:p>
      <w:pPr>
        <w:spacing w:after="0" w:line="22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stockholders have in the past and may again approve our ability to sell shares of our common stock below our then current NAV per share in one or more public offerings of our common stock. In making a determination that an offering below NAV per share is in our and our stockholders’ best interests, our board of directors, a majority of our directors who have no financial interest in the sale and a majority of our independent directors considered a variety of factors, including:</w:t>
      </w:r>
    </w:p>
    <w:p>
      <w:pPr>
        <w:spacing w:after="0" w:line="92" w:lineRule="exact"/>
        <w:rPr>
          <w:sz w:val="20"/>
          <w:szCs w:val="20"/>
          <w:color w:val="auto"/>
        </w:rPr>
      </w:pPr>
    </w:p>
    <w:p>
      <w:pPr>
        <w:ind w:left="900" w:right="380" w:hanging="325"/>
        <w:spacing w:after="0" w:line="277"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effect that an offering below NAV per share would have on our stockholders, including the potential dilution they would experience as a result of the offering;</w:t>
      </w:r>
    </w:p>
    <w:p>
      <w:pPr>
        <w:spacing w:after="0" w:line="75"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amount per share by which the offering price per share and the net proceeds per share are less than the most recently determined NAV per share;</w:t>
      </w:r>
    </w:p>
    <w:p>
      <w:pPr>
        <w:spacing w:after="0" w:line="75"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relationship of recent market prices of our common stock to NAV per share and the potential impact of the offering on the market price per share of our common stock;</w:t>
      </w:r>
    </w:p>
    <w:p>
      <w:pPr>
        <w:spacing w:after="0" w:line="75"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Whether the estimated offering price would closely approximate the market value of our shares, less distributing commissions or discounts, and would not be below current market price;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potential market impact of being able to raise capital in the current financial market;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nature of any new investors anticipated to acquire shares in the offering;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anticipated rate of return on and quality, type and availability of investments;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leverage available to us and our SBIC Funds, both before and after the offering and other borrowing terms;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potential investment opportunities available relative to the potential dilutive effect of additional capital at the time of the offering.</w:t>
      </w:r>
    </w:p>
    <w:p>
      <w:pPr>
        <w:spacing w:after="0" w:line="225"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Our board of directors will also consider the fact that a sale of shares of common stock at a discount will benefit our Investment Adviser, as the Investment Adviser will earn additional investment management fees on the proceeds of such offerings, as it would from the offering of any other securities of PennantPark Investment or from the offering of common stock at premium to NAV per share.</w:t>
      </w:r>
    </w:p>
    <w:p>
      <w:pPr>
        <w:spacing w:after="0" w:line="181"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Sales by us of our common stock at a discount from NAV pose potential risks for our existing stockholders whether or not they participate in the offering, as well as for new investors who participate in the offering.</w:t>
      </w:r>
    </w:p>
    <w:p>
      <w:pPr>
        <w:spacing w:after="0" w:line="17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will not seek to sell shares under a prospectus supplement to the registration statement, or a post-effective amendment to the registration statement, of which this prospectus forms a part (the “current registration statement”) if the cumulative dilution to our NAV per share arising from offerings from the effective date of the current registration statement through and including any follow-on offering would exceed 15% based on the anticipated pricing of such follow-on offering. This limit would be measured separately for each offering pursuant to the current registration statement by calculating the percentage dilution or accretion to aggregate NAV from that offering and then summing the anticipated percentage dilution from each subsequent offering. For example, if our most recently determined NAV per share at the time of the first offering is $10.00, and we have 100 million shares outstanding, the sale of an additional 25 million shares at net proceeds to us of $5.00 per share (a 50% discount) would produce dilution of 10.0%. If we subsequently determined that our NAV per share increased to $11.00 on the then outstanding 125 million shares and contemplated an additional offering, we could, for example, propose to sell approximately 31.25 million additional shares at a price that would be expected to yield net proceeds to us of $8.25 per share, resulting in incremental dilution of 5.0%, before we would reach the aggregate 15% limit. If we file a new post-effective amendment, the threshold would reset.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following three headings and accompanying tables explain and provide hypothetical examples assuming proceeds are temporarily invested in cash equivalents on the impact of an offering at a price less than NAV per share on three different sets of investors:</w:t>
      </w:r>
    </w:p>
    <w:p>
      <w:pPr>
        <w:spacing w:after="0" w:line="76" w:lineRule="exact"/>
        <w:rPr>
          <w:sz w:val="20"/>
          <w:szCs w:val="20"/>
          <w:color w:val="auto"/>
        </w:rPr>
      </w:pPr>
    </w:p>
    <w:p>
      <w:pPr>
        <w:ind w:left="660" w:hanging="314"/>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existing stockholders who do not purchase any shares in the offering;</w:t>
      </w:r>
    </w:p>
    <w:p>
      <w:pPr>
        <w:spacing w:after="0" w:line="130" w:lineRule="exact"/>
        <w:rPr>
          <w:rFonts w:ascii="Arial" w:cs="Arial" w:eastAsia="Arial" w:hAnsi="Arial"/>
          <w:sz w:val="18"/>
          <w:szCs w:val="18"/>
          <w:color w:val="auto"/>
        </w:rPr>
      </w:pPr>
    </w:p>
    <w:p>
      <w:pPr>
        <w:ind w:left="660" w:hanging="314"/>
        <w:spacing w:after="0"/>
        <w:tabs>
          <w:tab w:leader="none" w:pos="6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existing stockholders who purchase a relatively small amount of shares in the offering or a relatively large amount of shares in the offering; and</w:t>
      </w:r>
    </w:p>
    <w:p>
      <w:pPr>
        <w:spacing w:after="0" w:line="142" w:lineRule="exact"/>
        <w:rPr>
          <w:rFonts w:ascii="Arial" w:cs="Arial" w:eastAsia="Arial" w:hAnsi="Arial"/>
          <w:sz w:val="17"/>
          <w:szCs w:val="17"/>
          <w:color w:val="auto"/>
        </w:rPr>
      </w:pPr>
    </w:p>
    <w:p>
      <w:pPr>
        <w:ind w:left="660" w:hanging="314"/>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new investors who become stockholders by purchasing shares in the offering.</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Existing Stockholders who do not Participate in the Offering</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existing stockholders who do not participate, or who are not given the opportunity to participate, in an offering below NAV per share or who do not buy additional shares in the secondary market at the same or lower price we obtain in the offering (after underwriting discounts and commissions) face the greatest potential risks. All stockholders will experience an immediate decrease (often called dilution) in the NAV of the shares they hold. Stockholders who do not participate in the offering will also experience a disproportionately greater decrease in their participation in our earnings and assets and their voting power than stockholders who do participate in the offering. All stockholders may also experience a decline in the market price of their shares, which often reflects, to some degree, announced or potential increases and decreases in NAV per share. This decrease could be more pronounced as the size of the offering and level of discounts increase.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following examples illustrate the level of NAV dilution that would be experienced by a nonparticipating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8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examples assume that Company XYZ has 1,000,000 shares of common stock outstanding, $15.0 million in total assets and $5.0 million in total liabilities. The current NAV and NAV per share are thus $10.0 million and $10.00, respectively. The table below illustrates the dilutive effect on nonparticipating Stockholder A of (1) an offering of 50,000 shares (5% of the outstanding shares) at $9.50 per share after offering expenses and commissions (a 5% discount from NAV); (2) an offering of 100,000 shares (10% of the outstanding shares) at $9.00 per share after offering expenses and commissions (a 10% discount from NAV); and (3) an offering of 250,000 shares (25% of the outstanding shares) at $7.50 per share after offering expenses and commissions (a 25% discount from NAV).</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3"/>
          </w:tcPr>
          <w:p>
            <w:pPr>
              <w:jc w:val="center"/>
              <w:ind w:left="388"/>
              <w:spacing w:after="0"/>
              <w:rPr>
                <w:sz w:val="20"/>
                <w:szCs w:val="20"/>
                <w:color w:val="auto"/>
              </w:rPr>
            </w:pPr>
            <w:r>
              <w:rPr>
                <w:rFonts w:ascii="Arial" w:cs="Arial" w:eastAsia="Arial" w:hAnsi="Arial"/>
                <w:sz w:val="14"/>
                <w:szCs w:val="14"/>
                <w:b w:val="1"/>
                <w:bCs w:val="1"/>
                <w:color w:val="auto"/>
                <w:w w:val="95"/>
              </w:rPr>
              <w:t>Example 1</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3"/>
          </w:tcPr>
          <w:p>
            <w:pPr>
              <w:jc w:val="center"/>
              <w:ind w:left="388"/>
              <w:spacing w:after="0"/>
              <w:rPr>
                <w:sz w:val="20"/>
                <w:szCs w:val="20"/>
                <w:color w:val="auto"/>
              </w:rPr>
            </w:pPr>
            <w:r>
              <w:rPr>
                <w:rFonts w:ascii="Arial" w:cs="Arial" w:eastAsia="Arial" w:hAnsi="Arial"/>
                <w:sz w:val="14"/>
                <w:szCs w:val="14"/>
                <w:b w:val="1"/>
                <w:bCs w:val="1"/>
                <w:color w:val="auto"/>
                <w:w w:val="95"/>
              </w:rPr>
              <w:t>Example 2</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3"/>
          </w:tcPr>
          <w:p>
            <w:pPr>
              <w:jc w:val="center"/>
              <w:ind w:left="388"/>
              <w:spacing w:after="0"/>
              <w:rPr>
                <w:sz w:val="20"/>
                <w:szCs w:val="20"/>
                <w:color w:val="auto"/>
              </w:rPr>
            </w:pPr>
            <w:r>
              <w:rPr>
                <w:rFonts w:ascii="Arial" w:cs="Arial" w:eastAsia="Arial" w:hAnsi="Arial"/>
                <w:sz w:val="14"/>
                <w:szCs w:val="14"/>
                <w:b w:val="1"/>
                <w:bCs w:val="1"/>
                <w:color w:val="auto"/>
                <w:w w:val="95"/>
              </w:rPr>
              <w:t>Example 3</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gridSpan w:val="5"/>
          </w:tcPr>
          <w:p>
            <w:pPr>
              <w:jc w:val="center"/>
              <w:ind w:right="400"/>
              <w:spacing w:after="0" w:line="149" w:lineRule="exact"/>
              <w:rPr>
                <w:sz w:val="20"/>
                <w:szCs w:val="20"/>
                <w:color w:val="auto"/>
              </w:rPr>
            </w:pPr>
            <w:r>
              <w:rPr>
                <w:rFonts w:ascii="Arial" w:cs="Arial" w:eastAsia="Arial" w:hAnsi="Arial"/>
                <w:sz w:val="14"/>
                <w:szCs w:val="14"/>
                <w:b w:val="1"/>
                <w:bCs w:val="1"/>
                <w:color w:val="auto"/>
                <w:w w:val="99"/>
              </w:rPr>
              <w:t>5% Offering</w:t>
            </w:r>
          </w:p>
        </w:tc>
        <w:tc>
          <w:tcPr>
            <w:tcW w:w="100" w:type="dxa"/>
            <w:vAlign w:val="bottom"/>
          </w:tcPr>
          <w:p>
            <w:pPr>
              <w:spacing w:after="0"/>
              <w:rPr>
                <w:sz w:val="12"/>
                <w:szCs w:val="12"/>
                <w:color w:val="auto"/>
              </w:rPr>
            </w:pPr>
          </w:p>
        </w:tc>
        <w:tc>
          <w:tcPr>
            <w:tcW w:w="2020" w:type="dxa"/>
            <w:vAlign w:val="bottom"/>
            <w:gridSpan w:val="5"/>
          </w:tcPr>
          <w:p>
            <w:pPr>
              <w:jc w:val="center"/>
              <w:ind w:right="400"/>
              <w:spacing w:after="0" w:line="149" w:lineRule="exact"/>
              <w:rPr>
                <w:sz w:val="20"/>
                <w:szCs w:val="20"/>
                <w:color w:val="auto"/>
              </w:rPr>
            </w:pPr>
            <w:r>
              <w:rPr>
                <w:rFonts w:ascii="Arial" w:cs="Arial" w:eastAsia="Arial" w:hAnsi="Arial"/>
                <w:sz w:val="14"/>
                <w:szCs w:val="14"/>
                <w:b w:val="1"/>
                <w:bCs w:val="1"/>
                <w:color w:val="auto"/>
                <w:w w:val="99"/>
              </w:rPr>
              <w:t>10% Offering</w:t>
            </w:r>
          </w:p>
        </w:tc>
        <w:tc>
          <w:tcPr>
            <w:tcW w:w="100" w:type="dxa"/>
            <w:vAlign w:val="bottom"/>
          </w:tcPr>
          <w:p>
            <w:pPr>
              <w:spacing w:after="0"/>
              <w:rPr>
                <w:sz w:val="12"/>
                <w:szCs w:val="12"/>
                <w:color w:val="auto"/>
              </w:rPr>
            </w:pPr>
          </w:p>
        </w:tc>
        <w:tc>
          <w:tcPr>
            <w:tcW w:w="180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99"/>
              </w:rPr>
              <w:t>25% Offering</w:t>
            </w:r>
          </w:p>
        </w:tc>
        <w:tc>
          <w:tcPr>
            <w:tcW w:w="0" w:type="dxa"/>
            <w:vAlign w:val="bottom"/>
          </w:tcPr>
          <w:p>
            <w:pPr>
              <w:spacing w:after="0"/>
              <w:rPr>
                <w:sz w:val="1"/>
                <w:szCs w:val="1"/>
                <w:color w:val="auto"/>
              </w:rPr>
            </w:pPr>
          </w:p>
        </w:tc>
      </w:tr>
      <w:tr>
        <w:trPr>
          <w:trHeight w:val="171"/>
        </w:trPr>
        <w:tc>
          <w:tcPr>
            <w:tcW w:w="3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Prior to Sale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3"/>
              </w:rPr>
              <w:t>at 5% Discount</w:t>
            </w:r>
          </w:p>
        </w:tc>
        <w:tc>
          <w:tcPr>
            <w:tcW w:w="100" w:type="dxa"/>
            <w:vAlign w:val="bottom"/>
          </w:tcPr>
          <w:p>
            <w:pPr>
              <w:spacing w:after="0"/>
              <w:rPr>
                <w:sz w:val="14"/>
                <w:szCs w:val="14"/>
                <w:color w:val="auto"/>
              </w:rPr>
            </w:pPr>
          </w:p>
        </w:tc>
        <w:tc>
          <w:tcPr>
            <w:tcW w:w="202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4"/>
              </w:rPr>
              <w:t>at 10% Discount</w:t>
            </w:r>
          </w:p>
        </w:tc>
        <w:tc>
          <w:tcPr>
            <w:tcW w:w="100" w:type="dxa"/>
            <w:vAlign w:val="bottom"/>
          </w:tcPr>
          <w:p>
            <w:pPr>
              <w:spacing w:after="0"/>
              <w:rPr>
                <w:sz w:val="14"/>
                <w:szCs w:val="14"/>
                <w:color w:val="auto"/>
              </w:rPr>
            </w:pPr>
          </w:p>
        </w:tc>
        <w:tc>
          <w:tcPr>
            <w:tcW w:w="180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4"/>
              </w:rPr>
              <w:t>at 25% Discount</w:t>
            </w:r>
          </w:p>
        </w:tc>
        <w:tc>
          <w:tcPr>
            <w:tcW w:w="0" w:type="dxa"/>
            <w:vAlign w:val="bottom"/>
          </w:tcPr>
          <w:p>
            <w:pPr>
              <w:spacing w:after="0"/>
              <w:rPr>
                <w:sz w:val="1"/>
                <w:szCs w:val="1"/>
                <w:color w:val="auto"/>
              </w:rPr>
            </w:pPr>
          </w:p>
        </w:tc>
      </w:tr>
      <w:tr>
        <w:trPr>
          <w:trHeight w:val="119"/>
        </w:trPr>
        <w:tc>
          <w:tcPr>
            <w:tcW w:w="3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3"/>
          </w:tcPr>
          <w:p>
            <w:pPr>
              <w:jc w:val="center"/>
              <w:ind w:right="460"/>
              <w:spacing w:after="0" w:line="119" w:lineRule="exact"/>
              <w:rPr>
                <w:sz w:val="20"/>
                <w:szCs w:val="20"/>
                <w:color w:val="auto"/>
              </w:rPr>
            </w:pPr>
            <w:r>
              <w:rPr>
                <w:rFonts w:ascii="Arial" w:cs="Arial" w:eastAsia="Arial" w:hAnsi="Arial"/>
                <w:sz w:val="13"/>
                <w:szCs w:val="13"/>
                <w:b w:val="1"/>
                <w:bCs w:val="1"/>
                <w:color w:val="auto"/>
              </w:rPr>
              <w:t>Following</w:t>
            </w:r>
          </w:p>
        </w:tc>
        <w:tc>
          <w:tcPr>
            <w:tcW w:w="560" w:type="dxa"/>
            <w:vAlign w:val="bottom"/>
            <w:tcBorders>
              <w:top w:val="single" w:sz="8" w:color="auto"/>
            </w:tcBorders>
          </w:tcPr>
          <w:p>
            <w:pPr>
              <w:jc w:val="right"/>
              <w:ind w:right="168"/>
              <w:spacing w:after="0" w:line="119" w:lineRule="exact"/>
              <w:rPr>
                <w:sz w:val="20"/>
                <w:szCs w:val="20"/>
                <w:color w:val="auto"/>
              </w:rPr>
            </w:pPr>
            <w:r>
              <w:rPr>
                <w:rFonts w:ascii="Arial" w:cs="Arial" w:eastAsia="Arial" w:hAnsi="Arial"/>
                <w:sz w:val="13"/>
                <w:szCs w:val="13"/>
                <w:b w:val="1"/>
                <w:bCs w:val="1"/>
                <w:color w:val="auto"/>
              </w:rPr>
              <w:t>%</w:t>
            </w:r>
          </w:p>
        </w:tc>
        <w:tc>
          <w:tcPr>
            <w:tcW w:w="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3"/>
          </w:tcPr>
          <w:p>
            <w:pPr>
              <w:jc w:val="center"/>
              <w:ind w:right="460"/>
              <w:spacing w:after="0" w:line="119" w:lineRule="exact"/>
              <w:rPr>
                <w:sz w:val="20"/>
                <w:szCs w:val="20"/>
                <w:color w:val="auto"/>
              </w:rPr>
            </w:pPr>
            <w:r>
              <w:rPr>
                <w:rFonts w:ascii="Arial" w:cs="Arial" w:eastAsia="Arial" w:hAnsi="Arial"/>
                <w:sz w:val="13"/>
                <w:szCs w:val="13"/>
                <w:b w:val="1"/>
                <w:bCs w:val="1"/>
                <w:color w:val="auto"/>
              </w:rPr>
              <w:t>Following</w:t>
            </w:r>
          </w:p>
        </w:tc>
        <w:tc>
          <w:tcPr>
            <w:tcW w:w="560" w:type="dxa"/>
            <w:vAlign w:val="bottom"/>
            <w:tcBorders>
              <w:top w:val="single" w:sz="8" w:color="auto"/>
            </w:tcBorders>
          </w:tcPr>
          <w:p>
            <w:pPr>
              <w:jc w:val="right"/>
              <w:ind w:right="168"/>
              <w:spacing w:after="0" w:line="119" w:lineRule="exact"/>
              <w:rPr>
                <w:sz w:val="20"/>
                <w:szCs w:val="20"/>
                <w:color w:val="auto"/>
              </w:rPr>
            </w:pPr>
            <w:r>
              <w:rPr>
                <w:rFonts w:ascii="Arial" w:cs="Arial" w:eastAsia="Arial" w:hAnsi="Arial"/>
                <w:sz w:val="13"/>
                <w:szCs w:val="13"/>
                <w:b w:val="1"/>
                <w:bCs w:val="1"/>
                <w:color w:val="auto"/>
              </w:rPr>
              <w:t>%</w:t>
            </w:r>
          </w:p>
        </w:tc>
        <w:tc>
          <w:tcPr>
            <w:tcW w:w="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3"/>
          </w:tcPr>
          <w:p>
            <w:pPr>
              <w:jc w:val="center"/>
              <w:ind w:right="460"/>
              <w:spacing w:after="0" w:line="119" w:lineRule="exact"/>
              <w:rPr>
                <w:sz w:val="20"/>
                <w:szCs w:val="20"/>
                <w:color w:val="auto"/>
              </w:rPr>
            </w:pPr>
            <w:r>
              <w:rPr>
                <w:rFonts w:ascii="Arial" w:cs="Arial" w:eastAsia="Arial" w:hAnsi="Arial"/>
                <w:sz w:val="13"/>
                <w:szCs w:val="13"/>
                <w:b w:val="1"/>
                <w:bCs w:val="1"/>
                <w:color w:val="auto"/>
              </w:rPr>
              <w:t>Following</w:t>
            </w:r>
          </w:p>
        </w:tc>
        <w:tc>
          <w:tcPr>
            <w:tcW w:w="560" w:type="dxa"/>
            <w:vAlign w:val="bottom"/>
            <w:tcBorders>
              <w:top w:val="single" w:sz="8" w:color="auto"/>
            </w:tcBorders>
          </w:tcPr>
          <w:p>
            <w:pPr>
              <w:jc w:val="right"/>
              <w:ind w:right="168"/>
              <w:spacing w:after="0" w:line="119" w:lineRule="exact"/>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Below NAV</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0"/>
              </w:rPr>
              <w:t>Sale</w:t>
            </w:r>
          </w:p>
        </w:tc>
        <w:tc>
          <w:tcPr>
            <w:tcW w:w="8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tcPr>
          <w:p>
            <w:pPr>
              <w:spacing w:after="0"/>
              <w:rPr>
                <w:sz w:val="14"/>
                <w:szCs w:val="14"/>
                <w:color w:val="auto"/>
              </w:rPr>
            </w:pPr>
          </w:p>
        </w:tc>
        <w:tc>
          <w:tcPr>
            <w:tcW w:w="116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0"/>
              </w:rPr>
              <w:t>Sale</w:t>
            </w:r>
          </w:p>
        </w:tc>
        <w:tc>
          <w:tcPr>
            <w:tcW w:w="8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tcPr>
          <w:p>
            <w:pPr>
              <w:spacing w:after="0"/>
              <w:rPr>
                <w:sz w:val="14"/>
                <w:szCs w:val="14"/>
                <w:color w:val="auto"/>
              </w:rPr>
            </w:pPr>
          </w:p>
        </w:tc>
        <w:tc>
          <w:tcPr>
            <w:tcW w:w="116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0"/>
              </w:rPr>
              <w:t>Sale</w:t>
            </w:r>
          </w:p>
        </w:tc>
        <w:tc>
          <w:tcPr>
            <w:tcW w:w="6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39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i w:val="1"/>
                <w:iCs w:val="1"/>
                <w:color w:val="auto"/>
              </w:rPr>
              <w:t>Offering Price</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940" w:type="dxa"/>
            <w:vAlign w:val="bottom"/>
          </w:tcPr>
          <w:p>
            <w:pPr>
              <w:spacing w:after="0"/>
              <w:rPr>
                <w:sz w:val="20"/>
                <w:szCs w:val="20"/>
                <w:color w:val="auto"/>
              </w:rPr>
            </w:pPr>
            <w:r>
              <w:rPr>
                <w:rFonts w:ascii="Arial" w:cs="Arial" w:eastAsia="Arial" w:hAnsi="Arial"/>
                <w:sz w:val="14"/>
                <w:szCs w:val="14"/>
                <w:color w:val="auto"/>
              </w:rPr>
              <w:t>Price per share to public</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10.00</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9.47</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7.89</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940" w:type="dxa"/>
            <w:vAlign w:val="bottom"/>
            <w:shd w:val="clear" w:color="auto" w:fill="CCEEFF"/>
          </w:tcPr>
          <w:p>
            <w:pPr>
              <w:spacing w:after="0"/>
              <w:rPr>
                <w:sz w:val="20"/>
                <w:szCs w:val="20"/>
                <w:color w:val="auto"/>
              </w:rPr>
            </w:pPr>
            <w:r>
              <w:rPr>
                <w:rFonts w:ascii="Arial" w:cs="Arial" w:eastAsia="Arial" w:hAnsi="Arial"/>
                <w:sz w:val="14"/>
                <w:szCs w:val="14"/>
                <w:color w:val="auto"/>
              </w:rPr>
              <w:t>Net offering proceeds per share to issuer</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9.50</w:t>
            </w: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9.00</w:t>
            </w: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7.50</w:t>
            </w: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940" w:type="dxa"/>
            <w:vAlign w:val="bottom"/>
          </w:tcPr>
          <w:p>
            <w:pPr>
              <w:spacing w:after="0"/>
              <w:rPr>
                <w:sz w:val="20"/>
                <w:szCs w:val="20"/>
                <w:color w:val="auto"/>
              </w:rPr>
            </w:pPr>
            <w:r>
              <w:rPr>
                <w:rFonts w:ascii="Arial" w:cs="Arial" w:eastAsia="Arial" w:hAnsi="Arial"/>
                <w:sz w:val="14"/>
                <w:szCs w:val="14"/>
                <w:b w:val="1"/>
                <w:bCs w:val="1"/>
                <w:i w:val="1"/>
                <w:iCs w:val="1"/>
                <w:color w:val="auto"/>
              </w:rPr>
              <w:t>Decrease to NAV</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40" w:type="dxa"/>
            <w:vAlign w:val="bottom"/>
            <w:shd w:val="clear" w:color="auto" w:fill="CCEEFF"/>
          </w:tcPr>
          <w:p>
            <w:pPr>
              <w:spacing w:after="0"/>
              <w:rPr>
                <w:sz w:val="20"/>
                <w:szCs w:val="20"/>
                <w:color w:val="auto"/>
              </w:rPr>
            </w:pPr>
            <w:r>
              <w:rPr>
                <w:rFonts w:ascii="Arial" w:cs="Arial" w:eastAsia="Arial" w:hAnsi="Arial"/>
                <w:sz w:val="14"/>
                <w:szCs w:val="14"/>
                <w:color w:val="auto"/>
              </w:rPr>
              <w:t>Total shares outstanding</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1,000,000</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1,050,000</w:t>
            </w: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5.00 %</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1,100,000</w:t>
            </w: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1,250,000</w:t>
            </w: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25.00 %</w:t>
            </w:r>
          </w:p>
        </w:tc>
        <w:tc>
          <w:tcPr>
            <w:tcW w:w="0" w:type="dxa"/>
            <w:vAlign w:val="bottom"/>
          </w:tcPr>
          <w:p>
            <w:pPr>
              <w:spacing w:after="0"/>
              <w:rPr>
                <w:sz w:val="1"/>
                <w:szCs w:val="1"/>
                <w:color w:val="auto"/>
              </w:rPr>
            </w:pPr>
          </w:p>
        </w:tc>
      </w:tr>
      <w:tr>
        <w:trPr>
          <w:trHeight w:val="162"/>
        </w:trPr>
        <w:tc>
          <w:tcPr>
            <w:tcW w:w="3940" w:type="dxa"/>
            <w:vAlign w:val="bottom"/>
          </w:tcPr>
          <w:p>
            <w:pPr>
              <w:spacing w:after="0"/>
              <w:rPr>
                <w:sz w:val="20"/>
                <w:szCs w:val="20"/>
                <w:color w:val="auto"/>
              </w:rPr>
            </w:pPr>
            <w:r>
              <w:rPr>
                <w:rFonts w:ascii="Arial" w:cs="Arial" w:eastAsia="Arial" w:hAnsi="Arial"/>
                <w:sz w:val="14"/>
                <w:szCs w:val="14"/>
                <w:color w:val="auto"/>
              </w:rPr>
              <w:t>NAV per share</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10.00</w:t>
            </w:r>
          </w:p>
        </w:tc>
        <w:tc>
          <w:tcPr>
            <w:tcW w:w="140" w:type="dxa"/>
            <w:vAlign w:val="bottom"/>
          </w:tcPr>
          <w:p>
            <w:pPr>
              <w:spacing w:after="0"/>
              <w:rPr>
                <w:sz w:val="14"/>
                <w:szCs w:val="14"/>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9.98</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4"/>
                <w:szCs w:val="14"/>
                <w:color w:val="auto"/>
              </w:rPr>
              <w:t>(0.20)%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9.91</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4"/>
                <w:szCs w:val="14"/>
                <w:color w:val="auto"/>
              </w:rPr>
              <w:t>(0.90)%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9.50</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62"/>
        </w:trPr>
        <w:tc>
          <w:tcPr>
            <w:tcW w:w="3940" w:type="dxa"/>
            <w:vAlign w:val="bottom"/>
            <w:shd w:val="clear" w:color="auto" w:fill="CCEEFF"/>
          </w:tcPr>
          <w:p>
            <w:pPr>
              <w:spacing w:after="0"/>
              <w:rPr>
                <w:sz w:val="20"/>
                <w:szCs w:val="20"/>
                <w:color w:val="auto"/>
              </w:rPr>
            </w:pPr>
            <w:r>
              <w:rPr>
                <w:rFonts w:ascii="Arial" w:cs="Arial" w:eastAsia="Arial" w:hAnsi="Arial"/>
                <w:sz w:val="14"/>
                <w:szCs w:val="14"/>
                <w:b w:val="1"/>
                <w:bCs w:val="1"/>
                <w:i w:val="1"/>
                <w:iCs w:val="1"/>
                <w:color w:val="auto"/>
              </w:rPr>
              <w:t>Dilution to Stockholder A</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40" w:type="dxa"/>
            <w:vAlign w:val="bottom"/>
          </w:tcPr>
          <w:p>
            <w:pPr>
              <w:spacing w:after="0"/>
              <w:rPr>
                <w:sz w:val="20"/>
                <w:szCs w:val="20"/>
                <w:color w:val="auto"/>
              </w:rPr>
            </w:pPr>
            <w:r>
              <w:rPr>
                <w:rFonts w:ascii="Arial" w:cs="Arial" w:eastAsia="Arial" w:hAnsi="Arial"/>
                <w:sz w:val="14"/>
                <w:szCs w:val="14"/>
                <w:color w:val="auto"/>
              </w:rPr>
              <w:t>Shares held by stockholder A</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10,000</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10,000</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10,000</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10,000</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940" w:type="dxa"/>
            <w:vAlign w:val="bottom"/>
            <w:shd w:val="clear" w:color="auto" w:fill="CCEEFF"/>
          </w:tcPr>
          <w:p>
            <w:pPr>
              <w:spacing w:after="0"/>
              <w:rPr>
                <w:sz w:val="20"/>
                <w:szCs w:val="20"/>
                <w:color w:val="auto"/>
              </w:rPr>
            </w:pPr>
            <w:r>
              <w:rPr>
                <w:rFonts w:ascii="Arial" w:cs="Arial" w:eastAsia="Arial" w:hAnsi="Arial"/>
                <w:sz w:val="14"/>
                <w:szCs w:val="14"/>
                <w:color w:val="auto"/>
              </w:rPr>
              <w:t>Percentage held by stockholder A</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0.95%</w:t>
            </w:r>
          </w:p>
        </w:tc>
        <w:tc>
          <w:tcPr>
            <w:tcW w:w="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(5.00)%</w:t>
            </w: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0.91%</w:t>
            </w:r>
          </w:p>
        </w:tc>
        <w:tc>
          <w:tcPr>
            <w:tcW w:w="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(9.00)%</w:t>
            </w: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0.80%</w:t>
            </w:r>
          </w:p>
        </w:tc>
        <w:tc>
          <w:tcPr>
            <w:tcW w:w="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4"/>
              </w:rPr>
              <w:t>(20.00)%</w:t>
            </w:r>
          </w:p>
        </w:tc>
        <w:tc>
          <w:tcPr>
            <w:tcW w:w="0" w:type="dxa"/>
            <w:vAlign w:val="bottom"/>
          </w:tcPr>
          <w:p>
            <w:pPr>
              <w:spacing w:after="0"/>
              <w:rPr>
                <w:sz w:val="1"/>
                <w:szCs w:val="1"/>
                <w:color w:val="auto"/>
              </w:rPr>
            </w:pPr>
          </w:p>
        </w:tc>
      </w:tr>
      <w:tr>
        <w:trPr>
          <w:trHeight w:val="162"/>
        </w:trPr>
        <w:tc>
          <w:tcPr>
            <w:tcW w:w="3940" w:type="dxa"/>
            <w:vAlign w:val="bottom"/>
          </w:tcPr>
          <w:p>
            <w:pPr>
              <w:spacing w:after="0"/>
              <w:rPr>
                <w:sz w:val="20"/>
                <w:szCs w:val="20"/>
                <w:color w:val="auto"/>
              </w:rPr>
            </w:pPr>
            <w:r>
              <w:rPr>
                <w:rFonts w:ascii="Arial" w:cs="Arial" w:eastAsia="Arial" w:hAnsi="Arial"/>
                <w:sz w:val="14"/>
                <w:szCs w:val="14"/>
                <w:b w:val="1"/>
                <w:bCs w:val="1"/>
                <w:color w:val="auto"/>
              </w:rPr>
              <w:t>Total Asset Values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Total NAV held by stockholder A</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100,000</w:t>
            </w:r>
          </w:p>
        </w:tc>
        <w:tc>
          <w:tcPr>
            <w:tcW w:w="14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99,800</w:t>
            </w: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(0.20)%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99,100</w:t>
            </w: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(0.90)%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95,000</w:t>
            </w: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30"/>
        </w:trPr>
        <w:tc>
          <w:tcPr>
            <w:tcW w:w="3940" w:type="dxa"/>
            <w:vAlign w:val="bottom"/>
          </w:tcPr>
          <w:p>
            <w:pPr>
              <w:ind w:left="300"/>
              <w:spacing w:after="0" w:line="130" w:lineRule="exact"/>
              <w:rPr>
                <w:sz w:val="20"/>
                <w:szCs w:val="20"/>
                <w:color w:val="auto"/>
              </w:rPr>
            </w:pPr>
            <w:r>
              <w:rPr>
                <w:rFonts w:ascii="Arial" w:cs="Arial" w:eastAsia="Arial" w:hAnsi="Arial"/>
                <w:sz w:val="14"/>
                <w:szCs w:val="14"/>
                <w:color w:val="auto"/>
                <w:w w:val="94"/>
              </w:rPr>
              <w:t>Total investment by stockholder A (assumed to be $10.00 per</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3940" w:type="dxa"/>
            <w:vAlign w:val="bottom"/>
          </w:tcPr>
          <w:p>
            <w:pPr>
              <w:ind w:left="300"/>
              <w:spacing w:after="0"/>
              <w:rPr>
                <w:sz w:val="20"/>
                <w:szCs w:val="20"/>
                <w:color w:val="auto"/>
              </w:rPr>
            </w:pPr>
            <w:r>
              <w:rPr>
                <w:rFonts w:ascii="Arial" w:cs="Arial" w:eastAsia="Arial" w:hAnsi="Arial"/>
                <w:sz w:val="14"/>
                <w:szCs w:val="14"/>
                <w:color w:val="auto"/>
              </w:rPr>
              <w:t>share)</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100,000</w:t>
            </w:r>
          </w:p>
        </w:tc>
        <w:tc>
          <w:tcPr>
            <w:tcW w:w="140" w:type="dxa"/>
            <w:vAlign w:val="bottom"/>
          </w:tcPr>
          <w:p>
            <w:pPr>
              <w:spacing w:after="0"/>
              <w:rPr>
                <w:sz w:val="15"/>
                <w:szCs w:val="15"/>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100,000</w:t>
            </w: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100,000</w:t>
            </w: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100,000</w:t>
            </w: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940" w:type="dxa"/>
            <w:vAlign w:val="bottom"/>
            <w:shd w:val="clear" w:color="auto" w:fill="CCEEFF"/>
          </w:tcPr>
          <w:p>
            <w:pPr>
              <w:ind w:left="300"/>
              <w:spacing w:after="0" w:line="130" w:lineRule="exact"/>
              <w:rPr>
                <w:sz w:val="20"/>
                <w:szCs w:val="20"/>
                <w:color w:val="auto"/>
              </w:rPr>
            </w:pPr>
            <w:r>
              <w:rPr>
                <w:rFonts w:ascii="Arial" w:cs="Arial" w:eastAsia="Arial" w:hAnsi="Arial"/>
                <w:sz w:val="14"/>
                <w:szCs w:val="14"/>
                <w:color w:val="auto"/>
              </w:rPr>
              <w:t>Total dilution to stockholder A (total NAV less total</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39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investment)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(200)</w:t>
            </w:r>
          </w:p>
        </w:tc>
        <w:tc>
          <w:tcPr>
            <w:tcW w:w="3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(900)</w:t>
            </w:r>
          </w:p>
        </w:tc>
        <w:tc>
          <w:tcPr>
            <w:tcW w:w="3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(5,000)</w:t>
            </w:r>
          </w:p>
        </w:tc>
        <w:tc>
          <w:tcPr>
            <w:tcW w:w="3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940" w:type="dxa"/>
            <w:vAlign w:val="bottom"/>
          </w:tcPr>
          <w:p>
            <w:pPr>
              <w:spacing w:after="0"/>
              <w:rPr>
                <w:sz w:val="20"/>
                <w:szCs w:val="20"/>
                <w:color w:val="auto"/>
              </w:rPr>
            </w:pPr>
            <w:r>
              <w:rPr>
                <w:rFonts w:ascii="Arial" w:cs="Arial" w:eastAsia="Arial" w:hAnsi="Arial"/>
                <w:sz w:val="14"/>
                <w:szCs w:val="14"/>
                <w:b w:val="1"/>
                <w:bCs w:val="1"/>
                <w:color w:val="auto"/>
              </w:rPr>
              <w:t>Per Share Amounts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NAV per share held by stockholder A</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9.98</w:t>
            </w: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9.91</w:t>
            </w: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9.50</w:t>
            </w: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940" w:type="dxa"/>
            <w:vAlign w:val="bottom"/>
          </w:tcPr>
          <w:p>
            <w:pPr>
              <w:ind w:left="300"/>
              <w:spacing w:after="0" w:line="130" w:lineRule="exact"/>
              <w:rPr>
                <w:sz w:val="20"/>
                <w:szCs w:val="20"/>
                <w:color w:val="auto"/>
              </w:rPr>
            </w:pPr>
            <w:r>
              <w:rPr>
                <w:rFonts w:ascii="Arial" w:cs="Arial" w:eastAsia="Arial" w:hAnsi="Arial"/>
                <w:sz w:val="14"/>
                <w:szCs w:val="14"/>
                <w:color w:val="auto"/>
                <w:w w:val="97"/>
              </w:rPr>
              <w:t>Investment per share held by stockholder A (assumed to be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3940" w:type="dxa"/>
            <w:vAlign w:val="bottom"/>
          </w:tcPr>
          <w:p>
            <w:pPr>
              <w:ind w:left="300"/>
              <w:spacing w:after="0"/>
              <w:rPr>
                <w:sz w:val="20"/>
                <w:szCs w:val="20"/>
                <w:color w:val="auto"/>
              </w:rPr>
            </w:pPr>
            <w:r>
              <w:rPr>
                <w:rFonts w:ascii="Arial" w:cs="Arial" w:eastAsia="Arial" w:hAnsi="Arial"/>
                <w:sz w:val="14"/>
                <w:szCs w:val="14"/>
                <w:color w:val="auto"/>
              </w:rPr>
              <w:t>$10.00 per share on shares held prior to sale)</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10.00</w:t>
            </w:r>
          </w:p>
        </w:tc>
        <w:tc>
          <w:tcPr>
            <w:tcW w:w="140" w:type="dxa"/>
            <w:vAlign w:val="bottom"/>
          </w:tcPr>
          <w:p>
            <w:pPr>
              <w:spacing w:after="0"/>
              <w:rPr>
                <w:sz w:val="15"/>
                <w:szCs w:val="15"/>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10.00</w:t>
            </w: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10.00</w:t>
            </w: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10.00</w:t>
            </w: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940" w:type="dxa"/>
            <w:vAlign w:val="bottom"/>
            <w:shd w:val="clear" w:color="auto" w:fill="CCEEFF"/>
          </w:tcPr>
          <w:p>
            <w:pPr>
              <w:ind w:left="300"/>
              <w:spacing w:after="0" w:line="130" w:lineRule="exact"/>
              <w:rPr>
                <w:sz w:val="20"/>
                <w:szCs w:val="20"/>
                <w:color w:val="auto"/>
              </w:rPr>
            </w:pPr>
            <w:r>
              <w:rPr>
                <w:rFonts w:ascii="Arial" w:cs="Arial" w:eastAsia="Arial" w:hAnsi="Arial"/>
                <w:sz w:val="14"/>
                <w:szCs w:val="14"/>
                <w:color w:val="auto"/>
                <w:w w:val="96"/>
              </w:rPr>
              <w:t>Dilution per share held by stockholder A (NAV per share less</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39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investment per share)</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(0.02)</w:t>
            </w:r>
          </w:p>
        </w:tc>
        <w:tc>
          <w:tcPr>
            <w:tcW w:w="3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(0.09)</w:t>
            </w:r>
          </w:p>
        </w:tc>
        <w:tc>
          <w:tcPr>
            <w:tcW w:w="3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(0.50)</w:t>
            </w:r>
          </w:p>
        </w:tc>
        <w:tc>
          <w:tcPr>
            <w:tcW w:w="3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940" w:type="dxa"/>
            <w:vAlign w:val="bottom"/>
          </w:tcPr>
          <w:p>
            <w:pPr>
              <w:ind w:left="300"/>
              <w:spacing w:after="0" w:line="130" w:lineRule="exact"/>
              <w:rPr>
                <w:sz w:val="20"/>
                <w:szCs w:val="20"/>
                <w:color w:val="auto"/>
              </w:rPr>
            </w:pPr>
            <w:r>
              <w:rPr>
                <w:rFonts w:ascii="Arial" w:cs="Arial" w:eastAsia="Arial" w:hAnsi="Arial"/>
                <w:sz w:val="14"/>
                <w:szCs w:val="14"/>
                <w:color w:val="auto"/>
              </w:rPr>
              <w:t>Percentage dilution to stockholder A (dilution per share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3940" w:type="dxa"/>
            <w:vAlign w:val="bottom"/>
          </w:tcPr>
          <w:p>
            <w:pPr>
              <w:ind w:left="300"/>
              <w:spacing w:after="0"/>
              <w:rPr>
                <w:sz w:val="20"/>
                <w:szCs w:val="20"/>
                <w:color w:val="auto"/>
              </w:rPr>
            </w:pPr>
            <w:r>
              <w:rPr>
                <w:rFonts w:ascii="Arial" w:cs="Arial" w:eastAsia="Arial" w:hAnsi="Arial"/>
                <w:sz w:val="14"/>
                <w:szCs w:val="14"/>
                <w:color w:val="auto"/>
              </w:rPr>
              <w:t>divided by investment per share)</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3"/>
          </w:tcPr>
          <w:p>
            <w:pPr>
              <w:jc w:val="right"/>
              <w:ind w:right="4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4"/>
                <w:szCs w:val="14"/>
                <w:color w:val="auto"/>
              </w:rPr>
              <w:t>(0.20)%</w:t>
            </w:r>
          </w:p>
        </w:tc>
        <w:tc>
          <w:tcPr>
            <w:tcW w:w="100" w:type="dxa"/>
            <w:vAlign w:val="bottom"/>
          </w:tcPr>
          <w:p>
            <w:pPr>
              <w:spacing w:after="0"/>
              <w:rPr>
                <w:sz w:val="17"/>
                <w:szCs w:val="17"/>
                <w:color w:val="auto"/>
              </w:rPr>
            </w:pPr>
          </w:p>
        </w:tc>
        <w:tc>
          <w:tcPr>
            <w:tcW w:w="1160" w:type="dxa"/>
            <w:vAlign w:val="bottom"/>
            <w:gridSpan w:val="3"/>
          </w:tcPr>
          <w:p>
            <w:pPr>
              <w:jc w:val="right"/>
              <w:ind w:right="4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4"/>
                <w:szCs w:val="14"/>
                <w:color w:val="auto"/>
              </w:rPr>
              <w:t>(0.90)%</w:t>
            </w:r>
          </w:p>
        </w:tc>
        <w:tc>
          <w:tcPr>
            <w:tcW w:w="100" w:type="dxa"/>
            <w:vAlign w:val="bottom"/>
          </w:tcPr>
          <w:p>
            <w:pPr>
              <w:spacing w:after="0"/>
              <w:rPr>
                <w:sz w:val="17"/>
                <w:szCs w:val="17"/>
                <w:color w:val="auto"/>
              </w:rPr>
            </w:pPr>
          </w:p>
        </w:tc>
        <w:tc>
          <w:tcPr>
            <w:tcW w:w="1160" w:type="dxa"/>
            <w:vAlign w:val="bottom"/>
            <w:gridSpan w:val="3"/>
          </w:tcPr>
          <w:p>
            <w:pPr>
              <w:jc w:val="right"/>
              <w:ind w:right="46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Existing Stockholders who Participate in the Offering</w:t>
      </w:r>
    </w:p>
    <w:p>
      <w:pPr>
        <w:spacing w:after="0" w:line="117"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Our existing stockholders who participate in an offering below NAV per share or who buy additional shares in the secondary market at the same or lower price as we obtain in the offering (after any underwriting discounts and commissions) will experience the same types of NAV dilution as the nonparticipating stockholders, albeit at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a lower level, to the extent they purchase less than the same percentage of the discounted offering as their interest in our shares immediately prior to the offering. The level of NAV dilution on an aggregate basis will decrease as the number of shares such stockholders purchase increases. Existing stockholders who buy more than such percentage will experience NAV dilution but will, in contrast to existing stockholders who purchase less than their proportionate share of the offering, experience an increase (often called accretion) in NAV per share over their investment per share and will also experience a disproportionately greater increase in their participation in our earnings and assets and their voting power than our increase in assets, potential earning power and voting interests due to the offering. The level of accretion will increase as the excess number of shares such stockholder purchases increases. Even a stockholder who over-participates will, however, be subject to the risk that we may make additional discounted offerings in which such stockholder does not participate, in which case such a stockholder will experience NAV dilution as described above in such subsequent offerings. These stockholders may also experience a decline in the market price of their shares, which often reflects to some degree announced or potential increases and decreases in NAV per share. This decrease could be more pronounced as the size of the offering and level of discount to NAV increases.</w:t>
      </w:r>
    </w:p>
    <w:p>
      <w:pPr>
        <w:spacing w:after="0" w:line="169"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The examples assume that Company XYZ has 1,000,000 shares of common stock outstanding, $15.0 million in total assets and $5.0 million in total liabilities. The current NAV and NAV per share are thus $10.0 million and $10.00, respectively. The table below illustrates the (dilutive) and accretive effect in the hypothetical 25% discount offering from the prior chart for stockholder A that acquires shares equal to (1) 50% of their proportionate share of the offering (i.e., 1,250 shares which is 0.50% of the offering of 250,000 shares rather than their 1.00% proportionate share) and (2) 150% of their proportionate share of the offering (i.e., 3,750 shares which is 1.50% of the offering of 250,000 shares rather than their 1.00% proportionate share). The prospectus supplement pursuant to which any discounted offering is made will include a chart for this example based on the actual number of shares in such offering and the actual discount from the most recently determined NAV per share.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2"/>
              </w:rPr>
              <w:t>Prior to Sale</w:t>
            </w:r>
          </w:p>
        </w:tc>
        <w:tc>
          <w:tcPr>
            <w:tcW w:w="100" w:type="dxa"/>
            <w:vAlign w:val="bottom"/>
          </w:tcPr>
          <w:p>
            <w:pPr>
              <w:spacing w:after="0"/>
              <w:rPr>
                <w:sz w:val="14"/>
                <w:szCs w:val="14"/>
                <w:color w:val="auto"/>
              </w:rPr>
            </w:pPr>
          </w:p>
        </w:tc>
        <w:tc>
          <w:tcPr>
            <w:tcW w:w="220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50% Participation</w:t>
            </w:r>
          </w:p>
        </w:tc>
        <w:tc>
          <w:tcPr>
            <w:tcW w:w="120" w:type="dxa"/>
            <w:vAlign w:val="bottom"/>
          </w:tcPr>
          <w:p>
            <w:pPr>
              <w:spacing w:after="0"/>
              <w:rPr>
                <w:sz w:val="14"/>
                <w:szCs w:val="14"/>
                <w:color w:val="auto"/>
              </w:rPr>
            </w:pPr>
          </w:p>
        </w:tc>
        <w:tc>
          <w:tcPr>
            <w:tcW w:w="1880" w:type="dxa"/>
            <w:vAlign w:val="bottom"/>
            <w:gridSpan w:val="4"/>
          </w:tcPr>
          <w:p>
            <w:pPr>
              <w:ind w:left="240"/>
              <w:spacing w:after="0"/>
              <w:rPr>
                <w:sz w:val="20"/>
                <w:szCs w:val="20"/>
                <w:color w:val="auto"/>
              </w:rPr>
            </w:pPr>
            <w:r>
              <w:rPr>
                <w:rFonts w:ascii="Arial" w:cs="Arial" w:eastAsia="Arial" w:hAnsi="Arial"/>
                <w:sz w:val="14"/>
                <w:szCs w:val="14"/>
                <w:b w:val="1"/>
                <w:bCs w:val="1"/>
                <w:color w:val="auto"/>
              </w:rPr>
              <w:t>150% Participation</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2"/>
          </w:tcPr>
          <w:p>
            <w:pPr>
              <w:jc w:val="center"/>
              <w:ind w:right="500"/>
              <w:spacing w:after="0" w:line="119" w:lineRule="exact"/>
              <w:rPr>
                <w:sz w:val="20"/>
                <w:szCs w:val="20"/>
                <w:color w:val="auto"/>
              </w:rPr>
            </w:pPr>
            <w:r>
              <w:rPr>
                <w:rFonts w:ascii="Arial" w:cs="Arial" w:eastAsia="Arial" w:hAnsi="Arial"/>
                <w:sz w:val="13"/>
                <w:szCs w:val="13"/>
                <w:b w:val="1"/>
                <w:bCs w:val="1"/>
                <w:color w:val="auto"/>
                <w:w w:val="98"/>
              </w:rPr>
              <w:t>Following</w:t>
            </w:r>
          </w:p>
        </w:tc>
        <w:tc>
          <w:tcPr>
            <w:tcW w:w="620" w:type="dxa"/>
            <w:vAlign w:val="bottom"/>
            <w:tcBorders>
              <w:top w:val="single" w:sz="8" w:color="auto"/>
            </w:tcBorders>
          </w:tcPr>
          <w:p>
            <w:pPr>
              <w:jc w:val="right"/>
              <w:ind w:right="148"/>
              <w:spacing w:after="0" w:line="119" w:lineRule="exact"/>
              <w:rPr>
                <w:sz w:val="20"/>
                <w:szCs w:val="20"/>
                <w:color w:val="auto"/>
              </w:rPr>
            </w:pPr>
            <w:r>
              <w:rPr>
                <w:rFonts w:ascii="Arial" w:cs="Arial" w:eastAsia="Arial" w:hAnsi="Arial"/>
                <w:sz w:val="13"/>
                <w:szCs w:val="13"/>
                <w:b w:val="1"/>
                <w:bCs w:val="1"/>
                <w:color w:val="auto"/>
              </w:rPr>
              <w:t>%</w:t>
            </w:r>
          </w:p>
        </w:tc>
        <w:tc>
          <w:tcPr>
            <w:tcW w:w="4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2"/>
          </w:tcPr>
          <w:p>
            <w:pPr>
              <w:jc w:val="center"/>
              <w:ind w:right="520"/>
              <w:spacing w:after="0" w:line="119" w:lineRule="exact"/>
              <w:rPr>
                <w:sz w:val="20"/>
                <w:szCs w:val="20"/>
                <w:color w:val="auto"/>
              </w:rPr>
            </w:pPr>
            <w:r>
              <w:rPr>
                <w:rFonts w:ascii="Arial" w:cs="Arial" w:eastAsia="Arial" w:hAnsi="Arial"/>
                <w:sz w:val="13"/>
                <w:szCs w:val="13"/>
                <w:b w:val="1"/>
                <w:bCs w:val="1"/>
                <w:color w:val="auto"/>
              </w:rPr>
              <w:t>Following</w:t>
            </w:r>
          </w:p>
        </w:tc>
        <w:tc>
          <w:tcPr>
            <w:tcW w:w="620" w:type="dxa"/>
            <w:vAlign w:val="bottom"/>
            <w:tcBorders>
              <w:top w:val="single" w:sz="8" w:color="auto"/>
            </w:tcBorders>
          </w:tcPr>
          <w:p>
            <w:pPr>
              <w:jc w:val="right"/>
              <w:ind w:right="168"/>
              <w:spacing w:after="0" w:line="119" w:lineRule="exact"/>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6"/>
              </w:rPr>
              <w:t>Below NAV</w:t>
            </w:r>
          </w:p>
        </w:tc>
        <w:tc>
          <w:tcPr>
            <w:tcW w:w="100" w:type="dxa"/>
            <w:vAlign w:val="bottom"/>
          </w:tcPr>
          <w:p>
            <w:pPr>
              <w:spacing w:after="0"/>
              <w:rPr>
                <w:sz w:val="14"/>
                <w:szCs w:val="14"/>
                <w:color w:val="auto"/>
              </w:rPr>
            </w:pPr>
          </w:p>
        </w:tc>
        <w:tc>
          <w:tcPr>
            <w:tcW w:w="11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Sale</w:t>
            </w:r>
          </w:p>
        </w:tc>
        <w:tc>
          <w:tcPr>
            <w:tcW w:w="10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14"/>
                <w:szCs w:val="14"/>
                <w:color w:val="auto"/>
              </w:rPr>
            </w:pPr>
          </w:p>
        </w:tc>
        <w:tc>
          <w:tcPr>
            <w:tcW w:w="11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0"/>
              </w:rPr>
              <w:t>Sale</w:t>
            </w:r>
          </w:p>
        </w:tc>
        <w:tc>
          <w:tcPr>
            <w:tcW w:w="70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7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i w:val="1"/>
                <w:iCs w:val="1"/>
                <w:color w:val="auto"/>
              </w:rPr>
              <w:t>Offering Price</w:t>
            </w: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840" w:type="dxa"/>
            <w:vAlign w:val="bottom"/>
            <w:tcBorders>
              <w:top w:val="single" w:sz="8" w:color="auto"/>
              <w:bottom w:val="single" w:sz="8" w:color="CCEEFF"/>
            </w:tcBorders>
            <w:shd w:val="clear" w:color="auto" w:fill="CCEEFF"/>
          </w:tcPr>
          <w:p>
            <w:pPr>
              <w:spacing w:after="0"/>
              <w:rPr>
                <w:sz w:val="15"/>
                <w:szCs w:val="15"/>
                <w:color w:val="auto"/>
              </w:rPr>
            </w:pPr>
          </w:p>
        </w:tc>
        <w:tc>
          <w:tcPr>
            <w:tcW w:w="4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CCEEFF"/>
            </w:tcBorders>
            <w:shd w:val="clear" w:color="auto" w:fill="CCEEFF"/>
          </w:tcPr>
          <w:p>
            <w:pPr>
              <w:spacing w:after="0"/>
              <w:rPr>
                <w:sz w:val="15"/>
                <w:szCs w:val="15"/>
                <w:color w:val="auto"/>
              </w:rPr>
            </w:pPr>
          </w:p>
        </w:tc>
        <w:tc>
          <w:tcPr>
            <w:tcW w:w="380" w:type="dxa"/>
            <w:vAlign w:val="bottom"/>
            <w:tcBorders>
              <w:top w:val="single" w:sz="8" w:color="CCEEFF"/>
              <w:bottom w:val="single" w:sz="8" w:color="CCEEFF"/>
            </w:tcBorders>
            <w:shd w:val="clear" w:color="auto" w:fill="CCEEFF"/>
          </w:tcPr>
          <w:p>
            <w:pPr>
              <w:spacing w:after="0"/>
              <w:rPr>
                <w:sz w:val="15"/>
                <w:szCs w:val="15"/>
                <w:color w:val="auto"/>
              </w:rPr>
            </w:pPr>
          </w:p>
        </w:tc>
        <w:tc>
          <w:tcPr>
            <w:tcW w:w="620" w:type="dxa"/>
            <w:vAlign w:val="bottom"/>
            <w:tcBorders>
              <w:top w:val="single" w:sz="8" w:color="auto"/>
              <w:bottom w:val="single" w:sz="8" w:color="CCEEFF"/>
            </w:tcBorders>
            <w:shd w:val="clear" w:color="auto" w:fill="CCEEFF"/>
          </w:tcPr>
          <w:p>
            <w:pPr>
              <w:spacing w:after="0"/>
              <w:rPr>
                <w:sz w:val="15"/>
                <w:szCs w:val="15"/>
                <w:color w:val="auto"/>
              </w:rPr>
            </w:pPr>
          </w:p>
        </w:tc>
        <w:tc>
          <w:tcPr>
            <w:tcW w:w="40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CCEEFF"/>
            </w:tcBorders>
            <w:shd w:val="clear" w:color="auto" w:fill="CCEEFF"/>
          </w:tcPr>
          <w:p>
            <w:pPr>
              <w:spacing w:after="0"/>
              <w:rPr>
                <w:sz w:val="15"/>
                <w:szCs w:val="15"/>
                <w:color w:val="auto"/>
              </w:rPr>
            </w:pPr>
          </w:p>
        </w:tc>
        <w:tc>
          <w:tcPr>
            <w:tcW w:w="400" w:type="dxa"/>
            <w:vAlign w:val="bottom"/>
            <w:tcBorders>
              <w:top w:val="single" w:sz="8" w:color="CCEEFF"/>
              <w:bottom w:val="single" w:sz="8" w:color="CCEEFF"/>
            </w:tcBorders>
            <w:shd w:val="clear" w:color="auto" w:fill="CCEEFF"/>
          </w:tcPr>
          <w:p>
            <w:pPr>
              <w:spacing w:after="0"/>
              <w:rPr>
                <w:sz w:val="15"/>
                <w:szCs w:val="15"/>
                <w:color w:val="auto"/>
              </w:rPr>
            </w:pPr>
          </w:p>
        </w:tc>
        <w:tc>
          <w:tcPr>
            <w:tcW w:w="62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780" w:type="dxa"/>
            <w:vAlign w:val="bottom"/>
          </w:tcPr>
          <w:p>
            <w:pPr>
              <w:spacing w:after="0"/>
              <w:rPr>
                <w:sz w:val="20"/>
                <w:szCs w:val="20"/>
                <w:color w:val="auto"/>
              </w:rPr>
            </w:pPr>
            <w:r>
              <w:rPr>
                <w:rFonts w:ascii="Arial" w:cs="Arial" w:eastAsia="Arial" w:hAnsi="Arial"/>
                <w:sz w:val="14"/>
                <w:szCs w:val="14"/>
                <w:color w:val="auto"/>
              </w:rPr>
              <w:t>Price per share to public</w:t>
            </w:r>
          </w:p>
        </w:tc>
        <w:tc>
          <w:tcPr>
            <w:tcW w:w="80" w:type="dxa"/>
            <w:vAlign w:val="bottom"/>
          </w:tcPr>
          <w:p>
            <w:pPr>
              <w:spacing w:after="0"/>
              <w:rPr>
                <w:sz w:val="15"/>
                <w:szCs w:val="15"/>
                <w:color w:val="auto"/>
              </w:rPr>
            </w:pPr>
          </w:p>
        </w:tc>
        <w:tc>
          <w:tcPr>
            <w:tcW w:w="1240" w:type="dxa"/>
            <w:vAlign w:val="bottom"/>
            <w:gridSpan w:val="2"/>
            <w:vMerge w:val="restart"/>
          </w:tcPr>
          <w:p>
            <w:pPr>
              <w:jc w:val="right"/>
              <w:ind w:right="50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vMerge w:val="restart"/>
          </w:tcPr>
          <w:p>
            <w:pPr>
              <w:jc w:val="right"/>
              <w:ind w:right="48"/>
              <w:spacing w:after="0"/>
              <w:rPr>
                <w:sz w:val="20"/>
                <w:szCs w:val="20"/>
                <w:color w:val="auto"/>
              </w:rPr>
            </w:pPr>
            <w:r>
              <w:rPr>
                <w:rFonts w:ascii="Arial" w:cs="Arial" w:eastAsia="Arial" w:hAnsi="Arial"/>
                <w:sz w:val="14"/>
                <w:szCs w:val="14"/>
                <w:color w:val="auto"/>
              </w:rPr>
              <w:t>7.89</w:t>
            </w:r>
          </w:p>
        </w:tc>
        <w:tc>
          <w:tcPr>
            <w:tcW w:w="380" w:type="dxa"/>
            <w:vAlign w:val="bottom"/>
          </w:tcPr>
          <w:p>
            <w:pPr>
              <w:spacing w:after="0"/>
              <w:rPr>
                <w:sz w:val="15"/>
                <w:szCs w:val="15"/>
                <w:color w:val="auto"/>
              </w:rPr>
            </w:pPr>
          </w:p>
        </w:tc>
        <w:tc>
          <w:tcPr>
            <w:tcW w:w="1020" w:type="dxa"/>
            <w:vAlign w:val="bottom"/>
            <w:gridSpan w:val="2"/>
            <w:vMerge w:val="restart"/>
          </w:tcPr>
          <w:p>
            <w:pPr>
              <w:jc w:val="right"/>
              <w:ind w:right="54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7.89</w:t>
            </w:r>
          </w:p>
        </w:tc>
        <w:tc>
          <w:tcPr>
            <w:tcW w:w="400" w:type="dxa"/>
            <w:vAlign w:val="bottom"/>
          </w:tcPr>
          <w:p>
            <w:pPr>
              <w:spacing w:after="0"/>
              <w:rPr>
                <w:sz w:val="15"/>
                <w:szCs w:val="15"/>
                <w:color w:val="auto"/>
              </w:rPr>
            </w:pPr>
          </w:p>
        </w:tc>
        <w:tc>
          <w:tcPr>
            <w:tcW w:w="700" w:type="dxa"/>
            <w:vAlign w:val="bottom"/>
            <w:gridSpan w:val="2"/>
            <w:vMerge w:val="restart"/>
          </w:tcPr>
          <w:p>
            <w:pPr>
              <w:ind w:left="3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Net proceeds per share to issuer</w:t>
            </w:r>
          </w:p>
        </w:tc>
        <w:tc>
          <w:tcPr>
            <w:tcW w:w="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gridSpan w:val="2"/>
            <w:shd w:val="clear" w:color="auto" w:fill="CCEEFF"/>
          </w:tcPr>
          <w:p>
            <w:pPr>
              <w:jc w:val="right"/>
              <w:ind w:right="5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7.50</w:t>
            </w:r>
          </w:p>
        </w:tc>
        <w:tc>
          <w:tcPr>
            <w:tcW w:w="3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7.50</w:t>
            </w:r>
          </w:p>
        </w:tc>
        <w:tc>
          <w:tcPr>
            <w:tcW w:w="4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780" w:type="dxa"/>
            <w:vAlign w:val="bottom"/>
          </w:tcPr>
          <w:p>
            <w:pPr>
              <w:spacing w:after="0"/>
              <w:rPr>
                <w:sz w:val="20"/>
                <w:szCs w:val="20"/>
                <w:color w:val="auto"/>
              </w:rPr>
            </w:pPr>
            <w:r>
              <w:rPr>
                <w:rFonts w:ascii="Arial" w:cs="Arial" w:eastAsia="Arial" w:hAnsi="Arial"/>
                <w:sz w:val="14"/>
                <w:szCs w:val="14"/>
                <w:b w:val="1"/>
                <w:bCs w:val="1"/>
                <w:i w:val="1"/>
                <w:iCs w:val="1"/>
                <w:color w:val="auto"/>
              </w:rPr>
              <w:t>Increases in Shares and Decrease to NAV</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5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shares outstanding</w:t>
            </w:r>
          </w:p>
        </w:tc>
        <w:tc>
          <w:tcPr>
            <w:tcW w:w="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1,000,000</w:t>
            </w:r>
          </w:p>
        </w:tc>
        <w:tc>
          <w:tcPr>
            <w:tcW w:w="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1,250,000</w:t>
            </w:r>
          </w:p>
        </w:tc>
        <w:tc>
          <w:tcPr>
            <w:tcW w:w="3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25.00 %</w:t>
            </w: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1,250,000</w:t>
            </w:r>
          </w:p>
        </w:tc>
        <w:tc>
          <w:tcPr>
            <w:tcW w:w="4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25.00 %</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780" w:type="dxa"/>
            <w:vAlign w:val="bottom"/>
          </w:tcPr>
          <w:p>
            <w:pPr>
              <w:spacing w:after="0"/>
              <w:rPr>
                <w:sz w:val="20"/>
                <w:szCs w:val="20"/>
                <w:color w:val="auto"/>
              </w:rPr>
            </w:pPr>
            <w:r>
              <w:rPr>
                <w:rFonts w:ascii="Arial" w:cs="Arial" w:eastAsia="Arial" w:hAnsi="Arial"/>
                <w:sz w:val="14"/>
                <w:szCs w:val="14"/>
                <w:color w:val="auto"/>
              </w:rPr>
              <w:t>NAV per share</w:t>
            </w: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auto"/>
              </w:rPr>
              <w:t>10.00</w:t>
            </w:r>
          </w:p>
        </w:tc>
        <w:tc>
          <w:tcPr>
            <w:tcW w:w="400" w:type="dxa"/>
            <w:vAlign w:val="bottom"/>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vMerge w:val="restart"/>
          </w:tcPr>
          <w:p>
            <w:pPr>
              <w:jc w:val="right"/>
              <w:ind w:right="48"/>
              <w:spacing w:after="0"/>
              <w:rPr>
                <w:sz w:val="20"/>
                <w:szCs w:val="20"/>
                <w:color w:val="auto"/>
              </w:rPr>
            </w:pPr>
            <w:r>
              <w:rPr>
                <w:rFonts w:ascii="Arial" w:cs="Arial" w:eastAsia="Arial" w:hAnsi="Arial"/>
                <w:sz w:val="14"/>
                <w:szCs w:val="14"/>
                <w:color w:val="auto"/>
              </w:rPr>
              <w:t>9.50</w:t>
            </w:r>
          </w:p>
        </w:tc>
        <w:tc>
          <w:tcPr>
            <w:tcW w:w="380" w:type="dxa"/>
            <w:vAlign w:val="bottom"/>
          </w:tcPr>
          <w:p>
            <w:pPr>
              <w:spacing w:after="0"/>
              <w:rPr>
                <w:sz w:val="15"/>
                <w:szCs w:val="15"/>
                <w:color w:val="auto"/>
              </w:rPr>
            </w:pPr>
          </w:p>
        </w:tc>
        <w:tc>
          <w:tcPr>
            <w:tcW w:w="1020" w:type="dxa"/>
            <w:vAlign w:val="bottom"/>
            <w:gridSpan w:val="2"/>
            <w:vMerge w:val="restart"/>
          </w:tcPr>
          <w:p>
            <w:pPr>
              <w:jc w:val="right"/>
              <w:ind w:right="400"/>
              <w:spacing w:after="0"/>
              <w:rPr>
                <w:sz w:val="20"/>
                <w:szCs w:val="20"/>
                <w:color w:val="auto"/>
              </w:rPr>
            </w:pPr>
            <w:r>
              <w:rPr>
                <w:rFonts w:ascii="Arial" w:cs="Arial" w:eastAsia="Arial" w:hAnsi="Arial"/>
                <w:sz w:val="14"/>
                <w:szCs w:val="14"/>
                <w:color w:val="auto"/>
              </w:rPr>
              <w:t>(5.00)%</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9.50</w:t>
            </w:r>
          </w:p>
        </w:tc>
        <w:tc>
          <w:tcPr>
            <w:tcW w:w="400" w:type="dxa"/>
            <w:vAlign w:val="bottom"/>
          </w:tcPr>
          <w:p>
            <w:pPr>
              <w:spacing w:after="0"/>
              <w:rPr>
                <w:sz w:val="15"/>
                <w:szCs w:val="15"/>
                <w:color w:val="auto"/>
              </w:rPr>
            </w:pPr>
          </w:p>
        </w:tc>
        <w:tc>
          <w:tcPr>
            <w:tcW w:w="70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780" w:type="dxa"/>
            <w:vAlign w:val="bottom"/>
          </w:tcPr>
          <w:p>
            <w:pPr>
              <w:spacing w:after="0"/>
              <w:rPr>
                <w:sz w:val="2"/>
                <w:szCs w:val="2"/>
                <w:color w:val="auto"/>
              </w:rPr>
            </w:pPr>
          </w:p>
        </w:tc>
        <w:tc>
          <w:tcPr>
            <w:tcW w:w="80" w:type="dxa"/>
            <w:vAlign w:val="bottom"/>
            <w:vMerge w:val="continue"/>
          </w:tcPr>
          <w:p>
            <w:pPr>
              <w:spacing w:after="0"/>
              <w:rPr>
                <w:sz w:val="2"/>
                <w:szCs w:val="2"/>
                <w:color w:val="auto"/>
              </w:rPr>
            </w:pPr>
          </w:p>
        </w:tc>
        <w:tc>
          <w:tcPr>
            <w:tcW w:w="840" w:type="dxa"/>
            <w:vAlign w:val="bottom"/>
            <w:vMerge w:val="continue"/>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i w:val="1"/>
                <w:iCs w:val="1"/>
                <w:color w:val="auto"/>
              </w:rPr>
              <w:t>(Dilution)/Accretion to Participating Stockholder A</w:t>
            </w:r>
          </w:p>
        </w:tc>
        <w:tc>
          <w:tcPr>
            <w:tcW w:w="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780" w:type="dxa"/>
            <w:vAlign w:val="bottom"/>
          </w:tcPr>
          <w:p>
            <w:pPr>
              <w:spacing w:after="0"/>
              <w:rPr>
                <w:sz w:val="20"/>
                <w:szCs w:val="20"/>
                <w:color w:val="auto"/>
              </w:rPr>
            </w:pPr>
            <w:r>
              <w:rPr>
                <w:rFonts w:ascii="Arial" w:cs="Arial" w:eastAsia="Arial" w:hAnsi="Arial"/>
                <w:sz w:val="14"/>
                <w:szCs w:val="14"/>
                <w:color w:val="auto"/>
              </w:rPr>
              <w:t>Shares held by stockholder A</w:t>
            </w:r>
          </w:p>
        </w:tc>
        <w:tc>
          <w:tcPr>
            <w:tcW w:w="80" w:type="dxa"/>
            <w:vAlign w:val="bottom"/>
          </w:tcPr>
          <w:p>
            <w:pPr>
              <w:spacing w:after="0"/>
              <w:rPr>
                <w:sz w:val="15"/>
                <w:szCs w:val="15"/>
                <w:color w:val="auto"/>
              </w:rPr>
            </w:pP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auto"/>
              </w:rPr>
              <w:t>10,000</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vMerge w:val="restart"/>
          </w:tcPr>
          <w:p>
            <w:pPr>
              <w:jc w:val="right"/>
              <w:ind w:right="48"/>
              <w:spacing w:after="0"/>
              <w:rPr>
                <w:sz w:val="20"/>
                <w:szCs w:val="20"/>
                <w:color w:val="auto"/>
              </w:rPr>
            </w:pPr>
            <w:r>
              <w:rPr>
                <w:rFonts w:ascii="Arial" w:cs="Arial" w:eastAsia="Arial" w:hAnsi="Arial"/>
                <w:sz w:val="14"/>
                <w:szCs w:val="14"/>
                <w:color w:val="auto"/>
              </w:rPr>
              <w:t>11,250</w:t>
            </w:r>
          </w:p>
        </w:tc>
        <w:tc>
          <w:tcPr>
            <w:tcW w:w="380" w:type="dxa"/>
            <w:vAlign w:val="bottom"/>
          </w:tcPr>
          <w:p>
            <w:pPr>
              <w:spacing w:after="0"/>
              <w:rPr>
                <w:sz w:val="15"/>
                <w:szCs w:val="15"/>
                <w:color w:val="auto"/>
              </w:rPr>
            </w:pPr>
          </w:p>
        </w:tc>
        <w:tc>
          <w:tcPr>
            <w:tcW w:w="1020" w:type="dxa"/>
            <w:vAlign w:val="bottom"/>
            <w:gridSpan w:val="2"/>
            <w:vMerge w:val="restart"/>
          </w:tcPr>
          <w:p>
            <w:pPr>
              <w:jc w:val="right"/>
              <w:ind w:right="400"/>
              <w:spacing w:after="0"/>
              <w:rPr>
                <w:sz w:val="20"/>
                <w:szCs w:val="20"/>
                <w:color w:val="auto"/>
              </w:rPr>
            </w:pPr>
            <w:r>
              <w:rPr>
                <w:rFonts w:ascii="Arial" w:cs="Arial" w:eastAsia="Arial" w:hAnsi="Arial"/>
                <w:sz w:val="14"/>
                <w:szCs w:val="14"/>
                <w:color w:val="auto"/>
              </w:rPr>
              <w:t>12.50 %</w:t>
            </w:r>
          </w:p>
        </w:tc>
        <w:tc>
          <w:tcPr>
            <w:tcW w:w="120" w:type="dxa"/>
            <w:vAlign w:val="bottom"/>
          </w:tcPr>
          <w:p>
            <w:pPr>
              <w:spacing w:after="0"/>
              <w:rPr>
                <w:sz w:val="15"/>
                <w:szCs w:val="15"/>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13,750</w:t>
            </w:r>
          </w:p>
        </w:tc>
        <w:tc>
          <w:tcPr>
            <w:tcW w:w="400" w:type="dxa"/>
            <w:vAlign w:val="bottom"/>
          </w:tcPr>
          <w:p>
            <w:pPr>
              <w:spacing w:after="0"/>
              <w:rPr>
                <w:sz w:val="15"/>
                <w:szCs w:val="15"/>
                <w:color w:val="auto"/>
              </w:rPr>
            </w:pPr>
          </w:p>
        </w:tc>
        <w:tc>
          <w:tcPr>
            <w:tcW w:w="70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37.50 %</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vMerge w:val="continue"/>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Percentage held by stockholder A</w:t>
            </w:r>
          </w:p>
        </w:tc>
        <w:tc>
          <w:tcPr>
            <w:tcW w:w="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0.90%</w:t>
            </w:r>
          </w:p>
        </w:tc>
        <w:tc>
          <w:tcPr>
            <w:tcW w:w="102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(10.00)%</w:t>
            </w:r>
          </w:p>
        </w:tc>
        <w:tc>
          <w:tcPr>
            <w:tcW w:w="1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1.10%</w:t>
            </w:r>
          </w:p>
        </w:tc>
        <w:tc>
          <w:tcPr>
            <w:tcW w:w="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10.00 %</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780" w:type="dxa"/>
            <w:vAlign w:val="bottom"/>
          </w:tcPr>
          <w:p>
            <w:pPr>
              <w:spacing w:after="0"/>
              <w:rPr>
                <w:sz w:val="20"/>
                <w:szCs w:val="20"/>
                <w:color w:val="auto"/>
              </w:rPr>
            </w:pPr>
            <w:r>
              <w:rPr>
                <w:rFonts w:ascii="Arial" w:cs="Arial" w:eastAsia="Arial" w:hAnsi="Arial"/>
                <w:sz w:val="14"/>
                <w:szCs w:val="14"/>
                <w:b w:val="1"/>
                <w:bCs w:val="1"/>
                <w:color w:val="auto"/>
              </w:rPr>
              <w:t>Total Asset Values</w:t>
            </w: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5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Total NAV held by stockholder A</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100,000</w:t>
            </w:r>
          </w:p>
        </w:tc>
        <w:tc>
          <w:tcPr>
            <w:tcW w:w="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106,875</w:t>
            </w:r>
          </w:p>
        </w:tc>
        <w:tc>
          <w:tcPr>
            <w:tcW w:w="3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6.88 %</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130,625</w:t>
            </w:r>
          </w:p>
        </w:tc>
        <w:tc>
          <w:tcPr>
            <w:tcW w:w="4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30.63 %</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780" w:type="dxa"/>
            <w:vAlign w:val="bottom"/>
          </w:tcPr>
          <w:p>
            <w:pPr>
              <w:ind w:left="280"/>
              <w:spacing w:after="0" w:line="130" w:lineRule="exact"/>
              <w:rPr>
                <w:sz w:val="20"/>
                <w:szCs w:val="20"/>
                <w:color w:val="auto"/>
              </w:rPr>
            </w:pPr>
            <w:r>
              <w:rPr>
                <w:rFonts w:ascii="Arial" w:cs="Arial" w:eastAsia="Arial" w:hAnsi="Arial"/>
                <w:sz w:val="14"/>
                <w:szCs w:val="14"/>
                <w:color w:val="auto"/>
              </w:rPr>
              <w:t>Total investment by stockholder A (assumed to be $10.00 per share on shares held prior</w:t>
            </w: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780" w:type="dxa"/>
            <w:vAlign w:val="bottom"/>
          </w:tcPr>
          <w:p>
            <w:pPr>
              <w:ind w:left="280"/>
              <w:spacing w:after="0"/>
              <w:rPr>
                <w:sz w:val="20"/>
                <w:szCs w:val="20"/>
                <w:color w:val="auto"/>
              </w:rPr>
            </w:pPr>
            <w:r>
              <w:rPr>
                <w:rFonts w:ascii="Arial" w:cs="Arial" w:eastAsia="Arial" w:hAnsi="Arial"/>
                <w:sz w:val="14"/>
                <w:szCs w:val="14"/>
                <w:color w:val="auto"/>
              </w:rPr>
              <w:t>to sale)</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100,000</w:t>
            </w:r>
          </w:p>
        </w:tc>
        <w:tc>
          <w:tcPr>
            <w:tcW w:w="4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109,863</w:t>
            </w:r>
          </w:p>
        </w:tc>
        <w:tc>
          <w:tcPr>
            <w:tcW w:w="380" w:type="dxa"/>
            <w:vAlign w:val="bottom"/>
          </w:tcPr>
          <w:p>
            <w:pPr>
              <w:spacing w:after="0"/>
              <w:rPr>
                <w:sz w:val="15"/>
                <w:szCs w:val="15"/>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4"/>
                <w:szCs w:val="14"/>
                <w:color w:val="auto"/>
              </w:rPr>
              <w:t>9.86 %</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129,588</w:t>
            </w:r>
          </w:p>
        </w:tc>
        <w:tc>
          <w:tcPr>
            <w:tcW w:w="400" w:type="dxa"/>
            <w:vAlign w:val="bottom"/>
          </w:tcPr>
          <w:p>
            <w:pPr>
              <w:spacing w:after="0"/>
              <w:rPr>
                <w:sz w:val="15"/>
                <w:szCs w:val="15"/>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29.59 %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Total (dilution)/accretion to stockholder A (total NAV less total investment)</w:t>
            </w:r>
          </w:p>
        </w:tc>
        <w:tc>
          <w:tcPr>
            <w:tcW w:w="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gridSpan w:val="2"/>
            <w:shd w:val="clear" w:color="auto" w:fill="CCEEFF"/>
          </w:tcPr>
          <w:p>
            <w:pPr>
              <w:jc w:val="right"/>
              <w:ind w:right="5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(2,988)</w:t>
            </w:r>
          </w:p>
        </w:tc>
        <w:tc>
          <w:tcPr>
            <w:tcW w:w="3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5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1,037</w:t>
            </w:r>
          </w:p>
        </w:tc>
        <w:tc>
          <w:tcPr>
            <w:tcW w:w="4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780" w:type="dxa"/>
            <w:vAlign w:val="bottom"/>
          </w:tcPr>
          <w:p>
            <w:pPr>
              <w:spacing w:after="0"/>
              <w:rPr>
                <w:sz w:val="20"/>
                <w:szCs w:val="20"/>
                <w:color w:val="auto"/>
              </w:rPr>
            </w:pPr>
            <w:r>
              <w:rPr>
                <w:rFonts w:ascii="Arial" w:cs="Arial" w:eastAsia="Arial" w:hAnsi="Arial"/>
                <w:sz w:val="14"/>
                <w:szCs w:val="14"/>
                <w:b w:val="1"/>
                <w:bCs w:val="1"/>
                <w:color w:val="auto"/>
              </w:rPr>
              <w:t>Per Share Amounts</w:t>
            </w: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5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NAV per share held by stockholder A</w:t>
            </w:r>
          </w:p>
        </w:tc>
        <w:tc>
          <w:tcPr>
            <w:tcW w:w="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gridSpan w:val="2"/>
            <w:shd w:val="clear" w:color="auto" w:fill="CCEEFF"/>
          </w:tcPr>
          <w:p>
            <w:pPr>
              <w:jc w:val="right"/>
              <w:ind w:right="5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9.50</w:t>
            </w:r>
          </w:p>
        </w:tc>
        <w:tc>
          <w:tcPr>
            <w:tcW w:w="3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9.50</w:t>
            </w:r>
          </w:p>
        </w:tc>
        <w:tc>
          <w:tcPr>
            <w:tcW w:w="4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780" w:type="dxa"/>
            <w:vAlign w:val="bottom"/>
          </w:tcPr>
          <w:p>
            <w:pPr>
              <w:ind w:left="280"/>
              <w:spacing w:after="0" w:line="130" w:lineRule="exact"/>
              <w:rPr>
                <w:sz w:val="20"/>
                <w:szCs w:val="20"/>
                <w:color w:val="auto"/>
              </w:rPr>
            </w:pPr>
            <w:r>
              <w:rPr>
                <w:rFonts w:ascii="Arial" w:cs="Arial" w:eastAsia="Arial" w:hAnsi="Arial"/>
                <w:sz w:val="14"/>
                <w:szCs w:val="14"/>
                <w:color w:val="auto"/>
              </w:rPr>
              <w:t>Investment per share held by stockholder A (assumed to be $10.00 per share on shares</w:t>
            </w: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780" w:type="dxa"/>
            <w:vAlign w:val="bottom"/>
          </w:tcPr>
          <w:p>
            <w:pPr>
              <w:ind w:left="280"/>
              <w:spacing w:after="0"/>
              <w:rPr>
                <w:sz w:val="20"/>
                <w:szCs w:val="20"/>
                <w:color w:val="auto"/>
              </w:rPr>
            </w:pPr>
            <w:r>
              <w:rPr>
                <w:rFonts w:ascii="Arial" w:cs="Arial" w:eastAsia="Arial" w:hAnsi="Arial"/>
                <w:sz w:val="14"/>
                <w:szCs w:val="14"/>
                <w:color w:val="auto"/>
              </w:rPr>
              <w:t>held prior to sale)</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10.00</w:t>
            </w:r>
          </w:p>
        </w:tc>
        <w:tc>
          <w:tcPr>
            <w:tcW w:w="4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9.77</w:t>
            </w:r>
          </w:p>
        </w:tc>
        <w:tc>
          <w:tcPr>
            <w:tcW w:w="380" w:type="dxa"/>
            <w:vAlign w:val="bottom"/>
          </w:tcPr>
          <w:p>
            <w:pPr>
              <w:spacing w:after="0"/>
              <w:rPr>
                <w:sz w:val="15"/>
                <w:szCs w:val="15"/>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4"/>
                <w:szCs w:val="14"/>
                <w:color w:val="auto"/>
              </w:rPr>
              <w:t>(2.30)%</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9.42</w:t>
            </w:r>
          </w:p>
        </w:tc>
        <w:tc>
          <w:tcPr>
            <w:tcW w:w="400" w:type="dxa"/>
            <w:vAlign w:val="bottom"/>
          </w:tcPr>
          <w:p>
            <w:pPr>
              <w:spacing w:after="0"/>
              <w:rPr>
                <w:sz w:val="15"/>
                <w:szCs w:val="15"/>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(5.80)%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780" w:type="dxa"/>
            <w:vAlign w:val="bottom"/>
            <w:shd w:val="clear" w:color="auto" w:fill="CCEEFF"/>
          </w:tcPr>
          <w:p>
            <w:pPr>
              <w:ind w:left="280"/>
              <w:spacing w:after="0" w:line="130" w:lineRule="exact"/>
              <w:rPr>
                <w:sz w:val="20"/>
                <w:szCs w:val="20"/>
                <w:color w:val="auto"/>
              </w:rPr>
            </w:pPr>
            <w:r>
              <w:rPr>
                <w:rFonts w:ascii="Arial" w:cs="Arial" w:eastAsia="Arial" w:hAnsi="Arial"/>
                <w:sz w:val="14"/>
                <w:szCs w:val="14"/>
                <w:color w:val="auto"/>
              </w:rPr>
              <w:t>(Dilution)/accretion per share held by stockholder A (NAV per share less investment per</w:t>
            </w: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share)</w:t>
            </w:r>
          </w:p>
        </w:tc>
        <w:tc>
          <w:tcPr>
            <w:tcW w:w="8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(0.27)</w:t>
            </w:r>
          </w:p>
        </w:tc>
        <w:tc>
          <w:tcPr>
            <w:tcW w:w="3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0.08</w:t>
            </w:r>
          </w:p>
        </w:tc>
        <w:tc>
          <w:tcPr>
            <w:tcW w:w="4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780" w:type="dxa"/>
            <w:vAlign w:val="bottom"/>
          </w:tcPr>
          <w:p>
            <w:pPr>
              <w:ind w:left="280"/>
              <w:spacing w:after="0" w:line="130" w:lineRule="exact"/>
              <w:rPr>
                <w:sz w:val="20"/>
                <w:szCs w:val="20"/>
                <w:color w:val="auto"/>
              </w:rPr>
            </w:pPr>
            <w:r>
              <w:rPr>
                <w:rFonts w:ascii="Arial" w:cs="Arial" w:eastAsia="Arial" w:hAnsi="Arial"/>
                <w:sz w:val="14"/>
                <w:szCs w:val="14"/>
                <w:color w:val="auto"/>
              </w:rPr>
              <w:t>Percentage (dilution)/accretion to stockholder A (dilution/accretion per share divided by</w:t>
            </w: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80" w:type="dxa"/>
            <w:vAlign w:val="bottom"/>
          </w:tcPr>
          <w:p>
            <w:pPr>
              <w:ind w:left="280"/>
              <w:spacing w:after="0"/>
              <w:rPr>
                <w:sz w:val="20"/>
                <w:szCs w:val="20"/>
                <w:color w:val="auto"/>
              </w:rPr>
            </w:pPr>
            <w:r>
              <w:rPr>
                <w:rFonts w:ascii="Arial" w:cs="Arial" w:eastAsia="Arial" w:hAnsi="Arial"/>
                <w:sz w:val="14"/>
                <w:szCs w:val="14"/>
                <w:color w:val="auto"/>
              </w:rPr>
              <w:t>investment per share)</w:t>
            </w:r>
          </w:p>
        </w:tc>
        <w:tc>
          <w:tcPr>
            <w:tcW w:w="80" w:type="dxa"/>
            <w:vAlign w:val="bottom"/>
          </w:tcPr>
          <w:p>
            <w:pPr>
              <w:spacing w:after="0"/>
              <w:rPr>
                <w:sz w:val="17"/>
                <w:szCs w:val="17"/>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400"/>
              <w:spacing w:after="0"/>
              <w:rPr>
                <w:sz w:val="20"/>
                <w:szCs w:val="20"/>
                <w:color w:val="auto"/>
              </w:rPr>
            </w:pPr>
            <w:r>
              <w:rPr>
                <w:rFonts w:ascii="Arial" w:cs="Arial" w:eastAsia="Arial" w:hAnsi="Arial"/>
                <w:sz w:val="14"/>
                <w:szCs w:val="14"/>
                <w:color w:val="auto"/>
              </w:rPr>
              <w:t>(2.76)%</w:t>
            </w:r>
          </w:p>
        </w:tc>
        <w:tc>
          <w:tcPr>
            <w:tcW w:w="120" w:type="dxa"/>
            <w:vAlign w:val="bottom"/>
          </w:tcPr>
          <w:p>
            <w:pPr>
              <w:spacing w:after="0"/>
              <w:rPr>
                <w:sz w:val="17"/>
                <w:szCs w:val="17"/>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0.85%</w:t>
            </w:r>
          </w:p>
        </w:tc>
        <w:tc>
          <w:tcPr>
            <w:tcW w:w="0" w:type="dxa"/>
            <w:vAlign w:val="bottom"/>
          </w:tcPr>
          <w:p>
            <w:pPr>
              <w:spacing w:after="0"/>
              <w:rPr>
                <w:sz w:val="1"/>
                <w:szCs w:val="1"/>
                <w:color w:val="auto"/>
              </w:rPr>
            </w:pP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New Investors</w:t>
      </w:r>
    </w:p>
    <w:p>
      <w:pPr>
        <w:spacing w:after="0" w:line="11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following examples illustrate the level of NAV dilution or accretion that would be experienced by a new stockholder in three different hypothetical common stock offerings of different sizes and levels of discount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from NAV per share, although it is not possible to predict the level of market price decline that may occur. Actual sales prices and discounts may differ from the presentation below.</w:t>
      </w:r>
    </w:p>
    <w:p>
      <w:pPr>
        <w:spacing w:after="0" w:line="17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Investors who are not currently stockholders, but who participate in an offering below NAV and whose investment per share is greater than the resulting NAV per share due to any underwriting discounts and expenses paid by us will experience an immediate decrease, albeit small, in the NAV of their shares and their NAV per share compared to the price they pay for their shares. Investors who are not currently stockholders and who participate in an offering below NAV per share and whose investment per share is also less than the resulting NAV per share due to any underwriting discounts and expenses paid by us being significantly less than the discount per share, will experience an immediate increase in the NAV of their shares and their NAV per share compared to the price they pay for their shares. All these investors will experience a disproportionately greater participation in our earnings and assets and their voting power than our increase in assets, potential earning power and voting interests. These investors will, however, be subject to the risk that we may make additional discounted offerings in which such new stockholder does not participate, in which case such new stockholder will experience dilution as described above in such subsequent offerings. These investors may also experience a decline in the market price of their shares, which often reflects to some degree announced or potential increases and decreases in NAV per share. Their decrease could be more pronounced as the size of the offering and level of discounts increases.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following examples illustrate the level of NAV dilution or accretion that would be experienced by a new stockholder who purchases the same percentage (1.00%) of the shares in the three different hypothetical offerings of common stock of different sizes and levels of discount from NAV per share. The examples assume that Company XYZ has 1,000,000 shares of common stock outstanding, $15.0 million in total assets and $5.0 million in total liabilities. The current NAV and NAV per share are thus $10.0 million and $10.00, respectively. The table below illustrates the dilutive and accretive effects on a stockholder A at (1) an offering of 50,000 shares (5% of the outstanding shares) at $9.50 per share after offering expenses and commission (a 5% discount from NAV); (2) an offering of 100,000 shares (10% of the outstanding shares) at $9.00 per share after offering expenses and commissions (a 10% discount from NAV); and (3) an offering of 250,000 shares (25% of the outstanding shares) at $7.50 per share after offering expenses and commissions (a 25% discount from NAV).</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3"/>
          </w:tcPr>
          <w:p>
            <w:pPr>
              <w:jc w:val="center"/>
              <w:ind w:left="388"/>
              <w:spacing w:after="0"/>
              <w:rPr>
                <w:sz w:val="20"/>
                <w:szCs w:val="20"/>
                <w:color w:val="auto"/>
              </w:rPr>
            </w:pPr>
            <w:r>
              <w:rPr>
                <w:rFonts w:ascii="Arial" w:cs="Arial" w:eastAsia="Arial" w:hAnsi="Arial"/>
                <w:sz w:val="14"/>
                <w:szCs w:val="14"/>
                <w:b w:val="1"/>
                <w:bCs w:val="1"/>
                <w:color w:val="auto"/>
                <w:w w:val="92"/>
              </w:rPr>
              <w:t>Example 1</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left="448"/>
              <w:spacing w:after="0"/>
              <w:rPr>
                <w:sz w:val="20"/>
                <w:szCs w:val="20"/>
                <w:color w:val="auto"/>
              </w:rPr>
            </w:pPr>
            <w:r>
              <w:rPr>
                <w:rFonts w:ascii="Arial" w:cs="Arial" w:eastAsia="Arial" w:hAnsi="Arial"/>
                <w:sz w:val="14"/>
                <w:szCs w:val="14"/>
                <w:b w:val="1"/>
                <w:bCs w:val="1"/>
                <w:color w:val="auto"/>
                <w:w w:val="92"/>
              </w:rPr>
              <w:t>Example 2</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left="428"/>
              <w:spacing w:after="0"/>
              <w:rPr>
                <w:sz w:val="20"/>
                <w:szCs w:val="20"/>
                <w:color w:val="auto"/>
              </w:rPr>
            </w:pPr>
            <w:r>
              <w:rPr>
                <w:rFonts w:ascii="Arial" w:cs="Arial" w:eastAsia="Arial" w:hAnsi="Arial"/>
                <w:sz w:val="14"/>
                <w:szCs w:val="14"/>
                <w:b w:val="1"/>
                <w:bCs w:val="1"/>
                <w:color w:val="auto"/>
                <w:w w:val="95"/>
              </w:rPr>
              <w:t>Example 3</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3"/>
          </w:tcPr>
          <w:p>
            <w:pPr>
              <w:jc w:val="center"/>
              <w:ind w:left="408"/>
              <w:spacing w:after="0" w:line="149" w:lineRule="exact"/>
              <w:rPr>
                <w:sz w:val="20"/>
                <w:szCs w:val="20"/>
                <w:color w:val="auto"/>
              </w:rPr>
            </w:pPr>
            <w:r>
              <w:rPr>
                <w:rFonts w:ascii="Arial" w:cs="Arial" w:eastAsia="Arial" w:hAnsi="Arial"/>
                <w:sz w:val="14"/>
                <w:szCs w:val="14"/>
                <w:b w:val="1"/>
                <w:bCs w:val="1"/>
                <w:color w:val="auto"/>
                <w:w w:val="99"/>
              </w:rPr>
              <w:t>5% Offering</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10% Offering</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0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99"/>
              </w:rPr>
              <w:t>25% Offering</w:t>
            </w:r>
          </w:p>
        </w:tc>
        <w:tc>
          <w:tcPr>
            <w:tcW w:w="0" w:type="dxa"/>
            <w:vAlign w:val="bottom"/>
          </w:tcPr>
          <w:p>
            <w:pPr>
              <w:spacing w:after="0"/>
              <w:rPr>
                <w:sz w:val="1"/>
                <w:szCs w:val="1"/>
                <w:color w:val="auto"/>
              </w:rPr>
            </w:pPr>
          </w:p>
        </w:tc>
      </w:tr>
      <w:tr>
        <w:trPr>
          <w:trHeight w:val="171"/>
        </w:trPr>
        <w:tc>
          <w:tcPr>
            <w:tcW w:w="3420" w:type="dxa"/>
            <w:vAlign w:val="bottom"/>
          </w:tcPr>
          <w:p>
            <w:pPr>
              <w:spacing w:after="0"/>
              <w:rPr>
                <w:sz w:val="14"/>
                <w:szCs w:val="14"/>
                <w:color w:val="auto"/>
              </w:rPr>
            </w:pPr>
          </w:p>
        </w:tc>
        <w:tc>
          <w:tcPr>
            <w:tcW w:w="108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w w:val="99"/>
              </w:rPr>
              <w:t>Prior to Sale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5"/>
              </w:rPr>
              <w:t>at 5% Discount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4"/>
              </w:rPr>
              <w:t>at 10% Discount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4"/>
              </w:rPr>
              <w:t>at 25% Discount</w:t>
            </w:r>
          </w:p>
        </w:tc>
        <w:tc>
          <w:tcPr>
            <w:tcW w:w="0" w:type="dxa"/>
            <w:vAlign w:val="bottom"/>
          </w:tcPr>
          <w:p>
            <w:pPr>
              <w:spacing w:after="0"/>
              <w:rPr>
                <w:sz w:val="1"/>
                <w:szCs w:val="1"/>
                <w:color w:val="auto"/>
              </w:rPr>
            </w:pPr>
          </w:p>
        </w:tc>
      </w:tr>
      <w:tr>
        <w:trPr>
          <w:trHeight w:val="119"/>
        </w:trPr>
        <w:tc>
          <w:tcPr>
            <w:tcW w:w="342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3"/>
          </w:tcPr>
          <w:p>
            <w:pPr>
              <w:jc w:val="center"/>
              <w:ind w:right="560"/>
              <w:spacing w:after="0" w:line="119" w:lineRule="exact"/>
              <w:rPr>
                <w:sz w:val="20"/>
                <w:szCs w:val="20"/>
                <w:color w:val="auto"/>
              </w:rPr>
            </w:pPr>
            <w:r>
              <w:rPr>
                <w:rFonts w:ascii="Arial" w:cs="Arial" w:eastAsia="Arial" w:hAnsi="Arial"/>
                <w:sz w:val="13"/>
                <w:szCs w:val="13"/>
                <w:b w:val="1"/>
                <w:bCs w:val="1"/>
                <w:color w:val="auto"/>
              </w:rPr>
              <w:t>Following</w:t>
            </w:r>
          </w:p>
        </w:tc>
        <w:tc>
          <w:tcPr>
            <w:tcW w:w="560" w:type="dxa"/>
            <w:vAlign w:val="bottom"/>
            <w:tcBorders>
              <w:top w:val="single" w:sz="8" w:color="auto"/>
            </w:tcBorders>
          </w:tcPr>
          <w:p>
            <w:pPr>
              <w:jc w:val="right"/>
              <w:ind w:right="168"/>
              <w:spacing w:after="0" w:line="119" w:lineRule="exact"/>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2"/>
          </w:tcPr>
          <w:p>
            <w:pPr>
              <w:jc w:val="center"/>
              <w:ind w:right="520"/>
              <w:spacing w:after="0" w:line="119" w:lineRule="exact"/>
              <w:rPr>
                <w:sz w:val="20"/>
                <w:szCs w:val="20"/>
                <w:color w:val="auto"/>
              </w:rPr>
            </w:pPr>
            <w:r>
              <w:rPr>
                <w:rFonts w:ascii="Arial" w:cs="Arial" w:eastAsia="Arial" w:hAnsi="Arial"/>
                <w:sz w:val="13"/>
                <w:szCs w:val="13"/>
                <w:b w:val="1"/>
                <w:bCs w:val="1"/>
                <w:color w:val="auto"/>
                <w:w w:val="98"/>
              </w:rPr>
              <w:t>Following</w:t>
            </w:r>
          </w:p>
        </w:tc>
        <w:tc>
          <w:tcPr>
            <w:tcW w:w="620" w:type="dxa"/>
            <w:vAlign w:val="bottom"/>
            <w:tcBorders>
              <w:top w:val="single" w:sz="8" w:color="auto"/>
            </w:tcBorders>
          </w:tcPr>
          <w:p>
            <w:pPr>
              <w:jc w:val="right"/>
              <w:ind w:right="168"/>
              <w:spacing w:after="0" w:line="119" w:lineRule="exact"/>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2"/>
          </w:tcPr>
          <w:p>
            <w:pPr>
              <w:jc w:val="center"/>
              <w:ind w:right="520"/>
              <w:spacing w:after="0" w:line="119" w:lineRule="exact"/>
              <w:rPr>
                <w:sz w:val="20"/>
                <w:szCs w:val="20"/>
                <w:color w:val="auto"/>
              </w:rPr>
            </w:pPr>
            <w:r>
              <w:rPr>
                <w:rFonts w:ascii="Arial" w:cs="Arial" w:eastAsia="Arial" w:hAnsi="Arial"/>
                <w:sz w:val="13"/>
                <w:szCs w:val="13"/>
                <w:b w:val="1"/>
                <w:bCs w:val="1"/>
                <w:color w:val="auto"/>
                <w:w w:val="98"/>
              </w:rPr>
              <w:t>Following</w:t>
            </w:r>
          </w:p>
        </w:tc>
        <w:tc>
          <w:tcPr>
            <w:tcW w:w="620" w:type="dxa"/>
            <w:vAlign w:val="bottom"/>
            <w:tcBorders>
              <w:top w:val="single" w:sz="8" w:color="auto"/>
            </w:tcBorders>
          </w:tcPr>
          <w:p>
            <w:pPr>
              <w:ind w:left="240"/>
              <w:spacing w:after="0" w:line="119" w:lineRule="exact"/>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420" w:type="dxa"/>
            <w:vAlign w:val="bottom"/>
          </w:tcPr>
          <w:p>
            <w:pPr>
              <w:spacing w:after="0"/>
              <w:rPr>
                <w:sz w:val="14"/>
                <w:szCs w:val="14"/>
                <w:color w:val="auto"/>
              </w:rPr>
            </w:pPr>
          </w:p>
        </w:tc>
        <w:tc>
          <w:tcPr>
            <w:tcW w:w="1080" w:type="dxa"/>
            <w:vAlign w:val="bottom"/>
          </w:tcPr>
          <w:p>
            <w:pPr>
              <w:jc w:val="right"/>
              <w:ind w:right="208"/>
              <w:spacing w:after="0"/>
              <w:rPr>
                <w:sz w:val="20"/>
                <w:szCs w:val="20"/>
                <w:color w:val="auto"/>
              </w:rPr>
            </w:pPr>
            <w:r>
              <w:rPr>
                <w:rFonts w:ascii="Arial" w:cs="Arial" w:eastAsia="Arial" w:hAnsi="Arial"/>
                <w:sz w:val="14"/>
                <w:szCs w:val="14"/>
                <w:b w:val="1"/>
                <w:bCs w:val="1"/>
                <w:color w:val="auto"/>
              </w:rPr>
              <w:t>Below NAV</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0"/>
              </w:rPr>
              <w:t>Sale</w:t>
            </w:r>
          </w:p>
        </w:tc>
        <w:tc>
          <w:tcPr>
            <w:tcW w:w="7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3"/>
              </w:rPr>
              <w:t>Change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0"/>
              </w:rPr>
              <w:t>Sale</w:t>
            </w:r>
          </w:p>
        </w:tc>
        <w:tc>
          <w:tcPr>
            <w:tcW w:w="8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3"/>
              </w:rPr>
              <w:t>Sale</w:t>
            </w:r>
          </w:p>
        </w:tc>
        <w:tc>
          <w:tcPr>
            <w:tcW w:w="70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4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i w:val="1"/>
                <w:iCs w:val="1"/>
                <w:color w:val="auto"/>
              </w:rPr>
              <w:t>Offering Price</w:t>
            </w:r>
          </w:p>
        </w:tc>
        <w:tc>
          <w:tcPr>
            <w:tcW w:w="10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420" w:type="dxa"/>
            <w:vAlign w:val="bottom"/>
          </w:tcPr>
          <w:p>
            <w:pPr>
              <w:spacing w:after="0"/>
              <w:rPr>
                <w:sz w:val="20"/>
                <w:szCs w:val="20"/>
                <w:color w:val="auto"/>
              </w:rPr>
            </w:pPr>
            <w:r>
              <w:rPr>
                <w:rFonts w:ascii="Arial" w:cs="Arial" w:eastAsia="Arial" w:hAnsi="Arial"/>
                <w:sz w:val="14"/>
                <w:szCs w:val="14"/>
                <w:color w:val="auto"/>
              </w:rPr>
              <w:t>Price per share to public</w:t>
            </w:r>
          </w:p>
        </w:tc>
        <w:tc>
          <w:tcPr>
            <w:tcW w:w="108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10.00</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9.47</w:t>
            </w:r>
          </w:p>
        </w:tc>
        <w:tc>
          <w:tcPr>
            <w:tcW w:w="40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7.89</w:t>
            </w:r>
          </w:p>
        </w:tc>
        <w:tc>
          <w:tcPr>
            <w:tcW w:w="400" w:type="dxa"/>
            <w:vAlign w:val="bottom"/>
          </w:tcPr>
          <w:p>
            <w:pPr>
              <w:spacing w:after="0"/>
              <w:rPr>
                <w:sz w:val="14"/>
                <w:szCs w:val="14"/>
                <w:color w:val="auto"/>
              </w:rPr>
            </w:pPr>
          </w:p>
        </w:tc>
        <w:tc>
          <w:tcPr>
            <w:tcW w:w="70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420" w:type="dxa"/>
            <w:vAlign w:val="bottom"/>
            <w:shd w:val="clear" w:color="auto" w:fill="CCEEFF"/>
          </w:tcPr>
          <w:p>
            <w:pPr>
              <w:spacing w:after="0"/>
              <w:rPr>
                <w:sz w:val="20"/>
                <w:szCs w:val="20"/>
                <w:color w:val="auto"/>
              </w:rPr>
            </w:pPr>
            <w:r>
              <w:rPr>
                <w:rFonts w:ascii="Arial" w:cs="Arial" w:eastAsia="Arial" w:hAnsi="Arial"/>
                <w:sz w:val="14"/>
                <w:szCs w:val="14"/>
                <w:color w:val="auto"/>
              </w:rPr>
              <w:t>Net offering proceeds per share to issuer</w:t>
            </w:r>
          </w:p>
        </w:tc>
        <w:tc>
          <w:tcPr>
            <w:tcW w:w="10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9.50</w:t>
            </w: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9.00</w:t>
            </w:r>
          </w:p>
        </w:tc>
        <w:tc>
          <w:tcPr>
            <w:tcW w:w="4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7.50</w:t>
            </w:r>
          </w:p>
        </w:tc>
        <w:tc>
          <w:tcPr>
            <w:tcW w:w="4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420" w:type="dxa"/>
            <w:vAlign w:val="bottom"/>
          </w:tcPr>
          <w:p>
            <w:pPr>
              <w:spacing w:after="0"/>
              <w:rPr>
                <w:sz w:val="20"/>
                <w:szCs w:val="20"/>
                <w:color w:val="auto"/>
              </w:rPr>
            </w:pPr>
            <w:r>
              <w:rPr>
                <w:rFonts w:ascii="Arial" w:cs="Arial" w:eastAsia="Arial" w:hAnsi="Arial"/>
                <w:sz w:val="14"/>
                <w:szCs w:val="14"/>
                <w:b w:val="1"/>
                <w:bCs w:val="1"/>
                <w:i w:val="1"/>
                <w:iCs w:val="1"/>
                <w:color w:val="auto"/>
              </w:rPr>
              <w:t>Decrease to NAV</w:t>
            </w: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20" w:type="dxa"/>
            <w:vAlign w:val="bottom"/>
            <w:shd w:val="clear" w:color="auto" w:fill="CCEEFF"/>
          </w:tcPr>
          <w:p>
            <w:pPr>
              <w:spacing w:after="0"/>
              <w:rPr>
                <w:sz w:val="20"/>
                <w:szCs w:val="20"/>
                <w:color w:val="auto"/>
              </w:rPr>
            </w:pPr>
            <w:r>
              <w:rPr>
                <w:rFonts w:ascii="Arial" w:cs="Arial" w:eastAsia="Arial" w:hAnsi="Arial"/>
                <w:sz w:val="14"/>
                <w:szCs w:val="14"/>
                <w:color w:val="auto"/>
              </w:rPr>
              <w:t>Total shares outstanding</w:t>
            </w:r>
          </w:p>
        </w:tc>
        <w:tc>
          <w:tcPr>
            <w:tcW w:w="10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1,050,000</w:t>
            </w: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5.00 %</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1,100,000</w:t>
            </w:r>
          </w:p>
        </w:tc>
        <w:tc>
          <w:tcPr>
            <w:tcW w:w="4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10.00 %</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1,250,000</w:t>
            </w:r>
          </w:p>
        </w:tc>
        <w:tc>
          <w:tcPr>
            <w:tcW w:w="4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25.00 %</w:t>
            </w:r>
          </w:p>
        </w:tc>
        <w:tc>
          <w:tcPr>
            <w:tcW w:w="0" w:type="dxa"/>
            <w:vAlign w:val="bottom"/>
          </w:tcPr>
          <w:p>
            <w:pPr>
              <w:spacing w:after="0"/>
              <w:rPr>
                <w:sz w:val="1"/>
                <w:szCs w:val="1"/>
                <w:color w:val="auto"/>
              </w:rPr>
            </w:pPr>
          </w:p>
        </w:tc>
      </w:tr>
      <w:tr>
        <w:trPr>
          <w:trHeight w:val="162"/>
        </w:trPr>
        <w:tc>
          <w:tcPr>
            <w:tcW w:w="3420" w:type="dxa"/>
            <w:vAlign w:val="bottom"/>
          </w:tcPr>
          <w:p>
            <w:pPr>
              <w:spacing w:after="0"/>
              <w:rPr>
                <w:sz w:val="20"/>
                <w:szCs w:val="20"/>
                <w:color w:val="auto"/>
              </w:rPr>
            </w:pPr>
            <w:r>
              <w:rPr>
                <w:rFonts w:ascii="Arial" w:cs="Arial" w:eastAsia="Arial" w:hAnsi="Arial"/>
                <w:sz w:val="14"/>
                <w:szCs w:val="14"/>
                <w:color w:val="auto"/>
              </w:rPr>
              <w:t>NAV per share</w:t>
            </w:r>
          </w:p>
        </w:tc>
        <w:tc>
          <w:tcPr>
            <w:tcW w:w="108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9.98</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(0.20)%</w:t>
            </w:r>
          </w:p>
        </w:tc>
        <w:tc>
          <w:tcPr>
            <w:tcW w:w="3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9.91</w:t>
            </w:r>
          </w:p>
        </w:tc>
        <w:tc>
          <w:tcPr>
            <w:tcW w:w="40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(0.90)%</w:t>
            </w:r>
          </w:p>
        </w:tc>
        <w:tc>
          <w:tcPr>
            <w:tcW w:w="3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9.50</w:t>
            </w:r>
          </w:p>
        </w:tc>
        <w:tc>
          <w:tcPr>
            <w:tcW w:w="40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62"/>
        </w:trPr>
        <w:tc>
          <w:tcPr>
            <w:tcW w:w="3420" w:type="dxa"/>
            <w:vAlign w:val="bottom"/>
            <w:shd w:val="clear" w:color="auto" w:fill="CCEEFF"/>
          </w:tcPr>
          <w:p>
            <w:pPr>
              <w:spacing w:after="0"/>
              <w:rPr>
                <w:sz w:val="20"/>
                <w:szCs w:val="20"/>
                <w:color w:val="auto"/>
              </w:rPr>
            </w:pPr>
            <w:r>
              <w:rPr>
                <w:rFonts w:ascii="Arial" w:cs="Arial" w:eastAsia="Arial" w:hAnsi="Arial"/>
                <w:sz w:val="14"/>
                <w:szCs w:val="14"/>
                <w:b w:val="1"/>
                <w:bCs w:val="1"/>
                <w:i w:val="1"/>
                <w:iCs w:val="1"/>
                <w:color w:val="auto"/>
              </w:rPr>
              <w:t>Dilution to Stockholder A</w:t>
            </w:r>
          </w:p>
        </w:tc>
        <w:tc>
          <w:tcPr>
            <w:tcW w:w="10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20" w:type="dxa"/>
            <w:vAlign w:val="bottom"/>
          </w:tcPr>
          <w:p>
            <w:pPr>
              <w:spacing w:after="0"/>
              <w:rPr>
                <w:sz w:val="20"/>
                <w:szCs w:val="20"/>
                <w:color w:val="auto"/>
              </w:rPr>
            </w:pPr>
            <w:r>
              <w:rPr>
                <w:rFonts w:ascii="Arial" w:cs="Arial" w:eastAsia="Arial" w:hAnsi="Arial"/>
                <w:sz w:val="14"/>
                <w:szCs w:val="14"/>
                <w:color w:val="auto"/>
              </w:rPr>
              <w:t>Shares held by stockholder A</w:t>
            </w:r>
          </w:p>
        </w:tc>
        <w:tc>
          <w:tcPr>
            <w:tcW w:w="108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500</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1,000</w:t>
            </w:r>
          </w:p>
        </w:tc>
        <w:tc>
          <w:tcPr>
            <w:tcW w:w="40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2,500</w:t>
            </w:r>
          </w:p>
        </w:tc>
        <w:tc>
          <w:tcPr>
            <w:tcW w:w="400" w:type="dxa"/>
            <w:vAlign w:val="bottom"/>
          </w:tcPr>
          <w:p>
            <w:pPr>
              <w:spacing w:after="0"/>
              <w:rPr>
                <w:sz w:val="14"/>
                <w:szCs w:val="14"/>
                <w:color w:val="auto"/>
              </w:rPr>
            </w:pPr>
          </w:p>
        </w:tc>
        <w:tc>
          <w:tcPr>
            <w:tcW w:w="70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420" w:type="dxa"/>
            <w:vAlign w:val="bottom"/>
            <w:shd w:val="clear" w:color="auto" w:fill="CCEEFF"/>
          </w:tcPr>
          <w:p>
            <w:pPr>
              <w:spacing w:after="0"/>
              <w:rPr>
                <w:sz w:val="20"/>
                <w:szCs w:val="20"/>
                <w:color w:val="auto"/>
              </w:rPr>
            </w:pPr>
            <w:r>
              <w:rPr>
                <w:rFonts w:ascii="Arial" w:cs="Arial" w:eastAsia="Arial" w:hAnsi="Arial"/>
                <w:sz w:val="14"/>
                <w:szCs w:val="14"/>
                <w:color w:val="auto"/>
              </w:rPr>
              <w:t>Percentage held by stockholder A</w:t>
            </w:r>
          </w:p>
        </w:tc>
        <w:tc>
          <w:tcPr>
            <w:tcW w:w="10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0.05%</w:t>
            </w: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0.90%</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0.20%</w:t>
            </w: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420" w:type="dxa"/>
            <w:vAlign w:val="bottom"/>
          </w:tcPr>
          <w:p>
            <w:pPr>
              <w:spacing w:after="0"/>
              <w:rPr>
                <w:sz w:val="20"/>
                <w:szCs w:val="20"/>
                <w:color w:val="auto"/>
              </w:rPr>
            </w:pPr>
            <w:r>
              <w:rPr>
                <w:rFonts w:ascii="Arial" w:cs="Arial" w:eastAsia="Arial" w:hAnsi="Arial"/>
                <w:sz w:val="14"/>
                <w:szCs w:val="14"/>
                <w:b w:val="1"/>
                <w:bCs w:val="1"/>
                <w:color w:val="auto"/>
              </w:rPr>
              <w:t>Total Asset Values</w:t>
            </w: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Total NAV held by stockholder A</w:t>
            </w:r>
          </w:p>
        </w:tc>
        <w:tc>
          <w:tcPr>
            <w:tcW w:w="10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4,990</w:t>
            </w: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9,910</w:t>
            </w:r>
          </w:p>
        </w:tc>
        <w:tc>
          <w:tcPr>
            <w:tcW w:w="4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23,750</w:t>
            </w:r>
          </w:p>
        </w:tc>
        <w:tc>
          <w:tcPr>
            <w:tcW w:w="4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420" w:type="dxa"/>
            <w:vAlign w:val="bottom"/>
          </w:tcPr>
          <w:p>
            <w:pPr>
              <w:ind w:left="300"/>
              <w:spacing w:after="0"/>
              <w:rPr>
                <w:sz w:val="20"/>
                <w:szCs w:val="20"/>
                <w:color w:val="auto"/>
              </w:rPr>
            </w:pPr>
            <w:r>
              <w:rPr>
                <w:rFonts w:ascii="Arial" w:cs="Arial" w:eastAsia="Arial" w:hAnsi="Arial"/>
                <w:sz w:val="14"/>
                <w:szCs w:val="14"/>
                <w:color w:val="auto"/>
              </w:rPr>
              <w:t>Total investment by stockholder A</w:t>
            </w:r>
          </w:p>
        </w:tc>
        <w:tc>
          <w:tcPr>
            <w:tcW w:w="108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5,000</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9,470</w:t>
            </w:r>
          </w:p>
        </w:tc>
        <w:tc>
          <w:tcPr>
            <w:tcW w:w="40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19,725</w:t>
            </w:r>
          </w:p>
        </w:tc>
        <w:tc>
          <w:tcPr>
            <w:tcW w:w="400" w:type="dxa"/>
            <w:vAlign w:val="bottom"/>
          </w:tcPr>
          <w:p>
            <w:pPr>
              <w:spacing w:after="0"/>
              <w:rPr>
                <w:sz w:val="14"/>
                <w:szCs w:val="14"/>
                <w:color w:val="auto"/>
              </w:rPr>
            </w:pPr>
          </w:p>
        </w:tc>
        <w:tc>
          <w:tcPr>
            <w:tcW w:w="70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420" w:type="dxa"/>
            <w:vAlign w:val="bottom"/>
            <w:shd w:val="clear" w:color="auto" w:fill="CCEEFF"/>
          </w:tcPr>
          <w:p>
            <w:pPr>
              <w:ind w:left="300"/>
              <w:spacing w:after="0" w:line="130" w:lineRule="exact"/>
              <w:rPr>
                <w:sz w:val="20"/>
                <w:szCs w:val="20"/>
                <w:color w:val="auto"/>
              </w:rPr>
            </w:pPr>
            <w:r>
              <w:rPr>
                <w:rFonts w:ascii="Arial" w:cs="Arial" w:eastAsia="Arial" w:hAnsi="Arial"/>
                <w:sz w:val="14"/>
                <w:szCs w:val="14"/>
                <w:color w:val="auto"/>
              </w:rPr>
              <w:t>Total dilution to stockholder A (total NAV less</w:t>
            </w:r>
          </w:p>
        </w:tc>
        <w:tc>
          <w:tcPr>
            <w:tcW w:w="10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34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total investment)</w:t>
            </w:r>
          </w:p>
        </w:tc>
        <w:tc>
          <w:tcPr>
            <w:tcW w:w="10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4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440</w:t>
            </w:r>
          </w:p>
        </w:tc>
        <w:tc>
          <w:tcPr>
            <w:tcW w:w="4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4,025</w:t>
            </w:r>
          </w:p>
        </w:tc>
        <w:tc>
          <w:tcPr>
            <w:tcW w:w="4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420" w:type="dxa"/>
            <w:vAlign w:val="bottom"/>
          </w:tcPr>
          <w:p>
            <w:pPr>
              <w:spacing w:after="0"/>
              <w:rPr>
                <w:sz w:val="20"/>
                <w:szCs w:val="20"/>
                <w:color w:val="auto"/>
              </w:rPr>
            </w:pPr>
            <w:r>
              <w:rPr>
                <w:rFonts w:ascii="Arial" w:cs="Arial" w:eastAsia="Arial" w:hAnsi="Arial"/>
                <w:sz w:val="14"/>
                <w:szCs w:val="14"/>
                <w:b w:val="1"/>
                <w:bCs w:val="1"/>
                <w:color w:val="auto"/>
              </w:rPr>
              <w:t>Per Share Amounts</w:t>
            </w: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NAV per share held by stockholder A</w:t>
            </w:r>
          </w:p>
        </w:tc>
        <w:tc>
          <w:tcPr>
            <w:tcW w:w="10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9.98</w:t>
            </w: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9.91</w:t>
            </w:r>
          </w:p>
        </w:tc>
        <w:tc>
          <w:tcPr>
            <w:tcW w:w="4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9.50</w:t>
            </w:r>
          </w:p>
        </w:tc>
        <w:tc>
          <w:tcPr>
            <w:tcW w:w="4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420" w:type="dxa"/>
            <w:vAlign w:val="bottom"/>
          </w:tcPr>
          <w:p>
            <w:pPr>
              <w:ind w:left="300"/>
              <w:spacing w:after="0"/>
              <w:rPr>
                <w:sz w:val="20"/>
                <w:szCs w:val="20"/>
                <w:color w:val="auto"/>
              </w:rPr>
            </w:pPr>
            <w:r>
              <w:rPr>
                <w:rFonts w:ascii="Arial" w:cs="Arial" w:eastAsia="Arial" w:hAnsi="Arial"/>
                <w:sz w:val="14"/>
                <w:szCs w:val="14"/>
                <w:color w:val="auto"/>
              </w:rPr>
              <w:t>Investment per share held by stockholder A</w:t>
            </w:r>
          </w:p>
        </w:tc>
        <w:tc>
          <w:tcPr>
            <w:tcW w:w="108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10.00</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9.47</w:t>
            </w:r>
          </w:p>
        </w:tc>
        <w:tc>
          <w:tcPr>
            <w:tcW w:w="40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7.89</w:t>
            </w:r>
          </w:p>
        </w:tc>
        <w:tc>
          <w:tcPr>
            <w:tcW w:w="400" w:type="dxa"/>
            <w:vAlign w:val="bottom"/>
          </w:tcPr>
          <w:p>
            <w:pPr>
              <w:spacing w:after="0"/>
              <w:rPr>
                <w:sz w:val="14"/>
                <w:szCs w:val="14"/>
                <w:color w:val="auto"/>
              </w:rPr>
            </w:pPr>
          </w:p>
        </w:tc>
        <w:tc>
          <w:tcPr>
            <w:tcW w:w="70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420" w:type="dxa"/>
            <w:vAlign w:val="bottom"/>
            <w:shd w:val="clear" w:color="auto" w:fill="CCEEFF"/>
          </w:tcPr>
          <w:p>
            <w:pPr>
              <w:ind w:left="300"/>
              <w:spacing w:after="0" w:line="130" w:lineRule="exact"/>
              <w:rPr>
                <w:sz w:val="20"/>
                <w:szCs w:val="20"/>
                <w:color w:val="auto"/>
              </w:rPr>
            </w:pPr>
            <w:r>
              <w:rPr>
                <w:rFonts w:ascii="Arial" w:cs="Arial" w:eastAsia="Arial" w:hAnsi="Arial"/>
                <w:sz w:val="14"/>
                <w:szCs w:val="14"/>
                <w:color w:val="auto"/>
              </w:rPr>
              <w:t>Dilution per share held by stockholder A (NAV</w:t>
            </w:r>
          </w:p>
        </w:tc>
        <w:tc>
          <w:tcPr>
            <w:tcW w:w="10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34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per share less investment per share)</w:t>
            </w:r>
          </w:p>
        </w:tc>
        <w:tc>
          <w:tcPr>
            <w:tcW w:w="10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4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0.44</w:t>
            </w:r>
          </w:p>
        </w:tc>
        <w:tc>
          <w:tcPr>
            <w:tcW w:w="4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1.61</w:t>
            </w:r>
          </w:p>
        </w:tc>
        <w:tc>
          <w:tcPr>
            <w:tcW w:w="4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420" w:type="dxa"/>
            <w:vAlign w:val="bottom"/>
          </w:tcPr>
          <w:p>
            <w:pPr>
              <w:ind w:left="300"/>
              <w:spacing w:after="0" w:line="130" w:lineRule="exact"/>
              <w:rPr>
                <w:sz w:val="20"/>
                <w:szCs w:val="20"/>
                <w:color w:val="auto"/>
              </w:rPr>
            </w:pPr>
            <w:r>
              <w:rPr>
                <w:rFonts w:ascii="Arial" w:cs="Arial" w:eastAsia="Arial" w:hAnsi="Arial"/>
                <w:sz w:val="14"/>
                <w:szCs w:val="14"/>
                <w:color w:val="auto"/>
              </w:rPr>
              <w:t>Percentage dilution to stockholder A (dilution</w:t>
            </w: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3420" w:type="dxa"/>
            <w:vAlign w:val="bottom"/>
          </w:tcPr>
          <w:p>
            <w:pPr>
              <w:ind w:left="300"/>
              <w:spacing w:after="0"/>
              <w:rPr>
                <w:sz w:val="20"/>
                <w:szCs w:val="20"/>
                <w:color w:val="auto"/>
              </w:rPr>
            </w:pPr>
            <w:r>
              <w:rPr>
                <w:rFonts w:ascii="Arial" w:cs="Arial" w:eastAsia="Arial" w:hAnsi="Arial"/>
                <w:sz w:val="14"/>
                <w:szCs w:val="14"/>
                <w:color w:val="auto"/>
              </w:rPr>
              <w:t>per share divided by investment per share)</w:t>
            </w:r>
          </w:p>
        </w:tc>
        <w:tc>
          <w:tcPr>
            <w:tcW w:w="108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3"/>
          </w:tcPr>
          <w:p>
            <w:pPr>
              <w:jc w:val="center"/>
              <w:ind w:right="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(0.20)%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4.65 %</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20.41%</w:t>
            </w:r>
          </w:p>
        </w:tc>
        <w:tc>
          <w:tcPr>
            <w:tcW w:w="0" w:type="dxa"/>
            <w:vAlign w:val="bottom"/>
          </w:tcPr>
          <w:p>
            <w:pPr>
              <w:spacing w:after="0"/>
              <w:rPr>
                <w:sz w:val="1"/>
                <w:szCs w:val="1"/>
                <w:color w:val="auto"/>
              </w:rPr>
            </w:pPr>
          </w:p>
        </w:tc>
      </w:tr>
    </w:tbl>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DISTRIBUTIONS</w:t>
      </w:r>
    </w:p>
    <w:p>
      <w:pPr>
        <w:spacing w:after="0" w:line="229"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We intend to continue making quarterly distributions to our stockholders. The timing and amount of our quarterly distributions, if any, is determined by our board of directors. Any distributions to our stockholders are declared out of assets legally available for distribution.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 The following table reflects the cash distributions, including dividends and returns of capital per share that we have declared on our common stock since October 1, 2008:</w:t>
      </w:r>
    </w:p>
    <w:p>
      <w:pPr>
        <w:spacing w:after="0" w:line="16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Record Dates</w:t>
            </w:r>
          </w:p>
        </w:tc>
        <w:tc>
          <w:tcPr>
            <w:tcW w:w="3520" w:type="dxa"/>
            <w:vAlign w:val="bottom"/>
            <w:gridSpan w:val="3"/>
            <w:vMerge w:val="restart"/>
          </w:tcPr>
          <w:p>
            <w:pPr>
              <w:jc w:val="right"/>
              <w:ind w:right="1000"/>
              <w:spacing w:after="0"/>
              <w:rPr>
                <w:sz w:val="20"/>
                <w:szCs w:val="20"/>
                <w:color w:val="auto"/>
              </w:rPr>
            </w:pPr>
            <w:r>
              <w:rPr>
                <w:rFonts w:ascii="Arial" w:cs="Arial" w:eastAsia="Arial" w:hAnsi="Arial"/>
                <w:sz w:val="14"/>
                <w:szCs w:val="14"/>
                <w:b w:val="1"/>
                <w:bCs w:val="1"/>
                <w:color w:val="auto"/>
              </w:rPr>
              <w:t>Payment Dates</w:t>
            </w:r>
          </w:p>
        </w:tc>
        <w:tc>
          <w:tcPr>
            <w:tcW w:w="180" w:type="dxa"/>
            <w:vAlign w:val="bottom"/>
          </w:tcPr>
          <w:p>
            <w:pPr>
              <w:spacing w:after="0"/>
              <w:rPr>
                <w:sz w:val="14"/>
                <w:szCs w:val="14"/>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9"/>
              </w:rPr>
              <w:t>Distributions</w:t>
            </w:r>
          </w:p>
        </w:tc>
        <w:tc>
          <w:tcPr>
            <w:tcW w:w="0" w:type="dxa"/>
            <w:vAlign w:val="bottom"/>
          </w:tcPr>
          <w:p>
            <w:pPr>
              <w:spacing w:after="0"/>
              <w:rPr>
                <w:sz w:val="1"/>
                <w:szCs w:val="1"/>
                <w:color w:val="auto"/>
              </w:rPr>
            </w:pPr>
          </w:p>
        </w:tc>
      </w:tr>
      <w:tr>
        <w:trPr>
          <w:trHeight w:val="171"/>
        </w:trPr>
        <w:tc>
          <w:tcPr>
            <w:tcW w:w="4620" w:type="dxa"/>
            <w:vAlign w:val="bottom"/>
            <w:gridSpan w:val="2"/>
            <w:vMerge w:val="continue"/>
          </w:tcPr>
          <w:p>
            <w:pPr>
              <w:spacing w:after="0"/>
              <w:rPr>
                <w:sz w:val="14"/>
                <w:szCs w:val="14"/>
                <w:color w:val="auto"/>
              </w:rPr>
            </w:pPr>
          </w:p>
        </w:tc>
        <w:tc>
          <w:tcPr>
            <w:tcW w:w="352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Declared</w:t>
            </w:r>
          </w:p>
        </w:tc>
        <w:tc>
          <w:tcPr>
            <w:tcW w:w="0" w:type="dxa"/>
            <w:vAlign w:val="bottom"/>
          </w:tcPr>
          <w:p>
            <w:pPr>
              <w:spacing w:after="0"/>
              <w:rPr>
                <w:sz w:val="1"/>
                <w:szCs w:val="1"/>
                <w:color w:val="auto"/>
              </w:rPr>
            </w:pPr>
          </w:p>
        </w:tc>
      </w:tr>
      <w:tr>
        <w:trPr>
          <w:trHeight w:val="196"/>
        </w:trPr>
        <w:tc>
          <w:tcPr>
            <w:tcW w:w="8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86"/>
              </w:rPr>
              <w:t>Fiscal Year</w:t>
            </w:r>
          </w:p>
        </w:tc>
        <w:tc>
          <w:tcPr>
            <w:tcW w:w="3780" w:type="dxa"/>
            <w:vAlign w:val="bottom"/>
            <w:tcBorders>
              <w:top w:val="single" w:sz="8" w:color="CCEEFF"/>
            </w:tcBorders>
            <w:shd w:val="clear" w:color="auto" w:fill="CCEEFF"/>
          </w:tcPr>
          <w:p>
            <w:pPr>
              <w:ind w:left="60"/>
              <w:spacing w:after="0" w:line="196" w:lineRule="exact"/>
              <w:rPr>
                <w:sz w:val="20"/>
                <w:szCs w:val="20"/>
                <w:color w:val="auto"/>
              </w:rPr>
            </w:pPr>
            <w:r>
              <w:rPr>
                <w:rFonts w:ascii="Arial" w:cs="Arial" w:eastAsia="Arial" w:hAnsi="Arial"/>
                <w:sz w:val="18"/>
                <w:szCs w:val="18"/>
                <w:b w:val="1"/>
                <w:bCs w:val="1"/>
                <w:color w:val="auto"/>
              </w:rPr>
              <w:t>Ending September 30, 2014</w:t>
            </w:r>
          </w:p>
        </w:tc>
        <w:tc>
          <w:tcPr>
            <w:tcW w:w="16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20" w:type="dxa"/>
            <w:vAlign w:val="bottom"/>
            <w:gridSpan w:val="2"/>
          </w:tcPr>
          <w:p>
            <w:pPr>
              <w:ind w:left="360"/>
              <w:spacing w:after="0"/>
              <w:rPr>
                <w:sz w:val="20"/>
                <w:szCs w:val="20"/>
                <w:color w:val="auto"/>
              </w:rPr>
            </w:pPr>
            <w:r>
              <w:rPr>
                <w:rFonts w:ascii="Arial" w:cs="Arial" w:eastAsia="Arial" w:hAnsi="Arial"/>
                <w:sz w:val="18"/>
                <w:szCs w:val="18"/>
                <w:color w:val="auto"/>
              </w:rPr>
              <w:t>December 20, 2013</w:t>
            </w:r>
          </w:p>
        </w:tc>
        <w:tc>
          <w:tcPr>
            <w:tcW w:w="1600" w:type="dxa"/>
            <w:vAlign w:val="bottom"/>
          </w:tcPr>
          <w:p>
            <w:pPr>
              <w:spacing w:after="0"/>
              <w:rPr>
                <w:sz w:val="20"/>
                <w:szCs w:val="20"/>
                <w:color w:val="auto"/>
              </w:rPr>
            </w:pPr>
          </w:p>
        </w:tc>
        <w:tc>
          <w:tcPr>
            <w:tcW w:w="1920" w:type="dxa"/>
            <w:vAlign w:val="bottom"/>
            <w:gridSpan w:val="2"/>
          </w:tcPr>
          <w:p>
            <w:pPr>
              <w:jc w:val="right"/>
              <w:ind w:right="480"/>
              <w:spacing w:after="0"/>
              <w:rPr>
                <w:sz w:val="20"/>
                <w:szCs w:val="20"/>
                <w:color w:val="auto"/>
              </w:rPr>
            </w:pPr>
            <w:r>
              <w:rPr>
                <w:rFonts w:ascii="Arial" w:cs="Arial" w:eastAsia="Arial" w:hAnsi="Arial"/>
                <w:sz w:val="18"/>
                <w:szCs w:val="18"/>
                <w:color w:val="auto"/>
              </w:rPr>
              <w:t>January 2, 2014</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53"/>
        </w:trPr>
        <w:tc>
          <w:tcPr>
            <w:tcW w:w="840" w:type="dxa"/>
            <w:vAlign w:val="bottom"/>
          </w:tcPr>
          <w:p>
            <w:pPr>
              <w:spacing w:after="0"/>
              <w:rPr>
                <w:sz w:val="4"/>
                <w:szCs w:val="4"/>
                <w:color w:val="auto"/>
              </w:rPr>
            </w:pPr>
          </w:p>
        </w:tc>
        <w:tc>
          <w:tcPr>
            <w:tcW w:w="37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2013</w:t>
            </w:r>
          </w:p>
        </w:tc>
        <w:tc>
          <w:tcPr>
            <w:tcW w:w="16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ind w:left="360"/>
              <w:spacing w:after="0"/>
              <w:rPr>
                <w:sz w:val="20"/>
                <w:szCs w:val="20"/>
                <w:color w:val="auto"/>
              </w:rPr>
            </w:pPr>
            <w:r>
              <w:rPr>
                <w:rFonts w:ascii="Arial" w:cs="Arial" w:eastAsia="Arial" w:hAnsi="Arial"/>
                <w:sz w:val="18"/>
                <w:szCs w:val="18"/>
                <w:color w:val="auto"/>
              </w:rPr>
              <w:t>September 20, 2013</w:t>
            </w:r>
          </w:p>
        </w:tc>
        <w:tc>
          <w:tcPr>
            <w:tcW w:w="1600" w:type="dxa"/>
            <w:vAlign w:val="bottom"/>
          </w:tcPr>
          <w:p>
            <w:pPr>
              <w:spacing w:after="0"/>
              <w:rPr>
                <w:sz w:val="18"/>
                <w:szCs w:val="18"/>
                <w:color w:val="auto"/>
              </w:rPr>
            </w:pPr>
          </w:p>
        </w:tc>
        <w:tc>
          <w:tcPr>
            <w:tcW w:w="1920" w:type="dxa"/>
            <w:vAlign w:val="bottom"/>
            <w:gridSpan w:val="2"/>
          </w:tcPr>
          <w:p>
            <w:pPr>
              <w:jc w:val="right"/>
              <w:ind w:right="480"/>
              <w:spacing w:after="0"/>
              <w:rPr>
                <w:sz w:val="20"/>
                <w:szCs w:val="20"/>
                <w:color w:val="auto"/>
              </w:rPr>
            </w:pPr>
            <w:r>
              <w:rPr>
                <w:rFonts w:ascii="Arial" w:cs="Arial" w:eastAsia="Arial" w:hAnsi="Arial"/>
                <w:sz w:val="18"/>
                <w:szCs w:val="18"/>
                <w:color w:val="auto"/>
              </w:rPr>
              <w:t>October 1, 2013</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June 21, 2013</w:t>
            </w:r>
          </w:p>
        </w:tc>
        <w:tc>
          <w:tcPr>
            <w:tcW w:w="16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July 1, 2013</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6"/>
        </w:trPr>
        <w:tc>
          <w:tcPr>
            <w:tcW w:w="4620" w:type="dxa"/>
            <w:vAlign w:val="bottom"/>
            <w:gridSpan w:val="2"/>
          </w:tcPr>
          <w:p>
            <w:pPr>
              <w:ind w:left="360"/>
              <w:spacing w:after="0"/>
              <w:rPr>
                <w:sz w:val="20"/>
                <w:szCs w:val="20"/>
                <w:color w:val="auto"/>
              </w:rPr>
            </w:pPr>
            <w:r>
              <w:rPr>
                <w:rFonts w:ascii="Arial" w:cs="Arial" w:eastAsia="Arial" w:hAnsi="Arial"/>
                <w:sz w:val="18"/>
                <w:szCs w:val="18"/>
                <w:color w:val="auto"/>
              </w:rPr>
              <w:t>March 22, 2013</w:t>
            </w:r>
          </w:p>
        </w:tc>
        <w:tc>
          <w:tcPr>
            <w:tcW w:w="1600" w:type="dxa"/>
            <w:vAlign w:val="bottom"/>
          </w:tcPr>
          <w:p>
            <w:pPr>
              <w:spacing w:after="0"/>
              <w:rPr>
                <w:sz w:val="18"/>
                <w:szCs w:val="18"/>
                <w:color w:val="auto"/>
              </w:rPr>
            </w:pPr>
          </w:p>
        </w:tc>
        <w:tc>
          <w:tcPr>
            <w:tcW w:w="1920" w:type="dxa"/>
            <w:vAlign w:val="bottom"/>
            <w:gridSpan w:val="2"/>
          </w:tcPr>
          <w:p>
            <w:pPr>
              <w:jc w:val="right"/>
              <w:ind w:right="480"/>
              <w:spacing w:after="0"/>
              <w:rPr>
                <w:sz w:val="20"/>
                <w:szCs w:val="20"/>
                <w:color w:val="auto"/>
              </w:rPr>
            </w:pPr>
            <w:r>
              <w:rPr>
                <w:rFonts w:ascii="Arial" w:cs="Arial" w:eastAsia="Arial" w:hAnsi="Arial"/>
                <w:sz w:val="18"/>
                <w:szCs w:val="18"/>
                <w:color w:val="auto"/>
              </w:rPr>
              <w:t>April 1, 2013</w:t>
            </w:r>
          </w:p>
        </w:tc>
        <w:tc>
          <w:tcPr>
            <w:tcW w:w="1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December 21, 2012</w:t>
            </w:r>
          </w:p>
        </w:tc>
        <w:tc>
          <w:tcPr>
            <w:tcW w:w="16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January 2, 2013</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24"/>
        </w:trPr>
        <w:tc>
          <w:tcPr>
            <w:tcW w:w="462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w:t>
            </w:r>
          </w:p>
        </w:tc>
        <w:tc>
          <w:tcPr>
            <w:tcW w:w="16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840" w:type="dxa"/>
            <w:vAlign w:val="bottom"/>
          </w:tcPr>
          <w:p>
            <w:pPr>
              <w:spacing w:after="0"/>
              <w:rPr>
                <w:sz w:val="5"/>
                <w:szCs w:val="5"/>
                <w:color w:val="auto"/>
              </w:rPr>
            </w:pPr>
          </w:p>
        </w:tc>
        <w:tc>
          <w:tcPr>
            <w:tcW w:w="3780" w:type="dxa"/>
            <w:vAlign w:val="bottom"/>
          </w:tcPr>
          <w:p>
            <w:pPr>
              <w:spacing w:after="0"/>
              <w:rPr>
                <w:sz w:val="5"/>
                <w:szCs w:val="5"/>
                <w:color w:val="auto"/>
              </w:rPr>
            </w:pPr>
          </w:p>
        </w:tc>
        <w:tc>
          <w:tcPr>
            <w:tcW w:w="16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2012</w:t>
            </w:r>
          </w:p>
        </w:tc>
        <w:tc>
          <w:tcPr>
            <w:tcW w:w="16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ind w:left="360"/>
              <w:spacing w:after="0"/>
              <w:rPr>
                <w:sz w:val="20"/>
                <w:szCs w:val="20"/>
                <w:color w:val="auto"/>
              </w:rPr>
            </w:pPr>
            <w:r>
              <w:rPr>
                <w:rFonts w:ascii="Arial" w:cs="Arial" w:eastAsia="Arial" w:hAnsi="Arial"/>
                <w:sz w:val="18"/>
                <w:szCs w:val="18"/>
                <w:color w:val="auto"/>
              </w:rPr>
              <w:t>September 20, 2012</w:t>
            </w:r>
          </w:p>
        </w:tc>
        <w:tc>
          <w:tcPr>
            <w:tcW w:w="1600" w:type="dxa"/>
            <w:vAlign w:val="bottom"/>
          </w:tcPr>
          <w:p>
            <w:pPr>
              <w:spacing w:after="0"/>
              <w:rPr>
                <w:sz w:val="18"/>
                <w:szCs w:val="18"/>
                <w:color w:val="auto"/>
              </w:rPr>
            </w:pPr>
          </w:p>
        </w:tc>
        <w:tc>
          <w:tcPr>
            <w:tcW w:w="1920" w:type="dxa"/>
            <w:vAlign w:val="bottom"/>
            <w:gridSpan w:val="2"/>
          </w:tcPr>
          <w:p>
            <w:pPr>
              <w:jc w:val="right"/>
              <w:ind w:right="480"/>
              <w:spacing w:after="0"/>
              <w:rPr>
                <w:sz w:val="20"/>
                <w:szCs w:val="20"/>
                <w:color w:val="auto"/>
              </w:rPr>
            </w:pPr>
            <w:r>
              <w:rPr>
                <w:rFonts w:ascii="Arial" w:cs="Arial" w:eastAsia="Arial" w:hAnsi="Arial"/>
                <w:sz w:val="18"/>
                <w:szCs w:val="18"/>
                <w:color w:val="auto"/>
              </w:rPr>
              <w:t>October 1, 2012</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June 21, 2012</w:t>
            </w:r>
          </w:p>
        </w:tc>
        <w:tc>
          <w:tcPr>
            <w:tcW w:w="16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July 2, 2012</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6"/>
        </w:trPr>
        <w:tc>
          <w:tcPr>
            <w:tcW w:w="4620" w:type="dxa"/>
            <w:vAlign w:val="bottom"/>
            <w:gridSpan w:val="2"/>
          </w:tcPr>
          <w:p>
            <w:pPr>
              <w:ind w:left="360"/>
              <w:spacing w:after="0"/>
              <w:rPr>
                <w:sz w:val="20"/>
                <w:szCs w:val="20"/>
                <w:color w:val="auto"/>
              </w:rPr>
            </w:pPr>
            <w:r>
              <w:rPr>
                <w:rFonts w:ascii="Arial" w:cs="Arial" w:eastAsia="Arial" w:hAnsi="Arial"/>
                <w:sz w:val="18"/>
                <w:szCs w:val="18"/>
                <w:color w:val="auto"/>
              </w:rPr>
              <w:t>March 22, 2012</w:t>
            </w:r>
          </w:p>
        </w:tc>
        <w:tc>
          <w:tcPr>
            <w:tcW w:w="1600" w:type="dxa"/>
            <w:vAlign w:val="bottom"/>
          </w:tcPr>
          <w:p>
            <w:pPr>
              <w:spacing w:after="0"/>
              <w:rPr>
                <w:sz w:val="18"/>
                <w:szCs w:val="18"/>
                <w:color w:val="auto"/>
              </w:rPr>
            </w:pPr>
          </w:p>
        </w:tc>
        <w:tc>
          <w:tcPr>
            <w:tcW w:w="1920" w:type="dxa"/>
            <w:vAlign w:val="bottom"/>
            <w:gridSpan w:val="2"/>
          </w:tcPr>
          <w:p>
            <w:pPr>
              <w:jc w:val="right"/>
              <w:ind w:right="480"/>
              <w:spacing w:after="0"/>
              <w:rPr>
                <w:sz w:val="20"/>
                <w:szCs w:val="20"/>
                <w:color w:val="auto"/>
              </w:rPr>
            </w:pPr>
            <w:r>
              <w:rPr>
                <w:rFonts w:ascii="Arial" w:cs="Arial" w:eastAsia="Arial" w:hAnsi="Arial"/>
                <w:sz w:val="18"/>
                <w:szCs w:val="18"/>
                <w:color w:val="auto"/>
              </w:rPr>
              <w:t>April 2, 2012</w:t>
            </w:r>
          </w:p>
        </w:tc>
        <w:tc>
          <w:tcPr>
            <w:tcW w:w="1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December 23, 2011</w:t>
            </w:r>
          </w:p>
        </w:tc>
        <w:tc>
          <w:tcPr>
            <w:tcW w:w="16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January 3, 2012</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24"/>
        </w:trPr>
        <w:tc>
          <w:tcPr>
            <w:tcW w:w="4620" w:type="dxa"/>
            <w:vAlign w:val="bottom"/>
            <w:gridSpan w:val="2"/>
          </w:tcPr>
          <w:p>
            <w:pPr>
              <w:ind w:left="380"/>
              <w:spacing w:after="0"/>
              <w:rPr>
                <w:sz w:val="20"/>
                <w:szCs w:val="20"/>
                <w:color w:val="auto"/>
              </w:rPr>
            </w:pPr>
            <w:r>
              <w:rPr>
                <w:rFonts w:ascii="Arial" w:cs="Arial" w:eastAsia="Arial" w:hAnsi="Arial"/>
                <w:sz w:val="18"/>
                <w:szCs w:val="18"/>
                <w:b w:val="1"/>
                <w:bCs w:val="1"/>
                <w:color w:val="auto"/>
              </w:rPr>
              <w:t>Total</w:t>
            </w:r>
          </w:p>
        </w:tc>
        <w:tc>
          <w:tcPr>
            <w:tcW w:w="16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840" w:type="dxa"/>
            <w:vAlign w:val="bottom"/>
          </w:tcPr>
          <w:p>
            <w:pPr>
              <w:spacing w:after="0"/>
              <w:rPr>
                <w:sz w:val="5"/>
                <w:szCs w:val="5"/>
                <w:color w:val="auto"/>
              </w:rPr>
            </w:pPr>
          </w:p>
        </w:tc>
        <w:tc>
          <w:tcPr>
            <w:tcW w:w="3780" w:type="dxa"/>
            <w:vAlign w:val="bottom"/>
          </w:tcPr>
          <w:p>
            <w:pPr>
              <w:spacing w:after="0"/>
              <w:rPr>
                <w:sz w:val="5"/>
                <w:szCs w:val="5"/>
                <w:color w:val="auto"/>
              </w:rPr>
            </w:pPr>
          </w:p>
        </w:tc>
        <w:tc>
          <w:tcPr>
            <w:tcW w:w="16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2011</w:t>
            </w:r>
          </w:p>
        </w:tc>
        <w:tc>
          <w:tcPr>
            <w:tcW w:w="16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ind w:left="360"/>
              <w:spacing w:after="0"/>
              <w:rPr>
                <w:sz w:val="20"/>
                <w:szCs w:val="20"/>
                <w:color w:val="auto"/>
              </w:rPr>
            </w:pPr>
            <w:r>
              <w:rPr>
                <w:rFonts w:ascii="Arial" w:cs="Arial" w:eastAsia="Arial" w:hAnsi="Arial"/>
                <w:sz w:val="18"/>
                <w:szCs w:val="18"/>
                <w:color w:val="auto"/>
              </w:rPr>
              <w:t>September 23, 2011</w:t>
            </w:r>
          </w:p>
        </w:tc>
        <w:tc>
          <w:tcPr>
            <w:tcW w:w="1600" w:type="dxa"/>
            <w:vAlign w:val="bottom"/>
          </w:tcPr>
          <w:p>
            <w:pPr>
              <w:spacing w:after="0"/>
              <w:rPr>
                <w:sz w:val="18"/>
                <w:szCs w:val="18"/>
                <w:color w:val="auto"/>
              </w:rPr>
            </w:pPr>
          </w:p>
        </w:tc>
        <w:tc>
          <w:tcPr>
            <w:tcW w:w="1920" w:type="dxa"/>
            <w:vAlign w:val="bottom"/>
            <w:gridSpan w:val="2"/>
          </w:tcPr>
          <w:p>
            <w:pPr>
              <w:jc w:val="right"/>
              <w:ind w:right="480"/>
              <w:spacing w:after="0"/>
              <w:rPr>
                <w:sz w:val="20"/>
                <w:szCs w:val="20"/>
                <w:color w:val="auto"/>
              </w:rPr>
            </w:pPr>
            <w:r>
              <w:rPr>
                <w:rFonts w:ascii="Arial" w:cs="Arial" w:eastAsia="Arial" w:hAnsi="Arial"/>
                <w:sz w:val="18"/>
                <w:szCs w:val="18"/>
                <w:color w:val="auto"/>
              </w:rPr>
              <w:t>October 3, 2011</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June 20, 2011</w:t>
            </w:r>
          </w:p>
        </w:tc>
        <w:tc>
          <w:tcPr>
            <w:tcW w:w="16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July 1, 2011</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16"/>
        </w:trPr>
        <w:tc>
          <w:tcPr>
            <w:tcW w:w="4620" w:type="dxa"/>
            <w:vAlign w:val="bottom"/>
            <w:gridSpan w:val="2"/>
          </w:tcPr>
          <w:p>
            <w:pPr>
              <w:ind w:left="360"/>
              <w:spacing w:after="0"/>
              <w:rPr>
                <w:sz w:val="20"/>
                <w:szCs w:val="20"/>
                <w:color w:val="auto"/>
              </w:rPr>
            </w:pPr>
            <w:r>
              <w:rPr>
                <w:rFonts w:ascii="Arial" w:cs="Arial" w:eastAsia="Arial" w:hAnsi="Arial"/>
                <w:sz w:val="18"/>
                <w:szCs w:val="18"/>
                <w:color w:val="auto"/>
              </w:rPr>
              <w:t>March 15, 2011</w:t>
            </w:r>
          </w:p>
        </w:tc>
        <w:tc>
          <w:tcPr>
            <w:tcW w:w="1600" w:type="dxa"/>
            <w:vAlign w:val="bottom"/>
          </w:tcPr>
          <w:p>
            <w:pPr>
              <w:spacing w:after="0"/>
              <w:rPr>
                <w:sz w:val="18"/>
                <w:szCs w:val="18"/>
                <w:color w:val="auto"/>
              </w:rPr>
            </w:pPr>
          </w:p>
        </w:tc>
        <w:tc>
          <w:tcPr>
            <w:tcW w:w="1920" w:type="dxa"/>
            <w:vAlign w:val="bottom"/>
            <w:gridSpan w:val="2"/>
          </w:tcPr>
          <w:p>
            <w:pPr>
              <w:jc w:val="right"/>
              <w:ind w:right="480"/>
              <w:spacing w:after="0"/>
              <w:rPr>
                <w:sz w:val="20"/>
                <w:szCs w:val="20"/>
                <w:color w:val="auto"/>
              </w:rPr>
            </w:pPr>
            <w:r>
              <w:rPr>
                <w:rFonts w:ascii="Arial" w:cs="Arial" w:eastAsia="Arial" w:hAnsi="Arial"/>
                <w:sz w:val="18"/>
                <w:szCs w:val="18"/>
                <w:color w:val="auto"/>
              </w:rPr>
              <w:t>April 1, 2011</w:t>
            </w:r>
          </w:p>
        </w:tc>
        <w:tc>
          <w:tcPr>
            <w:tcW w:w="1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December 17, 2010</w:t>
            </w:r>
          </w:p>
        </w:tc>
        <w:tc>
          <w:tcPr>
            <w:tcW w:w="16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January 3, 2011</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24"/>
        </w:trPr>
        <w:tc>
          <w:tcPr>
            <w:tcW w:w="4620" w:type="dxa"/>
            <w:vAlign w:val="bottom"/>
            <w:gridSpan w:val="2"/>
          </w:tcPr>
          <w:p>
            <w:pPr>
              <w:ind w:left="380"/>
              <w:spacing w:after="0"/>
              <w:rPr>
                <w:sz w:val="20"/>
                <w:szCs w:val="20"/>
                <w:color w:val="auto"/>
              </w:rPr>
            </w:pPr>
            <w:r>
              <w:rPr>
                <w:rFonts w:ascii="Arial" w:cs="Arial" w:eastAsia="Arial" w:hAnsi="Arial"/>
                <w:sz w:val="18"/>
                <w:szCs w:val="18"/>
                <w:b w:val="1"/>
                <w:bCs w:val="1"/>
                <w:color w:val="auto"/>
              </w:rPr>
              <w:t>Total</w:t>
            </w:r>
          </w:p>
        </w:tc>
        <w:tc>
          <w:tcPr>
            <w:tcW w:w="16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840" w:type="dxa"/>
            <w:vAlign w:val="bottom"/>
          </w:tcPr>
          <w:p>
            <w:pPr>
              <w:spacing w:after="0"/>
              <w:rPr>
                <w:sz w:val="5"/>
                <w:szCs w:val="5"/>
                <w:color w:val="auto"/>
              </w:rPr>
            </w:pPr>
          </w:p>
        </w:tc>
        <w:tc>
          <w:tcPr>
            <w:tcW w:w="3780" w:type="dxa"/>
            <w:vAlign w:val="bottom"/>
          </w:tcPr>
          <w:p>
            <w:pPr>
              <w:spacing w:after="0"/>
              <w:rPr>
                <w:sz w:val="5"/>
                <w:szCs w:val="5"/>
                <w:color w:val="auto"/>
              </w:rPr>
            </w:pPr>
          </w:p>
        </w:tc>
        <w:tc>
          <w:tcPr>
            <w:tcW w:w="16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2010</w:t>
            </w:r>
          </w:p>
        </w:tc>
        <w:tc>
          <w:tcPr>
            <w:tcW w:w="16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ind w:left="360"/>
              <w:spacing w:after="0"/>
              <w:rPr>
                <w:sz w:val="20"/>
                <w:szCs w:val="20"/>
                <w:color w:val="auto"/>
              </w:rPr>
            </w:pPr>
            <w:r>
              <w:rPr>
                <w:rFonts w:ascii="Arial" w:cs="Arial" w:eastAsia="Arial" w:hAnsi="Arial"/>
                <w:sz w:val="18"/>
                <w:szCs w:val="18"/>
                <w:color w:val="auto"/>
              </w:rPr>
              <w:t>September 14, 2010</w:t>
            </w:r>
          </w:p>
        </w:tc>
        <w:tc>
          <w:tcPr>
            <w:tcW w:w="1600" w:type="dxa"/>
            <w:vAlign w:val="bottom"/>
          </w:tcPr>
          <w:p>
            <w:pPr>
              <w:spacing w:after="0"/>
              <w:rPr>
                <w:sz w:val="18"/>
                <w:szCs w:val="18"/>
                <w:color w:val="auto"/>
              </w:rPr>
            </w:pPr>
          </w:p>
        </w:tc>
        <w:tc>
          <w:tcPr>
            <w:tcW w:w="1920" w:type="dxa"/>
            <w:vAlign w:val="bottom"/>
            <w:gridSpan w:val="2"/>
          </w:tcPr>
          <w:p>
            <w:pPr>
              <w:jc w:val="right"/>
              <w:ind w:right="480"/>
              <w:spacing w:after="0"/>
              <w:rPr>
                <w:sz w:val="20"/>
                <w:szCs w:val="20"/>
                <w:color w:val="auto"/>
              </w:rPr>
            </w:pPr>
            <w:r>
              <w:rPr>
                <w:rFonts w:ascii="Arial" w:cs="Arial" w:eastAsia="Arial" w:hAnsi="Arial"/>
                <w:sz w:val="18"/>
                <w:szCs w:val="18"/>
                <w:color w:val="auto"/>
              </w:rPr>
              <w:t>October 1, 2010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June 24, 2010</w:t>
            </w:r>
          </w:p>
        </w:tc>
        <w:tc>
          <w:tcPr>
            <w:tcW w:w="16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July 1, 2010</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16"/>
        </w:trPr>
        <w:tc>
          <w:tcPr>
            <w:tcW w:w="4620" w:type="dxa"/>
            <w:vAlign w:val="bottom"/>
            <w:gridSpan w:val="2"/>
          </w:tcPr>
          <w:p>
            <w:pPr>
              <w:ind w:left="360"/>
              <w:spacing w:after="0"/>
              <w:rPr>
                <w:sz w:val="20"/>
                <w:szCs w:val="20"/>
                <w:color w:val="auto"/>
              </w:rPr>
            </w:pPr>
            <w:r>
              <w:rPr>
                <w:rFonts w:ascii="Arial" w:cs="Arial" w:eastAsia="Arial" w:hAnsi="Arial"/>
                <w:sz w:val="18"/>
                <w:szCs w:val="18"/>
                <w:color w:val="auto"/>
              </w:rPr>
              <w:t>March 25, 2010</w:t>
            </w:r>
          </w:p>
        </w:tc>
        <w:tc>
          <w:tcPr>
            <w:tcW w:w="1600" w:type="dxa"/>
            <w:vAlign w:val="bottom"/>
          </w:tcPr>
          <w:p>
            <w:pPr>
              <w:spacing w:after="0"/>
              <w:rPr>
                <w:sz w:val="18"/>
                <w:szCs w:val="18"/>
                <w:color w:val="auto"/>
              </w:rPr>
            </w:pPr>
          </w:p>
        </w:tc>
        <w:tc>
          <w:tcPr>
            <w:tcW w:w="1920" w:type="dxa"/>
            <w:vAlign w:val="bottom"/>
            <w:gridSpan w:val="2"/>
          </w:tcPr>
          <w:p>
            <w:pPr>
              <w:jc w:val="right"/>
              <w:ind w:right="480"/>
              <w:spacing w:after="0"/>
              <w:rPr>
                <w:sz w:val="20"/>
                <w:szCs w:val="20"/>
                <w:color w:val="auto"/>
              </w:rPr>
            </w:pPr>
            <w:r>
              <w:rPr>
                <w:rFonts w:ascii="Arial" w:cs="Arial" w:eastAsia="Arial" w:hAnsi="Arial"/>
                <w:sz w:val="18"/>
                <w:szCs w:val="18"/>
                <w:color w:val="auto"/>
              </w:rPr>
              <w:t>April 1, 2010</w:t>
            </w:r>
          </w:p>
        </w:tc>
        <w:tc>
          <w:tcPr>
            <w:tcW w:w="1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December 24, 2009</w:t>
            </w:r>
          </w:p>
        </w:tc>
        <w:tc>
          <w:tcPr>
            <w:tcW w:w="16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January 4, 2010</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24"/>
        </w:trPr>
        <w:tc>
          <w:tcPr>
            <w:tcW w:w="4620" w:type="dxa"/>
            <w:vAlign w:val="bottom"/>
            <w:gridSpan w:val="2"/>
          </w:tcPr>
          <w:p>
            <w:pPr>
              <w:ind w:left="380"/>
              <w:spacing w:after="0"/>
              <w:rPr>
                <w:sz w:val="20"/>
                <w:szCs w:val="20"/>
                <w:color w:val="auto"/>
              </w:rPr>
            </w:pPr>
            <w:r>
              <w:rPr>
                <w:rFonts w:ascii="Arial" w:cs="Arial" w:eastAsia="Arial" w:hAnsi="Arial"/>
                <w:sz w:val="18"/>
                <w:szCs w:val="18"/>
                <w:b w:val="1"/>
                <w:bCs w:val="1"/>
                <w:color w:val="auto"/>
              </w:rPr>
              <w:t>Total</w:t>
            </w:r>
          </w:p>
        </w:tc>
        <w:tc>
          <w:tcPr>
            <w:tcW w:w="16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840" w:type="dxa"/>
            <w:vAlign w:val="bottom"/>
          </w:tcPr>
          <w:p>
            <w:pPr>
              <w:spacing w:after="0"/>
              <w:rPr>
                <w:sz w:val="5"/>
                <w:szCs w:val="5"/>
                <w:color w:val="auto"/>
              </w:rPr>
            </w:pPr>
          </w:p>
        </w:tc>
        <w:tc>
          <w:tcPr>
            <w:tcW w:w="3780" w:type="dxa"/>
            <w:vAlign w:val="bottom"/>
          </w:tcPr>
          <w:p>
            <w:pPr>
              <w:spacing w:after="0"/>
              <w:rPr>
                <w:sz w:val="5"/>
                <w:szCs w:val="5"/>
                <w:color w:val="auto"/>
              </w:rPr>
            </w:pPr>
          </w:p>
        </w:tc>
        <w:tc>
          <w:tcPr>
            <w:tcW w:w="16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2009</w:t>
            </w:r>
          </w:p>
        </w:tc>
        <w:tc>
          <w:tcPr>
            <w:tcW w:w="16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ind w:left="360"/>
              <w:spacing w:after="0"/>
              <w:rPr>
                <w:sz w:val="20"/>
                <w:szCs w:val="20"/>
                <w:color w:val="auto"/>
              </w:rPr>
            </w:pPr>
            <w:r>
              <w:rPr>
                <w:rFonts w:ascii="Arial" w:cs="Arial" w:eastAsia="Arial" w:hAnsi="Arial"/>
                <w:sz w:val="18"/>
                <w:szCs w:val="18"/>
                <w:color w:val="auto"/>
              </w:rPr>
              <w:t>September 8, 2009</w:t>
            </w:r>
          </w:p>
        </w:tc>
        <w:tc>
          <w:tcPr>
            <w:tcW w:w="1600" w:type="dxa"/>
            <w:vAlign w:val="bottom"/>
          </w:tcPr>
          <w:p>
            <w:pPr>
              <w:spacing w:after="0"/>
              <w:rPr>
                <w:sz w:val="18"/>
                <w:szCs w:val="18"/>
                <w:color w:val="auto"/>
              </w:rPr>
            </w:pPr>
          </w:p>
        </w:tc>
        <w:tc>
          <w:tcPr>
            <w:tcW w:w="1920" w:type="dxa"/>
            <w:vAlign w:val="bottom"/>
            <w:gridSpan w:val="2"/>
          </w:tcPr>
          <w:p>
            <w:pPr>
              <w:jc w:val="right"/>
              <w:ind w:right="480"/>
              <w:spacing w:after="0"/>
              <w:rPr>
                <w:sz w:val="20"/>
                <w:szCs w:val="20"/>
                <w:color w:val="auto"/>
              </w:rPr>
            </w:pPr>
            <w:r>
              <w:rPr>
                <w:rFonts w:ascii="Arial" w:cs="Arial" w:eastAsia="Arial" w:hAnsi="Arial"/>
                <w:sz w:val="18"/>
                <w:szCs w:val="18"/>
                <w:color w:val="auto"/>
              </w:rPr>
              <w:t>October 1, 2009</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June 24, 2009</w:t>
            </w:r>
          </w:p>
        </w:tc>
        <w:tc>
          <w:tcPr>
            <w:tcW w:w="16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July 1, 2009</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4620" w:type="dxa"/>
            <w:vAlign w:val="bottom"/>
            <w:gridSpan w:val="2"/>
          </w:tcPr>
          <w:p>
            <w:pPr>
              <w:ind w:left="360"/>
              <w:spacing w:after="0"/>
              <w:rPr>
                <w:sz w:val="20"/>
                <w:szCs w:val="20"/>
                <w:color w:val="auto"/>
              </w:rPr>
            </w:pPr>
            <w:r>
              <w:rPr>
                <w:rFonts w:ascii="Arial" w:cs="Arial" w:eastAsia="Arial" w:hAnsi="Arial"/>
                <w:sz w:val="18"/>
                <w:szCs w:val="18"/>
                <w:color w:val="auto"/>
              </w:rPr>
              <w:t>March 25, 2009</w:t>
            </w:r>
          </w:p>
        </w:tc>
        <w:tc>
          <w:tcPr>
            <w:tcW w:w="1600" w:type="dxa"/>
            <w:vAlign w:val="bottom"/>
          </w:tcPr>
          <w:p>
            <w:pPr>
              <w:spacing w:after="0"/>
              <w:rPr>
                <w:sz w:val="18"/>
                <w:szCs w:val="18"/>
                <w:color w:val="auto"/>
              </w:rPr>
            </w:pPr>
          </w:p>
        </w:tc>
        <w:tc>
          <w:tcPr>
            <w:tcW w:w="1920" w:type="dxa"/>
            <w:vAlign w:val="bottom"/>
            <w:gridSpan w:val="2"/>
          </w:tcPr>
          <w:p>
            <w:pPr>
              <w:jc w:val="right"/>
              <w:ind w:right="480"/>
              <w:spacing w:after="0"/>
              <w:rPr>
                <w:sz w:val="20"/>
                <w:szCs w:val="20"/>
                <w:color w:val="auto"/>
              </w:rPr>
            </w:pPr>
            <w:r>
              <w:rPr>
                <w:rFonts w:ascii="Arial" w:cs="Arial" w:eastAsia="Arial" w:hAnsi="Arial"/>
                <w:sz w:val="18"/>
                <w:szCs w:val="18"/>
                <w:color w:val="auto"/>
              </w:rPr>
              <w:t>April 1, 2009</w:t>
            </w:r>
          </w:p>
        </w:tc>
        <w:tc>
          <w:tcPr>
            <w:tcW w:w="1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December 23, 2008</w:t>
            </w:r>
          </w:p>
        </w:tc>
        <w:tc>
          <w:tcPr>
            <w:tcW w:w="16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January 4, 2009</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24"/>
        </w:trPr>
        <w:tc>
          <w:tcPr>
            <w:tcW w:w="4620" w:type="dxa"/>
            <w:vAlign w:val="bottom"/>
            <w:gridSpan w:val="2"/>
          </w:tcPr>
          <w:p>
            <w:pPr>
              <w:ind w:left="380"/>
              <w:spacing w:after="0"/>
              <w:rPr>
                <w:sz w:val="20"/>
                <w:szCs w:val="20"/>
                <w:color w:val="auto"/>
              </w:rPr>
            </w:pPr>
            <w:r>
              <w:rPr>
                <w:rFonts w:ascii="Arial" w:cs="Arial" w:eastAsia="Arial" w:hAnsi="Arial"/>
                <w:sz w:val="18"/>
                <w:szCs w:val="18"/>
                <w:b w:val="1"/>
                <w:bCs w:val="1"/>
                <w:color w:val="auto"/>
              </w:rPr>
              <w:t>Total</w:t>
            </w:r>
          </w:p>
        </w:tc>
        <w:tc>
          <w:tcPr>
            <w:tcW w:w="16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A Form 1099-DIV will be sent to stockholders that will state the amount and composition of distributions and provide information with respect to appropriate tax treatment of our distributions.</w:t>
      </w:r>
    </w:p>
    <w:p>
      <w:pPr>
        <w:spacing w:after="0" w:line="170"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dividend or other distribution, then stockholders’ cash distributions will be automatically reinvested in additional shares of our common stock, unless they specifically “opt out” of the dividend reinvestment plan so as to receive cash distributions.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59" w:right="2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may not be able to achieve operating results that will allow us to make dividends and distributions at a specific level or to increase the amount of these dividends and distributions from time to time. In addition, we may be limited in our ability to make dividends and distributions due to the asset coverage ratio for borrowings when applicable to us as a BDC under the 1940 Act and due to provisions in future credit facilities. If we do not distribute a certain percentage of our income annually, we will suffer adverse tax consequences, including possible loss of our RIC status. We cannot assure stockholders that they will receive any dividends and distributions or dividends and distributions at a particular level.</w:t>
      </w:r>
    </w:p>
    <w:p>
      <w:pPr>
        <w:spacing w:after="0" w:line="2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Sale of Unregistered Securities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did not engage in any sales of unregistered securities during the fiscal years ended September 30, 2013, 2012 and 2011, respectively.</w:t>
      </w:r>
    </w:p>
    <w:p>
      <w:pPr>
        <w:spacing w:after="0" w:line="16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Investment Corporation</w:t>
      </w:r>
    </w:p>
    <w:p>
      <w:pPr>
        <w:spacing w:after="0" w:line="121" w:lineRule="exact"/>
        <w:rPr>
          <w:sz w:val="20"/>
          <w:szCs w:val="20"/>
          <w:color w:val="auto"/>
        </w:rPr>
      </w:pPr>
    </w:p>
    <w:p>
      <w:pPr>
        <w:ind w:right="160" w:firstLine="456"/>
        <w:spacing w:after="0" w:line="308" w:lineRule="auto"/>
        <w:rPr>
          <w:sz w:val="20"/>
          <w:szCs w:val="20"/>
          <w:color w:val="auto"/>
        </w:rPr>
      </w:pPr>
      <w:r>
        <w:rPr>
          <w:rFonts w:ascii="Arial" w:cs="Arial" w:eastAsia="Arial" w:hAnsi="Arial"/>
          <w:sz w:val="17"/>
          <w:szCs w:val="17"/>
          <w:color w:val="auto"/>
        </w:rPr>
        <w:t>PennantPark Investment Corporation is a BDC whose objectives are to generate both current income and capital appreciation through debt and equity investments primarily in U.S. middle-market companies in the form of senior secured loans, mezzanine debt and equity investments.</w:t>
      </w:r>
    </w:p>
    <w:p>
      <w:pPr>
        <w:spacing w:after="0" w:line="147"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We believe middle-market companies offer attractive risk-reward to investors due to the limited amount of capital available for such companies. We seek to create a diversified portfolio that includes senior secured loans, mezzanine debt and equity investments by investing approximately $10 million to $50 million of capital, on average, in the securities of middle-market companies. We expect this investment size to vary proportionately with the size of our capital base. We use the term “middle-market” to refer to companies with annual revenues between $50 million and $1 billion.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Our debt investments may generally range in maturity from three to ten years and are made to U.S. and to a limited extent, non-U.S. corporations, partnerships and other business entities which operate in various industries and geographic regions.</w:t>
      </w:r>
    </w:p>
    <w:p>
      <w:pPr>
        <w:spacing w:after="0" w:line="179"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SBA debentures, proceeds from the rotation of our portfolio and proceeds from public and private offerings of securities to finance our investment objectives.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Structure of PennantPark Investment Corporation</w:t>
      </w:r>
    </w:p>
    <w:p>
      <w:pPr>
        <w:spacing w:after="0" w:line="121" w:lineRule="exact"/>
        <w:rPr>
          <w:sz w:val="20"/>
          <w:szCs w:val="20"/>
          <w:color w:val="auto"/>
        </w:rPr>
      </w:pPr>
    </w:p>
    <w:p>
      <w:pPr>
        <w:ind w:right="200" w:firstLine="456"/>
        <w:spacing w:after="0" w:line="273" w:lineRule="auto"/>
        <w:rPr>
          <w:sz w:val="20"/>
          <w:szCs w:val="20"/>
          <w:color w:val="auto"/>
        </w:rPr>
      </w:pPr>
      <w:r>
        <w:rPr>
          <w:rFonts w:ascii="Arial" w:cs="Arial" w:eastAsia="Arial" w:hAnsi="Arial"/>
          <w:sz w:val="17"/>
          <w:szCs w:val="17"/>
          <w:color w:val="auto"/>
        </w:rPr>
        <w:t>PennantPark Investment Corporation was organized under the Maryland General Corporation Law in January 2007. We are a closed-end, externally managed, non-diversified investment company that has elected to be treated as a BDC under the 1940 Act. As such, we are required to comply with certain regulatory requirements. For instance, we generally have to invest at least 70% of our total assets in “qualifying assets,” including securities of U.S. private companies or thinly traded public companies (public companies with a market capitalization of less than $250 million), cash, cash equivalents, U.S. government securities and high quality debt investments that mature in one year or less. In addition, for federal income tax purposes we have elected to be treated, and intend to qualify annually as a RIC under the Code.</w:t>
      </w:r>
    </w:p>
    <w:p>
      <w:pPr>
        <w:spacing w:after="0" w:line="70" w:lineRule="exact"/>
        <w:rPr>
          <w:sz w:val="20"/>
          <w:szCs w:val="20"/>
          <w:color w:val="auto"/>
        </w:rPr>
      </w:pPr>
    </w:p>
    <w:p>
      <w:pPr>
        <w:ind w:right="420" w:firstLine="456"/>
        <w:spacing w:after="0" w:line="279" w:lineRule="auto"/>
        <w:rPr>
          <w:sz w:val="20"/>
          <w:szCs w:val="20"/>
          <w:color w:val="auto"/>
        </w:rPr>
      </w:pPr>
      <w:r>
        <w:rPr>
          <w:rFonts w:ascii="Arial" w:cs="Arial" w:eastAsia="Arial" w:hAnsi="Arial"/>
          <w:sz w:val="17"/>
          <w:szCs w:val="17"/>
          <w:color w:val="auto"/>
        </w:rPr>
        <w:t>Our wholly owned subsidiaries, SBIC LP and SBIC II, were organized as Delaware limited partnerships in May 2010 and July 2012, respectively. SBIC LP and SBIC II received licenses from the SBA to operate as SBICs, under Section 301(c) of the 1958 Act, in July 2010 and January 2013, respectively. Our SBIC Funds’ objectives are to generate both current income and capital appreciation through debt and equity investments generally by investing with us in SBA eligible businesses that meet the investment criteria used by PennantPark Investment.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12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We utilize the investing experience and contacts of PennantPark Investment Advisers in developing what we believe is an attractive and diversified portfolio. The senior investment professionals of the Investment Adviser have worked together for many years, and average over 25 years of experience in the mezzanine lending, leveraged finance, distressed debt and private equity businesses. In addition, our senior investment professionals have been involved in originating, structuring, negotiating, managing and monitoring investments in each of these businesses across economic and market cycles. We believe this experience and history has resulted in a strong reputation with financial sponsors, management teams, investment bankers, attorneys and accountants,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459" w:right="2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raised approximately $1.8 billion in debt and equity capital and has invested approximately $3.0 billion in almost 300 companies with 125 different financial sponsors through its managed funds.</w:t>
      </w:r>
    </w:p>
    <w:p>
      <w:pPr>
        <w:spacing w:after="0" w:line="187"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and the SBA. The Administrator assists in the determination and publication of our NAV, oversees the preparation and filing of our tax returns and monitors the payment of our expenses as well as the performance of administrative and professional services rendered to us by others. Furthermore, our Administrator provides, on our behalf, managerial assistance to those portfolio companies to which we are required to offer such assistance. See “Risk Factors—Risks Relating to our Business and Structure—There are significant potential conflicts of interest which could impact our investment returns” for more information.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believe that the limited amount of capital available to the middle-market companies, coupled with the desire of these companies for flexible sources of capital, creates an attractive investment environment for us.</w:t>
      </w:r>
    </w:p>
    <w:p>
      <w:pPr>
        <w:spacing w:after="0" w:line="72" w:lineRule="exact"/>
        <w:rPr>
          <w:sz w:val="20"/>
          <w:szCs w:val="20"/>
          <w:color w:val="auto"/>
        </w:rPr>
      </w:pPr>
    </w:p>
    <w:p>
      <w:pPr>
        <w:ind w:left="900" w:hanging="325"/>
        <w:spacing w:after="0" w:line="261"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 xml:space="preserve">We believe middle-market companies have faced increasing difficulty in raising debt through the capital markets. </w:t>
      </w:r>
      <w:r>
        <w:rPr>
          <w:rFonts w:ascii="Arial" w:cs="Arial" w:eastAsia="Arial" w:hAnsi="Arial"/>
          <w:sz w:val="18"/>
          <w:szCs w:val="18"/>
          <w:color w:val="auto"/>
        </w:rPr>
        <w:t>While many middle-market companies were formerly able to raise funds by issuing high-yield bonds, we believe this approach to financing has become more difficult as institutional investors have sought to invest in larger, more liquid offerings. We believe this has made it harder for middle-market companies to raise funds by issuing high-yield debt securities.</w:t>
      </w:r>
    </w:p>
    <w:p>
      <w:pPr>
        <w:spacing w:after="0" w:line="85" w:lineRule="exact"/>
        <w:rPr>
          <w:rFonts w:ascii="Arial" w:cs="Arial" w:eastAsia="Arial" w:hAnsi="Arial"/>
          <w:sz w:val="18"/>
          <w:szCs w:val="18"/>
          <w:color w:val="auto"/>
        </w:rPr>
      </w:pPr>
    </w:p>
    <w:p>
      <w:pPr>
        <w:ind w:left="900" w:right="220" w:hanging="325"/>
        <w:spacing w:after="0" w:line="266"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 xml:space="preserve">We believe middle-market companies have faced difficulty raising debt in private markets. </w:t>
      </w:r>
      <w:r>
        <w:rPr>
          <w:rFonts w:ascii="Arial" w:cs="Arial" w:eastAsia="Arial" w:hAnsi="Arial"/>
          <w:sz w:val="18"/>
          <w:szCs w:val="18"/>
          <w:color w:val="auto"/>
        </w:rPr>
        <w:t>From time to time, banks, finance companies,</w:t>
      </w:r>
      <w:r>
        <w:rPr>
          <w:rFonts w:ascii="Arial" w:cs="Arial" w:eastAsia="Arial" w:hAnsi="Arial"/>
          <w:sz w:val="18"/>
          <w:szCs w:val="18"/>
          <w:b w:val="1"/>
          <w:bCs w:val="1"/>
          <w:color w:val="auto"/>
        </w:rPr>
        <w:t xml:space="preserve"> </w:t>
      </w:r>
      <w:r>
        <w:rPr>
          <w:rFonts w:ascii="Arial" w:cs="Arial" w:eastAsia="Arial" w:hAnsi="Arial"/>
          <w:sz w:val="18"/>
          <w:szCs w:val="18"/>
          <w:color w:val="auto"/>
        </w:rPr>
        <w:t>hedge funds and CLO funds have, and may again, withdraw capital from the middle-market, resulting in opportunities for alternative funding sources.</w:t>
      </w:r>
    </w:p>
    <w:p>
      <w:pPr>
        <w:spacing w:after="0" w:line="81" w:lineRule="exact"/>
        <w:rPr>
          <w:rFonts w:ascii="Arial" w:cs="Arial" w:eastAsia="Arial" w:hAnsi="Arial"/>
          <w:sz w:val="18"/>
          <w:szCs w:val="18"/>
          <w:color w:val="auto"/>
        </w:rPr>
      </w:pPr>
    </w:p>
    <w:p>
      <w:pPr>
        <w:ind w:left="900" w:right="40" w:hanging="325"/>
        <w:spacing w:after="0" w:line="289" w:lineRule="auto"/>
        <w:tabs>
          <w:tab w:leader="none" w:pos="900" w:val="left"/>
        </w:tabs>
        <w:numPr>
          <w:ilvl w:val="0"/>
          <w:numId w:val="57"/>
        </w:numPr>
        <w:rPr>
          <w:rFonts w:ascii="Arial" w:cs="Arial" w:eastAsia="Arial" w:hAnsi="Arial"/>
          <w:sz w:val="17"/>
          <w:szCs w:val="17"/>
          <w:color w:val="auto"/>
        </w:rPr>
      </w:pPr>
      <w:r>
        <w:rPr>
          <w:rFonts w:ascii="Arial" w:cs="Arial" w:eastAsia="Arial" w:hAnsi="Arial"/>
          <w:sz w:val="17"/>
          <w:szCs w:val="17"/>
          <w:b w:val="1"/>
          <w:bCs w:val="1"/>
          <w:color w:val="auto"/>
        </w:rPr>
        <w:t xml:space="preserve">We believe that the current credit market dislocation for middle-market companies improves the risk-adjusted returns of our investments. </w:t>
      </w:r>
      <w:r>
        <w:rPr>
          <w:rFonts w:ascii="Arial" w:cs="Arial" w:eastAsia="Arial" w:hAnsi="Arial"/>
          <w:sz w:val="17"/>
          <w:szCs w:val="17"/>
          <w:color w:val="auto"/>
        </w:rPr>
        <w:t>In the current credit environment, market participants have reduced lending to middle-market and non-investment grade borrowers.</w:t>
      </w:r>
      <w:r>
        <w:rPr>
          <w:rFonts w:ascii="Arial" w:cs="Arial" w:eastAsia="Arial" w:hAnsi="Arial"/>
          <w:sz w:val="17"/>
          <w:szCs w:val="17"/>
          <w:b w:val="1"/>
          <w:bCs w:val="1"/>
          <w:color w:val="auto"/>
        </w:rPr>
        <w:t xml:space="preserve"> </w:t>
      </w:r>
      <w:r>
        <w:rPr>
          <w:rFonts w:ascii="Arial" w:cs="Arial" w:eastAsia="Arial" w:hAnsi="Arial"/>
          <w:sz w:val="17"/>
          <w:szCs w:val="17"/>
          <w:color w:val="auto"/>
        </w:rPr>
        <w:t>As a result, there is less competition in our market, more conservative capital structures, higher yields and stronger covenants.</w:t>
      </w:r>
    </w:p>
    <w:p>
      <w:pPr>
        <w:spacing w:after="0" w:line="63" w:lineRule="exact"/>
        <w:rPr>
          <w:rFonts w:ascii="Arial" w:cs="Arial" w:eastAsia="Arial" w:hAnsi="Arial"/>
          <w:sz w:val="17"/>
          <w:szCs w:val="17"/>
          <w:color w:val="auto"/>
        </w:rPr>
      </w:pPr>
    </w:p>
    <w:p>
      <w:pPr>
        <w:ind w:left="900" w:right="120" w:hanging="325"/>
        <w:spacing w:after="0" w:line="277" w:lineRule="auto"/>
        <w:tabs>
          <w:tab w:leader="none" w:pos="900" w:val="left"/>
        </w:tabs>
        <w:numPr>
          <w:ilvl w:val="0"/>
          <w:numId w:val="57"/>
        </w:numPr>
        <w:rPr>
          <w:rFonts w:ascii="Arial" w:cs="Arial" w:eastAsia="Arial" w:hAnsi="Arial"/>
          <w:sz w:val="17"/>
          <w:szCs w:val="17"/>
          <w:color w:val="auto"/>
        </w:rPr>
      </w:pPr>
      <w:r>
        <w:rPr>
          <w:rFonts w:ascii="Arial" w:cs="Arial" w:eastAsia="Arial" w:hAnsi="Arial"/>
          <w:sz w:val="17"/>
          <w:szCs w:val="17"/>
          <w:b w:val="1"/>
          <w:bCs w:val="1"/>
          <w:color w:val="auto"/>
        </w:rPr>
        <w:t xml:space="preserve">We believe there is a large pool of uninvested private equity capital likely to seek to combine their capital with sources of debt capital to complete private investments. </w:t>
      </w:r>
      <w:r>
        <w:rPr>
          <w:rFonts w:ascii="Arial" w:cs="Arial" w:eastAsia="Arial" w:hAnsi="Arial"/>
          <w:sz w:val="17"/>
          <w:szCs w:val="17"/>
          <w:color w:val="auto"/>
        </w:rPr>
        <w:t>We expect that private equity firms will continue to be active investors in middle-market companies. These</w:t>
      </w:r>
      <w:r>
        <w:rPr>
          <w:rFonts w:ascii="Arial" w:cs="Arial" w:eastAsia="Arial" w:hAnsi="Arial"/>
          <w:sz w:val="17"/>
          <w:szCs w:val="17"/>
          <w:b w:val="1"/>
          <w:bCs w:val="1"/>
          <w:color w:val="auto"/>
        </w:rPr>
        <w:t xml:space="preserve"> </w:t>
      </w:r>
      <w:r>
        <w:rPr>
          <w:rFonts w:ascii="Arial" w:cs="Arial" w:eastAsia="Arial" w:hAnsi="Arial"/>
          <w:sz w:val="17"/>
          <w:szCs w:val="17"/>
          <w:color w:val="auto"/>
        </w:rPr>
        <w:t>private equity funds generally seek to leverage their investments by combining their capital with senior secured loans and/or mezzanine debt provided by other sources, and we believe that our capital is well-positioned to partner with such equity investors. We expect such activity to be funded by the substantial amounts of private equity capital that have been raised in recent years.</w:t>
      </w:r>
    </w:p>
    <w:p>
      <w:pPr>
        <w:spacing w:after="0" w:line="73" w:lineRule="exact"/>
        <w:rPr>
          <w:rFonts w:ascii="Arial" w:cs="Arial" w:eastAsia="Arial" w:hAnsi="Arial"/>
          <w:sz w:val="17"/>
          <w:szCs w:val="17"/>
          <w:color w:val="auto"/>
        </w:rPr>
      </w:pPr>
    </w:p>
    <w:p>
      <w:pPr>
        <w:ind w:left="900" w:hanging="325"/>
        <w:spacing w:after="0" w:line="277" w:lineRule="auto"/>
        <w:tabs>
          <w:tab w:leader="none" w:pos="900" w:val="left"/>
        </w:tabs>
        <w:numPr>
          <w:ilvl w:val="0"/>
          <w:numId w:val="57"/>
        </w:numPr>
        <w:rPr>
          <w:rFonts w:ascii="Arial" w:cs="Arial" w:eastAsia="Arial" w:hAnsi="Arial"/>
          <w:sz w:val="17"/>
          <w:szCs w:val="17"/>
          <w:color w:val="auto"/>
        </w:rPr>
      </w:pPr>
      <w:r>
        <w:rPr>
          <w:rFonts w:ascii="Arial" w:cs="Arial" w:eastAsia="Arial" w:hAnsi="Arial"/>
          <w:sz w:val="17"/>
          <w:szCs w:val="17"/>
          <w:b w:val="1"/>
          <w:bCs w:val="1"/>
          <w:color w:val="auto"/>
        </w:rPr>
        <w:t xml:space="preserve">We believe there is a substantial supply of opportunities. </w:t>
      </w:r>
      <w:r>
        <w:rPr>
          <w:rFonts w:ascii="Arial" w:cs="Arial" w:eastAsia="Arial" w:hAnsi="Arial"/>
          <w:sz w:val="17"/>
          <w:szCs w:val="17"/>
          <w:color w:val="auto"/>
        </w:rPr>
        <w:t>A high volume of financings will come due in the next few years. Additionally, we</w:t>
      </w:r>
      <w:r>
        <w:rPr>
          <w:rFonts w:ascii="Arial" w:cs="Arial" w:eastAsia="Arial" w:hAnsi="Arial"/>
          <w:sz w:val="17"/>
          <w:szCs w:val="17"/>
          <w:b w:val="1"/>
          <w:bCs w:val="1"/>
          <w:color w:val="auto"/>
        </w:rPr>
        <w:t xml:space="preserve"> </w:t>
      </w:r>
      <w:r>
        <w:rPr>
          <w:rFonts w:ascii="Arial" w:cs="Arial" w:eastAsia="Arial" w:hAnsi="Arial"/>
          <w:sz w:val="17"/>
          <w:szCs w:val="17"/>
          <w:color w:val="auto"/>
        </w:rPr>
        <w:t>believe that demand for debt financing from middle-market companies will remain strong because these companies will continue to require credit to refinance existing debt, to support growth initiatives and to finance acquisitions. We believe the combination of strong demand by middle-market companies and the reduced supply of credit described above should increase lending opportunities for us. We believe this supply of opportunities coupled with lack of demand offers attractive risk-adjusted returns to investors.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59" w:right="2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Competitive Advantages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we have the following competitive advantages over other capital providers in middle-market companies:</w:t>
      </w:r>
    </w:p>
    <w:p>
      <w:pPr>
        <w:spacing w:after="0" w:line="131" w:lineRule="exact"/>
        <w:rPr>
          <w:sz w:val="20"/>
          <w:szCs w:val="20"/>
          <w:color w:val="auto"/>
        </w:rPr>
      </w:pPr>
    </w:p>
    <w:p>
      <w:pPr>
        <w:ind w:left="900" w:hanging="446"/>
        <w:spacing w:after="0"/>
        <w:tabs>
          <w:tab w:leader="none" w:pos="900" w:val="left"/>
        </w:tabs>
        <w:numPr>
          <w:ilvl w:val="0"/>
          <w:numId w:val="5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Experienced Management Team</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senior investment professionals of our Investment Adviser have worked together for many years and average over 25 years of experience in mezzanine lending, leveraged finance, distressed debt and private equity businesses. These senior investment professionals have been involved in originating, structuring, negotiating, managing and monitoring investments in each of these businesses across economic and market cycles. We believe this extensive experience and history has resulted in a strong reputation across the capital markets.</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Lending to middle-market companies requires deep diligence, credit expertise, restructuring experience and active portfolio management. For example, lending to middle-market companies in the United States is generally more labor intensive than lending to larger companies due to the smaller size of each investment and the fragmented nature of the information available with respect to such companies. Specialized due diligence and underwriting capabilities, and more extensive ongoing monitoring are required by the lender.</w:t>
      </w:r>
    </w:p>
    <w:p>
      <w:pPr>
        <w:spacing w:after="0" w:line="214" w:lineRule="exact"/>
        <w:rPr>
          <w:sz w:val="20"/>
          <w:szCs w:val="20"/>
          <w:color w:val="auto"/>
        </w:rPr>
      </w:pPr>
    </w:p>
    <w:p>
      <w:pPr>
        <w:ind w:left="900" w:hanging="446"/>
        <w:spacing w:after="0"/>
        <w:tabs>
          <w:tab w:leader="none" w:pos="900" w:val="left"/>
        </w:tabs>
        <w:numPr>
          <w:ilvl w:val="0"/>
          <w:numId w:val="5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Disciplined Investment Approach with Strong Value Orientation</w:t>
      </w:r>
    </w:p>
    <w:p>
      <w:pPr>
        <w:spacing w:after="0" w:line="117"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We employ a disciplined approach in selecting investments that meet the long-standing, consistent value-oriented investment criteria employed by our Investment Adviser. Our value-oriented investment philosophy focuses on preserving capital and ensuring that our investments have an appropriate return profile in relation to risk. When market conditions make it difficult for us to invest according to our criteria, we are highly selective in deploying our capital. We believe this approach continues to enable us to build an attractive investment portfolio that meets our return and value criteria over the long-term.</w:t>
      </w:r>
    </w:p>
    <w:p>
      <w:pPr>
        <w:spacing w:after="0" w:line="154"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believe it is critical to conduct extensive due diligence on investment targets. In evaluating new investments we, through our Investment Adviser, conduct a rigorous due diligence process that draws from our Investment Adviser’s experience, industry expertise and network of contacts. Among other things, our due diligence is designed to ensure that each prospective portfolio company will be able to meet its debt service obligations. See “Investment Objectives and Policies—Investment Selection Criteria” for more information.</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to engaging in extensive due diligence, our Investment Adviser seeks to reduce risk by focusing on businesses with:</w:t>
      </w:r>
    </w:p>
    <w:p>
      <w:pPr>
        <w:spacing w:after="0" w:line="131" w:lineRule="exact"/>
        <w:rPr>
          <w:sz w:val="20"/>
          <w:szCs w:val="20"/>
          <w:color w:val="auto"/>
        </w:rPr>
      </w:pPr>
    </w:p>
    <w:p>
      <w:pPr>
        <w:ind w:left="900" w:hanging="325"/>
        <w:spacing w:after="0"/>
        <w:tabs>
          <w:tab w:leader="none" w:pos="9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strong competitive positions;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positive cash flow that is steady and stable;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experienced management teams with strong track records;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potential for growth and viable exit strategies;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capital structures offering appropriate risk-adjusted terms and covenants.</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0"/>
          <w:numId w:val="60"/>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Ability to Source and Evaluate Transactions through our Investment Adviser’s Research Capability and Established Network</w:t>
      </w:r>
    </w:p>
    <w:p>
      <w:pPr>
        <w:spacing w:after="0" w:line="129"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management team of the Investment Adviser has long-term relationships with financial sponsors, management consultants and management teams that we believe enable us to evaluate investment opportunities effectively in numerous industries, as well as provide us access to substantial information concerning those industries. We identify potential investments both through active origination and through dialogue with numerous financial sponsors, management teams, members of the financial community and corporate partners with whom the professionals of our Investment Adviser have long-term relationships.</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80"/>
          </w:cols>
          <w:pgMar w:left="240" w:top="459" w:right="27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6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Flexible Transaction Structuring</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We are flexible in structuring investments and tailor investments to meet the needs of a portfolio company while also generating attractive risk-adjusted returns. We can invest in any part of a capital structure, and our Investment Adviser has extensive experience in a wide variety of securities for leveraged companies throughout economic and market cycles.</w:t>
      </w:r>
    </w:p>
    <w:p>
      <w:pPr>
        <w:spacing w:after="0" w:line="18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Our Investment Adviser seeks to minimize the risk of capital loss without foregoing potential for capital appreciation. In making investment decisions, we seek to invest in companies that we believe can generate positive risk-adjusted returns.</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We believe that the in-depth coverage and experience of our Investment Adviser will enable us to invest throughout various stages of the economic and market cycles and to provide us with ongoing market insights in addition to a significant investment sourcing engine.</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Competition</w:t>
      </w:r>
    </w:p>
    <w:p>
      <w:pPr>
        <w:spacing w:after="0" w:line="117"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Our primary competitors provide financing to middle-market companies and include other BDCs, commercial and investment banks, commercial finance companies, CLO funds and, to the extent they provide an alternative form of financing, private equity funds. Additionally, alternative investment vehicles, such as hedge funds, frequently invest in middle-market companies. As a result, competition for investment opportunities in middle-market companies can be intense. However, we believe that there has been a reduction in the amount of debt capital available to middle-market companies since the downturn in the credit markets, which began in mid-2007. We believe this has resulted in a less competitive environment for making new investments.</w:t>
      </w:r>
    </w:p>
    <w:p>
      <w:pPr>
        <w:spacing w:after="0" w:line="158" w:lineRule="exact"/>
        <w:rPr>
          <w:sz w:val="20"/>
          <w:szCs w:val="20"/>
          <w:color w:val="auto"/>
        </w:rPr>
      </w:pPr>
    </w:p>
    <w:p>
      <w:pPr>
        <w:jc w:val="both"/>
        <w:ind w:right="160" w:firstLine="456"/>
        <w:spacing w:after="0" w:line="297" w:lineRule="auto"/>
        <w:rPr>
          <w:sz w:val="20"/>
          <w:szCs w:val="20"/>
          <w:color w:val="auto"/>
        </w:rPr>
      </w:pPr>
      <w:r>
        <w:rPr>
          <w:rFonts w:ascii="Arial" w:cs="Arial" w:eastAsia="Arial" w:hAnsi="Arial"/>
          <w:sz w:val="16"/>
          <w:szCs w:val="16"/>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See “Risk Factors—Risks Relating to our Business and Structure—We operate in a highly competitive market for investment opportunities” for more information.</w:t>
      </w:r>
    </w:p>
    <w:p>
      <w:pPr>
        <w:spacing w:after="0" w:line="2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Leverage</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maintain a multi-currency $430.0 million Credit Facility which matures in February 2016 and is secured by substantially all of our investment portfolio assets (excluding the assets of our SBIC Funds), under which we had $145.5 million (including a $28.0 million temporary draw) and $145.0 million (including a $35.5 million temporary draw) of debt outstanding with a weighted average interest rate of 3.33% and 3.49% as of September 30, 2013 and 2012, respectively. Pricing of borrowings under our current Credit Facility is set at 275 basis points over LIBOR. As of September 30, 2013 and 2012, we had $284.5 million and $235.0 million, respectively, available to us under our Credit Facility. We believe that our capital resources will provide us with the flexibility to take advantage of market opportunities when they arise. Our use of leverage, as calculated under the asset coverage requirements of the 1940 Act, may generally range between 60% to 80% of our net assets.</w:t>
      </w:r>
    </w:p>
    <w:p>
      <w:pPr>
        <w:spacing w:after="0" w:line="189"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As of September 30, 2013 and 2012, SBIC LP had drawn $150.0 million in SBA debentures, with a weighted average interest rate of 3.70%, exclusive of 3.43% of upfront fees (4.04% inclusive of the upfront fees), and had no remaining borrowing capacity. SBA debentures offer competitive terms such as being non-recourse to us, a 10-year maturity, semi-annual interest payments, not requiring principal payments prior to maturity and may be prepaid at any time without penalty. The SBA debentures are secured by all the investment portfolio assets of SBIC LP and have a priority claim over such assets relative to all other creditors. See “Regulation” for more information.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January 2013, we issued $71.3 million in aggregate principal amount of 2025 Notes. Interest on the 2025 Notes accrues at a rate of 6.25% per year. The 2025 Notes mature on February 1, 2025. The 2025 Notes are general, unsecured obligations and rank equal in right of payment with all of our existing and future senior unsecured indebtedness. The 2025 Notes are structurally subordinated to our SBA debentures and the assets pledged or secured under our Credit Facility.</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60"/>
          </w:cols>
          <w:pgMar w:left="240" w:top="459" w:right="39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INVESTMENT OBJECTIVES AND POLICIES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Investment Policy Overview</w:t>
      </w:r>
    </w:p>
    <w:p>
      <w:pPr>
        <w:spacing w:after="0" w:line="121"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We seek to create a diversified portfolio that includes senior secured loans, mezzanine debt and equity by targeting an investment size of $10 million to $50 million in securities, on average, of middle-market companies. We expect this investment size to vary proportionately with the size of our capital base.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range in maturity from three to ten years.</w:t>
      </w:r>
    </w:p>
    <w:p>
      <w:pPr>
        <w:spacing w:after="0" w:line="64"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Over time, we expect that our portfolio will continue to consist primarily of senior secured loans, mezzanine debt and, to a lesser extent, equity investments in qualifying assets such as private or thinly traded or small market-capitalization, U.S. middle market public companies. In addition, we may invest up to 30% of our portfolio in non-qualifying assets. See “Regulation—Qualifying Assets” for more information. These non-qualifying assets may include investments in public companies whose securities are not thinly traded or do not have a market capitalization of less than $250 million, securities of middle-market companies located outside of the United States and investment companies as defined in the 1940 Act. Moreover, we may acquire investments in the secondary market. See “Investment Selection Criteria” for more information.</w:t>
      </w:r>
    </w:p>
    <w:p>
      <w:pPr>
        <w:spacing w:after="0" w:line="70"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Our board of directors has the authority to modify or waive certain of our operating policies and strategies without prior notice and without stockholder approval (except as required by the 1940 Act). However, absent stockholder approval, under the 1940 Act we may not change the nature of our business so as to cease to be, or withdraw our election as, a BDC. We cannot predict the effect any changes to our current operating policies and strategies would have on our business, operating results and value of our stock. Nevertheless, the effects of changes to our operating policies and strategies may adversely affect our business, our ability to make distributions and the value of our stock.</w:t>
      </w:r>
    </w:p>
    <w:p>
      <w:pPr>
        <w:spacing w:after="0" w:line="29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Senior Secured Debt</w:t>
      </w:r>
    </w:p>
    <w:p>
      <w:pPr>
        <w:spacing w:after="0" w:line="12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Structurally, senior secured debt (which we define to include first lien debt) ranks senior in priority of payment to mezzanine debt and equity, and benefits from a senior security interest in the assets of the borrower. As such, other creditors rank junior to our investments in these securities in the event of insolvency. Due to its lower risk profile and often more restrictive covenants as compared to mezzanine debt, senior secured debt generally earns a lower return than mezzanine debt. In some cases senior secured lenders receive opportunities to invest directly in the equity securities of borrowers and from time to time may also receive warrants to purchase equity securities. We evaluate these investment opportunities on a case-by-case basis.</w:t>
      </w:r>
    </w:p>
    <w:p>
      <w:pPr>
        <w:spacing w:after="0" w:line="26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Mezzanine Debt</w:t>
      </w:r>
    </w:p>
    <w:p>
      <w:pPr>
        <w:spacing w:after="0" w:line="121"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Structurally, mezzanine debt (which we define to include second lien secured debt and subordinated debt) usually ranks subordinate in priority of payment to senior secured loans. Our second lien secured debt is subordinated debt that benefits from a security interest in the borrower. As such, other creditors may rank senior to us in the event of insolvency. Mezzanine debt ranks senior to common and preferred equity in borrowers’ capital structures. Due to its higher risk profile and often less restrictive covenants as compared to senior secured loans, mezzanine debt generally earns a higher return than senior secured loans. In many cases mezzanine investors receive opportunities to invest directly in the equity securities of borrowers and from time to time may also receive warrants to purchase equity securities. We evaluate these investment opportunities on a case-by-case basis.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Selection Criteria</w:t>
      </w:r>
    </w:p>
    <w:p>
      <w:pPr>
        <w:spacing w:after="0" w:line="12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We are committed to a value-oriented philosophy used by the senior investment professionals who manage our portfolio and seek to minimize the risk of capital loss without foregoing potential for capital appreciation.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459" w:right="2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have identified several criteria, discussed below, that we believe are important in identifying and investing in prospective portfolio companies. These criteria provide general guidelines for our investment decisions. However, we caution that not all of these criteria will be met by each prospective portfolio company in which we choose to invest. Generally, we seek to use our experience and access to market information to identify investment candidates and to structure investments efficiently and effectively.</w:t>
      </w:r>
    </w:p>
    <w:p>
      <w:pPr>
        <w:spacing w:after="0" w:line="214" w:lineRule="exact"/>
        <w:rPr>
          <w:sz w:val="20"/>
          <w:szCs w:val="20"/>
          <w:color w:val="auto"/>
        </w:rPr>
      </w:pPr>
    </w:p>
    <w:p>
      <w:pPr>
        <w:ind w:left="900" w:hanging="446"/>
        <w:spacing w:after="0"/>
        <w:tabs>
          <w:tab w:leader="none" w:pos="900" w:val="left"/>
        </w:tabs>
        <w:numPr>
          <w:ilvl w:val="0"/>
          <w:numId w:val="6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Leading and defensible competitive market positions</w:t>
      </w:r>
    </w:p>
    <w:p>
      <w:pPr>
        <w:spacing w:after="0" w:line="1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Investment Adviser invests in portfolio companies that it believes have developed strong positions within their markets and exhibit the potential to maintain sufficient cash flows and profitability to service their obligations in a range of economic environments. The Investment Adviser also seeks portfolio companies that it believes possess competitive advantages in scale, scope, customer loyalty, product pricing or product quality as compared to their competitors to protect their market position.</w:t>
      </w:r>
    </w:p>
    <w:p>
      <w:pPr>
        <w:spacing w:after="0" w:line="214" w:lineRule="exact"/>
        <w:rPr>
          <w:sz w:val="20"/>
          <w:szCs w:val="20"/>
          <w:color w:val="auto"/>
        </w:rPr>
      </w:pPr>
    </w:p>
    <w:p>
      <w:pPr>
        <w:ind w:left="900" w:hanging="446"/>
        <w:spacing w:after="0"/>
        <w:tabs>
          <w:tab w:leader="none" w:pos="900" w:val="left"/>
        </w:tabs>
        <w:numPr>
          <w:ilvl w:val="0"/>
          <w:numId w:val="6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Investing in stable borrowers with positive cash flow</w:t>
      </w:r>
    </w:p>
    <w:p>
      <w:pPr>
        <w:spacing w:after="0" w:line="117"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Our investment philosophy places a premium on fundamental analysis and has a distinct value-orientation. The Investment Adviser invests in portfolio companies it believes to be stable and well established, with strong cash flows and profitability. The Investment Adviser believes these attributes indicate portfolio companies that may be well-positioned to maintain consistent cash flow to service and repay their liabilities and maintain growth in their businesses or their relative market share. The Investment Adviser currently does not expect to invest significantly in start-up companies, companies in turnaround situations or companies with speculative business plans, although we are permitted to do so.</w:t>
      </w:r>
    </w:p>
    <w:p>
      <w:pPr>
        <w:spacing w:after="0" w:line="200" w:lineRule="exact"/>
        <w:rPr>
          <w:sz w:val="20"/>
          <w:szCs w:val="20"/>
          <w:color w:val="auto"/>
        </w:rPr>
      </w:pPr>
    </w:p>
    <w:p>
      <w:pPr>
        <w:ind w:left="900" w:hanging="446"/>
        <w:spacing w:after="0"/>
        <w:tabs>
          <w:tab w:leader="none" w:pos="900" w:val="left"/>
        </w:tabs>
        <w:numPr>
          <w:ilvl w:val="0"/>
          <w:numId w:val="6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Proven management teams</w:t>
      </w:r>
    </w:p>
    <w:p>
      <w:pPr>
        <w:spacing w:after="0" w:line="11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Investment Adviser focuses on investments in which the portfolio company has an experienced management team with an established track record of success. The Investment Adviser typically requires that portfolio companies have in place proper incentives to align management’s goals with our goals, including having equity interests.</w:t>
      </w:r>
    </w:p>
    <w:p>
      <w:pPr>
        <w:spacing w:after="0" w:line="208" w:lineRule="exact"/>
        <w:rPr>
          <w:sz w:val="20"/>
          <w:szCs w:val="20"/>
          <w:color w:val="auto"/>
        </w:rPr>
      </w:pPr>
    </w:p>
    <w:p>
      <w:pPr>
        <w:ind w:left="900" w:hanging="446"/>
        <w:spacing w:after="0"/>
        <w:tabs>
          <w:tab w:leader="none" w:pos="900" w:val="left"/>
        </w:tabs>
        <w:numPr>
          <w:ilvl w:val="0"/>
          <w:numId w:val="6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Financial sponsorship</w:t>
      </w:r>
    </w:p>
    <w:p>
      <w:pPr>
        <w:spacing w:after="0" w:line="117"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The Investment Adviser may seek to cause us to participate in transactions sponsored by what it believes to be high-quality financial sponsors. The Investment Adviser believes that a financial sponsor’s willingness to invest significant equity capital in a portfolio company is an implicit endorsement of the quality of that portfolio company. Further, financial sponsors of portfolio companies with significant investments at risk may have ability, and a strong incentive, to contribute additional capital in difficult economic times should financial or operational issues arise so as to maintain their ownership position.</w:t>
      </w:r>
    </w:p>
    <w:p>
      <w:pPr>
        <w:spacing w:after="0" w:line="181" w:lineRule="exact"/>
        <w:rPr>
          <w:sz w:val="20"/>
          <w:szCs w:val="20"/>
          <w:color w:val="auto"/>
        </w:rPr>
      </w:pPr>
    </w:p>
    <w:p>
      <w:pPr>
        <w:ind w:left="900" w:hanging="446"/>
        <w:spacing w:after="0"/>
        <w:tabs>
          <w:tab w:leader="none" w:pos="900" w:val="left"/>
        </w:tabs>
        <w:numPr>
          <w:ilvl w:val="0"/>
          <w:numId w:val="6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Investments in different borrowers and industries</w:t>
      </w:r>
    </w:p>
    <w:p>
      <w:pPr>
        <w:spacing w:after="0" w:line="11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Investment Adviser seeks to invest our assets broadly among portfolio companies and across industries. The Investment Adviser believes that this diversified approach may reduce the risk that a downturn in any one portfolio company or industry will have a disproportionate impact on the value of our portfolio.</w:t>
      </w:r>
    </w:p>
    <w:p>
      <w:pPr>
        <w:spacing w:after="0" w:line="208" w:lineRule="exact"/>
        <w:rPr>
          <w:sz w:val="20"/>
          <w:szCs w:val="20"/>
          <w:color w:val="auto"/>
        </w:rPr>
      </w:pPr>
    </w:p>
    <w:p>
      <w:pPr>
        <w:ind w:left="900" w:hanging="446"/>
        <w:spacing w:after="0"/>
        <w:tabs>
          <w:tab w:leader="none" w:pos="900" w:val="left"/>
        </w:tabs>
        <w:numPr>
          <w:ilvl w:val="0"/>
          <w:numId w:val="6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Viable exit strategy</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Investment Adviser seeks to invest in portfolio companies that we believe will provide a steady stream of cash flow to repay our loans while also reinvesting in their respective businesses. We expect that such internally generated cash flow, leading to the payment of interest on, and the repayment of the principal of, our investments in portfolio companies to be a key means by which we will exit from our investments over time. In addition, we also seek to invest in portfolio companies whose business models and expected future cash flows offer attractive exit possibilities. These companies include candidates for strategic acquisition by other industry participants and companies that may repay our investments through an initial public offering of common stock, refinancing or other capital markets transaction.</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459" w:right="2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Due Diligence</w:t>
      </w:r>
    </w:p>
    <w:p>
      <w:pPr>
        <w:spacing w:after="0" w:line="11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We believe it is critical to conduct extensive due diligence on investment targets and in evaluating new investments. Our Investment Adviser conducts a rigorous due diligence process that is applied to prospective portfolio companies and draws from our Investment Adviser’s experience, industry expertise and network of contacts. In conducting due diligence, our Investment Adviser uses information provided by companies, financial sponsors and publicly available information as well as information from relationships with former and current management teams, consultants, competitors and investment bankers.</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due diligence typically includes:</w:t>
      </w:r>
    </w:p>
    <w:p>
      <w:pPr>
        <w:spacing w:after="0" w:line="131" w:lineRule="exact"/>
        <w:rPr>
          <w:sz w:val="20"/>
          <w:szCs w:val="20"/>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review of historical and prospective financial information;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research relating to the company’s management, industry, markets, products and services and competitors;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interviews with management, employees, customers and vendors of the potential portfolio company;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on-site visits;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review of loan documents;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background checks.</w:t>
      </w:r>
    </w:p>
    <w:p>
      <w:pPr>
        <w:spacing w:after="0" w:line="11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Additional due diligence with respect to any investment may be conducted on our behalf by attorneys and independent auditors prior to the closing of the investment, as well as other outside advisers, as appropriate.</w:t>
      </w:r>
    </w:p>
    <w:p>
      <w:pPr>
        <w:spacing w:after="0" w:line="170"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color w:val="auto"/>
        </w:rPr>
        <w:t>Upon the completion of due diligence and a decision to proceed with an investment in a portfolio company, the team leading the investment presents the investment opportunity to our Investment Adviser’s investment committee. This committee determines whether to pursue the potential investment. All new investments are required to be reviewed by the investment committee of our Investment Adviser. The members of the investment committee receive no compensation from us. These members are employees of our Investment Adviser and receive compensation from our Investment Adviser.</w:t>
      </w:r>
    </w:p>
    <w:p>
      <w:pPr>
        <w:spacing w:after="0" w:line="154"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Investment Adviser monitors credit risk of each portfolio company regularly and periodically with a goal toward identifying early, and when able and appropriate, exiting other investments with potential credit problems. This monitoring process may include reviewing: (1) a portfolio company’s financial resources and operating history; (2) comparing a portfolio company’s current operating results with the Investment Adviser’s initial thesis for the investment and its expectations for the performance of the investment; (3) a portfolio company’s sensitivity to economic conditions; (4) the performance of a portfolio company’s management; (5) a portfolio company’s debt maturities and borrowing requirements; (6) a portfolio company’s interest and asset coverage; and (7) the relative value of an investment based on a portfolio company’s anticipated cash flow.</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 Structure</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Once we determine that a prospective portfolio company is suitable for investment, we work with the management of that company and its other capital providers, including senior, junior and equity capital providers, to structure an investment. We negotiate among these parties to agree on how our investment is structured relative to the other capital in the portfolio company’s capital structure.</w:t>
      </w:r>
    </w:p>
    <w:p>
      <w:pPr>
        <w:spacing w:after="0" w:line="181"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We expect our senior secured loans to have terms of three to ten years. We generally obtain security interests in the assets of our portfolio companies that will serve as collateral in support of the repayment of these loans. This collateral may take the form of first or second priority liens on the assets of a portfolio company.</w:t>
      </w:r>
    </w:p>
    <w:p>
      <w:pPr>
        <w:spacing w:after="0" w:line="181"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Typically, our mezzanine debt has maturities of three to ten years. Mezzanine debt may have interest-only payments in the early years with cash or PIK payments with amortization of principal deferred to the later years. In some cases, we may invest in debt securities that, by their terms, convert into equity or additional debt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459" w:right="2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securities or defers payment of interest for the first few years after our investment. Also, in some cases our mezzanine debt may be collateralized by a subordinated lien on some or all of the assets of the borrower.</w:t>
      </w:r>
    </w:p>
    <w:p>
      <w:pPr>
        <w:spacing w:after="0" w:line="17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seek to tailor the terms of the investment to the facts and circumstances of the transaction and the prospective portfolio company, negotiating a structure that protects our rights and manages our risk while creating incentives for the portfolio company to achieve its business plan and improve its profitability. For example, in addition to seeking a senior position in the capital structure of our portfolio companies, we seek to limit the downside potential of our investments by:</w:t>
      </w:r>
    </w:p>
    <w:p>
      <w:pPr>
        <w:spacing w:after="0" w:line="92" w:lineRule="exact"/>
        <w:rPr>
          <w:sz w:val="20"/>
          <w:szCs w:val="20"/>
          <w:color w:val="auto"/>
        </w:rPr>
      </w:pPr>
    </w:p>
    <w:p>
      <w:pPr>
        <w:ind w:left="900" w:right="200" w:hanging="676"/>
        <w:spacing w:after="0" w:line="277"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requiring a total return on our investments (including both interest in the form of a floor and potential equity appreciation) that compensates us for credit risk;</w:t>
      </w:r>
    </w:p>
    <w:p>
      <w:pPr>
        <w:spacing w:after="0" w:line="75" w:lineRule="exact"/>
        <w:rPr>
          <w:rFonts w:ascii="Arial" w:cs="Arial" w:eastAsia="Arial" w:hAnsi="Arial"/>
          <w:sz w:val="18"/>
          <w:szCs w:val="18"/>
          <w:color w:val="auto"/>
        </w:rPr>
      </w:pPr>
    </w:p>
    <w:p>
      <w:pPr>
        <w:ind w:left="900" w:hanging="67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incorporating “put” rights and call protection into the investment structure; and</w:t>
      </w:r>
    </w:p>
    <w:p>
      <w:pPr>
        <w:spacing w:after="0" w:line="130" w:lineRule="exact"/>
        <w:rPr>
          <w:rFonts w:ascii="Arial" w:cs="Arial" w:eastAsia="Arial" w:hAnsi="Arial"/>
          <w:sz w:val="18"/>
          <w:szCs w:val="18"/>
          <w:color w:val="auto"/>
        </w:rPr>
      </w:pPr>
    </w:p>
    <w:p>
      <w:pPr>
        <w:jc w:val="both"/>
        <w:ind w:left="900" w:right="40" w:hanging="676"/>
        <w:spacing w:after="0" w:line="286" w:lineRule="auto"/>
        <w:tabs>
          <w:tab w:leader="none" w:pos="9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negotiating covenants in connection with our investments that afford our portfolio companies as much flexibility in managing their businesses as possible, consistent with our focus of preserving capital. Such restrictions may include affirmative and negative covenants, default penalties, lien protection, change of control provisions and board rights, including either observation or participation rights.</w:t>
      </w:r>
    </w:p>
    <w:p>
      <w:pPr>
        <w:spacing w:after="0" w:line="166"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Our investments may include equity features, such as direct investments in the equity securities of borrowers or warrants or options to buy a minority interest in a portfolio company. Any warrants we may receive with our debt securities generally require only a nominal cost to exercise, so as a portfolio company appreciates in value, we may achieve additional investment return from these equity investments. We may structure the warrants to provide provisions protecting our rights as a minority-interest holder, as well as puts, or rights to sell such securities back to the company, upon the occurrence of specified events. In many cases, we may also obtain registration rights in connection with these equity investments, which may include demand and “piggyback” registration rights.</w:t>
      </w:r>
    </w:p>
    <w:p>
      <w:pPr>
        <w:spacing w:after="0" w:line="193"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We expect to hold most of our investments to maturity or repayment, but we may sell certain investments earlier if a liquidity event takes place, such as the sale or refinancing of a portfolio company. We also may turn over investments to better position the portfolio in light of market conditions.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Ongoing relationships with portfolio companies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Monitoring</w:t>
      </w:r>
    </w:p>
    <w:p>
      <w:pPr>
        <w:spacing w:after="0" w:line="117" w:lineRule="exact"/>
        <w:rPr>
          <w:sz w:val="20"/>
          <w:szCs w:val="20"/>
          <w:color w:val="auto"/>
        </w:rPr>
      </w:pPr>
    </w:p>
    <w:p>
      <w:pPr>
        <w:ind w:right="400" w:firstLine="456"/>
        <w:spacing w:after="0" w:line="308" w:lineRule="auto"/>
        <w:rPr>
          <w:sz w:val="20"/>
          <w:szCs w:val="20"/>
          <w:color w:val="auto"/>
        </w:rPr>
      </w:pPr>
      <w:r>
        <w:rPr>
          <w:rFonts w:ascii="Arial" w:cs="Arial" w:eastAsia="Arial" w:hAnsi="Arial"/>
          <w:sz w:val="17"/>
          <w:szCs w:val="17"/>
          <w:color w:val="auto"/>
        </w:rPr>
        <w:t>The Investment Adviser monitors our portfolio companies on an ongoing basis. The Investment Adviser also monitors the financial trends of each portfolio company to determine if it is meeting its business plan and to assess the appropriate course of action for each portfolio company.</w:t>
      </w:r>
    </w:p>
    <w:p>
      <w:pPr>
        <w:spacing w:after="0" w:line="38"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Investment Adviser has several methods of evaluating and monitoring the performance and fair value of our investments, which may include the following:</w:t>
      </w:r>
    </w:p>
    <w:p>
      <w:pPr>
        <w:spacing w:after="0" w:line="76" w:lineRule="exact"/>
        <w:rPr>
          <w:sz w:val="20"/>
          <w:szCs w:val="20"/>
          <w:color w:val="auto"/>
        </w:rPr>
      </w:pPr>
    </w:p>
    <w:p>
      <w:pPr>
        <w:ind w:left="900" w:hanging="67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assessment of success in adhering to portfolio company’s business plan and compliance with covenants;</w:t>
      </w:r>
    </w:p>
    <w:p>
      <w:pPr>
        <w:spacing w:after="0" w:line="130" w:lineRule="exact"/>
        <w:rPr>
          <w:rFonts w:ascii="Arial" w:cs="Arial" w:eastAsia="Arial" w:hAnsi="Arial"/>
          <w:sz w:val="18"/>
          <w:szCs w:val="18"/>
          <w:color w:val="auto"/>
        </w:rPr>
      </w:pPr>
    </w:p>
    <w:p>
      <w:pPr>
        <w:ind w:left="900" w:right="480" w:hanging="676"/>
        <w:spacing w:after="0" w:line="277"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periodic and regular contact with portfolio company management and, if appropriate, the financial or strategic sponsor, to discuss financial position, requirements and accomplishments;</w:t>
      </w:r>
    </w:p>
    <w:p>
      <w:pPr>
        <w:spacing w:after="0" w:line="75" w:lineRule="exact"/>
        <w:rPr>
          <w:rFonts w:ascii="Arial" w:cs="Arial" w:eastAsia="Arial" w:hAnsi="Arial"/>
          <w:sz w:val="18"/>
          <w:szCs w:val="18"/>
          <w:color w:val="auto"/>
        </w:rPr>
      </w:pPr>
    </w:p>
    <w:p>
      <w:pPr>
        <w:ind w:left="900" w:hanging="67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comparisons to other portfolio companies in the industry, if any;</w:t>
      </w:r>
    </w:p>
    <w:p>
      <w:pPr>
        <w:spacing w:after="0" w:line="130" w:lineRule="exact"/>
        <w:rPr>
          <w:rFonts w:ascii="Arial" w:cs="Arial" w:eastAsia="Arial" w:hAnsi="Arial"/>
          <w:sz w:val="18"/>
          <w:szCs w:val="18"/>
          <w:color w:val="auto"/>
        </w:rPr>
      </w:pPr>
    </w:p>
    <w:p>
      <w:pPr>
        <w:ind w:left="900" w:hanging="67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attendance at and participation in board meetings or presentations by portfolio companies; and</w:t>
      </w:r>
    </w:p>
    <w:p>
      <w:pPr>
        <w:spacing w:after="0" w:line="130" w:lineRule="exact"/>
        <w:rPr>
          <w:rFonts w:ascii="Arial" w:cs="Arial" w:eastAsia="Arial" w:hAnsi="Arial"/>
          <w:sz w:val="18"/>
          <w:szCs w:val="18"/>
          <w:color w:val="auto"/>
        </w:rPr>
      </w:pPr>
    </w:p>
    <w:p>
      <w:pPr>
        <w:ind w:left="900" w:hanging="67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review of monthly and quarterly financial statements and financial projections for portfolio companies.</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Managerial assistance</w:t>
      </w:r>
    </w:p>
    <w:p>
      <w:pPr>
        <w:spacing w:after="0" w:line="117"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We offer managerial assistance to our portfolio companies. As a BDC, we are required to make available such managerial assistance within the meaning of Section 55 of the 1940 Act. See “Regulation” for more information.</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80"/>
          </w:cols>
          <w:pgMar w:left="240" w:top="459" w:right="27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Staffing</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We do not currently have any employees. Our Investment Adviser and Administrator have hired and expect to continue to hire professionals with skills applicable to our business plan, including experience in middle-market investing, mezzanine lending, leveraged finance, distressed debt and private equity businesses.</w:t>
      </w:r>
    </w:p>
    <w:p>
      <w:pPr>
        <w:spacing w:after="0" w:line="289"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Our Consolidated Portfolio</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Our principal investment focus is to provide senior secured loans and mezzanine debt to U.S. middle-market companies in a variety of industries. We generally seek to target companies that generate positive cash flows from the broad variety of industries in which our Investment Adviser has direct expertise. The following is an illustrative list of the industries in which the Investment Adviser has invested:</w:t>
      </w:r>
    </w:p>
    <w:p>
      <w:pPr>
        <w:spacing w:after="0" w:line="141"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860" w:type="dxa"/>
            <w:vAlign w:val="bottom"/>
          </w:tcPr>
          <w:p>
            <w:pPr>
              <w:ind w:left="120"/>
              <w:spacing w:after="0"/>
              <w:rPr>
                <w:sz w:val="20"/>
                <w:szCs w:val="20"/>
                <w:color w:val="auto"/>
              </w:rPr>
            </w:pPr>
            <w:r>
              <w:rPr>
                <w:rFonts w:ascii="Arial" w:cs="Arial" w:eastAsia="Arial" w:hAnsi="Arial"/>
                <w:sz w:val="18"/>
                <w:szCs w:val="18"/>
                <w:color w:val="auto"/>
              </w:rPr>
              <w:t>Aerospace and Defense</w:t>
            </w:r>
          </w:p>
        </w:tc>
        <w:tc>
          <w:tcPr>
            <w:tcW w:w="540" w:type="dxa"/>
            <w:vAlign w:val="bottom"/>
          </w:tcPr>
          <w:p>
            <w:pPr>
              <w:ind w:left="340"/>
              <w:spacing w:after="0"/>
              <w:rPr>
                <w:sz w:val="20"/>
                <w:szCs w:val="20"/>
                <w:color w:val="auto"/>
              </w:rPr>
            </w:pPr>
            <w:r>
              <w:rPr>
                <w:rFonts w:ascii="Arial" w:cs="Arial" w:eastAsia="Arial" w:hAnsi="Arial"/>
                <w:sz w:val="18"/>
                <w:szCs w:val="18"/>
                <w:color w:val="auto"/>
              </w:rPr>
              <w:t>•</w:t>
            </w:r>
          </w:p>
        </w:tc>
        <w:tc>
          <w:tcPr>
            <w:tcW w:w="3900" w:type="dxa"/>
            <w:vAlign w:val="bottom"/>
          </w:tcPr>
          <w:p>
            <w:pPr>
              <w:ind w:left="120"/>
              <w:spacing w:after="0"/>
              <w:rPr>
                <w:sz w:val="20"/>
                <w:szCs w:val="20"/>
                <w:color w:val="auto"/>
              </w:rPr>
            </w:pPr>
            <w:r>
              <w:rPr>
                <w:rFonts w:ascii="Arial" w:cs="Arial" w:eastAsia="Arial" w:hAnsi="Arial"/>
                <w:sz w:val="18"/>
                <w:szCs w:val="18"/>
                <w:color w:val="auto"/>
              </w:rPr>
              <w:t>Environmental Services</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860" w:type="dxa"/>
            <w:vAlign w:val="bottom"/>
          </w:tcPr>
          <w:p>
            <w:pPr>
              <w:ind w:left="120"/>
              <w:spacing w:after="0"/>
              <w:rPr>
                <w:sz w:val="20"/>
                <w:szCs w:val="20"/>
                <w:color w:val="auto"/>
              </w:rPr>
            </w:pPr>
            <w:r>
              <w:rPr>
                <w:rFonts w:ascii="Arial" w:cs="Arial" w:eastAsia="Arial" w:hAnsi="Arial"/>
                <w:sz w:val="18"/>
                <w:szCs w:val="18"/>
                <w:color w:val="auto"/>
              </w:rPr>
              <w:t>Auto Sector</w:t>
            </w:r>
          </w:p>
        </w:tc>
        <w:tc>
          <w:tcPr>
            <w:tcW w:w="540" w:type="dxa"/>
            <w:vAlign w:val="bottom"/>
          </w:tcPr>
          <w:p>
            <w:pPr>
              <w:ind w:left="340"/>
              <w:spacing w:after="0"/>
              <w:rPr>
                <w:sz w:val="20"/>
                <w:szCs w:val="20"/>
                <w:color w:val="auto"/>
              </w:rPr>
            </w:pPr>
            <w:r>
              <w:rPr>
                <w:rFonts w:ascii="Arial" w:cs="Arial" w:eastAsia="Arial" w:hAnsi="Arial"/>
                <w:sz w:val="18"/>
                <w:szCs w:val="18"/>
                <w:color w:val="auto"/>
              </w:rPr>
              <w:t>•</w:t>
            </w:r>
          </w:p>
        </w:tc>
        <w:tc>
          <w:tcPr>
            <w:tcW w:w="3900" w:type="dxa"/>
            <w:vAlign w:val="bottom"/>
          </w:tcPr>
          <w:p>
            <w:pPr>
              <w:ind w:left="120"/>
              <w:spacing w:after="0"/>
              <w:rPr>
                <w:sz w:val="20"/>
                <w:szCs w:val="20"/>
                <w:color w:val="auto"/>
              </w:rPr>
            </w:pPr>
            <w:r>
              <w:rPr>
                <w:rFonts w:ascii="Arial" w:cs="Arial" w:eastAsia="Arial" w:hAnsi="Arial"/>
                <w:sz w:val="18"/>
                <w:szCs w:val="18"/>
                <w:color w:val="auto"/>
              </w:rPr>
              <w:t>Financial Services</w:t>
            </w:r>
          </w:p>
        </w:tc>
      </w:tr>
      <w:tr>
        <w:trPr>
          <w:trHeight w:val="216"/>
        </w:trPr>
        <w:tc>
          <w:tcPr>
            <w:tcW w:w="5060" w:type="dxa"/>
            <w:vAlign w:val="bottom"/>
            <w:gridSpan w:val="2"/>
          </w:tcPr>
          <w:p>
            <w:pPr>
              <w:spacing w:after="0"/>
              <w:rPr>
                <w:sz w:val="20"/>
                <w:szCs w:val="20"/>
                <w:color w:val="auto"/>
              </w:rPr>
            </w:pPr>
            <w:r>
              <w:rPr>
                <w:rFonts w:ascii="Arial" w:cs="Arial" w:eastAsia="Arial" w:hAnsi="Arial"/>
                <w:sz w:val="18"/>
                <w:szCs w:val="18"/>
                <w:color w:val="auto"/>
              </w:rPr>
              <w:t>•   Beverage, Food and Tobacco</w:t>
            </w:r>
          </w:p>
        </w:tc>
        <w:tc>
          <w:tcPr>
            <w:tcW w:w="540" w:type="dxa"/>
            <w:vAlign w:val="bottom"/>
          </w:tcPr>
          <w:p>
            <w:pPr>
              <w:ind w:left="340"/>
              <w:spacing w:after="0"/>
              <w:rPr>
                <w:sz w:val="20"/>
                <w:szCs w:val="20"/>
                <w:color w:val="auto"/>
              </w:rPr>
            </w:pPr>
            <w:r>
              <w:rPr>
                <w:rFonts w:ascii="Arial" w:cs="Arial" w:eastAsia="Arial" w:hAnsi="Arial"/>
                <w:sz w:val="18"/>
                <w:szCs w:val="18"/>
                <w:color w:val="auto"/>
              </w:rPr>
              <w:t>•</w:t>
            </w:r>
          </w:p>
        </w:tc>
        <w:tc>
          <w:tcPr>
            <w:tcW w:w="3900" w:type="dxa"/>
            <w:vAlign w:val="bottom"/>
          </w:tcPr>
          <w:p>
            <w:pPr>
              <w:ind w:left="120"/>
              <w:spacing w:after="0"/>
              <w:rPr>
                <w:sz w:val="20"/>
                <w:szCs w:val="20"/>
                <w:color w:val="auto"/>
              </w:rPr>
            </w:pPr>
            <w:r>
              <w:rPr>
                <w:rFonts w:ascii="Arial" w:cs="Arial" w:eastAsia="Arial" w:hAnsi="Arial"/>
                <w:sz w:val="18"/>
                <w:szCs w:val="18"/>
                <w:color w:val="auto"/>
              </w:rPr>
              <w:t>Grocery</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860" w:type="dxa"/>
            <w:vAlign w:val="bottom"/>
          </w:tcPr>
          <w:p>
            <w:pPr>
              <w:ind w:left="120"/>
              <w:spacing w:after="0"/>
              <w:rPr>
                <w:sz w:val="20"/>
                <w:szCs w:val="20"/>
                <w:color w:val="auto"/>
              </w:rPr>
            </w:pPr>
            <w:r>
              <w:rPr>
                <w:rFonts w:ascii="Arial" w:cs="Arial" w:eastAsia="Arial" w:hAnsi="Arial"/>
                <w:sz w:val="18"/>
                <w:szCs w:val="18"/>
                <w:color w:val="auto"/>
              </w:rPr>
              <w:t>Broadcasting and Entertainment</w:t>
            </w:r>
          </w:p>
        </w:tc>
        <w:tc>
          <w:tcPr>
            <w:tcW w:w="4440" w:type="dxa"/>
            <w:vAlign w:val="bottom"/>
            <w:gridSpan w:val="2"/>
          </w:tcPr>
          <w:p>
            <w:pPr>
              <w:ind w:left="340"/>
              <w:spacing w:after="0"/>
              <w:rPr>
                <w:sz w:val="20"/>
                <w:szCs w:val="20"/>
                <w:color w:val="auto"/>
              </w:rPr>
            </w:pPr>
            <w:r>
              <w:rPr>
                <w:rFonts w:ascii="Arial" w:cs="Arial" w:eastAsia="Arial" w:hAnsi="Arial"/>
                <w:sz w:val="18"/>
                <w:szCs w:val="18"/>
                <w:color w:val="auto"/>
              </w:rPr>
              <w:t>•   Healthcare, Education and Childcare</w:t>
            </w:r>
          </w:p>
        </w:tc>
      </w:tr>
      <w:tr>
        <w:trPr>
          <w:trHeight w:val="216"/>
        </w:trPr>
        <w:tc>
          <w:tcPr>
            <w:tcW w:w="5060" w:type="dxa"/>
            <w:vAlign w:val="bottom"/>
            <w:gridSpan w:val="2"/>
          </w:tcPr>
          <w:p>
            <w:pPr>
              <w:spacing w:after="0"/>
              <w:rPr>
                <w:sz w:val="20"/>
                <w:szCs w:val="20"/>
                <w:color w:val="auto"/>
              </w:rPr>
            </w:pPr>
            <w:r>
              <w:rPr>
                <w:rFonts w:ascii="Arial" w:cs="Arial" w:eastAsia="Arial" w:hAnsi="Arial"/>
                <w:sz w:val="18"/>
                <w:szCs w:val="18"/>
                <w:color w:val="auto"/>
              </w:rPr>
              <w:t>•   Buildings and Real Estate</w:t>
            </w:r>
          </w:p>
        </w:tc>
        <w:tc>
          <w:tcPr>
            <w:tcW w:w="4440" w:type="dxa"/>
            <w:vAlign w:val="bottom"/>
            <w:gridSpan w:val="2"/>
          </w:tcPr>
          <w:p>
            <w:pPr>
              <w:ind w:left="340"/>
              <w:spacing w:after="0"/>
              <w:rPr>
                <w:sz w:val="20"/>
                <w:szCs w:val="20"/>
                <w:color w:val="auto"/>
              </w:rPr>
            </w:pPr>
            <w:r>
              <w:rPr>
                <w:rFonts w:ascii="Arial" w:cs="Arial" w:eastAsia="Arial" w:hAnsi="Arial"/>
                <w:sz w:val="18"/>
                <w:szCs w:val="18"/>
                <w:color w:val="auto"/>
              </w:rPr>
              <w:t>•   Home &amp; Office Furnishings, Housewares &amp;</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860" w:type="dxa"/>
            <w:vAlign w:val="bottom"/>
          </w:tcPr>
          <w:p>
            <w:pPr>
              <w:ind w:left="120"/>
              <w:spacing w:after="0"/>
              <w:rPr>
                <w:sz w:val="20"/>
                <w:szCs w:val="20"/>
                <w:color w:val="auto"/>
              </w:rPr>
            </w:pPr>
            <w:r>
              <w:rPr>
                <w:rFonts w:ascii="Arial" w:cs="Arial" w:eastAsia="Arial" w:hAnsi="Arial"/>
                <w:sz w:val="18"/>
                <w:szCs w:val="18"/>
                <w:color w:val="auto"/>
              </w:rPr>
              <w:t>Business Services</w:t>
            </w:r>
          </w:p>
        </w:tc>
        <w:tc>
          <w:tcPr>
            <w:tcW w:w="540" w:type="dxa"/>
            <w:vAlign w:val="bottom"/>
          </w:tcPr>
          <w:p>
            <w:pPr>
              <w:spacing w:after="0"/>
              <w:rPr>
                <w:sz w:val="18"/>
                <w:szCs w:val="18"/>
                <w:color w:val="auto"/>
              </w:rPr>
            </w:pPr>
          </w:p>
        </w:tc>
        <w:tc>
          <w:tcPr>
            <w:tcW w:w="3900" w:type="dxa"/>
            <w:vAlign w:val="bottom"/>
          </w:tcPr>
          <w:p>
            <w:pPr>
              <w:ind w:left="120"/>
              <w:spacing w:after="0"/>
              <w:rPr>
                <w:sz w:val="20"/>
                <w:szCs w:val="20"/>
                <w:color w:val="auto"/>
              </w:rPr>
            </w:pPr>
            <w:r>
              <w:rPr>
                <w:rFonts w:ascii="Arial" w:cs="Arial" w:eastAsia="Arial" w:hAnsi="Arial"/>
                <w:sz w:val="18"/>
                <w:szCs w:val="18"/>
                <w:color w:val="auto"/>
              </w:rPr>
              <w:t>Durable Consumer Products</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860" w:type="dxa"/>
            <w:vAlign w:val="bottom"/>
          </w:tcPr>
          <w:p>
            <w:pPr>
              <w:ind w:left="120"/>
              <w:spacing w:after="0"/>
              <w:rPr>
                <w:sz w:val="20"/>
                <w:szCs w:val="20"/>
                <w:color w:val="auto"/>
              </w:rPr>
            </w:pPr>
            <w:r>
              <w:rPr>
                <w:rFonts w:ascii="Arial" w:cs="Arial" w:eastAsia="Arial" w:hAnsi="Arial"/>
                <w:sz w:val="18"/>
                <w:szCs w:val="18"/>
                <w:color w:val="auto"/>
              </w:rPr>
              <w:t>Cable Television</w:t>
            </w:r>
          </w:p>
        </w:tc>
        <w:tc>
          <w:tcPr>
            <w:tcW w:w="4440" w:type="dxa"/>
            <w:vAlign w:val="bottom"/>
            <w:gridSpan w:val="2"/>
          </w:tcPr>
          <w:p>
            <w:pPr>
              <w:ind w:left="340"/>
              <w:spacing w:after="0"/>
              <w:rPr>
                <w:sz w:val="20"/>
                <w:szCs w:val="20"/>
                <w:color w:val="auto"/>
              </w:rPr>
            </w:pPr>
            <w:r>
              <w:rPr>
                <w:rFonts w:ascii="Arial" w:cs="Arial" w:eastAsia="Arial" w:hAnsi="Arial"/>
                <w:sz w:val="18"/>
                <w:szCs w:val="18"/>
                <w:color w:val="auto"/>
              </w:rPr>
              <w:t>•   Hotels, Motels, Inns and Gaming</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860" w:type="dxa"/>
            <w:vAlign w:val="bottom"/>
          </w:tcPr>
          <w:p>
            <w:pPr>
              <w:ind w:left="120"/>
              <w:spacing w:after="0"/>
              <w:rPr>
                <w:sz w:val="20"/>
                <w:szCs w:val="20"/>
                <w:color w:val="auto"/>
              </w:rPr>
            </w:pPr>
            <w:r>
              <w:rPr>
                <w:rFonts w:ascii="Arial" w:cs="Arial" w:eastAsia="Arial" w:hAnsi="Arial"/>
                <w:sz w:val="18"/>
                <w:szCs w:val="18"/>
                <w:color w:val="auto"/>
              </w:rPr>
              <w:t>Cargo Transportation</w:t>
            </w:r>
          </w:p>
        </w:tc>
        <w:tc>
          <w:tcPr>
            <w:tcW w:w="540" w:type="dxa"/>
            <w:vAlign w:val="bottom"/>
          </w:tcPr>
          <w:p>
            <w:pPr>
              <w:ind w:left="340"/>
              <w:spacing w:after="0"/>
              <w:rPr>
                <w:sz w:val="20"/>
                <w:szCs w:val="20"/>
                <w:color w:val="auto"/>
              </w:rPr>
            </w:pPr>
            <w:r>
              <w:rPr>
                <w:rFonts w:ascii="Arial" w:cs="Arial" w:eastAsia="Arial" w:hAnsi="Arial"/>
                <w:sz w:val="18"/>
                <w:szCs w:val="18"/>
                <w:color w:val="auto"/>
              </w:rPr>
              <w:t>•</w:t>
            </w:r>
          </w:p>
        </w:tc>
        <w:tc>
          <w:tcPr>
            <w:tcW w:w="3900" w:type="dxa"/>
            <w:vAlign w:val="bottom"/>
          </w:tcPr>
          <w:p>
            <w:pPr>
              <w:ind w:left="120"/>
              <w:spacing w:after="0"/>
              <w:rPr>
                <w:sz w:val="20"/>
                <w:szCs w:val="20"/>
                <w:color w:val="auto"/>
              </w:rPr>
            </w:pPr>
            <w:r>
              <w:rPr>
                <w:rFonts w:ascii="Arial" w:cs="Arial" w:eastAsia="Arial" w:hAnsi="Arial"/>
                <w:sz w:val="18"/>
                <w:szCs w:val="18"/>
                <w:color w:val="auto"/>
              </w:rPr>
              <w:t>Insurance</w:t>
            </w:r>
          </w:p>
        </w:tc>
      </w:tr>
      <w:tr>
        <w:trPr>
          <w:trHeight w:val="216"/>
        </w:trPr>
        <w:tc>
          <w:tcPr>
            <w:tcW w:w="5060" w:type="dxa"/>
            <w:vAlign w:val="bottom"/>
            <w:gridSpan w:val="2"/>
          </w:tcPr>
          <w:p>
            <w:pPr>
              <w:spacing w:after="0"/>
              <w:rPr>
                <w:sz w:val="20"/>
                <w:szCs w:val="20"/>
                <w:color w:val="auto"/>
              </w:rPr>
            </w:pPr>
            <w:r>
              <w:rPr>
                <w:rFonts w:ascii="Arial" w:cs="Arial" w:eastAsia="Arial" w:hAnsi="Arial"/>
                <w:sz w:val="18"/>
                <w:szCs w:val="18"/>
                <w:color w:val="auto"/>
              </w:rPr>
              <w:t>•   Chemicals, Plastics and Rubber</w:t>
            </w:r>
          </w:p>
        </w:tc>
        <w:tc>
          <w:tcPr>
            <w:tcW w:w="4440" w:type="dxa"/>
            <w:vAlign w:val="bottom"/>
            <w:gridSpan w:val="2"/>
          </w:tcPr>
          <w:p>
            <w:pPr>
              <w:ind w:left="340"/>
              <w:spacing w:after="0"/>
              <w:rPr>
                <w:sz w:val="20"/>
                <w:szCs w:val="20"/>
                <w:color w:val="auto"/>
              </w:rPr>
            </w:pPr>
            <w:r>
              <w:rPr>
                <w:rFonts w:ascii="Arial" w:cs="Arial" w:eastAsia="Arial" w:hAnsi="Arial"/>
                <w:sz w:val="18"/>
                <w:szCs w:val="18"/>
                <w:color w:val="auto"/>
                <w:w w:val="94"/>
              </w:rPr>
              <w:t>•   Leisure, Amusement, Motion Picture, Entertainment</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860" w:type="dxa"/>
            <w:vAlign w:val="bottom"/>
          </w:tcPr>
          <w:p>
            <w:pPr>
              <w:ind w:left="120"/>
              <w:spacing w:after="0"/>
              <w:rPr>
                <w:sz w:val="20"/>
                <w:szCs w:val="20"/>
                <w:color w:val="auto"/>
              </w:rPr>
            </w:pPr>
            <w:r>
              <w:rPr>
                <w:rFonts w:ascii="Arial" w:cs="Arial" w:eastAsia="Arial" w:hAnsi="Arial"/>
                <w:sz w:val="18"/>
                <w:szCs w:val="18"/>
                <w:color w:val="auto"/>
              </w:rPr>
              <w:t>Communications</w:t>
            </w:r>
          </w:p>
        </w:tc>
        <w:tc>
          <w:tcPr>
            <w:tcW w:w="540" w:type="dxa"/>
            <w:vAlign w:val="bottom"/>
          </w:tcPr>
          <w:p>
            <w:pPr>
              <w:ind w:left="340"/>
              <w:spacing w:after="0"/>
              <w:rPr>
                <w:sz w:val="20"/>
                <w:szCs w:val="20"/>
                <w:color w:val="auto"/>
              </w:rPr>
            </w:pPr>
            <w:r>
              <w:rPr>
                <w:rFonts w:ascii="Arial" w:cs="Arial" w:eastAsia="Arial" w:hAnsi="Arial"/>
                <w:sz w:val="18"/>
                <w:szCs w:val="18"/>
                <w:color w:val="auto"/>
              </w:rPr>
              <w:t>•</w:t>
            </w:r>
          </w:p>
        </w:tc>
        <w:tc>
          <w:tcPr>
            <w:tcW w:w="3900" w:type="dxa"/>
            <w:vAlign w:val="bottom"/>
          </w:tcPr>
          <w:p>
            <w:pPr>
              <w:ind w:left="120"/>
              <w:spacing w:after="0"/>
              <w:rPr>
                <w:sz w:val="20"/>
                <w:szCs w:val="20"/>
                <w:color w:val="auto"/>
              </w:rPr>
            </w:pPr>
            <w:r>
              <w:rPr>
                <w:rFonts w:ascii="Arial" w:cs="Arial" w:eastAsia="Arial" w:hAnsi="Arial"/>
                <w:sz w:val="18"/>
                <w:szCs w:val="18"/>
                <w:color w:val="auto"/>
              </w:rPr>
              <w:t>Logistics</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860" w:type="dxa"/>
            <w:vAlign w:val="bottom"/>
          </w:tcPr>
          <w:p>
            <w:pPr>
              <w:ind w:left="120"/>
              <w:spacing w:after="0"/>
              <w:rPr>
                <w:sz w:val="20"/>
                <w:szCs w:val="20"/>
                <w:color w:val="auto"/>
              </w:rPr>
            </w:pPr>
            <w:r>
              <w:rPr>
                <w:rFonts w:ascii="Arial" w:cs="Arial" w:eastAsia="Arial" w:hAnsi="Arial"/>
                <w:sz w:val="18"/>
                <w:szCs w:val="18"/>
                <w:color w:val="auto"/>
              </w:rPr>
              <w:t>Consumer Products</w:t>
            </w:r>
          </w:p>
        </w:tc>
        <w:tc>
          <w:tcPr>
            <w:tcW w:w="540" w:type="dxa"/>
            <w:vAlign w:val="bottom"/>
          </w:tcPr>
          <w:p>
            <w:pPr>
              <w:ind w:left="340"/>
              <w:spacing w:after="0"/>
              <w:rPr>
                <w:sz w:val="20"/>
                <w:szCs w:val="20"/>
                <w:color w:val="auto"/>
              </w:rPr>
            </w:pPr>
            <w:r>
              <w:rPr>
                <w:rFonts w:ascii="Arial" w:cs="Arial" w:eastAsia="Arial" w:hAnsi="Arial"/>
                <w:sz w:val="18"/>
                <w:szCs w:val="18"/>
                <w:color w:val="auto"/>
              </w:rPr>
              <w:t>•</w:t>
            </w:r>
          </w:p>
        </w:tc>
        <w:tc>
          <w:tcPr>
            <w:tcW w:w="3900" w:type="dxa"/>
            <w:vAlign w:val="bottom"/>
          </w:tcPr>
          <w:p>
            <w:pPr>
              <w:ind w:left="120"/>
              <w:spacing w:after="0"/>
              <w:rPr>
                <w:sz w:val="20"/>
                <w:szCs w:val="20"/>
                <w:color w:val="auto"/>
              </w:rPr>
            </w:pPr>
            <w:r>
              <w:rPr>
                <w:rFonts w:ascii="Arial" w:cs="Arial" w:eastAsia="Arial" w:hAnsi="Arial"/>
                <w:sz w:val="18"/>
                <w:szCs w:val="18"/>
                <w:color w:val="auto"/>
              </w:rPr>
              <w:t>Manufacturing/Basic Industries</w:t>
            </w:r>
          </w:p>
        </w:tc>
      </w:tr>
      <w:tr>
        <w:trPr>
          <w:trHeight w:val="216"/>
        </w:trPr>
        <w:tc>
          <w:tcPr>
            <w:tcW w:w="5060" w:type="dxa"/>
            <w:vAlign w:val="bottom"/>
            <w:gridSpan w:val="2"/>
          </w:tcPr>
          <w:p>
            <w:pPr>
              <w:spacing w:after="0"/>
              <w:rPr>
                <w:sz w:val="20"/>
                <w:szCs w:val="20"/>
                <w:color w:val="auto"/>
              </w:rPr>
            </w:pPr>
            <w:r>
              <w:rPr>
                <w:rFonts w:ascii="Arial" w:cs="Arial" w:eastAsia="Arial" w:hAnsi="Arial"/>
                <w:sz w:val="18"/>
                <w:szCs w:val="18"/>
                <w:color w:val="auto"/>
              </w:rPr>
              <w:t>•   Containers Packaging &amp; Glass</w:t>
            </w:r>
          </w:p>
        </w:tc>
        <w:tc>
          <w:tcPr>
            <w:tcW w:w="540" w:type="dxa"/>
            <w:vAlign w:val="bottom"/>
          </w:tcPr>
          <w:p>
            <w:pPr>
              <w:ind w:left="340"/>
              <w:spacing w:after="0"/>
              <w:rPr>
                <w:sz w:val="20"/>
                <w:szCs w:val="20"/>
                <w:color w:val="auto"/>
              </w:rPr>
            </w:pPr>
            <w:r>
              <w:rPr>
                <w:rFonts w:ascii="Arial" w:cs="Arial" w:eastAsia="Arial" w:hAnsi="Arial"/>
                <w:sz w:val="18"/>
                <w:szCs w:val="18"/>
                <w:color w:val="auto"/>
              </w:rPr>
              <w:t>•</w:t>
            </w:r>
          </w:p>
        </w:tc>
        <w:tc>
          <w:tcPr>
            <w:tcW w:w="3900" w:type="dxa"/>
            <w:vAlign w:val="bottom"/>
          </w:tcPr>
          <w:p>
            <w:pPr>
              <w:ind w:left="120"/>
              <w:spacing w:after="0"/>
              <w:rPr>
                <w:sz w:val="20"/>
                <w:szCs w:val="20"/>
                <w:color w:val="auto"/>
              </w:rPr>
            </w:pPr>
            <w:r>
              <w:rPr>
                <w:rFonts w:ascii="Arial" w:cs="Arial" w:eastAsia="Arial" w:hAnsi="Arial"/>
                <w:sz w:val="18"/>
                <w:szCs w:val="18"/>
                <w:color w:val="auto"/>
              </w:rPr>
              <w:t>Media</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860" w:type="dxa"/>
            <w:vAlign w:val="bottom"/>
          </w:tcPr>
          <w:p>
            <w:pPr>
              <w:ind w:left="120"/>
              <w:spacing w:after="0"/>
              <w:rPr>
                <w:sz w:val="20"/>
                <w:szCs w:val="20"/>
                <w:color w:val="auto"/>
              </w:rPr>
            </w:pPr>
            <w:r>
              <w:rPr>
                <w:rFonts w:ascii="Arial" w:cs="Arial" w:eastAsia="Arial" w:hAnsi="Arial"/>
                <w:sz w:val="18"/>
                <w:szCs w:val="18"/>
                <w:color w:val="auto"/>
              </w:rPr>
              <w:t>Distribution</w:t>
            </w:r>
          </w:p>
        </w:tc>
        <w:tc>
          <w:tcPr>
            <w:tcW w:w="4440" w:type="dxa"/>
            <w:vAlign w:val="bottom"/>
            <w:gridSpan w:val="2"/>
          </w:tcPr>
          <w:p>
            <w:pPr>
              <w:ind w:left="340"/>
              <w:spacing w:after="0"/>
              <w:rPr>
                <w:sz w:val="20"/>
                <w:szCs w:val="20"/>
                <w:color w:val="auto"/>
              </w:rPr>
            </w:pPr>
            <w:r>
              <w:rPr>
                <w:rFonts w:ascii="Arial" w:cs="Arial" w:eastAsia="Arial" w:hAnsi="Arial"/>
                <w:sz w:val="18"/>
                <w:szCs w:val="18"/>
                <w:color w:val="auto"/>
              </w:rPr>
              <w:t>•   Mining, Steel, Iron and Non-Precious Metals</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860" w:type="dxa"/>
            <w:vAlign w:val="bottom"/>
          </w:tcPr>
          <w:p>
            <w:pPr>
              <w:ind w:left="120"/>
              <w:spacing w:after="0"/>
              <w:rPr>
                <w:sz w:val="20"/>
                <w:szCs w:val="20"/>
                <w:color w:val="auto"/>
              </w:rPr>
            </w:pPr>
            <w:r>
              <w:rPr>
                <w:rFonts w:ascii="Arial" w:cs="Arial" w:eastAsia="Arial" w:hAnsi="Arial"/>
                <w:sz w:val="18"/>
                <w:szCs w:val="18"/>
                <w:color w:val="auto"/>
              </w:rPr>
              <w:t>Diversified/Conglomerate Manufacturing</w:t>
            </w:r>
          </w:p>
        </w:tc>
        <w:tc>
          <w:tcPr>
            <w:tcW w:w="540" w:type="dxa"/>
            <w:vAlign w:val="bottom"/>
          </w:tcPr>
          <w:p>
            <w:pPr>
              <w:ind w:left="340"/>
              <w:spacing w:after="0"/>
              <w:rPr>
                <w:sz w:val="20"/>
                <w:szCs w:val="20"/>
                <w:color w:val="auto"/>
              </w:rPr>
            </w:pPr>
            <w:r>
              <w:rPr>
                <w:rFonts w:ascii="Arial" w:cs="Arial" w:eastAsia="Arial" w:hAnsi="Arial"/>
                <w:sz w:val="18"/>
                <w:szCs w:val="18"/>
                <w:color w:val="auto"/>
              </w:rPr>
              <w:t>•</w:t>
            </w:r>
          </w:p>
        </w:tc>
        <w:tc>
          <w:tcPr>
            <w:tcW w:w="3900" w:type="dxa"/>
            <w:vAlign w:val="bottom"/>
          </w:tcPr>
          <w:p>
            <w:pPr>
              <w:ind w:left="120"/>
              <w:spacing w:after="0"/>
              <w:rPr>
                <w:sz w:val="20"/>
                <w:szCs w:val="20"/>
                <w:color w:val="auto"/>
              </w:rPr>
            </w:pPr>
            <w:r>
              <w:rPr>
                <w:rFonts w:ascii="Arial" w:cs="Arial" w:eastAsia="Arial" w:hAnsi="Arial"/>
                <w:sz w:val="18"/>
                <w:szCs w:val="18"/>
                <w:color w:val="auto"/>
              </w:rPr>
              <w:t>Oil and Gas</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860" w:type="dxa"/>
            <w:vAlign w:val="bottom"/>
          </w:tcPr>
          <w:p>
            <w:pPr>
              <w:ind w:left="120"/>
              <w:spacing w:after="0"/>
              <w:rPr>
                <w:sz w:val="20"/>
                <w:szCs w:val="20"/>
                <w:color w:val="auto"/>
              </w:rPr>
            </w:pPr>
            <w:r>
              <w:rPr>
                <w:rFonts w:ascii="Arial" w:cs="Arial" w:eastAsia="Arial" w:hAnsi="Arial"/>
                <w:sz w:val="18"/>
                <w:szCs w:val="18"/>
                <w:color w:val="auto"/>
              </w:rPr>
              <w:t>Diversified/Conglomerate Services</w:t>
            </w:r>
          </w:p>
        </w:tc>
        <w:tc>
          <w:tcPr>
            <w:tcW w:w="540" w:type="dxa"/>
            <w:vAlign w:val="bottom"/>
          </w:tcPr>
          <w:p>
            <w:pPr>
              <w:ind w:left="340"/>
              <w:spacing w:after="0"/>
              <w:rPr>
                <w:sz w:val="20"/>
                <w:szCs w:val="20"/>
                <w:color w:val="auto"/>
              </w:rPr>
            </w:pPr>
            <w:r>
              <w:rPr>
                <w:rFonts w:ascii="Arial" w:cs="Arial" w:eastAsia="Arial" w:hAnsi="Arial"/>
                <w:sz w:val="18"/>
                <w:szCs w:val="18"/>
                <w:color w:val="auto"/>
              </w:rPr>
              <w:t>•</w:t>
            </w:r>
          </w:p>
        </w:tc>
        <w:tc>
          <w:tcPr>
            <w:tcW w:w="3900" w:type="dxa"/>
            <w:vAlign w:val="bottom"/>
          </w:tcPr>
          <w:p>
            <w:pPr>
              <w:ind w:left="120"/>
              <w:spacing w:after="0"/>
              <w:rPr>
                <w:sz w:val="20"/>
                <w:szCs w:val="20"/>
                <w:color w:val="auto"/>
              </w:rPr>
            </w:pPr>
            <w:r>
              <w:rPr>
                <w:rFonts w:ascii="Arial" w:cs="Arial" w:eastAsia="Arial" w:hAnsi="Arial"/>
                <w:sz w:val="18"/>
                <w:szCs w:val="18"/>
                <w:color w:val="auto"/>
              </w:rPr>
              <w:t>Other Media</w:t>
            </w:r>
          </w:p>
        </w:tc>
      </w:tr>
      <w:tr>
        <w:trPr>
          <w:trHeight w:val="216"/>
        </w:trPr>
        <w:tc>
          <w:tcPr>
            <w:tcW w:w="5060" w:type="dxa"/>
            <w:vAlign w:val="bottom"/>
            <w:gridSpan w:val="2"/>
          </w:tcPr>
          <w:p>
            <w:pPr>
              <w:spacing w:after="0"/>
              <w:rPr>
                <w:sz w:val="20"/>
                <w:szCs w:val="20"/>
                <w:color w:val="auto"/>
              </w:rPr>
            </w:pPr>
            <w:r>
              <w:rPr>
                <w:rFonts w:ascii="Arial" w:cs="Arial" w:eastAsia="Arial" w:hAnsi="Arial"/>
                <w:sz w:val="18"/>
                <w:szCs w:val="18"/>
                <w:color w:val="auto"/>
                <w:w w:val="99"/>
              </w:rPr>
              <w:t>•   Diversified Natural Resources, Precious Metals and Minerals</w:t>
            </w:r>
          </w:p>
        </w:tc>
        <w:tc>
          <w:tcPr>
            <w:tcW w:w="4440" w:type="dxa"/>
            <w:vAlign w:val="bottom"/>
            <w:gridSpan w:val="2"/>
          </w:tcPr>
          <w:p>
            <w:pPr>
              <w:ind w:left="340"/>
              <w:spacing w:after="0"/>
              <w:rPr>
                <w:sz w:val="20"/>
                <w:szCs w:val="20"/>
                <w:color w:val="auto"/>
              </w:rPr>
            </w:pPr>
            <w:r>
              <w:rPr>
                <w:rFonts w:ascii="Arial" w:cs="Arial" w:eastAsia="Arial" w:hAnsi="Arial"/>
                <w:sz w:val="18"/>
                <w:szCs w:val="18"/>
                <w:color w:val="auto"/>
              </w:rPr>
              <w:t>•   Personal, Food and Miscellaneous Services</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860" w:type="dxa"/>
            <w:vAlign w:val="bottom"/>
          </w:tcPr>
          <w:p>
            <w:pPr>
              <w:ind w:left="120"/>
              <w:spacing w:after="0"/>
              <w:rPr>
                <w:sz w:val="20"/>
                <w:szCs w:val="20"/>
                <w:color w:val="auto"/>
              </w:rPr>
            </w:pPr>
            <w:r>
              <w:rPr>
                <w:rFonts w:ascii="Arial" w:cs="Arial" w:eastAsia="Arial" w:hAnsi="Arial"/>
                <w:sz w:val="18"/>
                <w:szCs w:val="18"/>
                <w:color w:val="auto"/>
              </w:rPr>
              <w:t>Education</w:t>
            </w:r>
          </w:p>
        </w:tc>
        <w:tc>
          <w:tcPr>
            <w:tcW w:w="540" w:type="dxa"/>
            <w:vAlign w:val="bottom"/>
          </w:tcPr>
          <w:p>
            <w:pPr>
              <w:ind w:left="340"/>
              <w:spacing w:after="0"/>
              <w:rPr>
                <w:sz w:val="20"/>
                <w:szCs w:val="20"/>
                <w:color w:val="auto"/>
              </w:rPr>
            </w:pPr>
            <w:r>
              <w:rPr>
                <w:rFonts w:ascii="Arial" w:cs="Arial" w:eastAsia="Arial" w:hAnsi="Arial"/>
                <w:sz w:val="18"/>
                <w:szCs w:val="18"/>
                <w:color w:val="auto"/>
              </w:rPr>
              <w:t>•</w:t>
            </w:r>
          </w:p>
        </w:tc>
        <w:tc>
          <w:tcPr>
            <w:tcW w:w="3900" w:type="dxa"/>
            <w:vAlign w:val="bottom"/>
          </w:tcPr>
          <w:p>
            <w:pPr>
              <w:ind w:left="120"/>
              <w:spacing w:after="0"/>
              <w:rPr>
                <w:sz w:val="20"/>
                <w:szCs w:val="20"/>
                <w:color w:val="auto"/>
              </w:rPr>
            </w:pPr>
            <w:r>
              <w:rPr>
                <w:rFonts w:ascii="Arial" w:cs="Arial" w:eastAsia="Arial" w:hAnsi="Arial"/>
                <w:sz w:val="18"/>
                <w:szCs w:val="18"/>
                <w:color w:val="auto"/>
              </w:rPr>
              <w:t>Printing and Publishing</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860" w:type="dxa"/>
            <w:vAlign w:val="bottom"/>
          </w:tcPr>
          <w:p>
            <w:pPr>
              <w:ind w:left="120"/>
              <w:spacing w:after="0"/>
              <w:rPr>
                <w:sz w:val="20"/>
                <w:szCs w:val="20"/>
                <w:color w:val="auto"/>
              </w:rPr>
            </w:pPr>
            <w:r>
              <w:rPr>
                <w:rFonts w:ascii="Arial" w:cs="Arial" w:eastAsia="Arial" w:hAnsi="Arial"/>
                <w:sz w:val="18"/>
                <w:szCs w:val="18"/>
                <w:color w:val="auto"/>
              </w:rPr>
              <w:t>Electronics</w:t>
            </w:r>
          </w:p>
        </w:tc>
        <w:tc>
          <w:tcPr>
            <w:tcW w:w="540" w:type="dxa"/>
            <w:vAlign w:val="bottom"/>
          </w:tcPr>
          <w:p>
            <w:pPr>
              <w:ind w:left="340"/>
              <w:spacing w:after="0"/>
              <w:rPr>
                <w:sz w:val="20"/>
                <w:szCs w:val="20"/>
                <w:color w:val="auto"/>
              </w:rPr>
            </w:pPr>
            <w:r>
              <w:rPr>
                <w:rFonts w:ascii="Arial" w:cs="Arial" w:eastAsia="Arial" w:hAnsi="Arial"/>
                <w:sz w:val="18"/>
                <w:szCs w:val="18"/>
                <w:color w:val="auto"/>
              </w:rPr>
              <w:t>•</w:t>
            </w:r>
          </w:p>
        </w:tc>
        <w:tc>
          <w:tcPr>
            <w:tcW w:w="3900" w:type="dxa"/>
            <w:vAlign w:val="bottom"/>
          </w:tcPr>
          <w:p>
            <w:pPr>
              <w:ind w:left="120"/>
              <w:spacing w:after="0"/>
              <w:rPr>
                <w:sz w:val="20"/>
                <w:szCs w:val="20"/>
                <w:color w:val="auto"/>
              </w:rPr>
            </w:pPr>
            <w:r>
              <w:rPr>
                <w:rFonts w:ascii="Arial" w:cs="Arial" w:eastAsia="Arial" w:hAnsi="Arial"/>
                <w:sz w:val="18"/>
                <w:szCs w:val="18"/>
                <w:color w:val="auto"/>
              </w:rPr>
              <w:t>Retail Stores</w:t>
            </w:r>
          </w:p>
        </w:tc>
      </w:tr>
      <w:tr>
        <w:trPr>
          <w:trHeight w:val="230"/>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860" w:type="dxa"/>
            <w:vAlign w:val="bottom"/>
          </w:tcPr>
          <w:p>
            <w:pPr>
              <w:ind w:left="120"/>
              <w:spacing w:after="0"/>
              <w:rPr>
                <w:sz w:val="20"/>
                <w:szCs w:val="20"/>
                <w:color w:val="auto"/>
              </w:rPr>
            </w:pPr>
            <w:r>
              <w:rPr>
                <w:rFonts w:ascii="Arial" w:cs="Arial" w:eastAsia="Arial" w:hAnsi="Arial"/>
                <w:sz w:val="18"/>
                <w:szCs w:val="18"/>
                <w:color w:val="auto"/>
              </w:rPr>
              <w:t>Energy/Utilities</w:t>
            </w:r>
          </w:p>
        </w:tc>
        <w:tc>
          <w:tcPr>
            <w:tcW w:w="540" w:type="dxa"/>
            <w:vAlign w:val="bottom"/>
          </w:tcPr>
          <w:p>
            <w:pPr>
              <w:ind w:left="340"/>
              <w:spacing w:after="0"/>
              <w:rPr>
                <w:sz w:val="20"/>
                <w:szCs w:val="20"/>
                <w:color w:val="auto"/>
              </w:rPr>
            </w:pPr>
            <w:r>
              <w:rPr>
                <w:rFonts w:ascii="Arial" w:cs="Arial" w:eastAsia="Arial" w:hAnsi="Arial"/>
                <w:sz w:val="18"/>
                <w:szCs w:val="18"/>
                <w:color w:val="auto"/>
              </w:rPr>
              <w:t>•</w:t>
            </w:r>
          </w:p>
        </w:tc>
        <w:tc>
          <w:tcPr>
            <w:tcW w:w="3900" w:type="dxa"/>
            <w:vAlign w:val="bottom"/>
          </w:tcPr>
          <w:p>
            <w:pPr>
              <w:ind w:left="120"/>
              <w:spacing w:after="0"/>
              <w:rPr>
                <w:sz w:val="20"/>
                <w:szCs w:val="20"/>
                <w:color w:val="auto"/>
              </w:rPr>
            </w:pPr>
            <w:r>
              <w:rPr>
                <w:rFonts w:ascii="Arial" w:cs="Arial" w:eastAsia="Arial" w:hAnsi="Arial"/>
                <w:sz w:val="18"/>
                <w:szCs w:val="18"/>
                <w:color w:val="auto"/>
              </w:rPr>
              <w:t>Telecommunications</w:t>
            </w:r>
          </w:p>
        </w:tc>
      </w:tr>
    </w:tbl>
    <w:p>
      <w:pPr>
        <w:spacing w:after="0" w:line="377"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Listed below are our top ten portfolio companies and industries represented as a percentage of our consolidated portfolio assets (excluding cash equivalents) as of September 30:</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0"/>
              </w:rPr>
              <w:t>Portfolio Company</w:t>
            </w:r>
          </w:p>
        </w:tc>
        <w:tc>
          <w:tcPr>
            <w:tcW w:w="3420" w:type="dxa"/>
            <w:vAlign w:val="bottom"/>
          </w:tcPr>
          <w:p>
            <w:pPr>
              <w:spacing w:after="0"/>
              <w:rPr>
                <w:sz w:val="20"/>
                <w:szCs w:val="20"/>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4"/>
              </w:rPr>
              <w:t>2013</w:t>
            </w:r>
          </w:p>
        </w:tc>
        <w:tc>
          <w:tcPr>
            <w:tcW w:w="300" w:type="dxa"/>
            <w:vAlign w:val="bottom"/>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Portfolio Company</w:t>
            </w:r>
          </w:p>
        </w:tc>
        <w:tc>
          <w:tcPr>
            <w:tcW w:w="268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2012</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2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Pre-Paid Legal Services, Inc.</w:t>
            </w: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41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Last Mile Funding, Corp. (3 PD, Inc.)</w:t>
            </w:r>
          </w:p>
        </w:tc>
        <w:tc>
          <w:tcPr>
            <w:tcW w:w="80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20" w:type="dxa"/>
            <w:vAlign w:val="bottom"/>
            <w:gridSpan w:val="2"/>
            <w:vMerge w:val="continue"/>
            <w:shd w:val="clear" w:color="auto" w:fill="CCEEFF"/>
          </w:tcPr>
          <w:p>
            <w:pPr>
              <w:spacing w:after="0"/>
              <w:rPr>
                <w:sz w:val="17"/>
                <w:szCs w:val="17"/>
                <w:color w:val="auto"/>
              </w:rPr>
            </w:pPr>
          </w:p>
        </w:tc>
        <w:tc>
          <w:tcPr>
            <w:tcW w:w="5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6%</w:t>
            </w:r>
          </w:p>
        </w:tc>
        <w:tc>
          <w:tcPr>
            <w:tcW w:w="300" w:type="dxa"/>
            <w:vAlign w:val="bottom"/>
            <w:vMerge w:val="continue"/>
          </w:tcPr>
          <w:p>
            <w:pPr>
              <w:spacing w:after="0"/>
              <w:rPr>
                <w:sz w:val="17"/>
                <w:szCs w:val="17"/>
                <w:color w:val="auto"/>
              </w:rPr>
            </w:pPr>
          </w:p>
        </w:tc>
        <w:tc>
          <w:tcPr>
            <w:tcW w:w="4160" w:type="dxa"/>
            <w:vAlign w:val="bottom"/>
            <w:gridSpan w:val="2"/>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52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2"/>
        </w:trPr>
        <w:tc>
          <w:tcPr>
            <w:tcW w:w="492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Magnum Hunter Resources Corporation</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160" w:type="dxa"/>
            <w:vAlign w:val="bottom"/>
            <w:gridSpan w:val="2"/>
          </w:tcPr>
          <w:p>
            <w:pPr>
              <w:spacing w:after="0" w:line="201" w:lineRule="exact"/>
              <w:rPr>
                <w:sz w:val="20"/>
                <w:szCs w:val="20"/>
                <w:color w:val="auto"/>
              </w:rPr>
            </w:pPr>
            <w:r>
              <w:rPr>
                <w:rFonts w:ascii="Arial" w:cs="Arial" w:eastAsia="Arial" w:hAnsi="Arial"/>
                <w:sz w:val="18"/>
                <w:szCs w:val="18"/>
                <w:color w:val="auto"/>
              </w:rPr>
              <w:t>Magnum Hunter Resources Corporation</w:t>
            </w: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4920" w:type="dxa"/>
            <w:vAlign w:val="bottom"/>
            <w:gridSpan w:val="2"/>
          </w:tcPr>
          <w:p>
            <w:pPr>
              <w:ind w:left="20"/>
              <w:spacing w:after="0"/>
              <w:rPr>
                <w:sz w:val="20"/>
                <w:szCs w:val="20"/>
                <w:color w:val="auto"/>
              </w:rPr>
            </w:pPr>
            <w:r>
              <w:rPr>
                <w:rFonts w:ascii="Arial" w:cs="Arial" w:eastAsia="Arial" w:hAnsi="Arial"/>
                <w:sz w:val="18"/>
                <w:szCs w:val="18"/>
                <w:color w:val="auto"/>
              </w:rPr>
              <w:t>(Eureka Hunter Pipeline, LLC)</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21"/>
                <w:szCs w:val="21"/>
                <w:color w:val="auto"/>
              </w:rPr>
            </w:pPr>
          </w:p>
        </w:tc>
        <w:tc>
          <w:tcPr>
            <w:tcW w:w="4160" w:type="dxa"/>
            <w:vAlign w:val="bottom"/>
            <w:gridSpan w:val="2"/>
          </w:tcPr>
          <w:p>
            <w:pPr>
              <w:ind w:left="180"/>
              <w:spacing w:after="0"/>
              <w:rPr>
                <w:sz w:val="20"/>
                <w:szCs w:val="20"/>
                <w:color w:val="auto"/>
              </w:rPr>
            </w:pPr>
            <w:r>
              <w:rPr>
                <w:rFonts w:ascii="Arial" w:cs="Arial" w:eastAsia="Arial" w:hAnsi="Arial"/>
                <w:sz w:val="18"/>
                <w:szCs w:val="18"/>
                <w:color w:val="auto"/>
              </w:rPr>
              <w:t>(Eureka Hunter Pipeline, LLC)</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Brand Energy and Infrastructure Services, Inc.</w:t>
            </w: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LTI Flexible Products, Inc.</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4920" w:type="dxa"/>
            <w:vAlign w:val="bottom"/>
            <w:gridSpan w:val="2"/>
          </w:tcPr>
          <w:p>
            <w:pPr>
              <w:ind w:left="20"/>
              <w:spacing w:after="0" w:line="182" w:lineRule="exact"/>
              <w:rPr>
                <w:sz w:val="20"/>
                <w:szCs w:val="20"/>
                <w:color w:val="auto"/>
              </w:rPr>
            </w:pPr>
            <w:r>
              <w:rPr>
                <w:rFonts w:ascii="Arial" w:cs="Arial" w:eastAsia="Arial" w:hAnsi="Arial"/>
                <w:sz w:val="18"/>
                <w:szCs w:val="18"/>
                <w:color w:val="auto"/>
              </w:rPr>
              <w:t>Jacobs Entertainment, Inc.</w:t>
            </w:r>
          </w:p>
        </w:tc>
        <w:tc>
          <w:tcPr>
            <w:tcW w:w="560" w:type="dxa"/>
            <w:vAlign w:val="bottom"/>
            <w:gridSpan w:val="2"/>
          </w:tcPr>
          <w:p>
            <w:pPr>
              <w:jc w:val="right"/>
              <w:ind w:right="200"/>
              <w:spacing w:after="0" w:line="182" w:lineRule="exact"/>
              <w:rPr>
                <w:sz w:val="20"/>
                <w:szCs w:val="20"/>
                <w:color w:val="auto"/>
              </w:rPr>
            </w:pPr>
            <w:r>
              <w:rPr>
                <w:rFonts w:ascii="Arial" w:cs="Arial" w:eastAsia="Arial" w:hAnsi="Arial"/>
                <w:sz w:val="18"/>
                <w:szCs w:val="18"/>
                <w:color w:val="auto"/>
              </w:rPr>
              <w:t>4</w:t>
            </w:r>
          </w:p>
        </w:tc>
        <w:tc>
          <w:tcPr>
            <w:tcW w:w="300" w:type="dxa"/>
            <w:vAlign w:val="bottom"/>
          </w:tcPr>
          <w:p>
            <w:pPr>
              <w:spacing w:after="0"/>
              <w:rPr>
                <w:sz w:val="15"/>
                <w:szCs w:val="15"/>
                <w:color w:val="auto"/>
              </w:rPr>
            </w:pPr>
          </w:p>
        </w:tc>
        <w:tc>
          <w:tcPr>
            <w:tcW w:w="4160" w:type="dxa"/>
            <w:vAlign w:val="bottom"/>
            <w:gridSpan w:val="2"/>
          </w:tcPr>
          <w:p>
            <w:pPr>
              <w:spacing w:after="0" w:line="182" w:lineRule="exact"/>
              <w:rPr>
                <w:sz w:val="20"/>
                <w:szCs w:val="20"/>
                <w:color w:val="auto"/>
              </w:rPr>
            </w:pPr>
            <w:r>
              <w:rPr>
                <w:rFonts w:ascii="Arial" w:cs="Arial" w:eastAsia="Arial" w:hAnsi="Arial"/>
                <w:sz w:val="18"/>
                <w:szCs w:val="18"/>
                <w:color w:val="auto"/>
              </w:rPr>
              <w:t>New Service Champ Holdings, Inc.</w:t>
            </w:r>
          </w:p>
        </w:tc>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1500" w:type="dxa"/>
            <w:vAlign w:val="bottom"/>
          </w:tcPr>
          <w:p>
            <w:pPr>
              <w:spacing w:after="0"/>
              <w:rPr>
                <w:sz w:val="3"/>
                <w:szCs w:val="3"/>
                <w:color w:val="auto"/>
              </w:rPr>
            </w:pPr>
          </w:p>
        </w:tc>
        <w:tc>
          <w:tcPr>
            <w:tcW w:w="3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vMerge w:val="restart"/>
          </w:tcPr>
          <w:p>
            <w:pPr>
              <w:spacing w:after="0"/>
              <w:rPr>
                <w:sz w:val="3"/>
                <w:szCs w:val="3"/>
                <w:color w:val="auto"/>
              </w:rPr>
            </w:pPr>
          </w:p>
        </w:tc>
        <w:tc>
          <w:tcPr>
            <w:tcW w:w="4160" w:type="dxa"/>
            <w:vAlign w:val="bottom"/>
            <w:gridSpan w:val="2"/>
            <w:vMerge w:val="restart"/>
          </w:tcPr>
          <w:p>
            <w:pPr>
              <w:ind w:left="180"/>
              <w:spacing w:after="0"/>
              <w:rPr>
                <w:sz w:val="20"/>
                <w:szCs w:val="20"/>
                <w:color w:val="auto"/>
              </w:rPr>
            </w:pPr>
            <w:r>
              <w:rPr>
                <w:rFonts w:ascii="Arial" w:cs="Arial" w:eastAsia="Arial" w:hAnsi="Arial"/>
                <w:sz w:val="18"/>
                <w:szCs w:val="18"/>
                <w:color w:val="auto"/>
              </w:rPr>
              <w:t>(Service Champ Inc.)</w:t>
            </w:r>
          </w:p>
        </w:tc>
        <w:tc>
          <w:tcPr>
            <w:tcW w:w="1160" w:type="dxa"/>
            <w:vAlign w:val="bottom"/>
            <w:gridSpan w:val="2"/>
            <w:vMerge w:val="restart"/>
          </w:tcPr>
          <w:p>
            <w:pPr>
              <w:jc w:val="right"/>
              <w:spacing w:after="0"/>
              <w:rPr>
                <w:sz w:val="20"/>
                <w:szCs w:val="20"/>
                <w:color w:val="auto"/>
              </w:rPr>
            </w:pPr>
            <w:r>
              <w:rPr>
                <w:rFonts w:ascii="Arial" w:cs="Arial" w:eastAsia="Arial" w:hAnsi="Arial"/>
                <w:sz w:val="18"/>
                <w:szCs w:val="18"/>
                <w:color w:val="auto"/>
              </w:rPr>
              <w:t>4</w:t>
            </w:r>
          </w:p>
        </w:tc>
        <w:tc>
          <w:tcPr>
            <w:tcW w:w="16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4920" w:type="dxa"/>
            <w:vAlign w:val="bottom"/>
            <w:tcBorders>
              <w:bottom w:val="single" w:sz="8" w:color="CCEEFF"/>
            </w:tcBorders>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LTI Flexible Products, Inc.</w:t>
            </w:r>
          </w:p>
        </w:tc>
        <w:tc>
          <w:tcPr>
            <w:tcW w:w="560" w:type="dxa"/>
            <w:vAlign w:val="bottom"/>
            <w:tcBorders>
              <w:bottom w:val="single" w:sz="8" w:color="CCEEFF"/>
            </w:tcBorders>
            <w:gridSpan w:val="2"/>
            <w:shd w:val="clear" w:color="auto" w:fill="CCEEFF"/>
          </w:tcPr>
          <w:p>
            <w:pPr>
              <w:jc w:val="right"/>
              <w:ind w:right="200"/>
              <w:spacing w:after="0" w:line="189" w:lineRule="exact"/>
              <w:rPr>
                <w:sz w:val="20"/>
                <w:szCs w:val="20"/>
                <w:color w:val="auto"/>
              </w:rPr>
            </w:pPr>
            <w:r>
              <w:rPr>
                <w:rFonts w:ascii="Arial" w:cs="Arial" w:eastAsia="Arial" w:hAnsi="Arial"/>
                <w:sz w:val="18"/>
                <w:szCs w:val="18"/>
                <w:color w:val="auto"/>
              </w:rPr>
              <w:t>4</w:t>
            </w:r>
          </w:p>
        </w:tc>
        <w:tc>
          <w:tcPr>
            <w:tcW w:w="300" w:type="dxa"/>
            <w:vAlign w:val="bottom"/>
            <w:vMerge w:val="continue"/>
          </w:tcPr>
          <w:p>
            <w:pPr>
              <w:spacing w:after="0"/>
              <w:rPr>
                <w:sz w:val="18"/>
                <w:szCs w:val="18"/>
                <w:color w:val="auto"/>
              </w:rPr>
            </w:pPr>
          </w:p>
        </w:tc>
        <w:tc>
          <w:tcPr>
            <w:tcW w:w="4160" w:type="dxa"/>
            <w:vAlign w:val="bottom"/>
            <w:tcBorders>
              <w:bottom w:val="single" w:sz="8" w:color="CCEEFF"/>
            </w:tcBorders>
            <w:gridSpan w:val="2"/>
            <w:vMerge w:val="continue"/>
          </w:tcPr>
          <w:p>
            <w:pPr>
              <w:spacing w:after="0"/>
              <w:rPr>
                <w:sz w:val="18"/>
                <w:szCs w:val="18"/>
                <w:color w:val="auto"/>
              </w:rPr>
            </w:pPr>
          </w:p>
        </w:tc>
        <w:tc>
          <w:tcPr>
            <w:tcW w:w="1160" w:type="dxa"/>
            <w:vAlign w:val="bottom"/>
            <w:tcBorders>
              <w:bottom w:val="single" w:sz="8" w:color="CCEEFF"/>
            </w:tcBorders>
            <w:gridSpan w:val="2"/>
            <w:vMerge w:val="continue"/>
          </w:tcPr>
          <w:p>
            <w:pPr>
              <w:spacing w:after="0"/>
              <w:rPr>
                <w:sz w:val="18"/>
                <w:szCs w:val="18"/>
                <w:color w:val="auto"/>
              </w:rPr>
            </w:pPr>
          </w:p>
        </w:tc>
        <w:tc>
          <w:tcPr>
            <w:tcW w:w="160" w:type="dxa"/>
            <w:vAlign w:val="bottom"/>
            <w:tcBorders>
              <w:bottom w:val="single" w:sz="8" w:color="CCEEFF"/>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920" w:type="dxa"/>
            <w:vAlign w:val="bottom"/>
            <w:gridSpan w:val="2"/>
          </w:tcPr>
          <w:p>
            <w:pPr>
              <w:ind w:left="20"/>
              <w:spacing w:after="0" w:line="156" w:lineRule="exact"/>
              <w:rPr>
                <w:sz w:val="20"/>
                <w:szCs w:val="20"/>
                <w:color w:val="auto"/>
              </w:rPr>
            </w:pPr>
            <w:r>
              <w:rPr>
                <w:rFonts w:ascii="Arial" w:cs="Arial" w:eastAsia="Arial" w:hAnsi="Arial"/>
                <w:sz w:val="18"/>
                <w:szCs w:val="18"/>
                <w:color w:val="auto"/>
              </w:rPr>
              <w:t>Vestcom International, Inc.</w:t>
            </w:r>
          </w:p>
        </w:tc>
        <w:tc>
          <w:tcPr>
            <w:tcW w:w="560" w:type="dxa"/>
            <w:vAlign w:val="bottom"/>
            <w:gridSpan w:val="2"/>
          </w:tcPr>
          <w:p>
            <w:pPr>
              <w:jc w:val="right"/>
              <w:ind w:right="200"/>
              <w:spacing w:after="0" w:line="156" w:lineRule="exact"/>
              <w:rPr>
                <w:sz w:val="20"/>
                <w:szCs w:val="20"/>
                <w:color w:val="auto"/>
              </w:rPr>
            </w:pPr>
            <w:r>
              <w:rPr>
                <w:rFonts w:ascii="Arial" w:cs="Arial" w:eastAsia="Arial" w:hAnsi="Arial"/>
                <w:sz w:val="18"/>
                <w:szCs w:val="18"/>
                <w:color w:val="auto"/>
              </w:rPr>
              <w:t>4</w:t>
            </w:r>
          </w:p>
        </w:tc>
        <w:tc>
          <w:tcPr>
            <w:tcW w:w="300" w:type="dxa"/>
            <w:vAlign w:val="bottom"/>
          </w:tcPr>
          <w:p>
            <w:pPr>
              <w:spacing w:after="0"/>
              <w:rPr>
                <w:sz w:val="15"/>
                <w:szCs w:val="15"/>
                <w:color w:val="auto"/>
              </w:rPr>
            </w:pPr>
          </w:p>
        </w:tc>
        <w:tc>
          <w:tcPr>
            <w:tcW w:w="4160" w:type="dxa"/>
            <w:vAlign w:val="bottom"/>
            <w:gridSpan w:val="2"/>
            <w:shd w:val="clear" w:color="auto" w:fill="CCEEFF"/>
          </w:tcPr>
          <w:p>
            <w:pPr>
              <w:spacing w:after="0" w:line="156" w:lineRule="exact"/>
              <w:rPr>
                <w:sz w:val="20"/>
                <w:szCs w:val="20"/>
                <w:color w:val="auto"/>
              </w:rPr>
            </w:pPr>
            <w:r>
              <w:rPr>
                <w:rFonts w:ascii="Arial" w:cs="Arial" w:eastAsia="Arial" w:hAnsi="Arial"/>
                <w:sz w:val="18"/>
                <w:szCs w:val="18"/>
                <w:color w:val="auto"/>
              </w:rPr>
              <w:t>Pre-Paid Legal Services, Inc.</w:t>
            </w:r>
          </w:p>
        </w:tc>
        <w:tc>
          <w:tcPr>
            <w:tcW w:w="1160" w:type="dxa"/>
            <w:vAlign w:val="bottom"/>
            <w:gridSpan w:val="2"/>
            <w:shd w:val="clear" w:color="auto" w:fill="CCEEFF"/>
          </w:tcPr>
          <w:p>
            <w:pPr>
              <w:jc w:val="right"/>
              <w:spacing w:after="0" w:line="156" w:lineRule="exact"/>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500" w:type="dxa"/>
            <w:vAlign w:val="bottom"/>
          </w:tcPr>
          <w:p>
            <w:pPr>
              <w:spacing w:after="0"/>
              <w:rPr>
                <w:sz w:val="4"/>
                <w:szCs w:val="4"/>
                <w:color w:val="auto"/>
              </w:rPr>
            </w:pPr>
          </w:p>
        </w:tc>
        <w:tc>
          <w:tcPr>
            <w:tcW w:w="3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60" w:type="dxa"/>
            <w:vAlign w:val="bottom"/>
            <w:gridSpan w:val="3"/>
            <w:vMerge w:val="restart"/>
          </w:tcPr>
          <w:p>
            <w:pPr>
              <w:ind w:left="300"/>
              <w:spacing w:after="0" w:line="196" w:lineRule="exact"/>
              <w:rPr>
                <w:sz w:val="20"/>
                <w:szCs w:val="20"/>
                <w:color w:val="auto"/>
              </w:rPr>
            </w:pPr>
            <w:r>
              <w:rPr>
                <w:rFonts w:ascii="Arial" w:cs="Arial" w:eastAsia="Arial" w:hAnsi="Arial"/>
                <w:sz w:val="18"/>
                <w:szCs w:val="18"/>
                <w:color w:val="auto"/>
              </w:rPr>
              <w:t>American Gilsonite Company</w:t>
            </w:r>
          </w:p>
        </w:tc>
        <w:tc>
          <w:tcPr>
            <w:tcW w:w="116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auto"/>
              </w:rPr>
              <w:t>3</w:t>
            </w:r>
          </w:p>
        </w:tc>
        <w:tc>
          <w:tcPr>
            <w:tcW w:w="16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492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Instant Web, Inc.</w:t>
            </w:r>
          </w:p>
        </w:tc>
        <w:tc>
          <w:tcPr>
            <w:tcW w:w="5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446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4920" w:type="dxa"/>
            <w:vAlign w:val="bottom"/>
            <w:gridSpan w:val="2"/>
            <w:vMerge w:val="continue"/>
            <w:shd w:val="clear" w:color="auto" w:fill="CCEEFF"/>
          </w:tcPr>
          <w:p>
            <w:pPr>
              <w:spacing w:after="0"/>
              <w:rPr>
                <w:sz w:val="5"/>
                <w:szCs w:val="5"/>
                <w:color w:val="auto"/>
              </w:rPr>
            </w:pPr>
          </w:p>
        </w:tc>
        <w:tc>
          <w:tcPr>
            <w:tcW w:w="560" w:type="dxa"/>
            <w:vAlign w:val="bottom"/>
            <w:gridSpan w:val="2"/>
            <w:vMerge w:val="continue"/>
            <w:shd w:val="clear" w:color="auto" w:fill="CCEEFF"/>
          </w:tcPr>
          <w:p>
            <w:pPr>
              <w:spacing w:after="0"/>
              <w:rPr>
                <w:sz w:val="5"/>
                <w:szCs w:val="5"/>
                <w:color w:val="auto"/>
              </w:rPr>
            </w:pPr>
          </w:p>
        </w:tc>
        <w:tc>
          <w:tcPr>
            <w:tcW w:w="300" w:type="dxa"/>
            <w:vAlign w:val="bottom"/>
          </w:tcPr>
          <w:p>
            <w:pPr>
              <w:spacing w:after="0"/>
              <w:rPr>
                <w:sz w:val="5"/>
                <w:szCs w:val="5"/>
                <w:color w:val="auto"/>
              </w:rPr>
            </w:pPr>
          </w:p>
        </w:tc>
        <w:tc>
          <w:tcPr>
            <w:tcW w:w="41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Brand Energy and Infrastructure Services, Inc.</w:t>
            </w:r>
          </w:p>
        </w:tc>
        <w:tc>
          <w:tcPr>
            <w:tcW w:w="11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4920" w:type="dxa"/>
            <w:vAlign w:val="bottom"/>
            <w:gridSpan w:val="2"/>
            <w:vMerge w:val="restart"/>
          </w:tcPr>
          <w:p>
            <w:pPr>
              <w:ind w:left="20"/>
              <w:spacing w:after="0"/>
              <w:rPr>
                <w:sz w:val="20"/>
                <w:szCs w:val="20"/>
                <w:color w:val="auto"/>
              </w:rPr>
            </w:pPr>
            <w:r>
              <w:rPr>
                <w:rFonts w:ascii="Arial" w:cs="Arial" w:eastAsia="Arial" w:hAnsi="Arial"/>
                <w:sz w:val="18"/>
                <w:szCs w:val="18"/>
                <w:color w:val="auto"/>
              </w:rPr>
              <w:t>Penton Media, Inc.</w:t>
            </w:r>
          </w:p>
        </w:tc>
        <w:tc>
          <w:tcPr>
            <w:tcW w:w="5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2"/>
                <w:szCs w:val="12"/>
                <w:color w:val="auto"/>
              </w:rPr>
            </w:pPr>
          </w:p>
        </w:tc>
        <w:tc>
          <w:tcPr>
            <w:tcW w:w="4160" w:type="dxa"/>
            <w:vAlign w:val="bottom"/>
            <w:gridSpan w:val="2"/>
            <w:vMerge w:val="continue"/>
            <w:shd w:val="clear" w:color="auto" w:fill="CCEEFF"/>
          </w:tcPr>
          <w:p>
            <w:pPr>
              <w:spacing w:after="0"/>
              <w:rPr>
                <w:sz w:val="12"/>
                <w:szCs w:val="12"/>
                <w:color w:val="auto"/>
              </w:rPr>
            </w:pPr>
          </w:p>
        </w:tc>
        <w:tc>
          <w:tcPr>
            <w:tcW w:w="1160" w:type="dxa"/>
            <w:vAlign w:val="bottom"/>
            <w:gridSpan w:val="2"/>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4920" w:type="dxa"/>
            <w:vAlign w:val="bottom"/>
            <w:gridSpan w:val="2"/>
            <w:vMerge w:val="continue"/>
          </w:tcPr>
          <w:p>
            <w:pPr>
              <w:spacing w:after="0"/>
              <w:rPr>
                <w:sz w:val="7"/>
                <w:szCs w:val="7"/>
                <w:color w:val="auto"/>
              </w:rPr>
            </w:pPr>
          </w:p>
        </w:tc>
        <w:tc>
          <w:tcPr>
            <w:tcW w:w="560" w:type="dxa"/>
            <w:vAlign w:val="bottom"/>
            <w:gridSpan w:val="2"/>
            <w:vMerge w:val="continue"/>
          </w:tcPr>
          <w:p>
            <w:pPr>
              <w:spacing w:after="0"/>
              <w:rPr>
                <w:sz w:val="7"/>
                <w:szCs w:val="7"/>
                <w:color w:val="auto"/>
              </w:rPr>
            </w:pPr>
          </w:p>
        </w:tc>
        <w:tc>
          <w:tcPr>
            <w:tcW w:w="4460" w:type="dxa"/>
            <w:vAlign w:val="bottom"/>
            <w:gridSpan w:val="3"/>
            <w:vMerge w:val="restart"/>
          </w:tcPr>
          <w:p>
            <w:pPr>
              <w:ind w:left="300"/>
              <w:spacing w:after="0"/>
              <w:rPr>
                <w:sz w:val="20"/>
                <w:szCs w:val="20"/>
                <w:color w:val="auto"/>
              </w:rPr>
            </w:pPr>
            <w:r>
              <w:rPr>
                <w:rFonts w:ascii="Arial" w:cs="Arial" w:eastAsia="Arial" w:hAnsi="Arial"/>
                <w:sz w:val="18"/>
                <w:szCs w:val="18"/>
                <w:color w:val="auto"/>
              </w:rPr>
              <w:t>Learning Care Group, Inc.</w:t>
            </w:r>
          </w:p>
        </w:tc>
        <w:tc>
          <w:tcPr>
            <w:tcW w:w="1160" w:type="dxa"/>
            <w:vAlign w:val="bottom"/>
            <w:gridSpan w:val="2"/>
            <w:vMerge w:val="restart"/>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492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TRAK Acquisition Corp.</w:t>
            </w:r>
          </w:p>
        </w:tc>
        <w:tc>
          <w:tcPr>
            <w:tcW w:w="5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4460" w:type="dxa"/>
            <w:vAlign w:val="bottom"/>
            <w:gridSpan w:val="3"/>
            <w:vMerge w:val="continue"/>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4920" w:type="dxa"/>
            <w:vAlign w:val="bottom"/>
            <w:gridSpan w:val="2"/>
            <w:vMerge w:val="continue"/>
            <w:shd w:val="clear" w:color="auto" w:fill="CCEEFF"/>
          </w:tcPr>
          <w:p>
            <w:pPr>
              <w:spacing w:after="0"/>
              <w:rPr>
                <w:sz w:val="8"/>
                <w:szCs w:val="8"/>
                <w:color w:val="auto"/>
              </w:rPr>
            </w:pPr>
          </w:p>
        </w:tc>
        <w:tc>
          <w:tcPr>
            <w:tcW w:w="560" w:type="dxa"/>
            <w:vAlign w:val="bottom"/>
            <w:gridSpan w:val="2"/>
            <w:vMerge w:val="continue"/>
            <w:shd w:val="clear" w:color="auto" w:fill="CCEEFF"/>
          </w:tcPr>
          <w:p>
            <w:pPr>
              <w:spacing w:after="0"/>
              <w:rPr>
                <w:sz w:val="8"/>
                <w:szCs w:val="8"/>
                <w:color w:val="auto"/>
              </w:rPr>
            </w:pPr>
          </w:p>
        </w:tc>
        <w:tc>
          <w:tcPr>
            <w:tcW w:w="300" w:type="dxa"/>
            <w:vAlign w:val="bottom"/>
          </w:tcPr>
          <w:p>
            <w:pPr>
              <w:spacing w:after="0"/>
              <w:rPr>
                <w:sz w:val="8"/>
                <w:szCs w:val="8"/>
                <w:color w:val="auto"/>
              </w:rPr>
            </w:pPr>
          </w:p>
        </w:tc>
        <w:tc>
          <w:tcPr>
            <w:tcW w:w="41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Penton Media, Inc.</w:t>
            </w:r>
          </w:p>
        </w:tc>
        <w:tc>
          <w:tcPr>
            <w:tcW w:w="11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4920" w:type="dxa"/>
            <w:vAlign w:val="bottom"/>
            <w:gridSpan w:val="2"/>
            <w:vMerge w:val="restart"/>
          </w:tcPr>
          <w:p>
            <w:pPr>
              <w:ind w:left="20"/>
              <w:spacing w:after="0"/>
              <w:rPr>
                <w:sz w:val="20"/>
                <w:szCs w:val="20"/>
                <w:color w:val="auto"/>
              </w:rPr>
            </w:pPr>
            <w:r>
              <w:rPr>
                <w:rFonts w:ascii="Arial" w:cs="Arial" w:eastAsia="Arial" w:hAnsi="Arial"/>
                <w:sz w:val="18"/>
                <w:szCs w:val="18"/>
                <w:color w:val="auto"/>
              </w:rPr>
              <w:t>Varel International Energy Mezzanine Funding Corp.</w:t>
            </w:r>
          </w:p>
        </w:tc>
        <w:tc>
          <w:tcPr>
            <w:tcW w:w="5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0"/>
                <w:szCs w:val="10"/>
                <w:color w:val="auto"/>
              </w:rPr>
            </w:pPr>
          </w:p>
        </w:tc>
        <w:tc>
          <w:tcPr>
            <w:tcW w:w="4160" w:type="dxa"/>
            <w:vAlign w:val="bottom"/>
            <w:gridSpan w:val="2"/>
            <w:vMerge w:val="continue"/>
            <w:shd w:val="clear" w:color="auto" w:fill="CCEEFF"/>
          </w:tcPr>
          <w:p>
            <w:pPr>
              <w:spacing w:after="0"/>
              <w:rPr>
                <w:sz w:val="10"/>
                <w:szCs w:val="10"/>
                <w:color w:val="auto"/>
              </w:rPr>
            </w:pPr>
          </w:p>
        </w:tc>
        <w:tc>
          <w:tcPr>
            <w:tcW w:w="1160" w:type="dxa"/>
            <w:vAlign w:val="bottom"/>
            <w:gridSpan w:val="2"/>
            <w:vMerge w:val="continue"/>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4920" w:type="dxa"/>
            <w:vAlign w:val="bottom"/>
            <w:gridSpan w:val="2"/>
            <w:vMerge w:val="continue"/>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4460" w:type="dxa"/>
            <w:vAlign w:val="bottom"/>
            <w:gridSpan w:val="3"/>
            <w:vMerge w:val="restart"/>
          </w:tcPr>
          <w:p>
            <w:pPr>
              <w:ind w:left="300"/>
              <w:spacing w:after="0"/>
              <w:rPr>
                <w:sz w:val="20"/>
                <w:szCs w:val="20"/>
                <w:color w:val="auto"/>
              </w:rPr>
            </w:pPr>
            <w:r>
              <w:rPr>
                <w:rFonts w:ascii="Arial" w:cs="Arial" w:eastAsia="Arial" w:hAnsi="Arial"/>
                <w:sz w:val="18"/>
                <w:szCs w:val="18"/>
                <w:color w:val="auto"/>
              </w:rPr>
              <w:t>Prince Mineral Holdings Corp.</w:t>
            </w:r>
          </w:p>
        </w:tc>
        <w:tc>
          <w:tcPr>
            <w:tcW w:w="1160" w:type="dxa"/>
            <w:vAlign w:val="bottom"/>
            <w:gridSpan w:val="2"/>
            <w:vMerge w:val="restart"/>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50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60" w:type="dxa"/>
            <w:vAlign w:val="bottom"/>
            <w:gridSpan w:val="3"/>
            <w:vMerge w:val="continue"/>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99"/>
        </w:trPr>
        <w:tc>
          <w:tcPr>
            <w:tcW w:w="15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gridSpan w:val="2"/>
          </w:tcPr>
          <w:p>
            <w:pPr>
              <w:jc w:val="right"/>
              <w:ind w:right="1370"/>
              <w:spacing w:after="0"/>
              <w:rPr>
                <w:sz w:val="20"/>
                <w:szCs w:val="20"/>
                <w:color w:val="auto"/>
              </w:rPr>
            </w:pPr>
            <w:r>
              <w:rPr>
                <w:rFonts w:ascii="Arial" w:cs="Arial" w:eastAsia="Arial" w:hAnsi="Arial"/>
                <w:sz w:val="18"/>
                <w:szCs w:val="18"/>
                <w:color w:val="auto"/>
              </w:rPr>
              <w:t>74</w:t>
            </w:r>
          </w:p>
        </w:tc>
        <w:tc>
          <w:tcPr>
            <w:tcW w:w="2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150" w:name="page151"/>
    <w:bookmarkEnd w:id="15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2">
              <w:r>
                <w:rPr>
                  <w:rFonts w:ascii="Arial" w:cs="Arial" w:eastAsia="Arial" w:hAnsi="Arial"/>
                  <w:sz w:val="18"/>
                  <w:szCs w:val="18"/>
                  <w:b w:val="1"/>
                  <w:bCs w:val="1"/>
                  <w:color w:val="0000EE"/>
                  <w:w w:val="88"/>
                </w:rPr>
                <w:t>Table of Contents</w:t>
              </w:r>
            </w:hyperlink>
          </w:p>
        </w:tc>
        <w:tc>
          <w:tcPr>
            <w:tcW w:w="3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1"/>
        </w:trPr>
        <w:tc>
          <w:tcPr>
            <w:tcW w:w="4920" w:type="dxa"/>
            <w:vAlign w:val="bottom"/>
            <w:gridSpan w:val="3"/>
          </w:tcPr>
          <w:p>
            <w:pPr>
              <w:ind w:left="20"/>
              <w:spacing w:after="0"/>
              <w:rPr>
                <w:sz w:val="20"/>
                <w:szCs w:val="20"/>
                <w:color w:val="auto"/>
              </w:rPr>
            </w:pPr>
            <w:r>
              <w:rPr>
                <w:rFonts w:ascii="Arial" w:cs="Arial" w:eastAsia="Arial" w:hAnsi="Arial"/>
                <w:sz w:val="18"/>
                <w:szCs w:val="18"/>
                <w:b w:val="1"/>
                <w:bCs w:val="1"/>
                <w:color w:val="auto"/>
              </w:rPr>
              <w:t>Industry</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4"/>
              </w:rPr>
              <w:t>2013</w:t>
            </w:r>
          </w:p>
        </w:tc>
        <w:tc>
          <w:tcPr>
            <w:tcW w:w="4320" w:type="dxa"/>
            <w:vAlign w:val="bottom"/>
            <w:gridSpan w:val="3"/>
          </w:tcPr>
          <w:p>
            <w:pPr>
              <w:ind w:left="300"/>
              <w:spacing w:after="0"/>
              <w:rPr>
                <w:sz w:val="20"/>
                <w:szCs w:val="20"/>
                <w:color w:val="auto"/>
              </w:rPr>
            </w:pPr>
            <w:r>
              <w:rPr>
                <w:rFonts w:ascii="Arial" w:cs="Arial" w:eastAsia="Arial" w:hAnsi="Arial"/>
                <w:sz w:val="18"/>
                <w:szCs w:val="18"/>
                <w:b w:val="1"/>
                <w:bCs w:val="1"/>
                <w:color w:val="auto"/>
              </w:rPr>
              <w:t>Industry</w:t>
            </w: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shd w:val="clear" w:color="auto" w:fill="000000"/>
          </w:tcPr>
          <w:p>
            <w:pPr>
              <w:spacing w:after="0" w:line="20" w:lineRule="exact"/>
              <w:rPr>
                <w:sz w:val="1"/>
                <w:szCs w:val="1"/>
                <w:color w:val="auto"/>
              </w:rPr>
            </w:pPr>
          </w:p>
        </w:tc>
        <w:tc>
          <w:tcPr>
            <w:tcW w:w="4240" w:type="dxa"/>
            <w:vAlign w:val="bottom"/>
            <w:gridSpan w:val="2"/>
            <w:vMerge w:val="restart"/>
            <w:shd w:val="clear" w:color="auto" w:fill="CCEEFF"/>
          </w:tcPr>
          <w:p>
            <w:pPr>
              <w:ind w:left="40"/>
              <w:spacing w:after="0"/>
              <w:rPr>
                <w:sz w:val="20"/>
                <w:szCs w:val="20"/>
                <w:color w:val="auto"/>
              </w:rPr>
            </w:pPr>
            <w:r>
              <w:rPr>
                <w:rFonts w:ascii="Arial" w:cs="Arial" w:eastAsia="Arial" w:hAnsi="Arial"/>
                <w:sz w:val="18"/>
                <w:szCs w:val="18"/>
                <w:color w:val="auto"/>
              </w:rPr>
              <w:t>Food and Miscellaneous Services</w:t>
            </w: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340" w:type="dxa"/>
            <w:vAlign w:val="bottom"/>
            <w:vMerge w:val="restart"/>
            <w:shd w:val="clear" w:color="auto" w:fill="CCEEFF"/>
          </w:tcPr>
          <w:p>
            <w:pPr>
              <w:ind w:left="200"/>
              <w:spacing w:after="0"/>
              <w:rPr>
                <w:sz w:val="20"/>
                <w:szCs w:val="20"/>
                <w:color w:val="auto"/>
              </w:rPr>
            </w:pPr>
            <w:r>
              <w:rPr>
                <w:rFonts w:ascii="Arial" w:cs="Arial" w:eastAsia="Arial" w:hAnsi="Arial"/>
                <w:sz w:val="18"/>
                <w:szCs w:val="18"/>
                <w:color w:val="auto"/>
              </w:rPr>
              <w:t>Education &amp; Childcare</w:t>
            </w:r>
          </w:p>
        </w:tc>
        <w:tc>
          <w:tcPr>
            <w:tcW w:w="90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0" w:type="dxa"/>
            <w:vAlign w:val="bottom"/>
            <w:shd w:val="clear" w:color="auto" w:fill="CCEEFF"/>
          </w:tcPr>
          <w:p>
            <w:pPr>
              <w:ind w:left="20"/>
              <w:spacing w:after="0"/>
              <w:rPr>
                <w:sz w:val="20"/>
                <w:szCs w:val="20"/>
                <w:color w:val="auto"/>
              </w:rPr>
            </w:pPr>
            <w:r>
              <w:rPr>
                <w:rFonts w:ascii="Arial" w:cs="Arial" w:eastAsia="Arial" w:hAnsi="Arial"/>
                <w:sz w:val="18"/>
                <w:szCs w:val="18"/>
                <w:color w:val="auto"/>
                <w:w w:val="84"/>
              </w:rPr>
              <w:t>Personal,</w:t>
            </w:r>
          </w:p>
        </w:tc>
        <w:tc>
          <w:tcPr>
            <w:tcW w:w="4240" w:type="dxa"/>
            <w:vAlign w:val="bottom"/>
            <w:gridSpan w:val="2"/>
            <w:vMerge w:val="continue"/>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300" w:type="dxa"/>
            <w:vAlign w:val="bottom"/>
            <w:vMerge w:val="continue"/>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w w:val="71"/>
              </w:rPr>
              <w:t>Healthcare,</w:t>
            </w:r>
          </w:p>
        </w:tc>
        <w:tc>
          <w:tcPr>
            <w:tcW w:w="334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920" w:type="dxa"/>
            <w:vAlign w:val="bottom"/>
            <w:gridSpan w:val="3"/>
          </w:tcPr>
          <w:p>
            <w:pPr>
              <w:ind w:left="20"/>
              <w:spacing w:after="0"/>
              <w:rPr>
                <w:sz w:val="20"/>
                <w:szCs w:val="20"/>
                <w:color w:val="auto"/>
              </w:rPr>
            </w:pPr>
            <w:r>
              <w:rPr>
                <w:rFonts w:ascii="Arial" w:cs="Arial" w:eastAsia="Arial" w:hAnsi="Arial"/>
                <w:sz w:val="18"/>
                <w:szCs w:val="18"/>
                <w:color w:val="auto"/>
              </w:rPr>
              <w:t>Printing and Publishing</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Electronics</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Business Services</w:t>
            </w: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19"/>
                <w:szCs w:val="19"/>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Energy/Utilities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920" w:type="dxa"/>
            <w:vAlign w:val="bottom"/>
            <w:gridSpan w:val="3"/>
          </w:tcPr>
          <w:p>
            <w:pPr>
              <w:ind w:left="20"/>
              <w:spacing w:after="0" w:line="189" w:lineRule="exact"/>
              <w:rPr>
                <w:sz w:val="20"/>
                <w:szCs w:val="20"/>
                <w:color w:val="auto"/>
              </w:rPr>
            </w:pPr>
            <w:r>
              <w:rPr>
                <w:rFonts w:ascii="Arial" w:cs="Arial" w:eastAsia="Arial" w:hAnsi="Arial"/>
                <w:sz w:val="18"/>
                <w:szCs w:val="18"/>
                <w:color w:val="auto"/>
              </w:rPr>
              <w:t>Energy / Utilities</w:t>
            </w:r>
          </w:p>
        </w:tc>
        <w:tc>
          <w:tcPr>
            <w:tcW w:w="56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8</w:t>
            </w:r>
          </w:p>
        </w:tc>
        <w:tc>
          <w:tcPr>
            <w:tcW w:w="300" w:type="dxa"/>
            <w:vAlign w:val="bottom"/>
          </w:tcPr>
          <w:p>
            <w:pPr>
              <w:spacing w:after="0"/>
              <w:rPr>
                <w:sz w:val="16"/>
                <w:szCs w:val="16"/>
                <w:color w:val="auto"/>
              </w:rPr>
            </w:pPr>
          </w:p>
        </w:tc>
        <w:tc>
          <w:tcPr>
            <w:tcW w:w="4020" w:type="dxa"/>
            <w:vAlign w:val="bottom"/>
            <w:gridSpan w:val="2"/>
          </w:tcPr>
          <w:p>
            <w:pPr>
              <w:spacing w:after="0" w:line="189" w:lineRule="exact"/>
              <w:rPr>
                <w:sz w:val="20"/>
                <w:szCs w:val="20"/>
                <w:color w:val="auto"/>
              </w:rPr>
            </w:pPr>
            <w:r>
              <w:rPr>
                <w:rFonts w:ascii="Arial" w:cs="Arial" w:eastAsia="Arial" w:hAnsi="Arial"/>
                <w:sz w:val="18"/>
                <w:szCs w:val="18"/>
                <w:color w:val="auto"/>
              </w:rPr>
              <w:t>Auto Sector</w:t>
            </w:r>
          </w:p>
        </w:tc>
        <w:tc>
          <w:tcPr>
            <w:tcW w:w="126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6</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35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vMerge w:val="restart"/>
          </w:tcPr>
          <w:p>
            <w:pPr>
              <w:spacing w:after="0"/>
              <w:rPr>
                <w:sz w:val="3"/>
                <w:szCs w:val="3"/>
                <w:color w:val="auto"/>
              </w:rPr>
            </w:pPr>
          </w:p>
        </w:tc>
        <w:tc>
          <w:tcPr>
            <w:tcW w:w="4020" w:type="dxa"/>
            <w:vAlign w:val="bottom"/>
            <w:gridSpan w:val="2"/>
            <w:vMerge w:val="restart"/>
            <w:shd w:val="clear" w:color="auto" w:fill="CCEEFF"/>
          </w:tcPr>
          <w:p>
            <w:pPr>
              <w:spacing w:after="0" w:line="196" w:lineRule="exact"/>
              <w:rPr>
                <w:sz w:val="20"/>
                <w:szCs w:val="20"/>
                <w:color w:val="auto"/>
              </w:rPr>
            </w:pPr>
            <w:r>
              <w:rPr>
                <w:rFonts w:ascii="Arial" w:cs="Arial" w:eastAsia="Arial" w:hAnsi="Arial"/>
                <w:sz w:val="18"/>
                <w:szCs w:val="18"/>
                <w:color w:val="auto"/>
              </w:rPr>
              <w:t>Business Services</w:t>
            </w:r>
          </w:p>
        </w:tc>
        <w:tc>
          <w:tcPr>
            <w:tcW w:w="1260" w:type="dxa"/>
            <w:vAlign w:val="bottom"/>
            <w:gridSpan w:val="2"/>
            <w:vMerge w:val="restart"/>
            <w:shd w:val="clear" w:color="auto" w:fill="CCEEFF"/>
          </w:tcPr>
          <w:p>
            <w:pPr>
              <w:jc w:val="right"/>
              <w:spacing w:after="0" w:line="196" w:lineRule="exact"/>
              <w:rPr>
                <w:sz w:val="20"/>
                <w:szCs w:val="20"/>
                <w:color w:val="auto"/>
              </w:rPr>
            </w:pPr>
            <w:r>
              <w:rPr>
                <w:rFonts w:ascii="Arial" w:cs="Arial" w:eastAsia="Arial" w:hAnsi="Arial"/>
                <w:sz w:val="18"/>
                <w:szCs w:val="18"/>
                <w:color w:val="auto"/>
              </w:rPr>
              <w:t>6</w:t>
            </w:r>
          </w:p>
        </w:tc>
        <w:tc>
          <w:tcPr>
            <w:tcW w:w="200" w:type="dxa"/>
            <w:vAlign w:val="bottom"/>
            <w:vMerge w:val="restart"/>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4920" w:type="dxa"/>
            <w:vAlign w:val="bottom"/>
            <w:tcBorders>
              <w:bottom w:val="single" w:sz="8" w:color="CCEEFF"/>
            </w:tcBorders>
            <w:gridSpan w:val="3"/>
            <w:shd w:val="clear" w:color="auto" w:fill="CCEEFF"/>
          </w:tcPr>
          <w:p>
            <w:pPr>
              <w:ind w:left="20"/>
              <w:spacing w:after="0" w:line="156" w:lineRule="exact"/>
              <w:rPr>
                <w:sz w:val="20"/>
                <w:szCs w:val="20"/>
                <w:color w:val="auto"/>
              </w:rPr>
            </w:pPr>
            <w:r>
              <w:rPr>
                <w:rFonts w:ascii="Arial" w:cs="Arial" w:eastAsia="Arial" w:hAnsi="Arial"/>
                <w:sz w:val="18"/>
                <w:szCs w:val="18"/>
                <w:color w:val="auto"/>
              </w:rPr>
              <w:t>Electronics</w:t>
            </w:r>
          </w:p>
        </w:tc>
        <w:tc>
          <w:tcPr>
            <w:tcW w:w="560" w:type="dxa"/>
            <w:vAlign w:val="bottom"/>
            <w:tcBorders>
              <w:bottom w:val="single" w:sz="8" w:color="CCEEFF"/>
            </w:tcBorders>
            <w:gridSpan w:val="2"/>
            <w:shd w:val="clear" w:color="auto" w:fill="CCEEFF"/>
          </w:tcPr>
          <w:p>
            <w:pPr>
              <w:jc w:val="right"/>
              <w:ind w:right="200"/>
              <w:spacing w:after="0" w:line="156" w:lineRule="exact"/>
              <w:rPr>
                <w:sz w:val="20"/>
                <w:szCs w:val="20"/>
                <w:color w:val="auto"/>
              </w:rPr>
            </w:pPr>
            <w:r>
              <w:rPr>
                <w:rFonts w:ascii="Arial" w:cs="Arial" w:eastAsia="Arial" w:hAnsi="Arial"/>
                <w:sz w:val="18"/>
                <w:szCs w:val="18"/>
                <w:color w:val="auto"/>
              </w:rPr>
              <w:t>7</w:t>
            </w:r>
          </w:p>
        </w:tc>
        <w:tc>
          <w:tcPr>
            <w:tcW w:w="300" w:type="dxa"/>
            <w:vAlign w:val="bottom"/>
            <w:vMerge w:val="continue"/>
          </w:tcPr>
          <w:p>
            <w:pPr>
              <w:spacing w:after="0"/>
              <w:rPr>
                <w:sz w:val="18"/>
                <w:szCs w:val="18"/>
                <w:color w:val="auto"/>
              </w:rPr>
            </w:pPr>
          </w:p>
        </w:tc>
        <w:tc>
          <w:tcPr>
            <w:tcW w:w="4020" w:type="dxa"/>
            <w:vAlign w:val="bottom"/>
            <w:gridSpan w:val="2"/>
            <w:vMerge w:val="continue"/>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920" w:type="dxa"/>
            <w:vAlign w:val="bottom"/>
            <w:gridSpan w:val="3"/>
            <w:vMerge w:val="restart"/>
          </w:tcPr>
          <w:p>
            <w:pPr>
              <w:ind w:left="20"/>
              <w:spacing w:after="0"/>
              <w:rPr>
                <w:sz w:val="20"/>
                <w:szCs w:val="20"/>
                <w:color w:val="auto"/>
              </w:rPr>
            </w:pPr>
            <w:r>
              <w:rPr>
                <w:rFonts w:ascii="Arial" w:cs="Arial" w:eastAsia="Arial" w:hAnsi="Arial"/>
                <w:sz w:val="18"/>
                <w:szCs w:val="18"/>
                <w:color w:val="auto"/>
              </w:rPr>
              <w:t>Healthcare, Education &amp; Childcare</w:t>
            </w:r>
          </w:p>
        </w:tc>
        <w:tc>
          <w:tcPr>
            <w:tcW w:w="5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7</w:t>
            </w:r>
          </w:p>
        </w:tc>
        <w:tc>
          <w:tcPr>
            <w:tcW w:w="4320" w:type="dxa"/>
            <w:vAlign w:val="bottom"/>
            <w:gridSpan w:val="3"/>
          </w:tcPr>
          <w:p>
            <w:pPr>
              <w:ind w:left="300"/>
              <w:spacing w:after="0" w:line="142" w:lineRule="exact"/>
              <w:rPr>
                <w:sz w:val="20"/>
                <w:szCs w:val="20"/>
                <w:color w:val="auto"/>
              </w:rPr>
            </w:pPr>
            <w:r>
              <w:rPr>
                <w:rFonts w:ascii="Arial" w:cs="Arial" w:eastAsia="Arial" w:hAnsi="Arial"/>
                <w:sz w:val="16"/>
                <w:szCs w:val="16"/>
                <w:color w:val="auto"/>
              </w:rPr>
              <w:t>Cargo Transport</w:t>
            </w:r>
          </w:p>
        </w:tc>
        <w:tc>
          <w:tcPr>
            <w:tcW w:w="1260" w:type="dxa"/>
            <w:vAlign w:val="bottom"/>
            <w:gridSpan w:val="2"/>
          </w:tcPr>
          <w:p>
            <w:pPr>
              <w:jc w:val="right"/>
              <w:spacing w:after="0" w:line="142" w:lineRule="exact"/>
              <w:rPr>
                <w:sz w:val="20"/>
                <w:szCs w:val="20"/>
                <w:color w:val="auto"/>
              </w:rPr>
            </w:pPr>
            <w:r>
              <w:rPr>
                <w:rFonts w:ascii="Arial" w:cs="Arial" w:eastAsia="Arial" w:hAnsi="Arial"/>
                <w:sz w:val="16"/>
                <w:szCs w:val="16"/>
                <w:color w:val="auto"/>
              </w:rPr>
              <w:t>6</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4920" w:type="dxa"/>
            <w:vAlign w:val="bottom"/>
            <w:gridSpan w:val="3"/>
            <w:vMerge w:val="continue"/>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40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Chemicals, Plastics and Rubber</w:t>
            </w:r>
          </w:p>
        </w:tc>
        <w:tc>
          <w:tcPr>
            <w:tcW w:w="1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4920" w:type="dxa"/>
            <w:vAlign w:val="bottom"/>
            <w:gridSpan w:val="3"/>
            <w:vMerge w:val="restart"/>
            <w:shd w:val="clear" w:color="auto" w:fill="CCEEFF"/>
          </w:tcPr>
          <w:p>
            <w:pPr>
              <w:ind w:left="20"/>
              <w:spacing w:after="0"/>
              <w:rPr>
                <w:sz w:val="20"/>
                <w:szCs w:val="20"/>
                <w:color w:val="auto"/>
              </w:rPr>
            </w:pPr>
            <w:r>
              <w:rPr>
                <w:rFonts w:ascii="Arial" w:cs="Arial" w:eastAsia="Arial" w:hAnsi="Arial"/>
                <w:sz w:val="18"/>
                <w:szCs w:val="18"/>
                <w:color w:val="auto"/>
              </w:rPr>
              <w:t>Oil and Gas</w:t>
            </w:r>
          </w:p>
        </w:tc>
        <w:tc>
          <w:tcPr>
            <w:tcW w:w="5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12"/>
                <w:szCs w:val="12"/>
                <w:color w:val="auto"/>
              </w:rPr>
            </w:pPr>
          </w:p>
        </w:tc>
        <w:tc>
          <w:tcPr>
            <w:tcW w:w="4020" w:type="dxa"/>
            <w:vAlign w:val="bottom"/>
            <w:gridSpan w:val="2"/>
            <w:vMerge w:val="continue"/>
            <w:shd w:val="clear" w:color="auto" w:fill="CCEEFF"/>
          </w:tcPr>
          <w:p>
            <w:pPr>
              <w:spacing w:after="0"/>
              <w:rPr>
                <w:sz w:val="12"/>
                <w:szCs w:val="12"/>
                <w:color w:val="auto"/>
              </w:rPr>
            </w:pPr>
          </w:p>
        </w:tc>
        <w:tc>
          <w:tcPr>
            <w:tcW w:w="1260" w:type="dxa"/>
            <w:vAlign w:val="bottom"/>
            <w:gridSpan w:val="2"/>
            <w:vMerge w:val="continue"/>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4920" w:type="dxa"/>
            <w:vAlign w:val="bottom"/>
            <w:gridSpan w:val="3"/>
            <w:vMerge w:val="continue"/>
            <w:shd w:val="clear" w:color="auto" w:fill="CCEEFF"/>
          </w:tcPr>
          <w:p>
            <w:pPr>
              <w:spacing w:after="0"/>
              <w:rPr>
                <w:sz w:val="7"/>
                <w:szCs w:val="7"/>
                <w:color w:val="auto"/>
              </w:rPr>
            </w:pPr>
          </w:p>
        </w:tc>
        <w:tc>
          <w:tcPr>
            <w:tcW w:w="560" w:type="dxa"/>
            <w:vAlign w:val="bottom"/>
            <w:gridSpan w:val="2"/>
            <w:vMerge w:val="continue"/>
            <w:shd w:val="clear" w:color="auto" w:fill="CCEEFF"/>
          </w:tcPr>
          <w:p>
            <w:pPr>
              <w:spacing w:after="0"/>
              <w:rPr>
                <w:sz w:val="7"/>
                <w:szCs w:val="7"/>
                <w:color w:val="auto"/>
              </w:rPr>
            </w:pPr>
          </w:p>
        </w:tc>
        <w:tc>
          <w:tcPr>
            <w:tcW w:w="4320" w:type="dxa"/>
            <w:vAlign w:val="bottom"/>
            <w:gridSpan w:val="3"/>
            <w:vMerge w:val="restart"/>
          </w:tcPr>
          <w:p>
            <w:pPr>
              <w:ind w:left="300"/>
              <w:spacing w:after="0"/>
              <w:rPr>
                <w:sz w:val="20"/>
                <w:szCs w:val="20"/>
                <w:color w:val="auto"/>
              </w:rPr>
            </w:pPr>
            <w:r>
              <w:rPr>
                <w:rFonts w:ascii="Arial" w:cs="Arial" w:eastAsia="Arial" w:hAnsi="Arial"/>
                <w:sz w:val="18"/>
                <w:szCs w:val="18"/>
                <w:color w:val="auto"/>
              </w:rPr>
              <w:t>Consumer Products</w:t>
            </w:r>
          </w:p>
        </w:tc>
        <w:tc>
          <w:tcPr>
            <w:tcW w:w="1260" w:type="dxa"/>
            <w:vAlign w:val="bottom"/>
            <w:gridSpan w:val="2"/>
            <w:vMerge w:val="restart"/>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4920" w:type="dxa"/>
            <w:vAlign w:val="bottom"/>
            <w:gridSpan w:val="3"/>
            <w:vMerge w:val="restart"/>
          </w:tcPr>
          <w:p>
            <w:pPr>
              <w:ind w:left="20"/>
              <w:spacing w:after="0"/>
              <w:rPr>
                <w:sz w:val="20"/>
                <w:szCs w:val="20"/>
                <w:color w:val="auto"/>
              </w:rPr>
            </w:pPr>
            <w:r>
              <w:rPr>
                <w:rFonts w:ascii="Arial" w:cs="Arial" w:eastAsia="Arial" w:hAnsi="Arial"/>
                <w:sz w:val="18"/>
                <w:szCs w:val="18"/>
                <w:color w:val="auto"/>
              </w:rPr>
              <w:t>Chemicals, Plastics and Rubber</w:t>
            </w:r>
          </w:p>
        </w:tc>
        <w:tc>
          <w:tcPr>
            <w:tcW w:w="5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6</w:t>
            </w:r>
          </w:p>
        </w:tc>
        <w:tc>
          <w:tcPr>
            <w:tcW w:w="4320" w:type="dxa"/>
            <w:vAlign w:val="bottom"/>
            <w:gridSpan w:val="3"/>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4920" w:type="dxa"/>
            <w:vAlign w:val="bottom"/>
            <w:gridSpan w:val="3"/>
            <w:vMerge w:val="continue"/>
          </w:tcPr>
          <w:p>
            <w:pPr>
              <w:spacing w:after="0"/>
              <w:rPr>
                <w:sz w:val="8"/>
                <w:szCs w:val="8"/>
                <w:color w:val="auto"/>
              </w:rPr>
            </w:pPr>
          </w:p>
        </w:tc>
        <w:tc>
          <w:tcPr>
            <w:tcW w:w="56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40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Distribution</w:t>
            </w:r>
          </w:p>
        </w:tc>
        <w:tc>
          <w:tcPr>
            <w:tcW w:w="1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4920" w:type="dxa"/>
            <w:vAlign w:val="bottom"/>
            <w:gridSpan w:val="3"/>
            <w:vMerge w:val="restart"/>
            <w:shd w:val="clear" w:color="auto" w:fill="CCEEFF"/>
          </w:tcPr>
          <w:p>
            <w:pPr>
              <w:ind w:left="20"/>
              <w:spacing w:after="0"/>
              <w:rPr>
                <w:sz w:val="20"/>
                <w:szCs w:val="20"/>
                <w:color w:val="auto"/>
              </w:rPr>
            </w:pPr>
            <w:r>
              <w:rPr>
                <w:rFonts w:ascii="Arial" w:cs="Arial" w:eastAsia="Arial" w:hAnsi="Arial"/>
                <w:sz w:val="18"/>
                <w:szCs w:val="18"/>
                <w:color w:val="auto"/>
              </w:rPr>
              <w:t>Consumer Products</w:t>
            </w:r>
          </w:p>
        </w:tc>
        <w:tc>
          <w:tcPr>
            <w:tcW w:w="5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0"/>
                <w:szCs w:val="10"/>
                <w:color w:val="auto"/>
              </w:rPr>
            </w:pPr>
          </w:p>
        </w:tc>
        <w:tc>
          <w:tcPr>
            <w:tcW w:w="4020" w:type="dxa"/>
            <w:vAlign w:val="bottom"/>
            <w:gridSpan w:val="2"/>
            <w:vMerge w:val="continue"/>
            <w:shd w:val="clear" w:color="auto" w:fill="CCEEFF"/>
          </w:tcPr>
          <w:p>
            <w:pPr>
              <w:spacing w:after="0"/>
              <w:rPr>
                <w:sz w:val="10"/>
                <w:szCs w:val="10"/>
                <w:color w:val="auto"/>
              </w:rPr>
            </w:pPr>
          </w:p>
        </w:tc>
        <w:tc>
          <w:tcPr>
            <w:tcW w:w="1260" w:type="dxa"/>
            <w:vAlign w:val="bottom"/>
            <w:gridSpan w:val="2"/>
            <w:vMerge w:val="continue"/>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920" w:type="dxa"/>
            <w:vAlign w:val="bottom"/>
            <w:gridSpan w:val="3"/>
            <w:vMerge w:val="continue"/>
            <w:shd w:val="clear" w:color="auto" w:fill="CCEEFF"/>
          </w:tcPr>
          <w:p>
            <w:pPr>
              <w:spacing w:after="0"/>
              <w:rPr>
                <w:sz w:val="9"/>
                <w:szCs w:val="9"/>
                <w:color w:val="auto"/>
              </w:rPr>
            </w:pPr>
          </w:p>
        </w:tc>
        <w:tc>
          <w:tcPr>
            <w:tcW w:w="560" w:type="dxa"/>
            <w:vAlign w:val="bottom"/>
            <w:gridSpan w:val="2"/>
            <w:vMerge w:val="continue"/>
            <w:shd w:val="clear" w:color="auto" w:fill="CCEEFF"/>
          </w:tcPr>
          <w:p>
            <w:pPr>
              <w:spacing w:after="0"/>
              <w:rPr>
                <w:sz w:val="9"/>
                <w:szCs w:val="9"/>
                <w:color w:val="auto"/>
              </w:rPr>
            </w:pPr>
          </w:p>
        </w:tc>
        <w:tc>
          <w:tcPr>
            <w:tcW w:w="4320" w:type="dxa"/>
            <w:vAlign w:val="bottom"/>
            <w:gridSpan w:val="3"/>
            <w:vMerge w:val="restart"/>
          </w:tcPr>
          <w:p>
            <w:pPr>
              <w:ind w:left="300"/>
              <w:spacing w:after="0"/>
              <w:rPr>
                <w:sz w:val="20"/>
                <w:szCs w:val="20"/>
                <w:color w:val="auto"/>
              </w:rPr>
            </w:pPr>
            <w:r>
              <w:rPr>
                <w:rFonts w:ascii="Arial" w:cs="Arial" w:eastAsia="Arial" w:hAnsi="Arial"/>
                <w:sz w:val="18"/>
                <w:szCs w:val="18"/>
                <w:color w:val="auto"/>
              </w:rPr>
              <w:t>Personal, Food and Miscellaneous Services</w:t>
            </w:r>
          </w:p>
        </w:tc>
        <w:tc>
          <w:tcPr>
            <w:tcW w:w="1260" w:type="dxa"/>
            <w:vAlign w:val="bottom"/>
            <w:gridSpan w:val="2"/>
            <w:vMerge w:val="restart"/>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4920" w:type="dxa"/>
            <w:vAlign w:val="bottom"/>
            <w:gridSpan w:val="3"/>
            <w:vMerge w:val="restart"/>
          </w:tcPr>
          <w:p>
            <w:pPr>
              <w:ind w:left="20"/>
              <w:spacing w:after="0"/>
              <w:rPr>
                <w:sz w:val="20"/>
                <w:szCs w:val="20"/>
                <w:color w:val="auto"/>
              </w:rPr>
            </w:pPr>
            <w:r>
              <w:rPr>
                <w:rFonts w:ascii="Arial" w:cs="Arial" w:eastAsia="Arial" w:hAnsi="Arial"/>
                <w:sz w:val="18"/>
                <w:szCs w:val="18"/>
                <w:color w:val="auto"/>
              </w:rPr>
              <w:t>Hotels, Motels, Inns and Gaming</w:t>
            </w:r>
          </w:p>
        </w:tc>
        <w:tc>
          <w:tcPr>
            <w:tcW w:w="5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5</w:t>
            </w:r>
          </w:p>
        </w:tc>
        <w:tc>
          <w:tcPr>
            <w:tcW w:w="4320" w:type="dxa"/>
            <w:vAlign w:val="bottom"/>
            <w:gridSpan w:val="3"/>
            <w:vMerge w:val="continue"/>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920" w:type="dxa"/>
            <w:vAlign w:val="bottom"/>
            <w:gridSpan w:val="3"/>
            <w:vMerge w:val="continue"/>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3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Our executive officers and directors, as well as the senior investment professionals of the Investment Adviser and Administrator, may serve as officers, directors or principals of entities that operate in the same or a related line of business as we do. Currently, the executive officers and directors, as well as the current senior investment professionals of the Investment Adviser and Administrator, serve as officers and directors of PennantPark Floating Rate Capital Ltd., a publicly traded BDC, and other managed funds, as applicable. Accordingly, they may have obligations to investors in those entities, the fulfillment of which obligations might not be in the best interest of us or our stockholders. In addition, we note that any affiliated investment vehicle currently existing, or formed in the future, and managed by the Investment Adviser and/or its affiliates may, notwithstanding different stated investment objectives, have overlapping investment objectives with our own and, accordingly, may invest in asset classes similar to those targeted by us. As a result, the Investment Adviser may face conflicts in allocating investment opportunities among us and such other entities. Although the Investment Adviser will endeavor to allocate investment opportunities in a fair and equitable manner, it is possible that, in the future, we may not be given the opportunity to participate in investments made by investment funds managed by the Investment Adviser or its affiliates. In any such case, when the Investment Adviser identifies an investment, it will choose which investment fund should receive the allocation. See “Risk Factors—Risks Relating to our Business and Structure—There are significant potential conflicts of interest which could impact our investment returns” for more information.</w:t>
      </w:r>
    </w:p>
    <w:p>
      <w:pPr>
        <w:spacing w:after="0" w:line="16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may invest, to the extent permitted by law, in the securities and instruments of other investment companies and companies that would be investment companies but are excluded from the definition of an investment company provided in Section 3(c) of the 1940 Act. We may also co-invest in the future on a concurrent basis with our affiliates, subject to compliance with applicable regulations and our trade allocation procedures. Some types of negotiated co-investments may be made only if we receive an order from the SEC permitting us to do so. We have sought, and there can be no assurance that we will obtain, such an order.</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46"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PORTFOLIO COMPANIES</w:t>
      </w:r>
    </w:p>
    <w:p>
      <w:pPr>
        <w:spacing w:after="0" w:line="229"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The following is a listing of each portfolio company or its affiliate, together referred to as portfolio companies, in which we had an investment at September 30, 2013. Percentages shown for class of investment securities held by us represent percentage of voting ownership and not economic ownership. Percentages shown for equity securities, other than warrants or options held, if any, represent the actual percentage of the class of security held before dilution. For additional information see our “Consolidated Schedule of Investments” in our September 30, 2013 Consolidated Financial Statements included elsewhere in this prospectus.</w:t>
      </w:r>
    </w:p>
    <w:p>
      <w:pPr>
        <w:spacing w:after="0" w:line="18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portfolio companies are presented in three categories: “Companies less than 5% owned” which represent portfolio companies where we directly or indirectly own less than 5% of the outstanding voting securities of such portfolio company and where we have no other affiliations with such portfolio company; “Companies 5% to 24% owned” which represent portfolio companies where we directly or indirectly own 5% or more but less than 25% of the outstanding voting securities of such portfolio company or where we hold one or more seats on the portfolio company’s board of directors and, therefore, are deemed to be an affiliated person under the 1940 Act; and “Companies 25% or more owned” which represent portfolio companies where we directly or indirectly own 25% or more of the outstanding voting securities of such portfolio company and, therefore, are presumed to be controlled by us under the 1940 Act. We make available significant managerial assistance to our portfolio companies. Substantially all of our investments (except those of our SBIC Funds) are pledged as collateral under our Credit Facility. Unless otherwise noted, we held no voting board membership on any of our portfolio companies.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19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Nature of Business</w:t>
            </w:r>
          </w:p>
        </w:tc>
        <w:tc>
          <w:tcPr>
            <w:tcW w:w="24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Type of Investment</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1"/>
              </w:rPr>
              <w:t>Voting Percentage</w:t>
            </w:r>
          </w:p>
        </w:tc>
        <w:tc>
          <w:tcPr>
            <w:tcW w:w="0" w:type="dxa"/>
            <w:vAlign w:val="bottom"/>
          </w:tcPr>
          <w:p>
            <w:pPr>
              <w:spacing w:after="0"/>
              <w:rPr>
                <w:sz w:val="1"/>
                <w:szCs w:val="1"/>
                <w:color w:val="auto"/>
              </w:rPr>
            </w:pPr>
          </w:p>
        </w:tc>
      </w:tr>
      <w:tr>
        <w:trPr>
          <w:trHeight w:val="185"/>
        </w:trPr>
        <w:tc>
          <w:tcPr>
            <w:tcW w:w="5040" w:type="dxa"/>
            <w:vAlign w:val="bottom"/>
            <w:gridSpan w:val="3"/>
            <w:vMerge w:val="continue"/>
          </w:tcPr>
          <w:p>
            <w:pPr>
              <w:spacing w:after="0"/>
              <w:rPr>
                <w:sz w:val="16"/>
                <w:szCs w:val="16"/>
                <w:color w:val="auto"/>
              </w:rPr>
            </w:pPr>
          </w:p>
        </w:tc>
        <w:tc>
          <w:tcPr>
            <w:tcW w:w="1960" w:type="dxa"/>
            <w:vAlign w:val="bottom"/>
            <w:gridSpan w:val="2"/>
            <w:vMerge w:val="continue"/>
          </w:tcPr>
          <w:p>
            <w:pPr>
              <w:spacing w:after="0"/>
              <w:rPr>
                <w:sz w:val="16"/>
                <w:szCs w:val="16"/>
                <w:color w:val="auto"/>
              </w:rPr>
            </w:pPr>
          </w:p>
        </w:tc>
        <w:tc>
          <w:tcPr>
            <w:tcW w:w="2480" w:type="dxa"/>
            <w:vAlign w:val="bottom"/>
            <w:gridSpan w:val="2"/>
            <w:vMerge w:val="continue"/>
          </w:tcPr>
          <w:p>
            <w:pPr>
              <w:spacing w:after="0"/>
              <w:rPr>
                <w:sz w:val="16"/>
                <w:szCs w:val="16"/>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4"/>
              </w:rPr>
              <w:t xml:space="preserve">Ownership </w:t>
            </w:r>
            <w:r>
              <w:rPr>
                <w:rFonts w:ascii="Arial" w:cs="Arial" w:eastAsia="Arial" w:hAnsi="Arial"/>
                <w:sz w:val="12"/>
                <w:szCs w:val="12"/>
                <w:b w:val="1"/>
                <w:bCs w:val="1"/>
                <w:color w:val="auto"/>
                <w:w w:val="94"/>
              </w:rPr>
              <w:t>(1)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Companies Less than 5% Owned</w:t>
            </w:r>
          </w:p>
        </w:tc>
        <w:tc>
          <w:tcPr>
            <w:tcW w:w="2500" w:type="dxa"/>
            <w:vAlign w:val="bottom"/>
            <w:tcBorders>
              <w:top w:val="single" w:sz="8" w:color="CCEEFF"/>
            </w:tcBorders>
            <w:shd w:val="clear" w:color="auto" w:fill="CCEEFF"/>
          </w:tcPr>
          <w:p>
            <w:pPr>
              <w:spacing w:after="0"/>
              <w:rPr>
                <w:sz w:val="17"/>
                <w:szCs w:val="17"/>
                <w:color w:val="auto"/>
              </w:rPr>
            </w:pPr>
          </w:p>
        </w:tc>
        <w:tc>
          <w:tcPr>
            <w:tcW w:w="18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9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5040" w:type="dxa"/>
            <w:vAlign w:val="bottom"/>
            <w:gridSpan w:val="3"/>
          </w:tcPr>
          <w:p>
            <w:pPr>
              <w:spacing w:after="0"/>
              <w:rPr>
                <w:sz w:val="20"/>
                <w:szCs w:val="20"/>
                <w:color w:val="auto"/>
              </w:rPr>
            </w:pPr>
            <w:r>
              <w:rPr>
                <w:rFonts w:ascii="Arial" w:cs="Arial" w:eastAsia="Arial" w:hAnsi="Arial"/>
                <w:sz w:val="14"/>
                <w:szCs w:val="14"/>
                <w:color w:val="auto"/>
              </w:rPr>
              <w:t>Acentia, LLC</w:t>
            </w:r>
          </w:p>
        </w:tc>
        <w:tc>
          <w:tcPr>
            <w:tcW w:w="196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Electronics</w:t>
            </w:r>
          </w:p>
        </w:tc>
        <w:tc>
          <w:tcPr>
            <w:tcW w:w="248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Subordinated Debt</w:t>
            </w:r>
          </w:p>
        </w:tc>
        <w:tc>
          <w:tcPr>
            <w:tcW w:w="1940" w:type="dxa"/>
            <w:vAlign w:val="bottom"/>
          </w:tcPr>
          <w:p>
            <w:pPr>
              <w:jc w:val="center"/>
              <w:spacing w:after="0"/>
              <w:rPr>
                <w:sz w:val="20"/>
                <w:szCs w:val="20"/>
                <w:color w:val="auto"/>
              </w:rPr>
            </w:pPr>
            <w:r>
              <w:rPr>
                <w:rFonts w:ascii="Arial" w:cs="Arial" w:eastAsia="Arial" w:hAnsi="Arial"/>
                <w:sz w:val="14"/>
                <w:szCs w:val="14"/>
                <w:color w:val="auto"/>
                <w:w w:val="93"/>
              </w:rPr>
              <w:t>1.5%</w:t>
            </w: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49" w:lineRule="exact"/>
              <w:rPr>
                <w:sz w:val="20"/>
                <w:szCs w:val="20"/>
                <w:color w:val="auto"/>
              </w:rPr>
            </w:pPr>
            <w:r>
              <w:rPr>
                <w:rFonts w:ascii="Arial" w:cs="Arial" w:eastAsia="Arial" w:hAnsi="Arial"/>
                <w:sz w:val="14"/>
                <w:szCs w:val="14"/>
                <w:color w:val="auto"/>
              </w:rPr>
              <w:t>3130 Fairview Park Drive, Ste. 800</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Common Equity</w:t>
            </w: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040" w:type="dxa"/>
            <w:vAlign w:val="bottom"/>
            <w:gridSpan w:val="3"/>
          </w:tcPr>
          <w:p>
            <w:pPr>
              <w:spacing w:after="0"/>
              <w:rPr>
                <w:sz w:val="20"/>
                <w:szCs w:val="20"/>
                <w:color w:val="auto"/>
              </w:rPr>
            </w:pPr>
            <w:r>
              <w:rPr>
                <w:rFonts w:ascii="Arial" w:cs="Arial" w:eastAsia="Arial" w:hAnsi="Arial"/>
                <w:sz w:val="14"/>
                <w:szCs w:val="14"/>
                <w:color w:val="auto"/>
              </w:rPr>
              <w:t>Falls Church, VA 22042</w:t>
            </w: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5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Affinion Group Holdings, Inc.</w:t>
            </w:r>
          </w:p>
        </w:tc>
        <w:tc>
          <w:tcPr>
            <w:tcW w:w="196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0"/>
              </w:rPr>
              <w:t>Consumer Products</w:t>
            </w:r>
          </w:p>
        </w:tc>
        <w:tc>
          <w:tcPr>
            <w:tcW w:w="248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2"/>
              </w:rPr>
              <w:t>Subordinated Debt</w:t>
            </w:r>
          </w:p>
        </w:tc>
        <w:tc>
          <w:tcPr>
            <w:tcW w:w="19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6 High Ridge Park</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Stamford, CT 06850</w:t>
            </w: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040" w:type="dxa"/>
            <w:vAlign w:val="bottom"/>
            <w:gridSpan w:val="3"/>
          </w:tcPr>
          <w:p>
            <w:pPr>
              <w:spacing w:after="0"/>
              <w:rPr>
                <w:sz w:val="20"/>
                <w:szCs w:val="20"/>
                <w:color w:val="auto"/>
              </w:rPr>
            </w:pPr>
            <w:r>
              <w:rPr>
                <w:rFonts w:ascii="Arial" w:cs="Arial" w:eastAsia="Arial" w:hAnsi="Arial"/>
                <w:sz w:val="14"/>
                <w:szCs w:val="14"/>
                <w:color w:val="auto"/>
              </w:rPr>
              <w:t>AHC Mezzanine, LLC (Advanstar Inc.)</w:t>
            </w:r>
          </w:p>
        </w:tc>
        <w:tc>
          <w:tcPr>
            <w:tcW w:w="196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Other Media</w:t>
            </w:r>
          </w:p>
        </w:tc>
        <w:tc>
          <w:tcPr>
            <w:tcW w:w="248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Preferred Equity</w:t>
            </w:r>
          </w:p>
        </w:tc>
        <w:tc>
          <w:tcPr>
            <w:tcW w:w="1940" w:type="dxa"/>
            <w:vAlign w:val="bottom"/>
          </w:tcPr>
          <w:p>
            <w:pPr>
              <w:jc w:val="center"/>
              <w:spacing w:after="0"/>
              <w:rPr>
                <w:sz w:val="20"/>
                <w:szCs w:val="20"/>
                <w:color w:val="auto"/>
              </w:rPr>
            </w:pPr>
            <w:r>
              <w:rPr>
                <w:rFonts w:ascii="Arial" w:cs="Arial" w:eastAsia="Arial" w:hAnsi="Arial"/>
                <w:sz w:val="14"/>
                <w:szCs w:val="14"/>
                <w:color w:val="auto"/>
                <w:w w:val="93"/>
              </w:rPr>
              <w:t>0.1%</w:t>
            </w: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49" w:lineRule="exact"/>
              <w:rPr>
                <w:sz w:val="20"/>
                <w:szCs w:val="20"/>
                <w:color w:val="auto"/>
              </w:rPr>
            </w:pPr>
            <w:r>
              <w:rPr>
                <w:rFonts w:ascii="Arial" w:cs="Arial" w:eastAsia="Arial" w:hAnsi="Arial"/>
                <w:sz w:val="14"/>
                <w:szCs w:val="14"/>
                <w:color w:val="auto"/>
              </w:rPr>
              <w:t>350 Park Avenue</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040" w:type="dxa"/>
            <w:vAlign w:val="bottom"/>
            <w:gridSpan w:val="3"/>
          </w:tcPr>
          <w:p>
            <w:pPr>
              <w:spacing w:after="0"/>
              <w:rPr>
                <w:sz w:val="20"/>
                <w:szCs w:val="20"/>
                <w:color w:val="auto"/>
              </w:rPr>
            </w:pPr>
            <w:r>
              <w:rPr>
                <w:rFonts w:ascii="Arial" w:cs="Arial" w:eastAsia="Arial" w:hAnsi="Arial"/>
                <w:sz w:val="14"/>
                <w:szCs w:val="14"/>
                <w:color w:val="auto"/>
              </w:rPr>
              <w:t>New York, NY 10022</w:t>
            </w: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5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Aircell Business Aviation Services LLC</w:t>
            </w:r>
          </w:p>
        </w:tc>
        <w:tc>
          <w:tcPr>
            <w:tcW w:w="196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3"/>
              </w:rPr>
              <w:t>Communications</w:t>
            </w:r>
          </w:p>
        </w:tc>
        <w:tc>
          <w:tcPr>
            <w:tcW w:w="248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3"/>
              </w:rPr>
              <w:t>First Lien Secured Debt</w:t>
            </w:r>
          </w:p>
        </w:tc>
        <w:tc>
          <w:tcPr>
            <w:tcW w:w="19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1250 North Arlington Heights Road, Ste. 500</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Itasca, IL 60143</w:t>
            </w: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040" w:type="dxa"/>
            <w:vAlign w:val="bottom"/>
            <w:gridSpan w:val="3"/>
          </w:tcPr>
          <w:p>
            <w:pPr>
              <w:spacing w:after="0"/>
              <w:rPr>
                <w:sz w:val="20"/>
                <w:szCs w:val="20"/>
                <w:color w:val="auto"/>
              </w:rPr>
            </w:pPr>
            <w:r>
              <w:rPr>
                <w:rFonts w:ascii="Arial" w:cs="Arial" w:eastAsia="Arial" w:hAnsi="Arial"/>
                <w:sz w:val="14"/>
                <w:szCs w:val="14"/>
                <w:color w:val="auto"/>
              </w:rPr>
              <w:t>Alegeus Technologies, LLC</w:t>
            </w:r>
          </w:p>
        </w:tc>
        <w:tc>
          <w:tcPr>
            <w:tcW w:w="196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Financial Services</w:t>
            </w:r>
          </w:p>
        </w:tc>
        <w:tc>
          <w:tcPr>
            <w:tcW w:w="248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Subordinated Debt</w:t>
            </w:r>
          </w:p>
        </w:tc>
        <w:tc>
          <w:tcPr>
            <w:tcW w:w="1940" w:type="dxa"/>
            <w:vAlign w:val="bottom"/>
          </w:tcPr>
          <w:p>
            <w:pPr>
              <w:jc w:val="center"/>
              <w:spacing w:after="0"/>
              <w:rPr>
                <w:sz w:val="20"/>
                <w:szCs w:val="20"/>
                <w:color w:val="auto"/>
              </w:rPr>
            </w:pPr>
            <w:r>
              <w:rPr>
                <w:rFonts w:ascii="Arial" w:cs="Arial" w:eastAsia="Arial" w:hAnsi="Arial"/>
                <w:sz w:val="14"/>
                <w:szCs w:val="14"/>
                <w:color w:val="auto"/>
                <w:w w:val="93"/>
              </w:rPr>
              <w:t>0.5%</w:t>
            </w: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49" w:lineRule="exact"/>
              <w:rPr>
                <w:sz w:val="20"/>
                <w:szCs w:val="20"/>
                <w:color w:val="auto"/>
              </w:rPr>
            </w:pPr>
            <w:r>
              <w:rPr>
                <w:rFonts w:ascii="Arial" w:cs="Arial" w:eastAsia="Arial" w:hAnsi="Arial"/>
                <w:sz w:val="14"/>
                <w:szCs w:val="14"/>
                <w:color w:val="auto"/>
              </w:rPr>
              <w:t>(Alegeus Technologies Holdings Corp.)</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4"/>
              </w:rPr>
              <w:t>Preferred Equity</w:t>
            </w: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49" w:lineRule="exact"/>
              <w:rPr>
                <w:sz w:val="20"/>
                <w:szCs w:val="20"/>
                <w:color w:val="auto"/>
              </w:rPr>
            </w:pPr>
            <w:r>
              <w:rPr>
                <w:rFonts w:ascii="Arial" w:cs="Arial" w:eastAsia="Arial" w:hAnsi="Arial"/>
                <w:sz w:val="14"/>
                <w:szCs w:val="14"/>
                <w:color w:val="auto"/>
              </w:rPr>
              <w:t>1601 Trapelo Rd.</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Common Equity</w:t>
            </w: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040" w:type="dxa"/>
            <w:vAlign w:val="bottom"/>
            <w:gridSpan w:val="3"/>
          </w:tcPr>
          <w:p>
            <w:pPr>
              <w:spacing w:after="0"/>
              <w:rPr>
                <w:sz w:val="20"/>
                <w:szCs w:val="20"/>
                <w:color w:val="auto"/>
              </w:rPr>
            </w:pPr>
            <w:r>
              <w:rPr>
                <w:rFonts w:ascii="Arial" w:cs="Arial" w:eastAsia="Arial" w:hAnsi="Arial"/>
                <w:sz w:val="14"/>
                <w:szCs w:val="14"/>
                <w:color w:val="auto"/>
              </w:rPr>
              <w:t>Waltham, MA 02451</w:t>
            </w: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5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American Gilsonite Company</w:t>
            </w:r>
          </w:p>
        </w:tc>
        <w:tc>
          <w:tcPr>
            <w:tcW w:w="196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4"/>
              </w:rPr>
              <w:t>Diversified Natural Resources,</w:t>
            </w:r>
          </w:p>
        </w:tc>
        <w:tc>
          <w:tcPr>
            <w:tcW w:w="248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2"/>
              </w:rPr>
              <w:t>Second Lien Secured Debt</w:t>
            </w:r>
          </w:p>
        </w:tc>
        <w:tc>
          <w:tcPr>
            <w:tcW w:w="19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29950 South Bonanza Highway</w:t>
            </w:r>
          </w:p>
        </w:tc>
        <w:tc>
          <w:tcPr>
            <w:tcW w:w="196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3"/>
              </w:rPr>
              <w:t>Precious Metals and Minerals</w:t>
            </w:r>
          </w:p>
        </w:tc>
        <w:tc>
          <w:tcPr>
            <w:tcW w:w="2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Bonanza, UT 84008</w:t>
            </w: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040" w:type="dxa"/>
            <w:vAlign w:val="bottom"/>
            <w:gridSpan w:val="3"/>
          </w:tcPr>
          <w:p>
            <w:pPr>
              <w:spacing w:after="0"/>
              <w:rPr>
                <w:sz w:val="20"/>
                <w:szCs w:val="20"/>
                <w:color w:val="auto"/>
              </w:rPr>
            </w:pPr>
            <w:r>
              <w:rPr>
                <w:rFonts w:ascii="Arial" w:cs="Arial" w:eastAsia="Arial" w:hAnsi="Arial"/>
                <w:sz w:val="14"/>
                <w:szCs w:val="14"/>
                <w:color w:val="auto"/>
              </w:rPr>
              <w:t>American Surgical Holdings, Inc.</w:t>
            </w:r>
          </w:p>
        </w:tc>
        <w:tc>
          <w:tcPr>
            <w:tcW w:w="19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Healthcare, Education</w:t>
            </w:r>
          </w:p>
        </w:tc>
        <w:tc>
          <w:tcPr>
            <w:tcW w:w="248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Preferred Equity</w:t>
            </w:r>
          </w:p>
        </w:tc>
        <w:tc>
          <w:tcPr>
            <w:tcW w:w="1940" w:type="dxa"/>
            <w:vAlign w:val="bottom"/>
          </w:tcPr>
          <w:p>
            <w:pPr>
              <w:jc w:val="center"/>
              <w:spacing w:after="0"/>
              <w:rPr>
                <w:sz w:val="20"/>
                <w:szCs w:val="20"/>
                <w:color w:val="auto"/>
              </w:rPr>
            </w:pPr>
            <w:r>
              <w:rPr>
                <w:rFonts w:ascii="Arial" w:cs="Arial" w:eastAsia="Arial" w:hAnsi="Arial"/>
                <w:sz w:val="14"/>
                <w:szCs w:val="14"/>
                <w:color w:val="auto"/>
                <w:w w:val="93"/>
              </w:rPr>
              <w:t>2.1%</w:t>
            </w: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49" w:lineRule="exact"/>
              <w:rPr>
                <w:sz w:val="20"/>
                <w:szCs w:val="20"/>
                <w:color w:val="auto"/>
              </w:rPr>
            </w:pPr>
            <w:r>
              <w:rPr>
                <w:rFonts w:ascii="Arial" w:cs="Arial" w:eastAsia="Arial" w:hAnsi="Arial"/>
                <w:sz w:val="14"/>
                <w:szCs w:val="14"/>
                <w:color w:val="auto"/>
              </w:rPr>
              <w:t>(AH Holdings, Inc.)</w:t>
            </w:r>
          </w:p>
        </w:tc>
        <w:tc>
          <w:tcPr>
            <w:tcW w:w="19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2"/>
              </w:rPr>
              <w:t>and Childcare</w:t>
            </w:r>
          </w:p>
        </w:tc>
        <w:tc>
          <w:tcPr>
            <w:tcW w:w="24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1"/>
              </w:rPr>
              <w:t>Warrants</w:t>
            </w: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49" w:lineRule="exact"/>
              <w:rPr>
                <w:sz w:val="20"/>
                <w:szCs w:val="20"/>
                <w:color w:val="auto"/>
              </w:rPr>
            </w:pPr>
            <w:r>
              <w:rPr>
                <w:rFonts w:ascii="Arial" w:cs="Arial" w:eastAsia="Arial" w:hAnsi="Arial"/>
                <w:sz w:val="14"/>
                <w:szCs w:val="14"/>
                <w:color w:val="auto"/>
              </w:rPr>
              <w:t>10039 Bissonnet Street, Ste. 250</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040" w:type="dxa"/>
            <w:vAlign w:val="bottom"/>
            <w:gridSpan w:val="3"/>
          </w:tcPr>
          <w:p>
            <w:pPr>
              <w:spacing w:after="0"/>
              <w:rPr>
                <w:sz w:val="20"/>
                <w:szCs w:val="20"/>
                <w:color w:val="auto"/>
              </w:rPr>
            </w:pPr>
            <w:r>
              <w:rPr>
                <w:rFonts w:ascii="Arial" w:cs="Arial" w:eastAsia="Arial" w:hAnsi="Arial"/>
                <w:sz w:val="14"/>
                <w:szCs w:val="14"/>
                <w:color w:val="auto"/>
              </w:rPr>
              <w:t>Houston, TX 77036</w:t>
            </w: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5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Autumn Games, LLC</w:t>
            </w:r>
          </w:p>
        </w:tc>
        <w:tc>
          <w:tcPr>
            <w:tcW w:w="196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1"/>
              </w:rPr>
              <w:t>Broadcasting and</w:t>
            </w:r>
          </w:p>
        </w:tc>
        <w:tc>
          <w:tcPr>
            <w:tcW w:w="248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6"/>
              </w:rPr>
              <w:t>Common Equity</w:t>
            </w:r>
          </w:p>
        </w:tc>
        <w:tc>
          <w:tcPr>
            <w:tcW w:w="19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54 Thompson St.</w:t>
            </w:r>
          </w:p>
        </w:tc>
        <w:tc>
          <w:tcPr>
            <w:tcW w:w="196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4"/>
              </w:rPr>
              <w:t>Entertainment</w:t>
            </w:r>
          </w:p>
        </w:tc>
        <w:tc>
          <w:tcPr>
            <w:tcW w:w="2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York, NY 10012</w:t>
            </w: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19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Nature of Business</w:t>
            </w:r>
          </w:p>
        </w:tc>
        <w:tc>
          <w:tcPr>
            <w:tcW w:w="24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Type of Investment</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1"/>
              </w:rPr>
              <w:t>Voting Percentage</w:t>
            </w:r>
          </w:p>
        </w:tc>
        <w:tc>
          <w:tcPr>
            <w:tcW w:w="0" w:type="dxa"/>
            <w:vAlign w:val="bottom"/>
          </w:tcPr>
          <w:p>
            <w:pPr>
              <w:spacing w:after="0"/>
              <w:rPr>
                <w:sz w:val="1"/>
                <w:szCs w:val="1"/>
                <w:color w:val="auto"/>
              </w:rPr>
            </w:pPr>
          </w:p>
        </w:tc>
      </w:tr>
      <w:tr>
        <w:trPr>
          <w:trHeight w:val="185"/>
        </w:trPr>
        <w:tc>
          <w:tcPr>
            <w:tcW w:w="5040" w:type="dxa"/>
            <w:vAlign w:val="bottom"/>
            <w:gridSpan w:val="3"/>
            <w:vMerge w:val="continue"/>
          </w:tcPr>
          <w:p>
            <w:pPr>
              <w:spacing w:after="0"/>
              <w:rPr>
                <w:sz w:val="16"/>
                <w:szCs w:val="16"/>
                <w:color w:val="auto"/>
              </w:rPr>
            </w:pPr>
          </w:p>
        </w:tc>
        <w:tc>
          <w:tcPr>
            <w:tcW w:w="1960" w:type="dxa"/>
            <w:vAlign w:val="bottom"/>
            <w:gridSpan w:val="2"/>
            <w:vMerge w:val="continue"/>
          </w:tcPr>
          <w:p>
            <w:pPr>
              <w:spacing w:after="0"/>
              <w:rPr>
                <w:sz w:val="16"/>
                <w:szCs w:val="16"/>
                <w:color w:val="auto"/>
              </w:rPr>
            </w:pPr>
          </w:p>
        </w:tc>
        <w:tc>
          <w:tcPr>
            <w:tcW w:w="2480" w:type="dxa"/>
            <w:vAlign w:val="bottom"/>
            <w:gridSpan w:val="2"/>
            <w:vMerge w:val="continue"/>
          </w:tcPr>
          <w:p>
            <w:pPr>
              <w:spacing w:after="0"/>
              <w:rPr>
                <w:sz w:val="16"/>
                <w:szCs w:val="16"/>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4"/>
              </w:rPr>
              <w:t xml:space="preserve">Ownership </w:t>
            </w:r>
            <w:r>
              <w:rPr>
                <w:rFonts w:ascii="Arial" w:cs="Arial" w:eastAsia="Arial" w:hAnsi="Arial"/>
                <w:sz w:val="12"/>
                <w:szCs w:val="12"/>
                <w:b w:val="1"/>
                <w:bCs w:val="1"/>
                <w:color w:val="auto"/>
                <w:w w:val="94"/>
              </w:rPr>
              <w:t>(1)</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2520" w:type="dxa"/>
            <w:vAlign w:val="bottom"/>
            <w:tcBorders>
              <w:top w:val="single" w:sz="8" w:color="auto"/>
            </w:tcBorders>
          </w:tcPr>
          <w:p>
            <w:pPr>
              <w:spacing w:after="0"/>
              <w:rPr>
                <w:sz w:val="7"/>
                <w:szCs w:val="7"/>
                <w:color w:val="auto"/>
              </w:rPr>
            </w:pPr>
          </w:p>
        </w:tc>
        <w:tc>
          <w:tcPr>
            <w:tcW w:w="2500" w:type="dxa"/>
            <w:vAlign w:val="bottom"/>
          </w:tcPr>
          <w:p>
            <w:pPr>
              <w:spacing w:after="0"/>
              <w:rPr>
                <w:sz w:val="7"/>
                <w:szCs w:val="7"/>
                <w:color w:val="auto"/>
              </w:rPr>
            </w:pPr>
          </w:p>
        </w:tc>
        <w:tc>
          <w:tcPr>
            <w:tcW w:w="184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3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9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5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Brand Energy and Infrastructure Services, Inc.</w:t>
            </w:r>
          </w:p>
        </w:tc>
        <w:tc>
          <w:tcPr>
            <w:tcW w:w="196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8"/>
              </w:rPr>
              <w:t>Energy / Utilities</w:t>
            </w:r>
          </w:p>
        </w:tc>
        <w:tc>
          <w:tcPr>
            <w:tcW w:w="248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2"/>
              </w:rPr>
              <w:t>Second Lien Secured Debt</w:t>
            </w:r>
          </w:p>
        </w:tc>
        <w:tc>
          <w:tcPr>
            <w:tcW w:w="19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1325 Cobb International Dr., Ste. A-1</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Kennesaw, GA 30152</w:t>
            </w: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040" w:type="dxa"/>
            <w:vAlign w:val="bottom"/>
            <w:gridSpan w:val="3"/>
          </w:tcPr>
          <w:p>
            <w:pPr>
              <w:spacing w:after="0"/>
              <w:rPr>
                <w:sz w:val="20"/>
                <w:szCs w:val="20"/>
                <w:color w:val="auto"/>
              </w:rPr>
            </w:pPr>
            <w:r>
              <w:rPr>
                <w:rFonts w:ascii="Arial" w:cs="Arial" w:eastAsia="Arial" w:hAnsi="Arial"/>
                <w:sz w:val="14"/>
                <w:szCs w:val="14"/>
                <w:color w:val="auto"/>
              </w:rPr>
              <w:t>Carolina Beverage Group, LLC</w:t>
            </w:r>
          </w:p>
        </w:tc>
        <w:tc>
          <w:tcPr>
            <w:tcW w:w="196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Beverage, Food and Tobacco</w:t>
            </w:r>
          </w:p>
        </w:tc>
        <w:tc>
          <w:tcPr>
            <w:tcW w:w="248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Second Lien Secured Debt</w:t>
            </w:r>
          </w:p>
        </w:tc>
        <w:tc>
          <w:tcPr>
            <w:tcW w:w="19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49" w:lineRule="exact"/>
              <w:rPr>
                <w:sz w:val="20"/>
                <w:szCs w:val="20"/>
                <w:color w:val="auto"/>
              </w:rPr>
            </w:pPr>
            <w:r>
              <w:rPr>
                <w:rFonts w:ascii="Arial" w:cs="Arial" w:eastAsia="Arial" w:hAnsi="Arial"/>
                <w:sz w:val="14"/>
                <w:szCs w:val="14"/>
                <w:color w:val="auto"/>
              </w:rPr>
              <w:t>110 Barley Park Lane</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040" w:type="dxa"/>
            <w:vAlign w:val="bottom"/>
            <w:gridSpan w:val="3"/>
          </w:tcPr>
          <w:p>
            <w:pPr>
              <w:spacing w:after="0"/>
              <w:rPr>
                <w:sz w:val="20"/>
                <w:szCs w:val="20"/>
                <w:color w:val="auto"/>
              </w:rPr>
            </w:pPr>
            <w:r>
              <w:rPr>
                <w:rFonts w:ascii="Arial" w:cs="Arial" w:eastAsia="Arial" w:hAnsi="Arial"/>
                <w:sz w:val="14"/>
                <w:szCs w:val="14"/>
                <w:color w:val="auto"/>
              </w:rPr>
              <w:t>Mooresville, NC 28115</w:t>
            </w: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5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CEVA Group PLC</w:t>
            </w:r>
          </w:p>
        </w:tc>
        <w:tc>
          <w:tcPr>
            <w:tcW w:w="196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2"/>
              </w:rPr>
              <w:t>Cargo Transport</w:t>
            </w:r>
          </w:p>
        </w:tc>
        <w:tc>
          <w:tcPr>
            <w:tcW w:w="248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3"/>
              </w:rPr>
              <w:t>First Lien Secured Debt</w:t>
            </w:r>
          </w:p>
        </w:tc>
        <w:tc>
          <w:tcPr>
            <w:tcW w:w="19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25 St. George Street</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London W1S 1FS</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United Kingdom</w:t>
            </w: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040" w:type="dxa"/>
            <w:vAlign w:val="bottom"/>
            <w:gridSpan w:val="3"/>
          </w:tcPr>
          <w:p>
            <w:pPr>
              <w:spacing w:after="0"/>
              <w:rPr>
                <w:sz w:val="20"/>
                <w:szCs w:val="20"/>
                <w:color w:val="auto"/>
              </w:rPr>
            </w:pPr>
            <w:r>
              <w:rPr>
                <w:rFonts w:ascii="Arial" w:cs="Arial" w:eastAsia="Arial" w:hAnsi="Arial"/>
                <w:sz w:val="14"/>
                <w:szCs w:val="14"/>
                <w:color w:val="auto"/>
              </w:rPr>
              <w:t>Columbus International, Inc.</w:t>
            </w:r>
          </w:p>
        </w:tc>
        <w:tc>
          <w:tcPr>
            <w:tcW w:w="196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Communications</w:t>
            </w:r>
          </w:p>
        </w:tc>
        <w:tc>
          <w:tcPr>
            <w:tcW w:w="248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First Lien Secured Debt</w:t>
            </w:r>
          </w:p>
        </w:tc>
        <w:tc>
          <w:tcPr>
            <w:tcW w:w="19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49" w:lineRule="exact"/>
              <w:rPr>
                <w:sz w:val="20"/>
                <w:szCs w:val="20"/>
                <w:color w:val="auto"/>
              </w:rPr>
            </w:pPr>
            <w:r>
              <w:rPr>
                <w:rFonts w:ascii="Arial" w:cs="Arial" w:eastAsia="Arial" w:hAnsi="Arial"/>
                <w:sz w:val="14"/>
                <w:szCs w:val="14"/>
                <w:color w:val="auto"/>
              </w:rPr>
              <w:t>Ste. 205-207 Dowell House Cr.</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49" w:lineRule="exact"/>
              <w:rPr>
                <w:sz w:val="20"/>
                <w:szCs w:val="20"/>
                <w:color w:val="auto"/>
              </w:rPr>
            </w:pPr>
            <w:r>
              <w:rPr>
                <w:rFonts w:ascii="Arial" w:cs="Arial" w:eastAsia="Arial" w:hAnsi="Arial"/>
                <w:sz w:val="14"/>
                <w:szCs w:val="14"/>
                <w:color w:val="auto"/>
              </w:rPr>
              <w:t>Roebuck &amp; Palmetto Sts.</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040" w:type="dxa"/>
            <w:vAlign w:val="bottom"/>
            <w:gridSpan w:val="3"/>
          </w:tcPr>
          <w:p>
            <w:pPr>
              <w:spacing w:after="0"/>
              <w:rPr>
                <w:sz w:val="20"/>
                <w:szCs w:val="20"/>
                <w:color w:val="auto"/>
              </w:rPr>
            </w:pPr>
            <w:r>
              <w:rPr>
                <w:rFonts w:ascii="Arial" w:cs="Arial" w:eastAsia="Arial" w:hAnsi="Arial"/>
                <w:sz w:val="14"/>
                <w:szCs w:val="14"/>
                <w:color w:val="auto"/>
              </w:rPr>
              <w:t>Bridgetown, Barbados, West Indies</w:t>
            </w: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5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Convergint Technologies, LLC</w:t>
            </w:r>
          </w:p>
        </w:tc>
        <w:tc>
          <w:tcPr>
            <w:tcW w:w="196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3"/>
              </w:rPr>
              <w:t>Electronics</w:t>
            </w:r>
          </w:p>
        </w:tc>
        <w:tc>
          <w:tcPr>
            <w:tcW w:w="248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2"/>
              </w:rPr>
              <w:t>Subordinated Debt</w:t>
            </w:r>
          </w:p>
        </w:tc>
        <w:tc>
          <w:tcPr>
            <w:tcW w:w="19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(Convergint Technologies Holdings, LLC)</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8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4"/>
              </w:rPr>
              <w:t>Preferred Equity</w:t>
            </w: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1651 Wilkening Rd.</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8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6"/>
              </w:rPr>
              <w:t>Common Equity</w:t>
            </w: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Schaumburg, IL 60173</w:t>
            </w: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040" w:type="dxa"/>
            <w:vAlign w:val="bottom"/>
            <w:gridSpan w:val="3"/>
          </w:tcPr>
          <w:p>
            <w:pPr>
              <w:spacing w:after="0"/>
              <w:rPr>
                <w:sz w:val="20"/>
                <w:szCs w:val="20"/>
                <w:color w:val="auto"/>
              </w:rPr>
            </w:pPr>
            <w:r>
              <w:rPr>
                <w:rFonts w:ascii="Arial" w:cs="Arial" w:eastAsia="Arial" w:hAnsi="Arial"/>
                <w:sz w:val="14"/>
                <w:szCs w:val="14"/>
                <w:color w:val="auto"/>
              </w:rPr>
              <w:t>Credit Infonet, Inc.</w:t>
            </w:r>
          </w:p>
        </w:tc>
        <w:tc>
          <w:tcPr>
            <w:tcW w:w="196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Personal, Food and</w:t>
            </w:r>
          </w:p>
        </w:tc>
        <w:tc>
          <w:tcPr>
            <w:tcW w:w="248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Subordinated Debt</w:t>
            </w:r>
          </w:p>
        </w:tc>
        <w:tc>
          <w:tcPr>
            <w:tcW w:w="19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49" w:lineRule="exact"/>
              <w:rPr>
                <w:sz w:val="20"/>
                <w:szCs w:val="20"/>
                <w:color w:val="auto"/>
              </w:rPr>
            </w:pPr>
            <w:r>
              <w:rPr>
                <w:rFonts w:ascii="Arial" w:cs="Arial" w:eastAsia="Arial" w:hAnsi="Arial"/>
                <w:sz w:val="14"/>
                <w:szCs w:val="14"/>
                <w:color w:val="auto"/>
              </w:rPr>
              <w:t>4540 Honeywell Court</w:t>
            </w:r>
          </w:p>
        </w:tc>
        <w:tc>
          <w:tcPr>
            <w:tcW w:w="19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2"/>
              </w:rPr>
              <w:t>Miscelleneous Services</w:t>
            </w: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040" w:type="dxa"/>
            <w:vAlign w:val="bottom"/>
            <w:gridSpan w:val="3"/>
          </w:tcPr>
          <w:p>
            <w:pPr>
              <w:spacing w:after="0"/>
              <w:rPr>
                <w:sz w:val="20"/>
                <w:szCs w:val="20"/>
                <w:color w:val="auto"/>
              </w:rPr>
            </w:pPr>
            <w:r>
              <w:rPr>
                <w:rFonts w:ascii="Arial" w:cs="Arial" w:eastAsia="Arial" w:hAnsi="Arial"/>
                <w:sz w:val="14"/>
                <w:szCs w:val="14"/>
                <w:color w:val="auto"/>
              </w:rPr>
              <w:t>Dayton, OH 45424</w:t>
            </w: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5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CT Technologies Intermediate Holdings, LLC</w:t>
            </w:r>
          </w:p>
        </w:tc>
        <w:tc>
          <w:tcPr>
            <w:tcW w:w="196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0"/>
              </w:rPr>
              <w:t>Business Services</w:t>
            </w:r>
          </w:p>
        </w:tc>
        <w:tc>
          <w:tcPr>
            <w:tcW w:w="248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6"/>
              </w:rPr>
              <w:t>Common Equity</w:t>
            </w:r>
          </w:p>
        </w:tc>
        <w:tc>
          <w:tcPr>
            <w:tcW w:w="19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(CT Technologies Intermediate Holdings, Inc.)</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925 North Point Parkway, Ste. 350</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Alpharetta, GA 30005</w:t>
            </w: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040" w:type="dxa"/>
            <w:vAlign w:val="bottom"/>
            <w:gridSpan w:val="3"/>
          </w:tcPr>
          <w:p>
            <w:pPr>
              <w:spacing w:after="0"/>
              <w:rPr>
                <w:sz w:val="20"/>
                <w:szCs w:val="20"/>
                <w:color w:val="auto"/>
              </w:rPr>
            </w:pPr>
            <w:r>
              <w:rPr>
                <w:rFonts w:ascii="Arial" w:cs="Arial" w:eastAsia="Arial" w:hAnsi="Arial"/>
                <w:sz w:val="14"/>
                <w:szCs w:val="14"/>
                <w:color w:val="auto"/>
              </w:rPr>
              <w:t>Cydcor LLC</w:t>
            </w:r>
          </w:p>
        </w:tc>
        <w:tc>
          <w:tcPr>
            <w:tcW w:w="196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Business Services</w:t>
            </w:r>
          </w:p>
        </w:tc>
        <w:tc>
          <w:tcPr>
            <w:tcW w:w="248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First Lien Secured Debt</w:t>
            </w:r>
          </w:p>
        </w:tc>
        <w:tc>
          <w:tcPr>
            <w:tcW w:w="19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49" w:lineRule="exact"/>
              <w:rPr>
                <w:sz w:val="20"/>
                <w:szCs w:val="20"/>
                <w:color w:val="auto"/>
              </w:rPr>
            </w:pPr>
            <w:r>
              <w:rPr>
                <w:rFonts w:ascii="Arial" w:cs="Arial" w:eastAsia="Arial" w:hAnsi="Arial"/>
                <w:sz w:val="14"/>
                <w:szCs w:val="14"/>
                <w:color w:val="auto"/>
              </w:rPr>
              <w:t>3011 Townsgate Road, Ste. 400</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040" w:type="dxa"/>
            <w:vAlign w:val="bottom"/>
            <w:gridSpan w:val="3"/>
          </w:tcPr>
          <w:p>
            <w:pPr>
              <w:spacing w:after="0"/>
              <w:rPr>
                <w:sz w:val="20"/>
                <w:szCs w:val="20"/>
                <w:color w:val="auto"/>
              </w:rPr>
            </w:pPr>
            <w:r>
              <w:rPr>
                <w:rFonts w:ascii="Arial" w:cs="Arial" w:eastAsia="Arial" w:hAnsi="Arial"/>
                <w:sz w:val="14"/>
                <w:szCs w:val="14"/>
                <w:color w:val="auto"/>
              </w:rPr>
              <w:t>Westlake Village, CA 91361</w:t>
            </w: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5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Envision Acquisition Company LLC</w:t>
            </w:r>
          </w:p>
        </w:tc>
        <w:tc>
          <w:tcPr>
            <w:tcW w:w="196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2"/>
              </w:rPr>
              <w:t>Healthcare, Education</w:t>
            </w:r>
          </w:p>
        </w:tc>
        <w:tc>
          <w:tcPr>
            <w:tcW w:w="248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2"/>
              </w:rPr>
              <w:t>Second Lien Secured Debt</w:t>
            </w:r>
          </w:p>
        </w:tc>
        <w:tc>
          <w:tcPr>
            <w:tcW w:w="19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2181 East Aurora Road, Ste. 201</w:t>
            </w:r>
          </w:p>
        </w:tc>
        <w:tc>
          <w:tcPr>
            <w:tcW w:w="196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2"/>
              </w:rPr>
              <w:t>and Childcare</w:t>
            </w:r>
          </w:p>
        </w:tc>
        <w:tc>
          <w:tcPr>
            <w:tcW w:w="2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Twinsburg, OH 44087</w:t>
            </w: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040" w:type="dxa"/>
            <w:vAlign w:val="bottom"/>
            <w:gridSpan w:val="3"/>
          </w:tcPr>
          <w:p>
            <w:pPr>
              <w:spacing w:after="0"/>
              <w:rPr>
                <w:sz w:val="20"/>
                <w:szCs w:val="20"/>
                <w:color w:val="auto"/>
              </w:rPr>
            </w:pPr>
            <w:r>
              <w:rPr>
                <w:rFonts w:ascii="Arial" w:cs="Arial" w:eastAsia="Arial" w:hAnsi="Arial"/>
                <w:sz w:val="14"/>
                <w:szCs w:val="14"/>
                <w:color w:val="auto"/>
              </w:rPr>
              <w:t>Escort Inc.</w:t>
            </w:r>
          </w:p>
        </w:tc>
        <w:tc>
          <w:tcPr>
            <w:tcW w:w="196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Electronics</w:t>
            </w:r>
          </w:p>
        </w:tc>
        <w:tc>
          <w:tcPr>
            <w:tcW w:w="248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Subordinated Debt</w:t>
            </w:r>
          </w:p>
        </w:tc>
        <w:tc>
          <w:tcPr>
            <w:tcW w:w="19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49" w:lineRule="exact"/>
              <w:rPr>
                <w:sz w:val="20"/>
                <w:szCs w:val="20"/>
                <w:color w:val="auto"/>
              </w:rPr>
            </w:pPr>
            <w:r>
              <w:rPr>
                <w:rFonts w:ascii="Arial" w:cs="Arial" w:eastAsia="Arial" w:hAnsi="Arial"/>
                <w:sz w:val="14"/>
                <w:szCs w:val="14"/>
                <w:color w:val="auto"/>
              </w:rPr>
              <w:t>5440 West Chester Road</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040" w:type="dxa"/>
            <w:vAlign w:val="bottom"/>
            <w:gridSpan w:val="3"/>
          </w:tcPr>
          <w:p>
            <w:pPr>
              <w:spacing w:after="0"/>
              <w:rPr>
                <w:sz w:val="20"/>
                <w:szCs w:val="20"/>
                <w:color w:val="auto"/>
              </w:rPr>
            </w:pPr>
            <w:r>
              <w:rPr>
                <w:rFonts w:ascii="Arial" w:cs="Arial" w:eastAsia="Arial" w:hAnsi="Arial"/>
                <w:sz w:val="14"/>
                <w:szCs w:val="14"/>
                <w:color w:val="auto"/>
              </w:rPr>
              <w:t>West Chester, OH 45069-2950</w:t>
            </w: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5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Eureka Hunter Pipeline, LLC (Magnum Hunter Resources Corporation)</w:t>
            </w:r>
          </w:p>
        </w:tc>
        <w:tc>
          <w:tcPr>
            <w:tcW w:w="1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777 Post Oak Blvd., Ste. 650</w:t>
            </w:r>
          </w:p>
        </w:tc>
        <w:tc>
          <w:tcPr>
            <w:tcW w:w="196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color w:val="auto"/>
                <w:w w:val="95"/>
              </w:rPr>
              <w:t>Energy/Utilities Oil and Gas</w:t>
            </w:r>
          </w:p>
        </w:tc>
        <w:tc>
          <w:tcPr>
            <w:tcW w:w="248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w w:val="92"/>
              </w:rPr>
              <w:t>Second Lien Secured Debt</w:t>
            </w:r>
          </w:p>
        </w:tc>
        <w:tc>
          <w:tcPr>
            <w:tcW w:w="19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0.7%</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2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Houston, TX 77056</w:t>
            </w:r>
          </w:p>
        </w:tc>
        <w:tc>
          <w:tcPr>
            <w:tcW w:w="1960" w:type="dxa"/>
            <w:vAlign w:val="bottom"/>
            <w:gridSpan w:val="2"/>
            <w:vMerge w:val="continue"/>
            <w:shd w:val="clear" w:color="auto" w:fill="CCEEFF"/>
          </w:tcPr>
          <w:p>
            <w:pPr>
              <w:spacing w:after="0"/>
              <w:rPr>
                <w:sz w:val="8"/>
                <w:szCs w:val="8"/>
                <w:color w:val="auto"/>
              </w:rPr>
            </w:pPr>
          </w:p>
        </w:tc>
        <w:tc>
          <w:tcPr>
            <w:tcW w:w="2480" w:type="dxa"/>
            <w:vAlign w:val="bottom"/>
            <w:gridSpan w:val="2"/>
            <w:vMerge w:val="continue"/>
            <w:shd w:val="clear" w:color="auto" w:fill="CCEEFF"/>
          </w:tcPr>
          <w:p>
            <w:pPr>
              <w:spacing w:after="0"/>
              <w:rPr>
                <w:sz w:val="8"/>
                <w:szCs w:val="8"/>
                <w:color w:val="auto"/>
              </w:rPr>
            </w:pPr>
          </w:p>
        </w:tc>
        <w:tc>
          <w:tcPr>
            <w:tcW w:w="19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5020" w:type="dxa"/>
            <w:vAlign w:val="bottom"/>
            <w:gridSpan w:val="2"/>
            <w:vMerge w:val="continue"/>
            <w:shd w:val="clear" w:color="auto" w:fill="CCEEFF"/>
          </w:tcPr>
          <w:p>
            <w:pPr>
              <w:spacing w:after="0"/>
              <w:rPr>
                <w:sz w:val="7"/>
                <w:szCs w:val="7"/>
                <w:color w:val="auto"/>
              </w:rPr>
            </w:pPr>
          </w:p>
        </w:tc>
        <w:tc>
          <w:tcPr>
            <w:tcW w:w="18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480" w:type="dxa"/>
            <w:vAlign w:val="bottom"/>
            <w:gridSpan w:val="2"/>
            <w:vMerge w:val="restart"/>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6"/>
              </w:rPr>
              <w:t>Common Equity</w:t>
            </w:r>
          </w:p>
        </w:tc>
        <w:tc>
          <w:tcPr>
            <w:tcW w:w="19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520" w:type="dxa"/>
            <w:vAlign w:val="bottom"/>
            <w:shd w:val="clear" w:color="auto" w:fill="CCEEFF"/>
          </w:tcPr>
          <w:p>
            <w:pPr>
              <w:spacing w:after="0"/>
              <w:rPr>
                <w:sz w:val="5"/>
                <w:szCs w:val="5"/>
                <w:color w:val="auto"/>
              </w:rPr>
            </w:pPr>
          </w:p>
        </w:tc>
        <w:tc>
          <w:tcPr>
            <w:tcW w:w="2500" w:type="dxa"/>
            <w:vAlign w:val="bottom"/>
            <w:shd w:val="clear" w:color="auto" w:fill="CCEEFF"/>
          </w:tcPr>
          <w:p>
            <w:pPr>
              <w:spacing w:after="0"/>
              <w:rPr>
                <w:sz w:val="5"/>
                <w:szCs w:val="5"/>
                <w:color w:val="auto"/>
              </w:rPr>
            </w:pPr>
          </w:p>
        </w:tc>
        <w:tc>
          <w:tcPr>
            <w:tcW w:w="18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80" w:type="dxa"/>
            <w:vAlign w:val="bottom"/>
            <w:gridSpan w:val="2"/>
            <w:vMerge w:val="continue"/>
            <w:shd w:val="clear" w:color="auto" w:fill="CCEEFF"/>
          </w:tcPr>
          <w:p>
            <w:pPr>
              <w:spacing w:after="0"/>
              <w:rPr>
                <w:sz w:val="5"/>
                <w:szCs w:val="5"/>
                <w:color w:val="auto"/>
              </w:rPr>
            </w:pPr>
          </w:p>
        </w:tc>
        <w:tc>
          <w:tcPr>
            <w:tcW w:w="19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1"/>
              </w:rPr>
              <w:t>Warrants</w:t>
            </w: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040" w:type="dxa"/>
            <w:vAlign w:val="bottom"/>
            <w:gridSpan w:val="3"/>
          </w:tcPr>
          <w:p>
            <w:pPr>
              <w:spacing w:after="0"/>
              <w:rPr>
                <w:sz w:val="20"/>
                <w:szCs w:val="20"/>
                <w:color w:val="auto"/>
              </w:rPr>
            </w:pPr>
            <w:r>
              <w:rPr>
                <w:rFonts w:ascii="Arial" w:cs="Arial" w:eastAsia="Arial" w:hAnsi="Arial"/>
                <w:sz w:val="14"/>
                <w:szCs w:val="14"/>
                <w:color w:val="auto"/>
              </w:rPr>
              <w:t>Galls, LLC; Quartermaster, Inc.</w:t>
            </w:r>
          </w:p>
        </w:tc>
        <w:tc>
          <w:tcPr>
            <w:tcW w:w="196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Distribution</w:t>
            </w:r>
          </w:p>
        </w:tc>
        <w:tc>
          <w:tcPr>
            <w:tcW w:w="248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Common Equity</w:t>
            </w:r>
          </w:p>
        </w:tc>
        <w:tc>
          <w:tcPr>
            <w:tcW w:w="1940" w:type="dxa"/>
            <w:vAlign w:val="bottom"/>
          </w:tcPr>
          <w:p>
            <w:pPr>
              <w:jc w:val="center"/>
              <w:spacing w:after="0"/>
              <w:rPr>
                <w:sz w:val="20"/>
                <w:szCs w:val="20"/>
                <w:color w:val="auto"/>
              </w:rPr>
            </w:pPr>
            <w:r>
              <w:rPr>
                <w:rFonts w:ascii="Arial" w:cs="Arial" w:eastAsia="Arial" w:hAnsi="Arial"/>
                <w:sz w:val="14"/>
                <w:szCs w:val="14"/>
                <w:color w:val="auto"/>
                <w:w w:val="93"/>
              </w:rPr>
              <w:t>3.1%</w:t>
            </w: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49" w:lineRule="exact"/>
              <w:rPr>
                <w:sz w:val="20"/>
                <w:szCs w:val="20"/>
                <w:color w:val="auto"/>
              </w:rPr>
            </w:pPr>
            <w:r>
              <w:rPr>
                <w:rFonts w:ascii="Arial" w:cs="Arial" w:eastAsia="Arial" w:hAnsi="Arial"/>
                <w:sz w:val="14"/>
                <w:szCs w:val="14"/>
                <w:color w:val="auto"/>
              </w:rPr>
              <w:t>(CI (Galls) Prime Investment Holdings, LLC)</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49" w:lineRule="exact"/>
              <w:rPr>
                <w:sz w:val="20"/>
                <w:szCs w:val="20"/>
                <w:color w:val="auto"/>
              </w:rPr>
            </w:pPr>
            <w:r>
              <w:rPr>
                <w:rFonts w:ascii="Arial" w:cs="Arial" w:eastAsia="Arial" w:hAnsi="Arial"/>
                <w:sz w:val="14"/>
                <w:szCs w:val="14"/>
                <w:color w:val="auto"/>
              </w:rPr>
              <w:t>1340 Russell Cave Road</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040" w:type="dxa"/>
            <w:vAlign w:val="bottom"/>
            <w:gridSpan w:val="3"/>
          </w:tcPr>
          <w:p>
            <w:pPr>
              <w:spacing w:after="0"/>
              <w:rPr>
                <w:sz w:val="20"/>
                <w:szCs w:val="20"/>
                <w:color w:val="auto"/>
              </w:rPr>
            </w:pPr>
            <w:r>
              <w:rPr>
                <w:rFonts w:ascii="Arial" w:cs="Arial" w:eastAsia="Arial" w:hAnsi="Arial"/>
                <w:sz w:val="14"/>
                <w:szCs w:val="14"/>
                <w:color w:val="auto"/>
              </w:rPr>
              <w:t>Lexington, KY 40505</w:t>
            </w: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5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Good Sam Enterprises, LLC</w:t>
            </w:r>
          </w:p>
        </w:tc>
        <w:tc>
          <w:tcPr>
            <w:tcW w:w="196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0"/>
              </w:rPr>
              <w:t>Consumer Products</w:t>
            </w:r>
          </w:p>
        </w:tc>
        <w:tc>
          <w:tcPr>
            <w:tcW w:w="248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3"/>
              </w:rPr>
              <w:t>First Lien Secured Debt</w:t>
            </w:r>
          </w:p>
        </w:tc>
        <w:tc>
          <w:tcPr>
            <w:tcW w:w="19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250 Parkway Dr., Ste. 270</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Lincolnshire, IL 60069</w:t>
            </w: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040" w:type="dxa"/>
            <w:vAlign w:val="bottom"/>
            <w:gridSpan w:val="3"/>
          </w:tcPr>
          <w:p>
            <w:pPr>
              <w:spacing w:after="0"/>
              <w:rPr>
                <w:sz w:val="20"/>
                <w:szCs w:val="20"/>
                <w:color w:val="auto"/>
              </w:rPr>
            </w:pPr>
            <w:r>
              <w:rPr>
                <w:rFonts w:ascii="Arial" w:cs="Arial" w:eastAsia="Arial" w:hAnsi="Arial"/>
                <w:sz w:val="14"/>
                <w:szCs w:val="14"/>
                <w:color w:val="auto"/>
              </w:rPr>
              <w:t>Greatwide Logistics Services, L.L.C.</w:t>
            </w:r>
          </w:p>
        </w:tc>
        <w:tc>
          <w:tcPr>
            <w:tcW w:w="196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Cargo Transport</w:t>
            </w:r>
          </w:p>
        </w:tc>
        <w:tc>
          <w:tcPr>
            <w:tcW w:w="248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Second Lien Secured Debt</w:t>
            </w:r>
          </w:p>
        </w:tc>
        <w:tc>
          <w:tcPr>
            <w:tcW w:w="1940" w:type="dxa"/>
            <w:vAlign w:val="bottom"/>
          </w:tcPr>
          <w:p>
            <w:pPr>
              <w:jc w:val="center"/>
              <w:spacing w:after="0"/>
              <w:rPr>
                <w:sz w:val="20"/>
                <w:szCs w:val="20"/>
                <w:color w:val="auto"/>
              </w:rPr>
            </w:pPr>
            <w:r>
              <w:rPr>
                <w:rFonts w:ascii="Arial" w:cs="Arial" w:eastAsia="Arial" w:hAnsi="Arial"/>
                <w:sz w:val="14"/>
                <w:szCs w:val="14"/>
                <w:color w:val="auto"/>
                <w:w w:val="93"/>
              </w:rPr>
              <w:t>0.4%</w:t>
            </w: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49" w:lineRule="exact"/>
              <w:rPr>
                <w:sz w:val="20"/>
                <w:szCs w:val="20"/>
                <w:color w:val="auto"/>
              </w:rPr>
            </w:pPr>
            <w:r>
              <w:rPr>
                <w:rFonts w:ascii="Arial" w:cs="Arial" w:eastAsia="Arial" w:hAnsi="Arial"/>
                <w:sz w:val="14"/>
                <w:szCs w:val="14"/>
                <w:color w:val="auto"/>
              </w:rPr>
              <w:t>(Transportation 100 HoldCo, LLC)</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Common Equity</w:t>
            </w: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49" w:lineRule="exact"/>
              <w:rPr>
                <w:sz w:val="20"/>
                <w:szCs w:val="20"/>
                <w:color w:val="auto"/>
              </w:rPr>
            </w:pPr>
            <w:r>
              <w:rPr>
                <w:rFonts w:ascii="Arial" w:cs="Arial" w:eastAsia="Arial" w:hAnsi="Arial"/>
                <w:sz w:val="14"/>
                <w:szCs w:val="14"/>
                <w:color w:val="auto"/>
              </w:rPr>
              <w:t>12404 Park Central Dr., Ste. 300s</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040" w:type="dxa"/>
            <w:vAlign w:val="bottom"/>
            <w:gridSpan w:val="3"/>
          </w:tcPr>
          <w:p>
            <w:pPr>
              <w:spacing w:after="0"/>
              <w:rPr>
                <w:sz w:val="20"/>
                <w:szCs w:val="20"/>
                <w:color w:val="auto"/>
              </w:rPr>
            </w:pPr>
            <w:r>
              <w:rPr>
                <w:rFonts w:ascii="Arial" w:cs="Arial" w:eastAsia="Arial" w:hAnsi="Arial"/>
                <w:sz w:val="14"/>
                <w:szCs w:val="14"/>
                <w:color w:val="auto"/>
              </w:rPr>
              <w:t>Dallas, TX 75251</w:t>
            </w: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5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Hanley-Wood, L.L.C.</w:t>
            </w:r>
          </w:p>
        </w:tc>
        <w:tc>
          <w:tcPr>
            <w:tcW w:w="196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3"/>
              </w:rPr>
              <w:t>Other Media</w:t>
            </w:r>
          </w:p>
        </w:tc>
        <w:tc>
          <w:tcPr>
            <w:tcW w:w="248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3"/>
              </w:rPr>
              <w:t>First Lien Secured Debt</w:t>
            </w:r>
          </w:p>
        </w:tc>
        <w:tc>
          <w:tcPr>
            <w:tcW w:w="19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One Thomas Circle, NW, Ste. 600</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8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4"/>
              </w:rPr>
              <w:t>Preferred Equity</w:t>
            </w: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Washington, DC 20005</w:t>
            </w: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6"/>
              </w:rPr>
              <w:t>Common Equity</w:t>
            </w: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19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Nature of Business</w:t>
            </w:r>
          </w:p>
        </w:tc>
        <w:tc>
          <w:tcPr>
            <w:tcW w:w="24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Type of Investment</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1"/>
              </w:rPr>
              <w:t>Voting Percentage</w:t>
            </w:r>
          </w:p>
        </w:tc>
        <w:tc>
          <w:tcPr>
            <w:tcW w:w="0" w:type="dxa"/>
            <w:vAlign w:val="bottom"/>
          </w:tcPr>
          <w:p>
            <w:pPr>
              <w:spacing w:after="0"/>
              <w:rPr>
                <w:sz w:val="1"/>
                <w:szCs w:val="1"/>
                <w:color w:val="auto"/>
              </w:rPr>
            </w:pPr>
          </w:p>
        </w:tc>
      </w:tr>
      <w:tr>
        <w:trPr>
          <w:trHeight w:val="185"/>
        </w:trPr>
        <w:tc>
          <w:tcPr>
            <w:tcW w:w="5040" w:type="dxa"/>
            <w:vAlign w:val="bottom"/>
            <w:gridSpan w:val="3"/>
            <w:vMerge w:val="continue"/>
          </w:tcPr>
          <w:p>
            <w:pPr>
              <w:spacing w:after="0"/>
              <w:rPr>
                <w:sz w:val="16"/>
                <w:szCs w:val="16"/>
                <w:color w:val="auto"/>
              </w:rPr>
            </w:pPr>
          </w:p>
        </w:tc>
        <w:tc>
          <w:tcPr>
            <w:tcW w:w="1960" w:type="dxa"/>
            <w:vAlign w:val="bottom"/>
            <w:gridSpan w:val="2"/>
            <w:vMerge w:val="continue"/>
          </w:tcPr>
          <w:p>
            <w:pPr>
              <w:spacing w:after="0"/>
              <w:rPr>
                <w:sz w:val="16"/>
                <w:szCs w:val="16"/>
                <w:color w:val="auto"/>
              </w:rPr>
            </w:pPr>
          </w:p>
        </w:tc>
        <w:tc>
          <w:tcPr>
            <w:tcW w:w="2480" w:type="dxa"/>
            <w:vAlign w:val="bottom"/>
            <w:gridSpan w:val="2"/>
            <w:vMerge w:val="continue"/>
          </w:tcPr>
          <w:p>
            <w:pPr>
              <w:spacing w:after="0"/>
              <w:rPr>
                <w:sz w:val="16"/>
                <w:szCs w:val="16"/>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4"/>
              </w:rPr>
              <w:t xml:space="preserve">Ownership </w:t>
            </w:r>
            <w:r>
              <w:rPr>
                <w:rFonts w:ascii="Arial" w:cs="Arial" w:eastAsia="Arial" w:hAnsi="Arial"/>
                <w:sz w:val="12"/>
                <w:szCs w:val="12"/>
                <w:b w:val="1"/>
                <w:bCs w:val="1"/>
                <w:color w:val="auto"/>
                <w:w w:val="94"/>
              </w:rPr>
              <w:t>(1)</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2520" w:type="dxa"/>
            <w:vAlign w:val="bottom"/>
            <w:tcBorders>
              <w:top w:val="single" w:sz="8" w:color="auto"/>
            </w:tcBorders>
          </w:tcPr>
          <w:p>
            <w:pPr>
              <w:spacing w:after="0"/>
              <w:rPr>
                <w:sz w:val="7"/>
                <w:szCs w:val="7"/>
                <w:color w:val="auto"/>
              </w:rPr>
            </w:pPr>
          </w:p>
        </w:tc>
        <w:tc>
          <w:tcPr>
            <w:tcW w:w="2500" w:type="dxa"/>
            <w:vAlign w:val="bottom"/>
          </w:tcPr>
          <w:p>
            <w:pPr>
              <w:spacing w:after="0"/>
              <w:rPr>
                <w:sz w:val="7"/>
                <w:szCs w:val="7"/>
                <w:color w:val="auto"/>
              </w:rPr>
            </w:pPr>
          </w:p>
        </w:tc>
        <w:tc>
          <w:tcPr>
            <w:tcW w:w="184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3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9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5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IDQ Holdings, Inc.</w:t>
            </w:r>
          </w:p>
        </w:tc>
        <w:tc>
          <w:tcPr>
            <w:tcW w:w="196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2"/>
              </w:rPr>
              <w:t>Auto Sector</w:t>
            </w:r>
          </w:p>
        </w:tc>
        <w:tc>
          <w:tcPr>
            <w:tcW w:w="248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3"/>
              </w:rPr>
              <w:t>First Lien Secured Debt</w:t>
            </w:r>
          </w:p>
        </w:tc>
        <w:tc>
          <w:tcPr>
            <w:tcW w:w="19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2901 West Kingsley Road</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Garland, TX 75041</w:t>
            </w: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040" w:type="dxa"/>
            <w:vAlign w:val="bottom"/>
            <w:gridSpan w:val="3"/>
          </w:tcPr>
          <w:p>
            <w:pPr>
              <w:spacing w:after="0"/>
              <w:rPr>
                <w:sz w:val="20"/>
                <w:szCs w:val="20"/>
                <w:color w:val="auto"/>
              </w:rPr>
            </w:pPr>
            <w:r>
              <w:rPr>
                <w:rFonts w:ascii="Arial" w:cs="Arial" w:eastAsia="Arial" w:hAnsi="Arial"/>
                <w:sz w:val="14"/>
                <w:szCs w:val="14"/>
                <w:color w:val="auto"/>
              </w:rPr>
              <w:t>ILC Industries, LLC</w:t>
            </w:r>
          </w:p>
        </w:tc>
        <w:tc>
          <w:tcPr>
            <w:tcW w:w="196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Electronics</w:t>
            </w:r>
          </w:p>
        </w:tc>
        <w:tc>
          <w:tcPr>
            <w:tcW w:w="248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Second Lien Secured Debt</w:t>
            </w:r>
          </w:p>
        </w:tc>
        <w:tc>
          <w:tcPr>
            <w:tcW w:w="19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49" w:lineRule="exact"/>
              <w:rPr>
                <w:sz w:val="20"/>
                <w:szCs w:val="20"/>
                <w:color w:val="auto"/>
              </w:rPr>
            </w:pPr>
            <w:r>
              <w:rPr>
                <w:rFonts w:ascii="Arial" w:cs="Arial" w:eastAsia="Arial" w:hAnsi="Arial"/>
                <w:sz w:val="14"/>
                <w:szCs w:val="14"/>
                <w:color w:val="auto"/>
              </w:rPr>
              <w:t>c/o ILC Holdings Inc.</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49" w:lineRule="exact"/>
              <w:rPr>
                <w:sz w:val="20"/>
                <w:szCs w:val="20"/>
                <w:color w:val="auto"/>
              </w:rPr>
            </w:pPr>
            <w:r>
              <w:rPr>
                <w:rFonts w:ascii="Arial" w:cs="Arial" w:eastAsia="Arial" w:hAnsi="Arial"/>
                <w:sz w:val="14"/>
                <w:szCs w:val="14"/>
                <w:color w:val="auto"/>
              </w:rPr>
              <w:t>1 Maritime Plaza, Ste. 1555</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040" w:type="dxa"/>
            <w:vAlign w:val="bottom"/>
            <w:gridSpan w:val="3"/>
          </w:tcPr>
          <w:p>
            <w:pPr>
              <w:spacing w:after="0"/>
              <w:rPr>
                <w:sz w:val="20"/>
                <w:szCs w:val="20"/>
                <w:color w:val="auto"/>
              </w:rPr>
            </w:pPr>
            <w:r>
              <w:rPr>
                <w:rFonts w:ascii="Arial" w:cs="Arial" w:eastAsia="Arial" w:hAnsi="Arial"/>
                <w:sz w:val="14"/>
                <w:szCs w:val="14"/>
                <w:color w:val="auto"/>
              </w:rPr>
              <w:t>San Francisco, CA 94111</w:t>
            </w: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5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Infusystems Holdings, Inc.</w:t>
            </w:r>
          </w:p>
        </w:tc>
        <w:tc>
          <w:tcPr>
            <w:tcW w:w="196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2"/>
              </w:rPr>
              <w:t>Healthcare, Education</w:t>
            </w:r>
          </w:p>
        </w:tc>
        <w:tc>
          <w:tcPr>
            <w:tcW w:w="248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3"/>
              </w:rPr>
              <w:t>First Lien Secured Debt</w:t>
            </w:r>
          </w:p>
        </w:tc>
        <w:tc>
          <w:tcPr>
            <w:tcW w:w="19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31700 Research Park Drive</w:t>
            </w:r>
          </w:p>
        </w:tc>
        <w:tc>
          <w:tcPr>
            <w:tcW w:w="196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2"/>
              </w:rPr>
              <w:t>and Childcare</w:t>
            </w:r>
          </w:p>
        </w:tc>
        <w:tc>
          <w:tcPr>
            <w:tcW w:w="2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Madison Heights, MI 48071</w:t>
            </w: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040" w:type="dxa"/>
            <w:vAlign w:val="bottom"/>
            <w:gridSpan w:val="3"/>
          </w:tcPr>
          <w:p>
            <w:pPr>
              <w:spacing w:after="0"/>
              <w:rPr>
                <w:sz w:val="20"/>
                <w:szCs w:val="20"/>
                <w:color w:val="auto"/>
              </w:rPr>
            </w:pPr>
            <w:r>
              <w:rPr>
                <w:rFonts w:ascii="Arial" w:cs="Arial" w:eastAsia="Arial" w:hAnsi="Arial"/>
                <w:sz w:val="14"/>
                <w:szCs w:val="14"/>
                <w:color w:val="auto"/>
              </w:rPr>
              <w:t>Instant Web, Inc.</w:t>
            </w:r>
          </w:p>
        </w:tc>
        <w:tc>
          <w:tcPr>
            <w:tcW w:w="196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Printing and Publishing</w:t>
            </w:r>
          </w:p>
        </w:tc>
        <w:tc>
          <w:tcPr>
            <w:tcW w:w="248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First Lien Secured Debt</w:t>
            </w:r>
          </w:p>
        </w:tc>
        <w:tc>
          <w:tcPr>
            <w:tcW w:w="19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49" w:lineRule="exact"/>
              <w:rPr>
                <w:sz w:val="20"/>
                <w:szCs w:val="20"/>
                <w:color w:val="auto"/>
              </w:rPr>
            </w:pPr>
            <w:r>
              <w:rPr>
                <w:rFonts w:ascii="Arial" w:cs="Arial" w:eastAsia="Arial" w:hAnsi="Arial"/>
                <w:sz w:val="14"/>
                <w:szCs w:val="14"/>
                <w:color w:val="auto"/>
              </w:rPr>
              <w:t>7951 Powers Boulevard</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040" w:type="dxa"/>
            <w:vAlign w:val="bottom"/>
            <w:gridSpan w:val="3"/>
          </w:tcPr>
          <w:p>
            <w:pPr>
              <w:spacing w:after="0"/>
              <w:rPr>
                <w:sz w:val="20"/>
                <w:szCs w:val="20"/>
                <w:color w:val="auto"/>
              </w:rPr>
            </w:pPr>
            <w:r>
              <w:rPr>
                <w:rFonts w:ascii="Arial" w:cs="Arial" w:eastAsia="Arial" w:hAnsi="Arial"/>
                <w:sz w:val="14"/>
                <w:szCs w:val="14"/>
                <w:color w:val="auto"/>
              </w:rPr>
              <w:t>Chanhassen, MN 55317</w:t>
            </w: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5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Interactive Health Solutions, Inc.</w:t>
            </w:r>
          </w:p>
        </w:tc>
        <w:tc>
          <w:tcPr>
            <w:tcW w:w="196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2"/>
              </w:rPr>
              <w:t>Healthcare, Education and</w:t>
            </w:r>
          </w:p>
        </w:tc>
        <w:tc>
          <w:tcPr>
            <w:tcW w:w="248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3"/>
              </w:rPr>
              <w:t>First Lien Secured Debt</w:t>
            </w:r>
          </w:p>
        </w:tc>
        <w:tc>
          <w:tcPr>
            <w:tcW w:w="19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2"/>
              </w:rPr>
              <w:t>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3800 North Wilke Road, Ste. 155</w:t>
            </w:r>
          </w:p>
        </w:tc>
        <w:tc>
          <w:tcPr>
            <w:tcW w:w="196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4"/>
              </w:rPr>
              <w:t>Childcare</w:t>
            </w:r>
          </w:p>
        </w:tc>
        <w:tc>
          <w:tcPr>
            <w:tcW w:w="248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4"/>
              </w:rPr>
              <w:t>Preferred Equity</w:t>
            </w: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Arlington Heights, IL 60004</w:t>
            </w: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6"/>
              </w:rPr>
              <w:t>Common Equity</w:t>
            </w: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040" w:type="dxa"/>
            <w:vAlign w:val="bottom"/>
            <w:gridSpan w:val="3"/>
          </w:tcPr>
          <w:p>
            <w:pPr>
              <w:spacing w:after="0"/>
              <w:rPr>
                <w:sz w:val="20"/>
                <w:szCs w:val="20"/>
                <w:color w:val="auto"/>
              </w:rPr>
            </w:pPr>
            <w:r>
              <w:rPr>
                <w:rFonts w:ascii="Arial" w:cs="Arial" w:eastAsia="Arial" w:hAnsi="Arial"/>
                <w:sz w:val="14"/>
                <w:szCs w:val="14"/>
                <w:color w:val="auto"/>
              </w:rPr>
              <w:t>Jackson Hewitt Tax Services Inc.</w:t>
            </w:r>
          </w:p>
        </w:tc>
        <w:tc>
          <w:tcPr>
            <w:tcW w:w="196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Personal, Food and</w:t>
            </w:r>
          </w:p>
        </w:tc>
        <w:tc>
          <w:tcPr>
            <w:tcW w:w="248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First Lien Secured Debt</w:t>
            </w:r>
          </w:p>
        </w:tc>
        <w:tc>
          <w:tcPr>
            <w:tcW w:w="19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49" w:lineRule="exact"/>
              <w:rPr>
                <w:sz w:val="20"/>
                <w:szCs w:val="20"/>
                <w:color w:val="auto"/>
              </w:rPr>
            </w:pPr>
            <w:r>
              <w:rPr>
                <w:rFonts w:ascii="Arial" w:cs="Arial" w:eastAsia="Arial" w:hAnsi="Arial"/>
                <w:sz w:val="14"/>
                <w:szCs w:val="14"/>
                <w:color w:val="auto"/>
              </w:rPr>
              <w:t>3 Sylvan Way, Ste. 301</w:t>
            </w:r>
          </w:p>
        </w:tc>
        <w:tc>
          <w:tcPr>
            <w:tcW w:w="19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2"/>
              </w:rPr>
              <w:t>Miscelleneous Services</w:t>
            </w: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040" w:type="dxa"/>
            <w:vAlign w:val="bottom"/>
            <w:gridSpan w:val="3"/>
          </w:tcPr>
          <w:p>
            <w:pPr>
              <w:spacing w:after="0"/>
              <w:rPr>
                <w:sz w:val="20"/>
                <w:szCs w:val="20"/>
                <w:color w:val="auto"/>
              </w:rPr>
            </w:pPr>
            <w:r>
              <w:rPr>
                <w:rFonts w:ascii="Arial" w:cs="Arial" w:eastAsia="Arial" w:hAnsi="Arial"/>
                <w:sz w:val="14"/>
                <w:szCs w:val="14"/>
                <w:color w:val="auto"/>
              </w:rPr>
              <w:t>Parsippany, NJ 07054</w:t>
            </w: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5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Jacobs Entertainment, Inc.</w:t>
            </w:r>
          </w:p>
        </w:tc>
        <w:tc>
          <w:tcPr>
            <w:tcW w:w="196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4"/>
              </w:rPr>
              <w:t>Hotels, Motels, Inns</w:t>
            </w:r>
          </w:p>
        </w:tc>
        <w:tc>
          <w:tcPr>
            <w:tcW w:w="248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2"/>
              </w:rPr>
              <w:t>Second Lien Secured Debt</w:t>
            </w:r>
          </w:p>
        </w:tc>
        <w:tc>
          <w:tcPr>
            <w:tcW w:w="19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17301 W. Colfax Ave., Ste. 250</w:t>
            </w:r>
          </w:p>
        </w:tc>
        <w:tc>
          <w:tcPr>
            <w:tcW w:w="196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1"/>
              </w:rPr>
              <w:t>and Gaming</w:t>
            </w:r>
          </w:p>
        </w:tc>
        <w:tc>
          <w:tcPr>
            <w:tcW w:w="2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Golden, CO 80401</w:t>
            </w: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040" w:type="dxa"/>
            <w:vAlign w:val="bottom"/>
            <w:gridSpan w:val="3"/>
          </w:tcPr>
          <w:p>
            <w:pPr>
              <w:spacing w:after="0"/>
              <w:rPr>
                <w:sz w:val="20"/>
                <w:szCs w:val="20"/>
                <w:color w:val="auto"/>
              </w:rPr>
            </w:pPr>
            <w:r>
              <w:rPr>
                <w:rFonts w:ascii="Arial" w:cs="Arial" w:eastAsia="Arial" w:hAnsi="Arial"/>
                <w:sz w:val="14"/>
                <w:szCs w:val="14"/>
                <w:color w:val="auto"/>
              </w:rPr>
              <w:t>JF Acquisition, LLC</w:t>
            </w:r>
          </w:p>
        </w:tc>
        <w:tc>
          <w:tcPr>
            <w:tcW w:w="196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Distribution</w:t>
            </w:r>
          </w:p>
        </w:tc>
        <w:tc>
          <w:tcPr>
            <w:tcW w:w="248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Subordinated Debt</w:t>
            </w:r>
          </w:p>
        </w:tc>
        <w:tc>
          <w:tcPr>
            <w:tcW w:w="1940" w:type="dxa"/>
            <w:vAlign w:val="bottom"/>
          </w:tcPr>
          <w:p>
            <w:pPr>
              <w:jc w:val="center"/>
              <w:spacing w:after="0"/>
              <w:rPr>
                <w:sz w:val="20"/>
                <w:szCs w:val="20"/>
                <w:color w:val="auto"/>
              </w:rPr>
            </w:pPr>
            <w:r>
              <w:rPr>
                <w:rFonts w:ascii="Arial" w:cs="Arial" w:eastAsia="Arial" w:hAnsi="Arial"/>
                <w:sz w:val="14"/>
                <w:szCs w:val="14"/>
                <w:color w:val="auto"/>
                <w:w w:val="93"/>
              </w:rPr>
              <w:t>2.5%</w:t>
            </w: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49" w:lineRule="exact"/>
              <w:rPr>
                <w:sz w:val="20"/>
                <w:szCs w:val="20"/>
                <w:color w:val="auto"/>
              </w:rPr>
            </w:pPr>
            <w:r>
              <w:rPr>
                <w:rFonts w:ascii="Arial" w:cs="Arial" w:eastAsia="Arial" w:hAnsi="Arial"/>
                <w:sz w:val="14"/>
                <w:szCs w:val="14"/>
                <w:color w:val="auto"/>
              </w:rPr>
              <w:t>1330 St. Mary’s Street, Ste. 210</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Common Equity</w:t>
            </w: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040" w:type="dxa"/>
            <w:vAlign w:val="bottom"/>
            <w:gridSpan w:val="3"/>
          </w:tcPr>
          <w:p>
            <w:pPr>
              <w:spacing w:after="0"/>
              <w:rPr>
                <w:sz w:val="20"/>
                <w:szCs w:val="20"/>
                <w:color w:val="auto"/>
              </w:rPr>
            </w:pPr>
            <w:r>
              <w:rPr>
                <w:rFonts w:ascii="Arial" w:cs="Arial" w:eastAsia="Arial" w:hAnsi="Arial"/>
                <w:sz w:val="14"/>
                <w:szCs w:val="14"/>
                <w:color w:val="auto"/>
              </w:rPr>
              <w:t>Raleigh, NC 27605</w:t>
            </w: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5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Kadmon Pharmaceuticals, LLC</w:t>
            </w:r>
          </w:p>
        </w:tc>
        <w:tc>
          <w:tcPr>
            <w:tcW w:w="196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2"/>
              </w:rPr>
              <w:t>Healthcare, Education</w:t>
            </w:r>
          </w:p>
        </w:tc>
        <w:tc>
          <w:tcPr>
            <w:tcW w:w="248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6"/>
              </w:rPr>
              <w:t>Common Equity</w:t>
            </w:r>
          </w:p>
        </w:tc>
        <w:tc>
          <w:tcPr>
            <w:tcW w:w="19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(Kadmon Holdings, LLC)</w:t>
            </w:r>
          </w:p>
        </w:tc>
        <w:tc>
          <w:tcPr>
            <w:tcW w:w="196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2"/>
              </w:rPr>
              <w:t>and Childcare</w:t>
            </w:r>
          </w:p>
        </w:tc>
        <w:tc>
          <w:tcPr>
            <w:tcW w:w="2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Alexandria Center for Life Sciences</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450 East 29</w:t>
            </w:r>
            <w:r>
              <w:rPr>
                <w:rFonts w:ascii="Arial" w:cs="Arial" w:eastAsia="Arial" w:hAnsi="Arial"/>
                <w:sz w:val="12"/>
                <w:szCs w:val="12"/>
                <w:color w:val="auto"/>
              </w:rPr>
              <w:t>th</w:t>
            </w:r>
            <w:r>
              <w:rPr>
                <w:rFonts w:ascii="Arial" w:cs="Arial" w:eastAsia="Arial" w:hAnsi="Arial"/>
                <w:sz w:val="14"/>
                <w:szCs w:val="14"/>
                <w:color w:val="auto"/>
              </w:rPr>
              <w:t xml:space="preserve"> Street, 5</w:t>
            </w:r>
            <w:r>
              <w:rPr>
                <w:rFonts w:ascii="Arial" w:cs="Arial" w:eastAsia="Arial" w:hAnsi="Arial"/>
                <w:sz w:val="12"/>
                <w:szCs w:val="12"/>
                <w:color w:val="auto"/>
              </w:rPr>
              <w:t>th</w:t>
            </w:r>
            <w:r>
              <w:rPr>
                <w:rFonts w:ascii="Arial" w:cs="Arial" w:eastAsia="Arial" w:hAnsi="Arial"/>
                <w:sz w:val="14"/>
                <w:szCs w:val="14"/>
                <w:color w:val="auto"/>
              </w:rPr>
              <w:t xml:space="preserve"> Floor</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York, NY 10016</w:t>
            </w: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040" w:type="dxa"/>
            <w:vAlign w:val="bottom"/>
            <w:gridSpan w:val="3"/>
          </w:tcPr>
          <w:p>
            <w:pPr>
              <w:spacing w:after="0"/>
              <w:rPr>
                <w:sz w:val="20"/>
                <w:szCs w:val="20"/>
                <w:color w:val="auto"/>
              </w:rPr>
            </w:pPr>
            <w:r>
              <w:rPr>
                <w:rFonts w:ascii="Arial" w:cs="Arial" w:eastAsia="Arial" w:hAnsi="Arial"/>
                <w:sz w:val="14"/>
                <w:szCs w:val="14"/>
                <w:color w:val="auto"/>
              </w:rPr>
              <w:t>K2 Pure Solutions NoCal, L.P.</w:t>
            </w:r>
          </w:p>
        </w:tc>
        <w:tc>
          <w:tcPr>
            <w:tcW w:w="19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Chemicals, Plastics</w:t>
            </w:r>
          </w:p>
        </w:tc>
        <w:tc>
          <w:tcPr>
            <w:tcW w:w="248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First Lien Secured Debt</w:t>
            </w:r>
          </w:p>
        </w:tc>
        <w:tc>
          <w:tcPr>
            <w:tcW w:w="19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49" w:lineRule="exact"/>
              <w:rPr>
                <w:sz w:val="20"/>
                <w:szCs w:val="20"/>
                <w:color w:val="auto"/>
              </w:rPr>
            </w:pPr>
            <w:r>
              <w:rPr>
                <w:rFonts w:ascii="Arial" w:cs="Arial" w:eastAsia="Arial" w:hAnsi="Arial"/>
                <w:sz w:val="14"/>
                <w:szCs w:val="14"/>
                <w:color w:val="auto"/>
              </w:rPr>
              <w:t>3515 Massillion Road, Ste. 290</w:t>
            </w:r>
          </w:p>
        </w:tc>
        <w:tc>
          <w:tcPr>
            <w:tcW w:w="19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0"/>
              </w:rPr>
              <w:t>and Rubber</w:t>
            </w: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040" w:type="dxa"/>
            <w:vAlign w:val="bottom"/>
            <w:gridSpan w:val="3"/>
          </w:tcPr>
          <w:p>
            <w:pPr>
              <w:spacing w:after="0"/>
              <w:rPr>
                <w:sz w:val="20"/>
                <w:szCs w:val="20"/>
                <w:color w:val="auto"/>
              </w:rPr>
            </w:pPr>
            <w:r>
              <w:rPr>
                <w:rFonts w:ascii="Arial" w:cs="Arial" w:eastAsia="Arial" w:hAnsi="Arial"/>
                <w:sz w:val="14"/>
                <w:szCs w:val="14"/>
                <w:color w:val="auto"/>
              </w:rPr>
              <w:t>Uniontown, OH 44685</w:t>
            </w: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5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Language Line, LLC</w:t>
            </w:r>
          </w:p>
        </w:tc>
        <w:tc>
          <w:tcPr>
            <w:tcW w:w="196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89"/>
              </w:rPr>
              <w:t>Personal, Food and</w:t>
            </w:r>
          </w:p>
        </w:tc>
        <w:tc>
          <w:tcPr>
            <w:tcW w:w="248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2"/>
              </w:rPr>
              <w:t>Second Lien Secured Debt</w:t>
            </w:r>
          </w:p>
        </w:tc>
        <w:tc>
          <w:tcPr>
            <w:tcW w:w="19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One Lower Ragsdale Drive</w:t>
            </w:r>
          </w:p>
        </w:tc>
        <w:tc>
          <w:tcPr>
            <w:tcW w:w="196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2"/>
              </w:rPr>
              <w:t>Miscelleneous Services</w:t>
            </w:r>
          </w:p>
        </w:tc>
        <w:tc>
          <w:tcPr>
            <w:tcW w:w="2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Building 2, Ste. 400</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Monterey, CA 93940</w:t>
            </w: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040" w:type="dxa"/>
            <w:vAlign w:val="bottom"/>
            <w:gridSpan w:val="3"/>
          </w:tcPr>
          <w:p>
            <w:pPr>
              <w:spacing w:after="0"/>
              <w:rPr>
                <w:sz w:val="20"/>
                <w:szCs w:val="20"/>
                <w:color w:val="auto"/>
              </w:rPr>
            </w:pPr>
            <w:r>
              <w:rPr>
                <w:rFonts w:ascii="Arial" w:cs="Arial" w:eastAsia="Arial" w:hAnsi="Arial"/>
                <w:sz w:val="14"/>
                <w:szCs w:val="14"/>
                <w:color w:val="auto"/>
              </w:rPr>
              <w:t>Learning Care Group (US) No. 2 Inc.</w:t>
            </w:r>
          </w:p>
        </w:tc>
        <w:tc>
          <w:tcPr>
            <w:tcW w:w="196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Education</w:t>
            </w:r>
          </w:p>
        </w:tc>
        <w:tc>
          <w:tcPr>
            <w:tcW w:w="248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Subordinated Debt</w:t>
            </w:r>
          </w:p>
        </w:tc>
        <w:tc>
          <w:tcPr>
            <w:tcW w:w="19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49" w:lineRule="exact"/>
              <w:rPr>
                <w:sz w:val="20"/>
                <w:szCs w:val="20"/>
                <w:color w:val="auto"/>
              </w:rPr>
            </w:pPr>
            <w:r>
              <w:rPr>
                <w:rFonts w:ascii="Arial" w:cs="Arial" w:eastAsia="Arial" w:hAnsi="Arial"/>
                <w:sz w:val="14"/>
                <w:szCs w:val="14"/>
                <w:color w:val="auto"/>
              </w:rPr>
              <w:t>(Learning Care Group (US), Inc.)</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1"/>
              </w:rPr>
              <w:t>Warrants</w:t>
            </w: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49" w:lineRule="exact"/>
              <w:rPr>
                <w:sz w:val="20"/>
                <w:szCs w:val="20"/>
                <w:color w:val="auto"/>
              </w:rPr>
            </w:pPr>
            <w:r>
              <w:rPr>
                <w:rFonts w:ascii="Arial" w:cs="Arial" w:eastAsia="Arial" w:hAnsi="Arial"/>
                <w:sz w:val="14"/>
                <w:szCs w:val="14"/>
                <w:color w:val="auto"/>
              </w:rPr>
              <w:t>21333 Haggerty Road, Ste. 300</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040" w:type="dxa"/>
            <w:vAlign w:val="bottom"/>
            <w:gridSpan w:val="3"/>
          </w:tcPr>
          <w:p>
            <w:pPr>
              <w:spacing w:after="0"/>
              <w:rPr>
                <w:sz w:val="20"/>
                <w:szCs w:val="20"/>
                <w:color w:val="auto"/>
              </w:rPr>
            </w:pPr>
            <w:r>
              <w:rPr>
                <w:rFonts w:ascii="Arial" w:cs="Arial" w:eastAsia="Arial" w:hAnsi="Arial"/>
                <w:sz w:val="14"/>
                <w:szCs w:val="14"/>
                <w:color w:val="auto"/>
              </w:rPr>
              <w:t>Novi, MI 48375</w:t>
            </w: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5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LINC USA GP and LINC Energy Finance (USA), Inc.</w:t>
            </w:r>
          </w:p>
        </w:tc>
        <w:tc>
          <w:tcPr>
            <w:tcW w:w="1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1000 Louisiana Street, Ste. 1500</w:t>
            </w:r>
          </w:p>
        </w:tc>
        <w:tc>
          <w:tcPr>
            <w:tcW w:w="196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color w:val="auto"/>
                <w:w w:val="91"/>
              </w:rPr>
              <w:t>Oil and Gas</w:t>
            </w:r>
          </w:p>
        </w:tc>
        <w:tc>
          <w:tcPr>
            <w:tcW w:w="248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w w:val="92"/>
              </w:rPr>
              <w:t>Second Lien Secured Debt</w:t>
            </w:r>
          </w:p>
        </w:tc>
        <w:tc>
          <w:tcPr>
            <w:tcW w:w="19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5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Houston, TX 77002</w:t>
            </w:r>
          </w:p>
        </w:tc>
        <w:tc>
          <w:tcPr>
            <w:tcW w:w="1960" w:type="dxa"/>
            <w:vAlign w:val="bottom"/>
            <w:tcBorders>
              <w:bottom w:val="single" w:sz="8" w:color="CCEEFF"/>
            </w:tcBorders>
            <w:gridSpan w:val="2"/>
            <w:vMerge w:val="continue"/>
            <w:shd w:val="clear" w:color="auto" w:fill="CCEEFF"/>
          </w:tcPr>
          <w:p>
            <w:pPr>
              <w:spacing w:after="0"/>
              <w:rPr>
                <w:sz w:val="13"/>
                <w:szCs w:val="13"/>
                <w:color w:val="auto"/>
              </w:rPr>
            </w:pPr>
          </w:p>
        </w:tc>
        <w:tc>
          <w:tcPr>
            <w:tcW w:w="2480" w:type="dxa"/>
            <w:vAlign w:val="bottom"/>
            <w:tcBorders>
              <w:bottom w:val="single" w:sz="8" w:color="CCEEFF"/>
            </w:tcBorders>
            <w:gridSpan w:val="2"/>
            <w:vMerge w:val="continue"/>
            <w:shd w:val="clear" w:color="auto" w:fill="CCEEFF"/>
          </w:tcPr>
          <w:p>
            <w:pPr>
              <w:spacing w:after="0"/>
              <w:rPr>
                <w:sz w:val="13"/>
                <w:szCs w:val="13"/>
                <w:color w:val="auto"/>
              </w:rPr>
            </w:pPr>
          </w:p>
        </w:tc>
        <w:tc>
          <w:tcPr>
            <w:tcW w:w="1940" w:type="dxa"/>
            <w:vAlign w:val="bottom"/>
            <w:tcBorders>
              <w:bottom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5040" w:type="dxa"/>
            <w:vAlign w:val="bottom"/>
            <w:gridSpan w:val="3"/>
          </w:tcPr>
          <w:p>
            <w:pPr>
              <w:spacing w:after="0"/>
              <w:rPr>
                <w:sz w:val="20"/>
                <w:szCs w:val="20"/>
                <w:color w:val="auto"/>
              </w:rPr>
            </w:pPr>
            <w:r>
              <w:rPr>
                <w:rFonts w:ascii="Arial" w:cs="Arial" w:eastAsia="Arial" w:hAnsi="Arial"/>
                <w:sz w:val="14"/>
                <w:szCs w:val="14"/>
                <w:color w:val="auto"/>
              </w:rPr>
              <w:t>LTI Flexible Products, Inc.</w:t>
            </w:r>
          </w:p>
        </w:tc>
        <w:tc>
          <w:tcPr>
            <w:tcW w:w="196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Chemical, Plastic</w:t>
            </w:r>
          </w:p>
        </w:tc>
        <w:tc>
          <w:tcPr>
            <w:tcW w:w="248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Subordinated Debt</w:t>
            </w:r>
          </w:p>
        </w:tc>
        <w:tc>
          <w:tcPr>
            <w:tcW w:w="1940" w:type="dxa"/>
            <w:vAlign w:val="bottom"/>
          </w:tcPr>
          <w:p>
            <w:pPr>
              <w:jc w:val="center"/>
              <w:spacing w:after="0"/>
              <w:rPr>
                <w:sz w:val="20"/>
                <w:szCs w:val="20"/>
                <w:color w:val="auto"/>
              </w:rPr>
            </w:pPr>
            <w:r>
              <w:rPr>
                <w:rFonts w:ascii="Arial" w:cs="Arial" w:eastAsia="Arial" w:hAnsi="Arial"/>
                <w:sz w:val="14"/>
                <w:szCs w:val="14"/>
                <w:color w:val="auto"/>
                <w:w w:val="92"/>
              </w:rPr>
              <w:t>2.8</w:t>
            </w: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49" w:lineRule="exact"/>
              <w:rPr>
                <w:sz w:val="20"/>
                <w:szCs w:val="20"/>
                <w:color w:val="auto"/>
              </w:rPr>
            </w:pPr>
            <w:r>
              <w:rPr>
                <w:rFonts w:ascii="Arial" w:cs="Arial" w:eastAsia="Arial" w:hAnsi="Arial"/>
                <w:sz w:val="14"/>
                <w:szCs w:val="14"/>
                <w:color w:val="auto"/>
              </w:rPr>
              <w:t>600 S. McClure Road,</w:t>
            </w:r>
          </w:p>
        </w:tc>
        <w:tc>
          <w:tcPr>
            <w:tcW w:w="19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0"/>
              </w:rPr>
              <w:t>and Rubber</w:t>
            </w:r>
          </w:p>
        </w:tc>
        <w:tc>
          <w:tcPr>
            <w:tcW w:w="24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Common Equity</w:t>
            </w: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040" w:type="dxa"/>
            <w:vAlign w:val="bottom"/>
            <w:gridSpan w:val="3"/>
          </w:tcPr>
          <w:p>
            <w:pPr>
              <w:spacing w:after="0"/>
              <w:rPr>
                <w:sz w:val="20"/>
                <w:szCs w:val="20"/>
                <w:color w:val="auto"/>
              </w:rPr>
            </w:pPr>
            <w:r>
              <w:rPr>
                <w:rFonts w:ascii="Arial" w:cs="Arial" w:eastAsia="Arial" w:hAnsi="Arial"/>
                <w:sz w:val="14"/>
                <w:szCs w:val="14"/>
                <w:color w:val="auto"/>
              </w:rPr>
              <w:t>Stanislaus County, CA 95357</w:t>
            </w: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5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MSpark, Inc. (f/k/a MailSouth, Inc.)</w:t>
            </w:r>
          </w:p>
        </w:tc>
        <w:tc>
          <w:tcPr>
            <w:tcW w:w="196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4"/>
              </w:rPr>
              <w:t>Printing and Publishing</w:t>
            </w:r>
          </w:p>
        </w:tc>
        <w:tc>
          <w:tcPr>
            <w:tcW w:w="248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2"/>
              </w:rPr>
              <w:t>Subordinated Debt</w:t>
            </w:r>
          </w:p>
        </w:tc>
        <w:tc>
          <w:tcPr>
            <w:tcW w:w="19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5901 Highway 52 East</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Helena, AL 35080</w:t>
            </w: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19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Nature of Business</w:t>
            </w:r>
          </w:p>
        </w:tc>
        <w:tc>
          <w:tcPr>
            <w:tcW w:w="24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Type of Investment</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1"/>
              </w:rPr>
              <w:t>Voting Percentage</w:t>
            </w:r>
          </w:p>
        </w:tc>
        <w:tc>
          <w:tcPr>
            <w:tcW w:w="0" w:type="dxa"/>
            <w:vAlign w:val="bottom"/>
          </w:tcPr>
          <w:p>
            <w:pPr>
              <w:spacing w:after="0"/>
              <w:rPr>
                <w:sz w:val="1"/>
                <w:szCs w:val="1"/>
                <w:color w:val="auto"/>
              </w:rPr>
            </w:pPr>
          </w:p>
        </w:tc>
      </w:tr>
      <w:tr>
        <w:trPr>
          <w:trHeight w:val="185"/>
        </w:trPr>
        <w:tc>
          <w:tcPr>
            <w:tcW w:w="5040" w:type="dxa"/>
            <w:vAlign w:val="bottom"/>
            <w:gridSpan w:val="3"/>
            <w:vMerge w:val="continue"/>
          </w:tcPr>
          <w:p>
            <w:pPr>
              <w:spacing w:after="0"/>
              <w:rPr>
                <w:sz w:val="16"/>
                <w:szCs w:val="16"/>
                <w:color w:val="auto"/>
              </w:rPr>
            </w:pPr>
          </w:p>
        </w:tc>
        <w:tc>
          <w:tcPr>
            <w:tcW w:w="1960" w:type="dxa"/>
            <w:vAlign w:val="bottom"/>
            <w:gridSpan w:val="2"/>
            <w:vMerge w:val="continue"/>
          </w:tcPr>
          <w:p>
            <w:pPr>
              <w:spacing w:after="0"/>
              <w:rPr>
                <w:sz w:val="16"/>
                <w:szCs w:val="16"/>
                <w:color w:val="auto"/>
              </w:rPr>
            </w:pPr>
          </w:p>
        </w:tc>
        <w:tc>
          <w:tcPr>
            <w:tcW w:w="2480" w:type="dxa"/>
            <w:vAlign w:val="bottom"/>
            <w:gridSpan w:val="2"/>
            <w:vMerge w:val="continue"/>
          </w:tcPr>
          <w:p>
            <w:pPr>
              <w:spacing w:after="0"/>
              <w:rPr>
                <w:sz w:val="16"/>
                <w:szCs w:val="16"/>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4"/>
              </w:rPr>
              <w:t xml:space="preserve">Ownership </w:t>
            </w:r>
            <w:r>
              <w:rPr>
                <w:rFonts w:ascii="Arial" w:cs="Arial" w:eastAsia="Arial" w:hAnsi="Arial"/>
                <w:sz w:val="12"/>
                <w:szCs w:val="12"/>
                <w:b w:val="1"/>
                <w:bCs w:val="1"/>
                <w:color w:val="auto"/>
                <w:w w:val="94"/>
              </w:rPr>
              <w:t>(1)</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2520" w:type="dxa"/>
            <w:vAlign w:val="bottom"/>
            <w:tcBorders>
              <w:top w:val="single" w:sz="8" w:color="auto"/>
            </w:tcBorders>
          </w:tcPr>
          <w:p>
            <w:pPr>
              <w:spacing w:after="0"/>
              <w:rPr>
                <w:sz w:val="7"/>
                <w:szCs w:val="7"/>
                <w:color w:val="auto"/>
              </w:rPr>
            </w:pPr>
          </w:p>
        </w:tc>
        <w:tc>
          <w:tcPr>
            <w:tcW w:w="2500" w:type="dxa"/>
            <w:vAlign w:val="bottom"/>
          </w:tcPr>
          <w:p>
            <w:pPr>
              <w:spacing w:after="0"/>
              <w:rPr>
                <w:sz w:val="7"/>
                <w:szCs w:val="7"/>
                <w:color w:val="auto"/>
              </w:rPr>
            </w:pPr>
          </w:p>
        </w:tc>
        <w:tc>
          <w:tcPr>
            <w:tcW w:w="184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3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9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5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Paradigm Management Services, LLC</w:t>
            </w:r>
          </w:p>
        </w:tc>
        <w:tc>
          <w:tcPr>
            <w:tcW w:w="196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2"/>
              </w:rPr>
              <w:t>Healthcare, Education</w:t>
            </w:r>
          </w:p>
        </w:tc>
        <w:tc>
          <w:tcPr>
            <w:tcW w:w="248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2"/>
              </w:rPr>
              <w:t>Second Lien Secured Debt</w:t>
            </w:r>
          </w:p>
        </w:tc>
        <w:tc>
          <w:tcPr>
            <w:tcW w:w="19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(Paradigm Acquisition Corp.)</w:t>
            </w:r>
          </w:p>
        </w:tc>
        <w:tc>
          <w:tcPr>
            <w:tcW w:w="196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2"/>
              </w:rPr>
              <w:t>and Childcare</w:t>
            </w:r>
          </w:p>
        </w:tc>
        <w:tc>
          <w:tcPr>
            <w:tcW w:w="248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6"/>
              </w:rPr>
              <w:t>Common Equity</w:t>
            </w: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1277 Treat Boulevard, Ste. 800</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Walnut Creek, CA 94597</w:t>
            </w: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040" w:type="dxa"/>
            <w:vAlign w:val="bottom"/>
            <w:gridSpan w:val="3"/>
          </w:tcPr>
          <w:p>
            <w:pPr>
              <w:spacing w:after="0"/>
              <w:rPr>
                <w:sz w:val="20"/>
                <w:szCs w:val="20"/>
                <w:color w:val="auto"/>
              </w:rPr>
            </w:pPr>
            <w:r>
              <w:rPr>
                <w:rFonts w:ascii="Arial" w:cs="Arial" w:eastAsia="Arial" w:hAnsi="Arial"/>
                <w:sz w:val="14"/>
                <w:szCs w:val="14"/>
                <w:color w:val="auto"/>
              </w:rPr>
              <w:t>Penton Media, Inc.</w:t>
            </w:r>
          </w:p>
        </w:tc>
        <w:tc>
          <w:tcPr>
            <w:tcW w:w="196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Other Media</w:t>
            </w:r>
          </w:p>
        </w:tc>
        <w:tc>
          <w:tcPr>
            <w:tcW w:w="248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First Lien Secured Debt</w:t>
            </w:r>
          </w:p>
        </w:tc>
        <w:tc>
          <w:tcPr>
            <w:tcW w:w="19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49" w:lineRule="exact"/>
              <w:rPr>
                <w:sz w:val="20"/>
                <w:szCs w:val="20"/>
                <w:color w:val="auto"/>
              </w:rPr>
            </w:pPr>
            <w:r>
              <w:rPr>
                <w:rFonts w:ascii="Arial" w:cs="Arial" w:eastAsia="Arial" w:hAnsi="Arial"/>
                <w:sz w:val="14"/>
                <w:szCs w:val="14"/>
                <w:color w:val="auto"/>
              </w:rPr>
              <w:t>249 W. 17</w:t>
            </w:r>
            <w:r>
              <w:rPr>
                <w:rFonts w:ascii="Arial" w:cs="Arial" w:eastAsia="Arial" w:hAnsi="Arial"/>
                <w:sz w:val="12"/>
                <w:szCs w:val="12"/>
                <w:color w:val="auto"/>
              </w:rPr>
              <w:t>th</w:t>
            </w:r>
            <w:r>
              <w:rPr>
                <w:rFonts w:ascii="Arial" w:cs="Arial" w:eastAsia="Arial" w:hAnsi="Arial"/>
                <w:sz w:val="14"/>
                <w:szCs w:val="14"/>
                <w:color w:val="auto"/>
              </w:rPr>
              <w:t xml:space="preserve"> Street, 4</w:t>
            </w:r>
            <w:r>
              <w:rPr>
                <w:rFonts w:ascii="Arial" w:cs="Arial" w:eastAsia="Arial" w:hAnsi="Arial"/>
                <w:sz w:val="12"/>
                <w:szCs w:val="12"/>
                <w:color w:val="auto"/>
              </w:rPr>
              <w:t>th</w:t>
            </w:r>
            <w:r>
              <w:rPr>
                <w:rFonts w:ascii="Arial" w:cs="Arial" w:eastAsia="Arial" w:hAnsi="Arial"/>
                <w:sz w:val="14"/>
                <w:szCs w:val="14"/>
                <w:color w:val="auto"/>
              </w:rPr>
              <w:t xml:space="preserve"> Floor</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040" w:type="dxa"/>
            <w:vAlign w:val="bottom"/>
            <w:gridSpan w:val="3"/>
          </w:tcPr>
          <w:p>
            <w:pPr>
              <w:spacing w:after="0"/>
              <w:rPr>
                <w:sz w:val="20"/>
                <w:szCs w:val="20"/>
                <w:color w:val="auto"/>
              </w:rPr>
            </w:pPr>
            <w:r>
              <w:rPr>
                <w:rFonts w:ascii="Arial" w:cs="Arial" w:eastAsia="Arial" w:hAnsi="Arial"/>
                <w:sz w:val="14"/>
                <w:szCs w:val="14"/>
                <w:color w:val="auto"/>
              </w:rPr>
              <w:t>New York, NY 10011</w:t>
            </w: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5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Pre-Paid Legal Services, Inc.</w:t>
            </w:r>
          </w:p>
        </w:tc>
        <w:tc>
          <w:tcPr>
            <w:tcW w:w="196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89"/>
              </w:rPr>
              <w:t>Personal, Food and</w:t>
            </w:r>
          </w:p>
        </w:tc>
        <w:tc>
          <w:tcPr>
            <w:tcW w:w="248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2"/>
              </w:rPr>
              <w:t>Second Lien Secured Debt</w:t>
            </w:r>
          </w:p>
        </w:tc>
        <w:tc>
          <w:tcPr>
            <w:tcW w:w="19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(MidOcean PPL Holdings, Inc.)</w:t>
            </w:r>
          </w:p>
        </w:tc>
        <w:tc>
          <w:tcPr>
            <w:tcW w:w="196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2"/>
              </w:rPr>
              <w:t>Miscellaneous Services</w:t>
            </w:r>
          </w:p>
        </w:tc>
        <w:tc>
          <w:tcPr>
            <w:tcW w:w="248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6"/>
              </w:rPr>
              <w:t>Common Equity</w:t>
            </w: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One Pre-Paid Way</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Ada, OK 74820</w:t>
            </w: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040" w:type="dxa"/>
            <w:vAlign w:val="bottom"/>
            <w:gridSpan w:val="3"/>
          </w:tcPr>
          <w:p>
            <w:pPr>
              <w:spacing w:after="0"/>
              <w:rPr>
                <w:sz w:val="20"/>
                <w:szCs w:val="20"/>
                <w:color w:val="auto"/>
              </w:rPr>
            </w:pPr>
            <w:r>
              <w:rPr>
                <w:rFonts w:ascii="Arial" w:cs="Arial" w:eastAsia="Arial" w:hAnsi="Arial"/>
                <w:sz w:val="14"/>
                <w:szCs w:val="14"/>
                <w:color w:val="auto"/>
              </w:rPr>
              <w:t>Prince Mineral Holdings Corp.</w:t>
            </w:r>
          </w:p>
        </w:tc>
        <w:tc>
          <w:tcPr>
            <w:tcW w:w="196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Mining, Steel, Iron and</w:t>
            </w:r>
          </w:p>
        </w:tc>
        <w:tc>
          <w:tcPr>
            <w:tcW w:w="248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First Lien Secured Debt</w:t>
            </w:r>
          </w:p>
        </w:tc>
        <w:tc>
          <w:tcPr>
            <w:tcW w:w="19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49" w:lineRule="exact"/>
              <w:rPr>
                <w:sz w:val="20"/>
                <w:szCs w:val="20"/>
                <w:color w:val="auto"/>
              </w:rPr>
            </w:pPr>
            <w:r>
              <w:rPr>
                <w:rFonts w:ascii="Arial" w:cs="Arial" w:eastAsia="Arial" w:hAnsi="Arial"/>
                <w:sz w:val="14"/>
                <w:szCs w:val="14"/>
                <w:color w:val="auto"/>
              </w:rPr>
              <w:t>14 East 44th Street</w:t>
            </w:r>
          </w:p>
        </w:tc>
        <w:tc>
          <w:tcPr>
            <w:tcW w:w="19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3"/>
              </w:rPr>
              <w:t>Non-Precious Metals</w:t>
            </w: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040" w:type="dxa"/>
            <w:vAlign w:val="bottom"/>
            <w:gridSpan w:val="3"/>
          </w:tcPr>
          <w:p>
            <w:pPr>
              <w:spacing w:after="0"/>
              <w:rPr>
                <w:sz w:val="20"/>
                <w:szCs w:val="20"/>
                <w:color w:val="auto"/>
              </w:rPr>
            </w:pPr>
            <w:r>
              <w:rPr>
                <w:rFonts w:ascii="Arial" w:cs="Arial" w:eastAsia="Arial" w:hAnsi="Arial"/>
                <w:sz w:val="14"/>
                <w:szCs w:val="14"/>
                <w:color w:val="auto"/>
              </w:rPr>
              <w:t>New York, NY 10020</w:t>
            </w: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5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Questex Media Group LLC</w:t>
            </w:r>
          </w:p>
        </w:tc>
        <w:tc>
          <w:tcPr>
            <w:tcW w:w="196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3"/>
              </w:rPr>
              <w:t>Other Media</w:t>
            </w:r>
          </w:p>
        </w:tc>
        <w:tc>
          <w:tcPr>
            <w:tcW w:w="248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2"/>
              </w:rPr>
              <w:t>Second Lien Secured Debt</w:t>
            </w:r>
          </w:p>
        </w:tc>
        <w:tc>
          <w:tcPr>
            <w:tcW w:w="19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(QMG HoldCo, LLC)</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8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6"/>
              </w:rPr>
              <w:t>Common Equity</w:t>
            </w: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275 Grove Street, Ste. 2-130</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Newton, MA 02466</w:t>
            </w: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040" w:type="dxa"/>
            <w:vAlign w:val="bottom"/>
            <w:gridSpan w:val="3"/>
          </w:tcPr>
          <w:p>
            <w:pPr>
              <w:spacing w:after="0"/>
              <w:rPr>
                <w:sz w:val="20"/>
                <w:szCs w:val="20"/>
                <w:color w:val="auto"/>
              </w:rPr>
            </w:pPr>
            <w:r>
              <w:rPr>
                <w:rFonts w:ascii="Arial" w:cs="Arial" w:eastAsia="Arial" w:hAnsi="Arial"/>
                <w:sz w:val="14"/>
                <w:szCs w:val="14"/>
                <w:color w:val="auto"/>
              </w:rPr>
              <w:t>ROC Finance LLC and ROC Finance 1 Corp.</w:t>
            </w:r>
          </w:p>
        </w:tc>
        <w:tc>
          <w:tcPr>
            <w:tcW w:w="196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Hotels, Motels, Inns</w:t>
            </w:r>
          </w:p>
        </w:tc>
        <w:tc>
          <w:tcPr>
            <w:tcW w:w="248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Second Lien Secured Debt</w:t>
            </w:r>
          </w:p>
        </w:tc>
        <w:tc>
          <w:tcPr>
            <w:tcW w:w="19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49" w:lineRule="exact"/>
              <w:rPr>
                <w:sz w:val="20"/>
                <w:szCs w:val="20"/>
                <w:color w:val="auto"/>
              </w:rPr>
            </w:pPr>
            <w:r>
              <w:rPr>
                <w:rFonts w:ascii="Arial" w:cs="Arial" w:eastAsia="Arial" w:hAnsi="Arial"/>
                <w:sz w:val="14"/>
                <w:szCs w:val="14"/>
                <w:color w:val="auto"/>
              </w:rPr>
              <w:t>One Campus Maritus, 1086 Woodward Avenue,</w:t>
            </w:r>
          </w:p>
        </w:tc>
        <w:tc>
          <w:tcPr>
            <w:tcW w:w="19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1"/>
              </w:rPr>
              <w:t>and Gaming</w:t>
            </w: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040" w:type="dxa"/>
            <w:vAlign w:val="bottom"/>
            <w:gridSpan w:val="3"/>
          </w:tcPr>
          <w:p>
            <w:pPr>
              <w:spacing w:after="0"/>
              <w:rPr>
                <w:sz w:val="20"/>
                <w:szCs w:val="20"/>
                <w:color w:val="auto"/>
              </w:rPr>
            </w:pPr>
            <w:r>
              <w:rPr>
                <w:rFonts w:ascii="Arial" w:cs="Arial" w:eastAsia="Arial" w:hAnsi="Arial"/>
                <w:sz w:val="14"/>
                <w:szCs w:val="14"/>
                <w:color w:val="auto"/>
              </w:rPr>
              <w:t>Detroit, MI 48226</w:t>
            </w: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5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TRAK Acquisition Corp.</w:t>
            </w:r>
          </w:p>
        </w:tc>
        <w:tc>
          <w:tcPr>
            <w:tcW w:w="196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0"/>
              </w:rPr>
              <w:t>Business Services</w:t>
            </w:r>
          </w:p>
        </w:tc>
        <w:tc>
          <w:tcPr>
            <w:tcW w:w="248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3"/>
              </w:rPr>
              <w:t>First Lien Secured Debt</w:t>
            </w:r>
          </w:p>
        </w:tc>
        <w:tc>
          <w:tcPr>
            <w:tcW w:w="19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1001 Brickell Bay Drive, 27</w:t>
            </w:r>
            <w:r>
              <w:rPr>
                <w:rFonts w:ascii="Arial" w:cs="Arial" w:eastAsia="Arial" w:hAnsi="Arial"/>
                <w:sz w:val="12"/>
                <w:szCs w:val="12"/>
                <w:color w:val="auto"/>
              </w:rPr>
              <w:t>th</w:t>
            </w:r>
            <w:r>
              <w:rPr>
                <w:rFonts w:ascii="Arial" w:cs="Arial" w:eastAsia="Arial" w:hAnsi="Arial"/>
                <w:sz w:val="14"/>
                <w:szCs w:val="14"/>
                <w:color w:val="auto"/>
              </w:rPr>
              <w:t xml:space="preserve"> Floor</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8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1"/>
              </w:rPr>
              <w:t>Warrants</w:t>
            </w: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Miami, FL 33131</w:t>
            </w: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040" w:type="dxa"/>
            <w:vAlign w:val="bottom"/>
            <w:gridSpan w:val="3"/>
          </w:tcPr>
          <w:p>
            <w:pPr>
              <w:spacing w:after="0"/>
              <w:rPr>
                <w:sz w:val="20"/>
                <w:szCs w:val="20"/>
                <w:color w:val="auto"/>
              </w:rPr>
            </w:pPr>
            <w:r>
              <w:rPr>
                <w:rFonts w:ascii="Arial" w:cs="Arial" w:eastAsia="Arial" w:hAnsi="Arial"/>
                <w:sz w:val="14"/>
                <w:szCs w:val="14"/>
                <w:color w:val="auto"/>
              </w:rPr>
              <w:t>TZ Holdings, L.P. (Trizetto Group, Inc.)</w:t>
            </w:r>
          </w:p>
        </w:tc>
        <w:tc>
          <w:tcPr>
            <w:tcW w:w="196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Insurance</w:t>
            </w:r>
          </w:p>
        </w:tc>
        <w:tc>
          <w:tcPr>
            <w:tcW w:w="248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Preferred Equity</w:t>
            </w:r>
          </w:p>
        </w:tc>
        <w:tc>
          <w:tcPr>
            <w:tcW w:w="1940" w:type="dxa"/>
            <w:vAlign w:val="bottom"/>
          </w:tcPr>
          <w:p>
            <w:pPr>
              <w:jc w:val="center"/>
              <w:spacing w:after="0"/>
              <w:rPr>
                <w:sz w:val="20"/>
                <w:szCs w:val="20"/>
                <w:color w:val="auto"/>
              </w:rPr>
            </w:pPr>
            <w:r>
              <w:rPr>
                <w:rFonts w:ascii="Arial" w:cs="Arial" w:eastAsia="Arial" w:hAnsi="Arial"/>
                <w:sz w:val="14"/>
                <w:szCs w:val="14"/>
                <w:color w:val="auto"/>
                <w:w w:val="93"/>
              </w:rPr>
              <w:t>0.2%</w:t>
            </w: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49" w:lineRule="exact"/>
              <w:rPr>
                <w:sz w:val="20"/>
                <w:szCs w:val="20"/>
                <w:color w:val="auto"/>
              </w:rPr>
            </w:pPr>
            <w:r>
              <w:rPr>
                <w:rFonts w:ascii="Arial" w:cs="Arial" w:eastAsia="Arial" w:hAnsi="Arial"/>
                <w:sz w:val="14"/>
                <w:szCs w:val="14"/>
                <w:color w:val="auto"/>
              </w:rPr>
              <w:t>567 San Nicolas Drive, Ste. 360</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Common Equity</w:t>
            </w: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040" w:type="dxa"/>
            <w:vAlign w:val="bottom"/>
            <w:gridSpan w:val="3"/>
          </w:tcPr>
          <w:p>
            <w:pPr>
              <w:spacing w:after="0"/>
              <w:rPr>
                <w:sz w:val="20"/>
                <w:szCs w:val="20"/>
                <w:color w:val="auto"/>
              </w:rPr>
            </w:pPr>
            <w:r>
              <w:rPr>
                <w:rFonts w:ascii="Arial" w:cs="Arial" w:eastAsia="Arial" w:hAnsi="Arial"/>
                <w:sz w:val="14"/>
                <w:szCs w:val="14"/>
                <w:color w:val="auto"/>
              </w:rPr>
              <w:t>Newport Beach, CA 92660</w:t>
            </w: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5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Varel International Energy Mezzanine Funding Corp.</w:t>
            </w:r>
          </w:p>
        </w:tc>
        <w:tc>
          <w:tcPr>
            <w:tcW w:w="1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1625 West Crosby Road, Ste. 124</w:t>
            </w:r>
          </w:p>
        </w:tc>
        <w:tc>
          <w:tcPr>
            <w:tcW w:w="196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color w:val="auto"/>
                <w:w w:val="91"/>
              </w:rPr>
              <w:t>Oil and Gas</w:t>
            </w:r>
          </w:p>
        </w:tc>
        <w:tc>
          <w:tcPr>
            <w:tcW w:w="248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color w:val="auto"/>
                <w:w w:val="92"/>
              </w:rPr>
              <w:t>Subordinated Debt</w:t>
            </w:r>
          </w:p>
        </w:tc>
        <w:tc>
          <w:tcPr>
            <w:tcW w:w="19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5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Carrolton, TX 75006</w:t>
            </w:r>
          </w:p>
        </w:tc>
        <w:tc>
          <w:tcPr>
            <w:tcW w:w="1960" w:type="dxa"/>
            <w:vAlign w:val="bottom"/>
            <w:tcBorders>
              <w:bottom w:val="single" w:sz="8" w:color="CCEEFF"/>
            </w:tcBorders>
            <w:gridSpan w:val="2"/>
            <w:vMerge w:val="continue"/>
            <w:shd w:val="clear" w:color="auto" w:fill="CCEEFF"/>
          </w:tcPr>
          <w:p>
            <w:pPr>
              <w:spacing w:after="0"/>
              <w:rPr>
                <w:sz w:val="13"/>
                <w:szCs w:val="13"/>
                <w:color w:val="auto"/>
              </w:rPr>
            </w:pPr>
          </w:p>
        </w:tc>
        <w:tc>
          <w:tcPr>
            <w:tcW w:w="2480" w:type="dxa"/>
            <w:vAlign w:val="bottom"/>
            <w:tcBorders>
              <w:bottom w:val="single" w:sz="8" w:color="CCEEFF"/>
            </w:tcBorders>
            <w:gridSpan w:val="2"/>
            <w:vMerge w:val="continue"/>
            <w:shd w:val="clear" w:color="auto" w:fill="CCEEFF"/>
          </w:tcPr>
          <w:p>
            <w:pPr>
              <w:spacing w:after="0"/>
              <w:rPr>
                <w:sz w:val="13"/>
                <w:szCs w:val="13"/>
                <w:color w:val="auto"/>
              </w:rPr>
            </w:pPr>
          </w:p>
        </w:tc>
        <w:tc>
          <w:tcPr>
            <w:tcW w:w="1940" w:type="dxa"/>
            <w:vAlign w:val="bottom"/>
            <w:tcBorders>
              <w:bottom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5040" w:type="dxa"/>
            <w:vAlign w:val="bottom"/>
            <w:gridSpan w:val="3"/>
          </w:tcPr>
          <w:p>
            <w:pPr>
              <w:spacing w:after="0"/>
              <w:rPr>
                <w:sz w:val="20"/>
                <w:szCs w:val="20"/>
                <w:color w:val="auto"/>
              </w:rPr>
            </w:pPr>
            <w:r>
              <w:rPr>
                <w:rFonts w:ascii="Arial" w:cs="Arial" w:eastAsia="Arial" w:hAnsi="Arial"/>
                <w:sz w:val="14"/>
                <w:szCs w:val="14"/>
                <w:color w:val="auto"/>
              </w:rPr>
              <w:t>Veritext Corp. (VText Holdings, Inc.)</w:t>
            </w:r>
          </w:p>
        </w:tc>
        <w:tc>
          <w:tcPr>
            <w:tcW w:w="196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Business Services</w:t>
            </w:r>
          </w:p>
        </w:tc>
        <w:tc>
          <w:tcPr>
            <w:tcW w:w="248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Common Equity</w:t>
            </w:r>
          </w:p>
        </w:tc>
        <w:tc>
          <w:tcPr>
            <w:tcW w:w="1940" w:type="dxa"/>
            <w:vAlign w:val="bottom"/>
          </w:tcPr>
          <w:p>
            <w:pPr>
              <w:jc w:val="center"/>
              <w:spacing w:after="0"/>
              <w:rPr>
                <w:sz w:val="20"/>
                <w:szCs w:val="20"/>
                <w:color w:val="auto"/>
              </w:rPr>
            </w:pPr>
            <w:r>
              <w:rPr>
                <w:rFonts w:ascii="Arial" w:cs="Arial" w:eastAsia="Arial" w:hAnsi="Arial"/>
                <w:sz w:val="14"/>
                <w:szCs w:val="14"/>
                <w:color w:val="auto"/>
                <w:w w:val="93"/>
              </w:rPr>
              <w:t>3.6%</w:t>
            </w: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49" w:lineRule="exact"/>
              <w:rPr>
                <w:sz w:val="20"/>
                <w:szCs w:val="20"/>
                <w:color w:val="auto"/>
              </w:rPr>
            </w:pPr>
            <w:r>
              <w:rPr>
                <w:rFonts w:ascii="Arial" w:cs="Arial" w:eastAsia="Arial" w:hAnsi="Arial"/>
                <w:sz w:val="14"/>
                <w:szCs w:val="14"/>
                <w:color w:val="auto"/>
              </w:rPr>
              <w:t>50 Public Square, 29</w:t>
            </w:r>
            <w:r>
              <w:rPr>
                <w:rFonts w:ascii="Arial" w:cs="Arial" w:eastAsia="Arial" w:hAnsi="Arial"/>
                <w:sz w:val="12"/>
                <w:szCs w:val="12"/>
                <w:color w:val="auto"/>
              </w:rPr>
              <w:t>th</w:t>
            </w:r>
            <w:r>
              <w:rPr>
                <w:rFonts w:ascii="Arial" w:cs="Arial" w:eastAsia="Arial" w:hAnsi="Arial"/>
                <w:sz w:val="14"/>
                <w:szCs w:val="14"/>
                <w:color w:val="auto"/>
              </w:rPr>
              <w:t xml:space="preserve"> Floor</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040" w:type="dxa"/>
            <w:vAlign w:val="bottom"/>
            <w:gridSpan w:val="3"/>
          </w:tcPr>
          <w:p>
            <w:pPr>
              <w:spacing w:after="0"/>
              <w:rPr>
                <w:sz w:val="20"/>
                <w:szCs w:val="20"/>
                <w:color w:val="auto"/>
              </w:rPr>
            </w:pPr>
            <w:r>
              <w:rPr>
                <w:rFonts w:ascii="Arial" w:cs="Arial" w:eastAsia="Arial" w:hAnsi="Arial"/>
                <w:sz w:val="14"/>
                <w:szCs w:val="14"/>
                <w:color w:val="auto"/>
              </w:rPr>
              <w:t>Cleveland, OH 44113</w:t>
            </w: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5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Vestcom Parent Holdings, Inc.</w:t>
            </w:r>
          </w:p>
        </w:tc>
        <w:tc>
          <w:tcPr>
            <w:tcW w:w="196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4"/>
              </w:rPr>
              <w:t>Printing and Publishing</w:t>
            </w:r>
          </w:p>
        </w:tc>
        <w:tc>
          <w:tcPr>
            <w:tcW w:w="248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2"/>
              </w:rPr>
              <w:t>Subordinated Debt</w:t>
            </w:r>
          </w:p>
        </w:tc>
        <w:tc>
          <w:tcPr>
            <w:tcW w:w="19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(Vestcom International, Inc.)</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8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6"/>
              </w:rPr>
              <w:t>Common Equity</w:t>
            </w: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7304 Kanis Road</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Little Rock, AR 72204</w:t>
            </w: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040" w:type="dxa"/>
            <w:vAlign w:val="bottom"/>
            <w:gridSpan w:val="3"/>
          </w:tcPr>
          <w:p>
            <w:pPr>
              <w:spacing w:after="0"/>
              <w:rPr>
                <w:sz w:val="20"/>
                <w:szCs w:val="20"/>
                <w:color w:val="auto"/>
              </w:rPr>
            </w:pPr>
            <w:r>
              <w:rPr>
                <w:rFonts w:ascii="Arial" w:cs="Arial" w:eastAsia="Arial" w:hAnsi="Arial"/>
                <w:sz w:val="14"/>
                <w:szCs w:val="14"/>
                <w:color w:val="auto"/>
              </w:rPr>
              <w:t>VRide Holdings, Inc.</w:t>
            </w:r>
          </w:p>
        </w:tc>
        <w:tc>
          <w:tcPr>
            <w:tcW w:w="196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Personal Transportation</w:t>
            </w:r>
          </w:p>
        </w:tc>
        <w:tc>
          <w:tcPr>
            <w:tcW w:w="248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Preferred Equity</w:t>
            </w:r>
          </w:p>
        </w:tc>
        <w:tc>
          <w:tcPr>
            <w:tcW w:w="1940" w:type="dxa"/>
            <w:vAlign w:val="bottom"/>
          </w:tcPr>
          <w:p>
            <w:pPr>
              <w:jc w:val="center"/>
              <w:spacing w:after="0"/>
              <w:rPr>
                <w:sz w:val="20"/>
                <w:szCs w:val="20"/>
                <w:color w:val="auto"/>
              </w:rPr>
            </w:pPr>
            <w:r>
              <w:rPr>
                <w:rFonts w:ascii="Arial" w:cs="Arial" w:eastAsia="Arial" w:hAnsi="Arial"/>
                <w:sz w:val="14"/>
                <w:szCs w:val="14"/>
                <w:color w:val="auto"/>
                <w:w w:val="93"/>
              </w:rPr>
              <w:t>3.3%</w:t>
            </w: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49" w:lineRule="exact"/>
              <w:rPr>
                <w:sz w:val="20"/>
                <w:szCs w:val="20"/>
                <w:color w:val="auto"/>
              </w:rPr>
            </w:pPr>
            <w:r>
              <w:rPr>
                <w:rFonts w:ascii="Arial" w:cs="Arial" w:eastAsia="Arial" w:hAnsi="Arial"/>
                <w:sz w:val="14"/>
                <w:szCs w:val="14"/>
                <w:color w:val="auto"/>
              </w:rPr>
              <w:t>1220 Rankin Drive</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Common Equity</w:t>
            </w: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040" w:type="dxa"/>
            <w:vAlign w:val="bottom"/>
            <w:gridSpan w:val="3"/>
          </w:tcPr>
          <w:p>
            <w:pPr>
              <w:spacing w:after="0"/>
              <w:rPr>
                <w:sz w:val="20"/>
                <w:szCs w:val="20"/>
                <w:color w:val="auto"/>
              </w:rPr>
            </w:pPr>
            <w:r>
              <w:rPr>
                <w:rFonts w:ascii="Arial" w:cs="Arial" w:eastAsia="Arial" w:hAnsi="Arial"/>
                <w:sz w:val="14"/>
                <w:szCs w:val="14"/>
                <w:color w:val="auto"/>
              </w:rPr>
              <w:t>Troy, MI 48083</w:t>
            </w: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5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Worley Claims Services, LLC</w:t>
            </w:r>
          </w:p>
        </w:tc>
        <w:tc>
          <w:tcPr>
            <w:tcW w:w="196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1"/>
              </w:rPr>
              <w:t>Insurance</w:t>
            </w:r>
          </w:p>
        </w:tc>
        <w:tc>
          <w:tcPr>
            <w:tcW w:w="248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3"/>
              </w:rPr>
              <w:t>First Lien Secured Debt</w:t>
            </w:r>
          </w:p>
        </w:tc>
        <w:tc>
          <w:tcPr>
            <w:tcW w:w="19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303 Timber Creek,</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Hammond, LA 70403</w:t>
            </w: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040" w:type="dxa"/>
            <w:vAlign w:val="bottom"/>
            <w:gridSpan w:val="3"/>
          </w:tcPr>
          <w:p>
            <w:pPr>
              <w:spacing w:after="0"/>
              <w:rPr>
                <w:sz w:val="20"/>
                <w:szCs w:val="20"/>
                <w:color w:val="auto"/>
              </w:rPr>
            </w:pPr>
            <w:r>
              <w:rPr>
                <w:rFonts w:ascii="Arial" w:cs="Arial" w:eastAsia="Arial" w:hAnsi="Arial"/>
                <w:sz w:val="14"/>
                <w:szCs w:val="14"/>
                <w:color w:val="auto"/>
              </w:rPr>
              <w:t>AKA Diversified Holdings, Inc.</w:t>
            </w:r>
          </w:p>
        </w:tc>
        <w:tc>
          <w:tcPr>
            <w:tcW w:w="196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Retail</w:t>
            </w:r>
          </w:p>
        </w:tc>
        <w:tc>
          <w:tcPr>
            <w:tcW w:w="248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First Lien Secured Debt</w:t>
            </w:r>
          </w:p>
        </w:tc>
        <w:tc>
          <w:tcPr>
            <w:tcW w:w="19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49" w:lineRule="exact"/>
              <w:rPr>
                <w:sz w:val="20"/>
                <w:szCs w:val="20"/>
                <w:color w:val="auto"/>
              </w:rPr>
            </w:pPr>
            <w:r>
              <w:rPr>
                <w:rFonts w:ascii="Arial" w:cs="Arial" w:eastAsia="Arial" w:hAnsi="Arial"/>
                <w:sz w:val="14"/>
                <w:szCs w:val="14"/>
                <w:color w:val="auto"/>
              </w:rPr>
              <w:t>7505 South Louise Avenue,</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040" w:type="dxa"/>
            <w:vAlign w:val="bottom"/>
            <w:gridSpan w:val="3"/>
          </w:tcPr>
          <w:p>
            <w:pPr>
              <w:spacing w:after="0"/>
              <w:rPr>
                <w:sz w:val="20"/>
                <w:szCs w:val="20"/>
                <w:color w:val="auto"/>
              </w:rPr>
            </w:pPr>
            <w:r>
              <w:rPr>
                <w:rFonts w:ascii="Arial" w:cs="Arial" w:eastAsia="Arial" w:hAnsi="Arial"/>
                <w:sz w:val="14"/>
                <w:szCs w:val="14"/>
                <w:color w:val="auto"/>
              </w:rPr>
              <w:t>Sioux Falls, SD 57108</w:t>
            </w: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Companies 5% to 24% Owned</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8"/>
        </w:trPr>
        <w:tc>
          <w:tcPr>
            <w:tcW w:w="5040" w:type="dxa"/>
            <w:vAlign w:val="bottom"/>
            <w:gridSpan w:val="3"/>
          </w:tcPr>
          <w:p>
            <w:pPr>
              <w:spacing w:after="0"/>
              <w:rPr>
                <w:sz w:val="20"/>
                <w:szCs w:val="20"/>
                <w:color w:val="auto"/>
              </w:rPr>
            </w:pPr>
            <w:r>
              <w:rPr>
                <w:rFonts w:ascii="Arial" w:cs="Arial" w:eastAsia="Arial" w:hAnsi="Arial"/>
                <w:sz w:val="14"/>
                <w:szCs w:val="14"/>
                <w:color w:val="auto"/>
              </w:rPr>
              <w:t>DirectBuy Holdings, Inc.</w:t>
            </w:r>
          </w:p>
        </w:tc>
        <w:tc>
          <w:tcPr>
            <w:tcW w:w="196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Consumer Products</w:t>
            </w:r>
          </w:p>
        </w:tc>
        <w:tc>
          <w:tcPr>
            <w:tcW w:w="248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Subordinated Debt</w:t>
            </w:r>
          </w:p>
        </w:tc>
        <w:tc>
          <w:tcPr>
            <w:tcW w:w="1940" w:type="dxa"/>
            <w:vAlign w:val="bottom"/>
          </w:tcPr>
          <w:p>
            <w:pPr>
              <w:jc w:val="center"/>
              <w:spacing w:after="0"/>
              <w:rPr>
                <w:sz w:val="20"/>
                <w:szCs w:val="20"/>
                <w:color w:val="auto"/>
              </w:rPr>
            </w:pPr>
            <w:r>
              <w:rPr>
                <w:rFonts w:ascii="Arial" w:cs="Arial" w:eastAsia="Arial" w:hAnsi="Arial"/>
                <w:sz w:val="14"/>
                <w:szCs w:val="14"/>
                <w:color w:val="auto"/>
                <w:w w:val="95"/>
              </w:rPr>
              <w:t>10.4%</w:t>
            </w: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49" w:lineRule="exact"/>
              <w:rPr>
                <w:sz w:val="20"/>
                <w:szCs w:val="20"/>
                <w:color w:val="auto"/>
              </w:rPr>
            </w:pPr>
            <w:r>
              <w:rPr>
                <w:rFonts w:ascii="Arial" w:cs="Arial" w:eastAsia="Arial" w:hAnsi="Arial"/>
                <w:sz w:val="14"/>
                <w:szCs w:val="14"/>
                <w:color w:val="auto"/>
              </w:rPr>
              <w:t>8450 Broadway</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Common Equity</w:t>
            </w: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040" w:type="dxa"/>
            <w:vAlign w:val="bottom"/>
            <w:gridSpan w:val="3"/>
          </w:tcPr>
          <w:p>
            <w:pPr>
              <w:spacing w:after="0"/>
              <w:rPr>
                <w:sz w:val="20"/>
                <w:szCs w:val="20"/>
                <w:color w:val="auto"/>
              </w:rPr>
            </w:pPr>
            <w:r>
              <w:rPr>
                <w:rFonts w:ascii="Arial" w:cs="Arial" w:eastAsia="Arial" w:hAnsi="Arial"/>
                <w:sz w:val="14"/>
                <w:szCs w:val="14"/>
                <w:color w:val="auto"/>
              </w:rPr>
              <w:t>Merrillville, IN 46410</w:t>
            </w: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Name and Address of Portfolio Company</w:t>
            </w:r>
          </w:p>
        </w:tc>
        <w:tc>
          <w:tcPr>
            <w:tcW w:w="2500" w:type="dxa"/>
            <w:vAlign w:val="bottom"/>
          </w:tcPr>
          <w:p>
            <w:pPr>
              <w:spacing w:after="0"/>
              <w:rPr>
                <w:sz w:val="14"/>
                <w:szCs w:val="14"/>
                <w:color w:val="auto"/>
              </w:rPr>
            </w:pPr>
          </w:p>
        </w:tc>
        <w:tc>
          <w:tcPr>
            <w:tcW w:w="19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Nature of Business</w:t>
            </w:r>
          </w:p>
        </w:tc>
        <w:tc>
          <w:tcPr>
            <w:tcW w:w="24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Type of Investment</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1"/>
              </w:rPr>
              <w:t>Voting Percentage</w:t>
            </w:r>
          </w:p>
        </w:tc>
        <w:tc>
          <w:tcPr>
            <w:tcW w:w="0" w:type="dxa"/>
            <w:vAlign w:val="bottom"/>
          </w:tcPr>
          <w:p>
            <w:pPr>
              <w:spacing w:after="0"/>
              <w:rPr>
                <w:sz w:val="1"/>
                <w:szCs w:val="1"/>
                <w:color w:val="auto"/>
              </w:rPr>
            </w:pPr>
          </w:p>
        </w:tc>
      </w:tr>
      <w:tr>
        <w:trPr>
          <w:trHeight w:val="185"/>
        </w:trPr>
        <w:tc>
          <w:tcPr>
            <w:tcW w:w="2540" w:type="dxa"/>
            <w:vAlign w:val="bottom"/>
            <w:gridSpan w:val="2"/>
            <w:vMerge w:val="continue"/>
          </w:tcPr>
          <w:p>
            <w:pPr>
              <w:spacing w:after="0"/>
              <w:rPr>
                <w:sz w:val="16"/>
                <w:szCs w:val="16"/>
                <w:color w:val="auto"/>
              </w:rPr>
            </w:pPr>
          </w:p>
        </w:tc>
        <w:tc>
          <w:tcPr>
            <w:tcW w:w="2500" w:type="dxa"/>
            <w:vAlign w:val="bottom"/>
          </w:tcPr>
          <w:p>
            <w:pPr>
              <w:spacing w:after="0"/>
              <w:rPr>
                <w:sz w:val="16"/>
                <w:szCs w:val="16"/>
                <w:color w:val="auto"/>
              </w:rPr>
            </w:pPr>
          </w:p>
        </w:tc>
        <w:tc>
          <w:tcPr>
            <w:tcW w:w="1960" w:type="dxa"/>
            <w:vAlign w:val="bottom"/>
            <w:gridSpan w:val="2"/>
            <w:vMerge w:val="continue"/>
          </w:tcPr>
          <w:p>
            <w:pPr>
              <w:spacing w:after="0"/>
              <w:rPr>
                <w:sz w:val="16"/>
                <w:szCs w:val="16"/>
                <w:color w:val="auto"/>
              </w:rPr>
            </w:pPr>
          </w:p>
        </w:tc>
        <w:tc>
          <w:tcPr>
            <w:tcW w:w="2480" w:type="dxa"/>
            <w:vAlign w:val="bottom"/>
            <w:gridSpan w:val="2"/>
            <w:vMerge w:val="continue"/>
          </w:tcPr>
          <w:p>
            <w:pPr>
              <w:spacing w:after="0"/>
              <w:rPr>
                <w:sz w:val="16"/>
                <w:szCs w:val="16"/>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4"/>
              </w:rPr>
              <w:t xml:space="preserve">Ownership </w:t>
            </w:r>
            <w:r>
              <w:rPr>
                <w:rFonts w:ascii="Arial" w:cs="Arial" w:eastAsia="Arial" w:hAnsi="Arial"/>
                <w:sz w:val="12"/>
                <w:szCs w:val="12"/>
                <w:b w:val="1"/>
                <w:bCs w:val="1"/>
                <w:color w:val="auto"/>
                <w:w w:val="94"/>
              </w:rPr>
              <w:t>(1)</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2520" w:type="dxa"/>
            <w:vAlign w:val="bottom"/>
            <w:tcBorders>
              <w:top w:val="single" w:sz="8" w:color="auto"/>
            </w:tcBorders>
          </w:tcPr>
          <w:p>
            <w:pPr>
              <w:spacing w:after="0"/>
              <w:rPr>
                <w:sz w:val="7"/>
                <w:szCs w:val="7"/>
                <w:color w:val="auto"/>
              </w:rPr>
            </w:pPr>
          </w:p>
        </w:tc>
        <w:tc>
          <w:tcPr>
            <w:tcW w:w="2500" w:type="dxa"/>
            <w:vAlign w:val="bottom"/>
          </w:tcPr>
          <w:p>
            <w:pPr>
              <w:spacing w:after="0"/>
              <w:rPr>
                <w:sz w:val="7"/>
                <w:szCs w:val="7"/>
                <w:color w:val="auto"/>
              </w:rPr>
            </w:pPr>
          </w:p>
        </w:tc>
        <w:tc>
          <w:tcPr>
            <w:tcW w:w="184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3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9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EnviroSolutions Holdings, Inc.</w:t>
            </w:r>
          </w:p>
        </w:tc>
        <w:tc>
          <w:tcPr>
            <w:tcW w:w="2500" w:type="dxa"/>
            <w:vAlign w:val="bottom"/>
            <w:shd w:val="clear" w:color="auto" w:fill="CCEEFF"/>
          </w:tcPr>
          <w:p>
            <w:pPr>
              <w:spacing w:after="0"/>
              <w:rPr>
                <w:sz w:val="11"/>
                <w:szCs w:val="11"/>
                <w:color w:val="auto"/>
              </w:rPr>
            </w:pPr>
          </w:p>
        </w:tc>
        <w:tc>
          <w:tcPr>
            <w:tcW w:w="196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3"/>
              </w:rPr>
              <w:t>Environmental Services</w:t>
            </w:r>
          </w:p>
        </w:tc>
        <w:tc>
          <w:tcPr>
            <w:tcW w:w="248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6"/>
              </w:rPr>
              <w:t>Common Equity</w:t>
            </w:r>
          </w:p>
        </w:tc>
        <w:tc>
          <w:tcPr>
            <w:tcW w:w="19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5"/>
              </w:rPr>
              <w:t>13.7%</w:t>
            </w:r>
            <w:r>
              <w:rPr>
                <w:rFonts w:ascii="Arial" w:cs="Arial" w:eastAsia="Arial" w:hAnsi="Arial"/>
                <w:sz w:val="12"/>
                <w:szCs w:val="12"/>
                <w:color w:val="auto"/>
                <w:w w:val="95"/>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11220 Asset Loop, Ste. 201</w:t>
            </w:r>
          </w:p>
        </w:tc>
        <w:tc>
          <w:tcPr>
            <w:tcW w:w="25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Manassas, VA 20109</w:t>
            </w:r>
          </w:p>
        </w:tc>
        <w:tc>
          <w:tcPr>
            <w:tcW w:w="250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540" w:type="dxa"/>
            <w:vAlign w:val="bottom"/>
            <w:gridSpan w:val="2"/>
          </w:tcPr>
          <w:p>
            <w:pPr>
              <w:spacing w:after="0"/>
              <w:rPr>
                <w:sz w:val="20"/>
                <w:szCs w:val="20"/>
                <w:color w:val="auto"/>
              </w:rPr>
            </w:pPr>
            <w:r>
              <w:rPr>
                <w:rFonts w:ascii="Arial" w:cs="Arial" w:eastAsia="Arial" w:hAnsi="Arial"/>
                <w:sz w:val="14"/>
                <w:szCs w:val="14"/>
                <w:color w:val="auto"/>
              </w:rPr>
              <w:t>PAS Technologies, Inc.</w:t>
            </w:r>
          </w:p>
        </w:tc>
        <w:tc>
          <w:tcPr>
            <w:tcW w:w="2500" w:type="dxa"/>
            <w:vAlign w:val="bottom"/>
          </w:tcPr>
          <w:p>
            <w:pPr>
              <w:spacing w:after="0"/>
              <w:rPr>
                <w:sz w:val="20"/>
                <w:szCs w:val="20"/>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Aerospace and Defense</w:t>
            </w:r>
          </w:p>
        </w:tc>
        <w:tc>
          <w:tcPr>
            <w:tcW w:w="248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Preferred Equity</w:t>
            </w:r>
          </w:p>
        </w:tc>
        <w:tc>
          <w:tcPr>
            <w:tcW w:w="1940" w:type="dxa"/>
            <w:vAlign w:val="bottom"/>
          </w:tcPr>
          <w:p>
            <w:pPr>
              <w:jc w:val="center"/>
              <w:spacing w:after="0"/>
              <w:rPr>
                <w:sz w:val="20"/>
                <w:szCs w:val="20"/>
                <w:color w:val="auto"/>
              </w:rPr>
            </w:pPr>
            <w:r>
              <w:rPr>
                <w:rFonts w:ascii="Arial" w:cs="Arial" w:eastAsia="Arial" w:hAnsi="Arial"/>
                <w:sz w:val="14"/>
                <w:szCs w:val="14"/>
                <w:color w:val="auto"/>
                <w:w w:val="95"/>
              </w:rPr>
              <w:t>22.0%</w:t>
            </w:r>
            <w:r>
              <w:rPr>
                <w:rFonts w:ascii="Arial" w:cs="Arial" w:eastAsia="Arial" w:hAnsi="Arial"/>
                <w:sz w:val="12"/>
                <w:szCs w:val="12"/>
                <w:color w:val="auto"/>
                <w:w w:val="95"/>
              </w:rPr>
              <w:t>(2)</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(PAS Tech Holdings, Inc.)</w:t>
            </w:r>
          </w:p>
        </w:tc>
        <w:tc>
          <w:tcPr>
            <w:tcW w:w="25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Common Equity</w:t>
            </w: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1234 Atlantic Street</w:t>
            </w:r>
          </w:p>
        </w:tc>
        <w:tc>
          <w:tcPr>
            <w:tcW w:w="25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540" w:type="dxa"/>
            <w:vAlign w:val="bottom"/>
            <w:gridSpan w:val="2"/>
          </w:tcPr>
          <w:p>
            <w:pPr>
              <w:spacing w:after="0"/>
              <w:rPr>
                <w:sz w:val="20"/>
                <w:szCs w:val="20"/>
                <w:color w:val="auto"/>
              </w:rPr>
            </w:pPr>
            <w:r>
              <w:rPr>
                <w:rFonts w:ascii="Arial" w:cs="Arial" w:eastAsia="Arial" w:hAnsi="Arial"/>
                <w:sz w:val="14"/>
                <w:szCs w:val="14"/>
                <w:color w:val="auto"/>
              </w:rPr>
              <w:t>North Kansas City, MO 64116</w:t>
            </w:r>
          </w:p>
        </w:tc>
        <w:tc>
          <w:tcPr>
            <w:tcW w:w="25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Performance Holdings, Inc.</w:t>
            </w:r>
          </w:p>
        </w:tc>
        <w:tc>
          <w:tcPr>
            <w:tcW w:w="2500" w:type="dxa"/>
            <w:vAlign w:val="bottom"/>
            <w:shd w:val="clear" w:color="auto" w:fill="CCEEFF"/>
          </w:tcPr>
          <w:p>
            <w:pPr>
              <w:spacing w:after="0"/>
              <w:rPr>
                <w:sz w:val="11"/>
                <w:szCs w:val="11"/>
                <w:color w:val="auto"/>
              </w:rPr>
            </w:pPr>
          </w:p>
        </w:tc>
        <w:tc>
          <w:tcPr>
            <w:tcW w:w="196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5"/>
              </w:rPr>
              <w:t>Leisure, Amusement, Motion</w:t>
            </w:r>
          </w:p>
        </w:tc>
        <w:tc>
          <w:tcPr>
            <w:tcW w:w="248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2"/>
              </w:rPr>
              <w:t>Subordinated Debt</w:t>
            </w:r>
          </w:p>
        </w:tc>
        <w:tc>
          <w:tcPr>
            <w:tcW w:w="19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(NCP-Performance)</w:t>
            </w:r>
          </w:p>
        </w:tc>
        <w:tc>
          <w:tcPr>
            <w:tcW w:w="2500" w:type="dxa"/>
            <w:vAlign w:val="bottom"/>
            <w:shd w:val="clear" w:color="auto" w:fill="CCEEFF"/>
          </w:tcPr>
          <w:p>
            <w:pPr>
              <w:spacing w:after="0"/>
              <w:rPr>
                <w:sz w:val="12"/>
                <w:szCs w:val="12"/>
                <w:color w:val="auto"/>
              </w:rPr>
            </w:pPr>
          </w:p>
        </w:tc>
        <w:tc>
          <w:tcPr>
            <w:tcW w:w="196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3"/>
              </w:rPr>
              <w:t>Pictures, Entertainment</w:t>
            </w:r>
          </w:p>
        </w:tc>
        <w:tc>
          <w:tcPr>
            <w:tcW w:w="248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6"/>
              </w:rPr>
              <w:t>Common Equity</w:t>
            </w: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One Performance Way</w:t>
            </w:r>
          </w:p>
        </w:tc>
        <w:tc>
          <w:tcPr>
            <w:tcW w:w="25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Chapel Hill, NC 27514</w:t>
            </w:r>
          </w:p>
        </w:tc>
        <w:tc>
          <w:tcPr>
            <w:tcW w:w="250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540" w:type="dxa"/>
            <w:vAlign w:val="bottom"/>
            <w:gridSpan w:val="2"/>
          </w:tcPr>
          <w:p>
            <w:pPr>
              <w:spacing w:after="0"/>
              <w:rPr>
                <w:sz w:val="20"/>
                <w:szCs w:val="20"/>
                <w:color w:val="auto"/>
              </w:rPr>
            </w:pPr>
            <w:r>
              <w:rPr>
                <w:rFonts w:ascii="Arial" w:cs="Arial" w:eastAsia="Arial" w:hAnsi="Arial"/>
                <w:sz w:val="14"/>
                <w:szCs w:val="14"/>
                <w:color w:val="auto"/>
              </w:rPr>
              <w:t>Service Champ, Inc.</w:t>
            </w:r>
          </w:p>
        </w:tc>
        <w:tc>
          <w:tcPr>
            <w:tcW w:w="2500" w:type="dxa"/>
            <w:vAlign w:val="bottom"/>
          </w:tcPr>
          <w:p>
            <w:pPr>
              <w:spacing w:after="0"/>
              <w:rPr>
                <w:sz w:val="20"/>
                <w:szCs w:val="20"/>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Auto Sector</w:t>
            </w:r>
          </w:p>
        </w:tc>
        <w:tc>
          <w:tcPr>
            <w:tcW w:w="248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Subordinated Debt</w:t>
            </w:r>
          </w:p>
        </w:tc>
        <w:tc>
          <w:tcPr>
            <w:tcW w:w="1940" w:type="dxa"/>
            <w:vAlign w:val="bottom"/>
          </w:tcPr>
          <w:p>
            <w:pPr>
              <w:jc w:val="center"/>
              <w:spacing w:after="0"/>
              <w:rPr>
                <w:sz w:val="20"/>
                <w:szCs w:val="20"/>
                <w:color w:val="auto"/>
              </w:rPr>
            </w:pPr>
            <w:r>
              <w:rPr>
                <w:rFonts w:ascii="Arial" w:cs="Arial" w:eastAsia="Arial" w:hAnsi="Arial"/>
                <w:sz w:val="14"/>
                <w:szCs w:val="14"/>
                <w:color w:val="auto"/>
                <w:w w:val="93"/>
              </w:rPr>
              <w:t>7.7%</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180 New Britain Blvd.</w:t>
            </w:r>
          </w:p>
        </w:tc>
        <w:tc>
          <w:tcPr>
            <w:tcW w:w="25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Common Equity</w:t>
            </w: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540" w:type="dxa"/>
            <w:vAlign w:val="bottom"/>
            <w:gridSpan w:val="2"/>
          </w:tcPr>
          <w:p>
            <w:pPr>
              <w:spacing w:after="0"/>
              <w:rPr>
                <w:sz w:val="20"/>
                <w:szCs w:val="20"/>
                <w:color w:val="auto"/>
              </w:rPr>
            </w:pPr>
            <w:r>
              <w:rPr>
                <w:rFonts w:ascii="Arial" w:cs="Arial" w:eastAsia="Arial" w:hAnsi="Arial"/>
                <w:sz w:val="14"/>
                <w:szCs w:val="14"/>
                <w:color w:val="auto"/>
              </w:rPr>
              <w:t>Chalfont, PA 18914</w:t>
            </w:r>
          </w:p>
        </w:tc>
        <w:tc>
          <w:tcPr>
            <w:tcW w:w="25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Companies 25% or More Owned</w:t>
            </w:r>
          </w:p>
        </w:tc>
        <w:tc>
          <w:tcPr>
            <w:tcW w:w="2500" w:type="dxa"/>
            <w:vAlign w:val="bottom"/>
            <w:tcBorders>
              <w:bottom w:val="single" w:sz="8" w:color="CCEEFF"/>
            </w:tcBorders>
            <w:shd w:val="clear" w:color="auto" w:fill="CCEEFF"/>
          </w:tcPr>
          <w:p>
            <w:pPr>
              <w:spacing w:after="0"/>
              <w:rPr>
                <w:sz w:val="17"/>
                <w:szCs w:val="17"/>
                <w:color w:val="auto"/>
              </w:rPr>
            </w:pPr>
          </w:p>
        </w:tc>
        <w:tc>
          <w:tcPr>
            <w:tcW w:w="18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3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9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540" w:type="dxa"/>
            <w:vAlign w:val="bottom"/>
            <w:gridSpan w:val="2"/>
          </w:tcPr>
          <w:p>
            <w:pPr>
              <w:spacing w:after="0"/>
              <w:rPr>
                <w:sz w:val="20"/>
                <w:szCs w:val="20"/>
                <w:color w:val="auto"/>
              </w:rPr>
            </w:pPr>
            <w:r>
              <w:rPr>
                <w:rFonts w:ascii="Arial" w:cs="Arial" w:eastAsia="Arial" w:hAnsi="Arial"/>
                <w:sz w:val="14"/>
                <w:szCs w:val="14"/>
                <w:color w:val="auto"/>
              </w:rPr>
              <w:t>SuttonPark Holdings, Inc.</w:t>
            </w:r>
          </w:p>
        </w:tc>
        <w:tc>
          <w:tcPr>
            <w:tcW w:w="2500" w:type="dxa"/>
            <w:vAlign w:val="bottom"/>
          </w:tcPr>
          <w:p>
            <w:pPr>
              <w:spacing w:after="0"/>
              <w:rPr>
                <w:sz w:val="20"/>
                <w:szCs w:val="20"/>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Business Services</w:t>
            </w:r>
          </w:p>
        </w:tc>
        <w:tc>
          <w:tcPr>
            <w:tcW w:w="248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First Lien Secured Debt</w:t>
            </w:r>
          </w:p>
        </w:tc>
        <w:tc>
          <w:tcPr>
            <w:tcW w:w="1940" w:type="dxa"/>
            <w:vAlign w:val="bottom"/>
          </w:tcPr>
          <w:p>
            <w:pPr>
              <w:jc w:val="center"/>
              <w:spacing w:after="0"/>
              <w:rPr>
                <w:sz w:val="20"/>
                <w:szCs w:val="20"/>
                <w:color w:val="auto"/>
              </w:rPr>
            </w:pPr>
            <w:r>
              <w:rPr>
                <w:rFonts w:ascii="Arial" w:cs="Arial" w:eastAsia="Arial" w:hAnsi="Arial"/>
                <w:sz w:val="14"/>
                <w:szCs w:val="14"/>
                <w:color w:val="auto"/>
                <w:w w:val="94"/>
              </w:rPr>
              <w:t>100.0%</w:t>
            </w:r>
            <w:r>
              <w:rPr>
                <w:rFonts w:ascii="Arial" w:cs="Arial" w:eastAsia="Arial" w:hAnsi="Arial"/>
                <w:sz w:val="12"/>
                <w:szCs w:val="12"/>
                <w:color w:val="auto"/>
                <w:w w:val="94"/>
              </w:rPr>
              <w:t>(2),(3)</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590 Madison Avenue, 15</w:t>
            </w:r>
            <w:r>
              <w:rPr>
                <w:rFonts w:ascii="Arial" w:cs="Arial" w:eastAsia="Arial" w:hAnsi="Arial"/>
                <w:sz w:val="12"/>
                <w:szCs w:val="12"/>
                <w:color w:val="auto"/>
              </w:rPr>
              <w:t>th</w:t>
            </w:r>
            <w:r>
              <w:rPr>
                <w:rFonts w:ascii="Arial" w:cs="Arial" w:eastAsia="Arial" w:hAnsi="Arial"/>
                <w:sz w:val="14"/>
                <w:szCs w:val="14"/>
                <w:color w:val="auto"/>
              </w:rPr>
              <w:t xml:space="preserve"> Floor</w:t>
            </w:r>
          </w:p>
        </w:tc>
        <w:tc>
          <w:tcPr>
            <w:tcW w:w="25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2"/>
              </w:rPr>
              <w:t>Subordinated Debt</w:t>
            </w: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New York, NY 10022</w:t>
            </w:r>
          </w:p>
        </w:tc>
        <w:tc>
          <w:tcPr>
            <w:tcW w:w="25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4"/>
              </w:rPr>
              <w:t>Preferred Equity</w:t>
            </w: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8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Common Equity</w:t>
            </w: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UP Support Services, Inc.</w:t>
            </w:r>
          </w:p>
        </w:tc>
        <w:tc>
          <w:tcPr>
            <w:tcW w:w="2500" w:type="dxa"/>
            <w:vAlign w:val="bottom"/>
            <w:shd w:val="clear" w:color="auto" w:fill="CCEEFF"/>
          </w:tcPr>
          <w:p>
            <w:pPr>
              <w:spacing w:after="0"/>
              <w:rPr>
                <w:sz w:val="11"/>
                <w:szCs w:val="11"/>
                <w:color w:val="auto"/>
              </w:rPr>
            </w:pPr>
          </w:p>
        </w:tc>
        <w:tc>
          <w:tcPr>
            <w:tcW w:w="196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rPr>
              <w:t>Oil &amp; Gas</w:t>
            </w:r>
          </w:p>
        </w:tc>
        <w:tc>
          <w:tcPr>
            <w:tcW w:w="248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3"/>
              </w:rPr>
              <w:t>First Lien Secured Debt</w:t>
            </w:r>
          </w:p>
        </w:tc>
        <w:tc>
          <w:tcPr>
            <w:tcW w:w="19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30.2%</w:t>
            </w:r>
            <w:r>
              <w:rPr>
                <w:rFonts w:ascii="Arial" w:cs="Arial" w:eastAsia="Arial" w:hAnsi="Arial"/>
                <w:sz w:val="12"/>
                <w:szCs w:val="12"/>
                <w:color w:val="auto"/>
                <w:w w:val="93"/>
              </w:rPr>
              <w:t>(2),(3)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4848 Loop Central Drive</w:t>
            </w:r>
          </w:p>
        </w:tc>
        <w:tc>
          <w:tcPr>
            <w:tcW w:w="25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8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2"/>
              </w:rPr>
              <w:t>Second Lien Secured Debt</w:t>
            </w: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Houston, TX 77081</w:t>
            </w:r>
          </w:p>
        </w:tc>
        <w:tc>
          <w:tcPr>
            <w:tcW w:w="250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4"/>
              </w:rPr>
              <w:t>Preferred Equity</w:t>
            </w: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0" w:lineRule="exact"/>
        <w:rPr>
          <w:sz w:val="20"/>
          <w:szCs w:val="20"/>
          <w:color w:val="auto"/>
        </w:rPr>
      </w:pPr>
    </w:p>
    <w:p>
      <w:pPr>
        <w:ind w:left="340" w:hanging="332"/>
        <w:spacing w:after="0"/>
        <w:tabs>
          <w:tab w:leader="none" w:pos="3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Voting ownership percentage refers only to common equity, preferred equity and warrants held, if any, where we have voting rights.</w:t>
      </w:r>
    </w:p>
    <w:p>
      <w:pPr>
        <w:ind w:left="340" w:hanging="332"/>
        <w:spacing w:after="0" w:line="221" w:lineRule="auto"/>
        <w:tabs>
          <w:tab w:leader="none" w:pos="3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Indicates that we hold voting seats on portfolio companies’ boards of directors.</w:t>
      </w:r>
    </w:p>
    <w:p>
      <w:pPr>
        <w:ind w:left="340" w:hanging="332"/>
        <w:spacing w:after="0"/>
        <w:tabs>
          <w:tab w:leader="none" w:pos="3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Indicates that we provide managerial assistance. See “Certain Relationships and Transactions” for more information.</w:t>
      </w:r>
    </w:p>
    <w:p>
      <w:pPr>
        <w:spacing w:after="0" w:line="196"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table below describes investments by industry classification and enumerates the percentage, by fair value, of the total portfolio assets (excluding cash equivalents) in such industries: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20" w:type="dxa"/>
            <w:vAlign w:val="bottom"/>
            <w:vMerge w:val="restart"/>
          </w:tcPr>
          <w:p>
            <w:pPr>
              <w:spacing w:after="0"/>
              <w:rPr>
                <w:sz w:val="20"/>
                <w:szCs w:val="20"/>
                <w:color w:val="auto"/>
              </w:rPr>
            </w:pPr>
            <w:r>
              <w:rPr>
                <w:rFonts w:ascii="Arial" w:cs="Arial" w:eastAsia="Arial" w:hAnsi="Arial"/>
                <w:sz w:val="14"/>
                <w:szCs w:val="14"/>
                <w:b w:val="1"/>
                <w:bCs w:val="1"/>
                <w:color w:val="auto"/>
                <w:w w:val="93"/>
              </w:rPr>
              <w:t>Industry Classification</w:t>
            </w:r>
          </w:p>
        </w:tc>
        <w:tc>
          <w:tcPr>
            <w:tcW w:w="7940" w:type="dxa"/>
            <w:vAlign w:val="bottom"/>
            <w:vMerge w:val="restart"/>
          </w:tcPr>
          <w:p>
            <w:pPr>
              <w:spacing w:after="0"/>
              <w:rPr>
                <w:sz w:val="14"/>
                <w:szCs w:val="14"/>
                <w:color w:val="auto"/>
              </w:rPr>
            </w:pPr>
          </w:p>
        </w:tc>
        <w:tc>
          <w:tcPr>
            <w:tcW w:w="206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As of September 30,</w:t>
            </w:r>
          </w:p>
        </w:tc>
        <w:tc>
          <w:tcPr>
            <w:tcW w:w="0" w:type="dxa"/>
            <w:vAlign w:val="bottom"/>
          </w:tcPr>
          <w:p>
            <w:pPr>
              <w:spacing w:after="0"/>
              <w:rPr>
                <w:sz w:val="1"/>
                <w:szCs w:val="1"/>
                <w:color w:val="auto"/>
              </w:rPr>
            </w:pPr>
          </w:p>
        </w:tc>
      </w:tr>
      <w:tr>
        <w:trPr>
          <w:trHeight w:val="134"/>
        </w:trPr>
        <w:tc>
          <w:tcPr>
            <w:tcW w:w="1420" w:type="dxa"/>
            <w:vAlign w:val="bottom"/>
            <w:tcBorders>
              <w:bottom w:val="single" w:sz="8" w:color="auto"/>
            </w:tcBorders>
            <w:vMerge w:val="continue"/>
          </w:tcPr>
          <w:p>
            <w:pPr>
              <w:spacing w:after="0"/>
              <w:rPr>
                <w:sz w:val="11"/>
                <w:szCs w:val="11"/>
                <w:color w:val="auto"/>
              </w:rPr>
            </w:pPr>
          </w:p>
        </w:tc>
        <w:tc>
          <w:tcPr>
            <w:tcW w:w="7940" w:type="dxa"/>
            <w:vAlign w:val="bottom"/>
            <w:vMerge w:val="continue"/>
          </w:tcPr>
          <w:p>
            <w:pPr>
              <w:spacing w:after="0"/>
              <w:rPr>
                <w:sz w:val="11"/>
                <w:szCs w:val="11"/>
                <w:color w:val="auto"/>
              </w:rPr>
            </w:pPr>
          </w:p>
        </w:tc>
        <w:tc>
          <w:tcPr>
            <w:tcW w:w="3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2013</w:t>
            </w:r>
          </w:p>
        </w:tc>
        <w:tc>
          <w:tcPr>
            <w:tcW w:w="112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360" w:type="dxa"/>
            <w:vAlign w:val="bottom"/>
            <w:gridSpan w:val="2"/>
            <w:vMerge w:val="restart"/>
            <w:shd w:val="clear" w:color="auto" w:fill="CCEEFF"/>
          </w:tcPr>
          <w:p>
            <w:pPr>
              <w:spacing w:after="0" w:line="155" w:lineRule="exact"/>
              <w:rPr>
                <w:sz w:val="20"/>
                <w:szCs w:val="20"/>
                <w:color w:val="auto"/>
              </w:rPr>
            </w:pPr>
            <w:r>
              <w:rPr>
                <w:rFonts w:ascii="Arial" w:cs="Arial" w:eastAsia="Arial" w:hAnsi="Arial"/>
                <w:sz w:val="14"/>
                <w:szCs w:val="14"/>
                <w:color w:val="auto"/>
              </w:rPr>
              <w:t>Personal, Food and Miscellaneous Services</w:t>
            </w:r>
          </w:p>
        </w:tc>
        <w:tc>
          <w:tcPr>
            <w:tcW w:w="380" w:type="dxa"/>
            <w:vAlign w:val="bottom"/>
            <w:shd w:val="clear" w:color="auto" w:fill="000000"/>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9360" w:type="dxa"/>
            <w:vAlign w:val="bottom"/>
            <w:gridSpan w:val="2"/>
            <w:vMerge w:val="continue"/>
            <w:shd w:val="clear" w:color="auto" w:fill="CCEEFF"/>
          </w:tcPr>
          <w:p>
            <w:pPr>
              <w:spacing w:after="0"/>
              <w:rPr>
                <w:sz w:val="11"/>
                <w:szCs w:val="11"/>
                <w:color w:val="auto"/>
              </w:rPr>
            </w:pPr>
          </w:p>
        </w:tc>
        <w:tc>
          <w:tcPr>
            <w:tcW w:w="1500" w:type="dxa"/>
            <w:vAlign w:val="bottom"/>
            <w:gridSpan w:val="2"/>
            <w:shd w:val="clear" w:color="auto" w:fill="CCEEFF"/>
          </w:tcPr>
          <w:p>
            <w:pPr>
              <w:jc w:val="right"/>
              <w:ind w:right="1000"/>
              <w:spacing w:after="0" w:line="136" w:lineRule="exact"/>
              <w:rPr>
                <w:sz w:val="20"/>
                <w:szCs w:val="20"/>
                <w:color w:val="auto"/>
              </w:rPr>
            </w:pPr>
            <w:r>
              <w:rPr>
                <w:rFonts w:ascii="Arial" w:cs="Arial" w:eastAsia="Arial" w:hAnsi="Arial"/>
                <w:sz w:val="14"/>
                <w:szCs w:val="14"/>
                <w:color w:val="auto"/>
              </w:rPr>
              <w:t>11%</w:t>
            </w:r>
          </w:p>
        </w:tc>
        <w:tc>
          <w:tcPr>
            <w:tcW w:w="56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9"/>
        </w:trPr>
        <w:tc>
          <w:tcPr>
            <w:tcW w:w="9360" w:type="dxa"/>
            <w:vAlign w:val="bottom"/>
            <w:gridSpan w:val="2"/>
          </w:tcPr>
          <w:p>
            <w:pPr>
              <w:spacing w:after="0" w:line="149" w:lineRule="exact"/>
              <w:rPr>
                <w:sz w:val="20"/>
                <w:szCs w:val="20"/>
                <w:color w:val="auto"/>
              </w:rPr>
            </w:pPr>
            <w:r>
              <w:rPr>
                <w:rFonts w:ascii="Arial" w:cs="Arial" w:eastAsia="Arial" w:hAnsi="Arial"/>
                <w:sz w:val="14"/>
                <w:szCs w:val="14"/>
                <w:color w:val="auto"/>
              </w:rPr>
              <w:t>Printing and Publishing</w:t>
            </w:r>
          </w:p>
        </w:tc>
        <w:tc>
          <w:tcPr>
            <w:tcW w:w="1500" w:type="dxa"/>
            <w:vAlign w:val="bottom"/>
            <w:gridSpan w:val="2"/>
          </w:tcPr>
          <w:p>
            <w:pPr>
              <w:jc w:val="right"/>
              <w:ind w:right="1120"/>
              <w:spacing w:after="0" w:line="149" w:lineRule="exact"/>
              <w:rPr>
                <w:sz w:val="20"/>
                <w:szCs w:val="20"/>
                <w:color w:val="auto"/>
              </w:rPr>
            </w:pPr>
            <w:r>
              <w:rPr>
                <w:rFonts w:ascii="Arial" w:cs="Arial" w:eastAsia="Arial" w:hAnsi="Arial"/>
                <w:sz w:val="14"/>
                <w:szCs w:val="14"/>
                <w:color w:val="auto"/>
              </w:rPr>
              <w:t>9</w:t>
            </w:r>
          </w:p>
        </w:tc>
        <w:tc>
          <w:tcPr>
            <w:tcW w:w="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9"/>
        </w:trPr>
        <w:tc>
          <w:tcPr>
            <w:tcW w:w="9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Business Services</w:t>
            </w:r>
          </w:p>
        </w:tc>
        <w:tc>
          <w:tcPr>
            <w:tcW w:w="1500" w:type="dxa"/>
            <w:vAlign w:val="bottom"/>
            <w:gridSpan w:val="2"/>
            <w:shd w:val="clear" w:color="auto" w:fill="CCEEFF"/>
          </w:tcPr>
          <w:p>
            <w:pPr>
              <w:jc w:val="right"/>
              <w:ind w:right="1120"/>
              <w:spacing w:after="0" w:line="149" w:lineRule="exact"/>
              <w:rPr>
                <w:sz w:val="20"/>
                <w:szCs w:val="20"/>
                <w:color w:val="auto"/>
              </w:rPr>
            </w:pPr>
            <w:r>
              <w:rPr>
                <w:rFonts w:ascii="Arial" w:cs="Arial" w:eastAsia="Arial" w:hAnsi="Arial"/>
                <w:sz w:val="14"/>
                <w:szCs w:val="14"/>
                <w:color w:val="auto"/>
              </w:rPr>
              <w:t>8</w:t>
            </w:r>
          </w:p>
        </w:tc>
        <w:tc>
          <w:tcPr>
            <w:tcW w:w="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9"/>
        </w:trPr>
        <w:tc>
          <w:tcPr>
            <w:tcW w:w="9360" w:type="dxa"/>
            <w:vAlign w:val="bottom"/>
            <w:gridSpan w:val="2"/>
          </w:tcPr>
          <w:p>
            <w:pPr>
              <w:spacing w:after="0" w:line="149" w:lineRule="exact"/>
              <w:rPr>
                <w:sz w:val="20"/>
                <w:szCs w:val="20"/>
                <w:color w:val="auto"/>
              </w:rPr>
            </w:pPr>
            <w:r>
              <w:rPr>
                <w:rFonts w:ascii="Arial" w:cs="Arial" w:eastAsia="Arial" w:hAnsi="Arial"/>
                <w:sz w:val="14"/>
                <w:szCs w:val="14"/>
                <w:color w:val="auto"/>
              </w:rPr>
              <w:t>Electronics</w:t>
            </w:r>
          </w:p>
        </w:tc>
        <w:tc>
          <w:tcPr>
            <w:tcW w:w="1500" w:type="dxa"/>
            <w:vAlign w:val="bottom"/>
            <w:gridSpan w:val="2"/>
          </w:tcPr>
          <w:p>
            <w:pPr>
              <w:jc w:val="right"/>
              <w:ind w:right="1120"/>
              <w:spacing w:after="0" w:line="149" w:lineRule="exact"/>
              <w:rPr>
                <w:sz w:val="20"/>
                <w:szCs w:val="20"/>
                <w:color w:val="auto"/>
              </w:rPr>
            </w:pPr>
            <w:r>
              <w:rPr>
                <w:rFonts w:ascii="Arial" w:cs="Arial" w:eastAsia="Arial" w:hAnsi="Arial"/>
                <w:sz w:val="14"/>
                <w:szCs w:val="14"/>
                <w:color w:val="auto"/>
              </w:rPr>
              <w:t>8</w:t>
            </w:r>
          </w:p>
        </w:tc>
        <w:tc>
          <w:tcPr>
            <w:tcW w:w="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9"/>
        </w:trPr>
        <w:tc>
          <w:tcPr>
            <w:tcW w:w="9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Energy/Utilities</w:t>
            </w:r>
          </w:p>
        </w:tc>
        <w:tc>
          <w:tcPr>
            <w:tcW w:w="1500" w:type="dxa"/>
            <w:vAlign w:val="bottom"/>
            <w:gridSpan w:val="2"/>
            <w:shd w:val="clear" w:color="auto" w:fill="CCEEFF"/>
          </w:tcPr>
          <w:p>
            <w:pPr>
              <w:jc w:val="right"/>
              <w:ind w:right="1120"/>
              <w:spacing w:after="0" w:line="149" w:lineRule="exact"/>
              <w:rPr>
                <w:sz w:val="20"/>
                <w:szCs w:val="20"/>
                <w:color w:val="auto"/>
              </w:rPr>
            </w:pPr>
            <w:r>
              <w:rPr>
                <w:rFonts w:ascii="Arial" w:cs="Arial" w:eastAsia="Arial" w:hAnsi="Arial"/>
                <w:sz w:val="14"/>
                <w:szCs w:val="14"/>
                <w:color w:val="auto"/>
              </w:rPr>
              <w:t>8</w:t>
            </w:r>
          </w:p>
        </w:tc>
        <w:tc>
          <w:tcPr>
            <w:tcW w:w="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9"/>
        </w:trPr>
        <w:tc>
          <w:tcPr>
            <w:tcW w:w="9360" w:type="dxa"/>
            <w:vAlign w:val="bottom"/>
            <w:gridSpan w:val="2"/>
          </w:tcPr>
          <w:p>
            <w:pPr>
              <w:spacing w:after="0" w:line="149" w:lineRule="exact"/>
              <w:rPr>
                <w:sz w:val="20"/>
                <w:szCs w:val="20"/>
                <w:color w:val="auto"/>
              </w:rPr>
            </w:pPr>
            <w:r>
              <w:rPr>
                <w:rFonts w:ascii="Arial" w:cs="Arial" w:eastAsia="Arial" w:hAnsi="Arial"/>
                <w:sz w:val="14"/>
                <w:szCs w:val="14"/>
                <w:color w:val="auto"/>
              </w:rPr>
              <w:t>Healthcare, Education and Childcare</w:t>
            </w:r>
          </w:p>
        </w:tc>
        <w:tc>
          <w:tcPr>
            <w:tcW w:w="1500" w:type="dxa"/>
            <w:vAlign w:val="bottom"/>
            <w:gridSpan w:val="2"/>
          </w:tcPr>
          <w:p>
            <w:pPr>
              <w:jc w:val="right"/>
              <w:ind w:right="1120"/>
              <w:spacing w:after="0" w:line="149" w:lineRule="exact"/>
              <w:rPr>
                <w:sz w:val="20"/>
                <w:szCs w:val="20"/>
                <w:color w:val="auto"/>
              </w:rPr>
            </w:pPr>
            <w:r>
              <w:rPr>
                <w:rFonts w:ascii="Arial" w:cs="Arial" w:eastAsia="Arial" w:hAnsi="Arial"/>
                <w:sz w:val="14"/>
                <w:szCs w:val="14"/>
                <w:color w:val="auto"/>
              </w:rPr>
              <w:t>7</w:t>
            </w:r>
          </w:p>
        </w:tc>
        <w:tc>
          <w:tcPr>
            <w:tcW w:w="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9"/>
        </w:trPr>
        <w:tc>
          <w:tcPr>
            <w:tcW w:w="9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Oil and Gas</w:t>
            </w:r>
          </w:p>
        </w:tc>
        <w:tc>
          <w:tcPr>
            <w:tcW w:w="1500" w:type="dxa"/>
            <w:vAlign w:val="bottom"/>
            <w:gridSpan w:val="2"/>
            <w:shd w:val="clear" w:color="auto" w:fill="CCEEFF"/>
          </w:tcPr>
          <w:p>
            <w:pPr>
              <w:jc w:val="right"/>
              <w:ind w:right="1120"/>
              <w:spacing w:after="0" w:line="149" w:lineRule="exact"/>
              <w:rPr>
                <w:sz w:val="20"/>
                <w:szCs w:val="20"/>
                <w:color w:val="auto"/>
              </w:rPr>
            </w:pPr>
            <w:r>
              <w:rPr>
                <w:rFonts w:ascii="Arial" w:cs="Arial" w:eastAsia="Arial" w:hAnsi="Arial"/>
                <w:sz w:val="14"/>
                <w:szCs w:val="14"/>
                <w:color w:val="auto"/>
              </w:rPr>
              <w:t>7</w:t>
            </w:r>
          </w:p>
        </w:tc>
        <w:tc>
          <w:tcPr>
            <w:tcW w:w="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9360" w:type="dxa"/>
            <w:vAlign w:val="bottom"/>
            <w:gridSpan w:val="2"/>
          </w:tcPr>
          <w:p>
            <w:pPr>
              <w:spacing w:after="0" w:line="149" w:lineRule="exact"/>
              <w:rPr>
                <w:sz w:val="20"/>
                <w:szCs w:val="20"/>
                <w:color w:val="auto"/>
              </w:rPr>
            </w:pPr>
            <w:r>
              <w:rPr>
                <w:rFonts w:ascii="Arial" w:cs="Arial" w:eastAsia="Arial" w:hAnsi="Arial"/>
                <w:sz w:val="14"/>
                <w:szCs w:val="14"/>
                <w:color w:val="auto"/>
              </w:rPr>
              <w:t>Chemicals, Plastics and Rubber</w:t>
            </w:r>
          </w:p>
        </w:tc>
        <w:tc>
          <w:tcPr>
            <w:tcW w:w="1500" w:type="dxa"/>
            <w:vAlign w:val="bottom"/>
            <w:gridSpan w:val="2"/>
          </w:tcPr>
          <w:p>
            <w:pPr>
              <w:jc w:val="right"/>
              <w:ind w:right="1120"/>
              <w:spacing w:after="0" w:line="149" w:lineRule="exact"/>
              <w:rPr>
                <w:sz w:val="20"/>
                <w:szCs w:val="20"/>
                <w:color w:val="auto"/>
              </w:rPr>
            </w:pPr>
            <w:r>
              <w:rPr>
                <w:rFonts w:ascii="Arial" w:cs="Arial" w:eastAsia="Arial" w:hAnsi="Arial"/>
                <w:sz w:val="14"/>
                <w:szCs w:val="14"/>
                <w:color w:val="auto"/>
              </w:rPr>
              <w:t>6</w:t>
            </w:r>
          </w:p>
        </w:tc>
        <w:tc>
          <w:tcPr>
            <w:tcW w:w="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9"/>
        </w:trPr>
        <w:tc>
          <w:tcPr>
            <w:tcW w:w="9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Consumer Products</w:t>
            </w:r>
          </w:p>
        </w:tc>
        <w:tc>
          <w:tcPr>
            <w:tcW w:w="1500" w:type="dxa"/>
            <w:vAlign w:val="bottom"/>
            <w:gridSpan w:val="2"/>
            <w:shd w:val="clear" w:color="auto" w:fill="CCEEFF"/>
          </w:tcPr>
          <w:p>
            <w:pPr>
              <w:jc w:val="right"/>
              <w:ind w:right="1120"/>
              <w:spacing w:after="0" w:line="149" w:lineRule="exact"/>
              <w:rPr>
                <w:sz w:val="20"/>
                <w:szCs w:val="20"/>
                <w:color w:val="auto"/>
              </w:rPr>
            </w:pPr>
            <w:r>
              <w:rPr>
                <w:rFonts w:ascii="Arial" w:cs="Arial" w:eastAsia="Arial" w:hAnsi="Arial"/>
                <w:sz w:val="14"/>
                <w:szCs w:val="14"/>
                <w:color w:val="auto"/>
              </w:rPr>
              <w:t>5</w:t>
            </w:r>
          </w:p>
        </w:tc>
        <w:tc>
          <w:tcPr>
            <w:tcW w:w="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9"/>
        </w:trPr>
        <w:tc>
          <w:tcPr>
            <w:tcW w:w="9360" w:type="dxa"/>
            <w:vAlign w:val="bottom"/>
            <w:gridSpan w:val="2"/>
          </w:tcPr>
          <w:p>
            <w:pPr>
              <w:spacing w:after="0" w:line="149" w:lineRule="exact"/>
              <w:rPr>
                <w:sz w:val="20"/>
                <w:szCs w:val="20"/>
                <w:color w:val="auto"/>
              </w:rPr>
            </w:pPr>
            <w:r>
              <w:rPr>
                <w:rFonts w:ascii="Arial" w:cs="Arial" w:eastAsia="Arial" w:hAnsi="Arial"/>
                <w:sz w:val="14"/>
                <w:szCs w:val="14"/>
                <w:color w:val="auto"/>
              </w:rPr>
              <w:t>Hotels, Motels, Inns and Gaming</w:t>
            </w:r>
          </w:p>
        </w:tc>
        <w:tc>
          <w:tcPr>
            <w:tcW w:w="1500" w:type="dxa"/>
            <w:vAlign w:val="bottom"/>
            <w:gridSpan w:val="2"/>
          </w:tcPr>
          <w:p>
            <w:pPr>
              <w:jc w:val="right"/>
              <w:ind w:right="1120"/>
              <w:spacing w:after="0" w:line="149" w:lineRule="exact"/>
              <w:rPr>
                <w:sz w:val="20"/>
                <w:szCs w:val="20"/>
                <w:color w:val="auto"/>
              </w:rPr>
            </w:pPr>
            <w:r>
              <w:rPr>
                <w:rFonts w:ascii="Arial" w:cs="Arial" w:eastAsia="Arial" w:hAnsi="Arial"/>
                <w:sz w:val="14"/>
                <w:szCs w:val="14"/>
                <w:color w:val="auto"/>
              </w:rPr>
              <w:t>5</w:t>
            </w:r>
          </w:p>
        </w:tc>
        <w:tc>
          <w:tcPr>
            <w:tcW w:w="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9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Other Media</w:t>
            </w:r>
          </w:p>
        </w:tc>
        <w:tc>
          <w:tcPr>
            <w:tcW w:w="1500" w:type="dxa"/>
            <w:vAlign w:val="bottom"/>
            <w:gridSpan w:val="2"/>
            <w:shd w:val="clear" w:color="auto" w:fill="CCEEFF"/>
          </w:tcPr>
          <w:p>
            <w:pPr>
              <w:jc w:val="right"/>
              <w:ind w:right="1120"/>
              <w:spacing w:after="0" w:line="149" w:lineRule="exact"/>
              <w:rPr>
                <w:sz w:val="20"/>
                <w:szCs w:val="20"/>
                <w:color w:val="auto"/>
              </w:rPr>
            </w:pPr>
            <w:r>
              <w:rPr>
                <w:rFonts w:ascii="Arial" w:cs="Arial" w:eastAsia="Arial" w:hAnsi="Arial"/>
                <w:sz w:val="14"/>
                <w:szCs w:val="14"/>
                <w:color w:val="auto"/>
              </w:rPr>
              <w:t>5</w:t>
            </w:r>
          </w:p>
        </w:tc>
        <w:tc>
          <w:tcPr>
            <w:tcW w:w="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9"/>
        </w:trPr>
        <w:tc>
          <w:tcPr>
            <w:tcW w:w="9360" w:type="dxa"/>
            <w:vAlign w:val="bottom"/>
            <w:gridSpan w:val="2"/>
          </w:tcPr>
          <w:p>
            <w:pPr>
              <w:spacing w:after="0" w:line="149" w:lineRule="exact"/>
              <w:rPr>
                <w:sz w:val="20"/>
                <w:szCs w:val="20"/>
                <w:color w:val="auto"/>
              </w:rPr>
            </w:pPr>
            <w:r>
              <w:rPr>
                <w:rFonts w:ascii="Arial" w:cs="Arial" w:eastAsia="Arial" w:hAnsi="Arial"/>
                <w:sz w:val="14"/>
                <w:szCs w:val="14"/>
                <w:color w:val="auto"/>
              </w:rPr>
              <w:t>Auto Sector</w:t>
            </w:r>
          </w:p>
        </w:tc>
        <w:tc>
          <w:tcPr>
            <w:tcW w:w="1500" w:type="dxa"/>
            <w:vAlign w:val="bottom"/>
            <w:gridSpan w:val="2"/>
          </w:tcPr>
          <w:p>
            <w:pPr>
              <w:jc w:val="right"/>
              <w:ind w:right="1120"/>
              <w:spacing w:after="0" w:line="149" w:lineRule="exact"/>
              <w:rPr>
                <w:sz w:val="20"/>
                <w:szCs w:val="20"/>
                <w:color w:val="auto"/>
              </w:rPr>
            </w:pPr>
            <w:r>
              <w:rPr>
                <w:rFonts w:ascii="Arial" w:cs="Arial" w:eastAsia="Arial" w:hAnsi="Arial"/>
                <w:sz w:val="14"/>
                <w:szCs w:val="14"/>
                <w:color w:val="auto"/>
              </w:rPr>
              <w:t>4</w:t>
            </w:r>
          </w:p>
        </w:tc>
        <w:tc>
          <w:tcPr>
            <w:tcW w:w="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9"/>
        </w:trPr>
        <w:tc>
          <w:tcPr>
            <w:tcW w:w="9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Communication</w:t>
            </w:r>
          </w:p>
        </w:tc>
        <w:tc>
          <w:tcPr>
            <w:tcW w:w="1500" w:type="dxa"/>
            <w:vAlign w:val="bottom"/>
            <w:gridSpan w:val="2"/>
            <w:shd w:val="clear" w:color="auto" w:fill="CCEEFF"/>
          </w:tcPr>
          <w:p>
            <w:pPr>
              <w:jc w:val="right"/>
              <w:ind w:right="1120"/>
              <w:spacing w:after="0" w:line="149" w:lineRule="exact"/>
              <w:rPr>
                <w:sz w:val="20"/>
                <w:szCs w:val="20"/>
                <w:color w:val="auto"/>
              </w:rPr>
            </w:pPr>
            <w:r>
              <w:rPr>
                <w:rFonts w:ascii="Arial" w:cs="Arial" w:eastAsia="Arial" w:hAnsi="Arial"/>
                <w:sz w:val="14"/>
                <w:szCs w:val="14"/>
                <w:color w:val="auto"/>
              </w:rPr>
              <w:t>3</w:t>
            </w:r>
          </w:p>
        </w:tc>
        <w:tc>
          <w:tcPr>
            <w:tcW w:w="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9360" w:type="dxa"/>
            <w:vAlign w:val="bottom"/>
            <w:gridSpan w:val="2"/>
          </w:tcPr>
          <w:p>
            <w:pPr>
              <w:spacing w:after="0" w:line="149" w:lineRule="exact"/>
              <w:rPr>
                <w:sz w:val="20"/>
                <w:szCs w:val="20"/>
                <w:color w:val="auto"/>
              </w:rPr>
            </w:pPr>
            <w:r>
              <w:rPr>
                <w:rFonts w:ascii="Arial" w:cs="Arial" w:eastAsia="Arial" w:hAnsi="Arial"/>
                <w:sz w:val="14"/>
                <w:szCs w:val="14"/>
                <w:color w:val="auto"/>
              </w:rPr>
              <w:t>Distribution</w:t>
            </w:r>
          </w:p>
        </w:tc>
        <w:tc>
          <w:tcPr>
            <w:tcW w:w="1500" w:type="dxa"/>
            <w:vAlign w:val="bottom"/>
            <w:gridSpan w:val="2"/>
          </w:tcPr>
          <w:p>
            <w:pPr>
              <w:jc w:val="right"/>
              <w:ind w:right="1120"/>
              <w:spacing w:after="0" w:line="149" w:lineRule="exact"/>
              <w:rPr>
                <w:sz w:val="20"/>
                <w:szCs w:val="20"/>
                <w:color w:val="auto"/>
              </w:rPr>
            </w:pPr>
            <w:r>
              <w:rPr>
                <w:rFonts w:ascii="Arial" w:cs="Arial" w:eastAsia="Arial" w:hAnsi="Arial"/>
                <w:sz w:val="14"/>
                <w:szCs w:val="14"/>
                <w:color w:val="auto"/>
              </w:rPr>
              <w:t>2</w:t>
            </w:r>
          </w:p>
        </w:tc>
        <w:tc>
          <w:tcPr>
            <w:tcW w:w="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9"/>
        </w:trPr>
        <w:tc>
          <w:tcPr>
            <w:tcW w:w="9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Diversified Natural Resources, Precious Metals and Minerals</w:t>
            </w:r>
          </w:p>
        </w:tc>
        <w:tc>
          <w:tcPr>
            <w:tcW w:w="1500" w:type="dxa"/>
            <w:vAlign w:val="bottom"/>
            <w:gridSpan w:val="2"/>
            <w:shd w:val="clear" w:color="auto" w:fill="CCEEFF"/>
          </w:tcPr>
          <w:p>
            <w:pPr>
              <w:jc w:val="right"/>
              <w:ind w:right="1120"/>
              <w:spacing w:after="0" w:line="149" w:lineRule="exact"/>
              <w:rPr>
                <w:sz w:val="20"/>
                <w:szCs w:val="20"/>
                <w:color w:val="auto"/>
              </w:rPr>
            </w:pPr>
            <w:r>
              <w:rPr>
                <w:rFonts w:ascii="Arial" w:cs="Arial" w:eastAsia="Arial" w:hAnsi="Arial"/>
                <w:sz w:val="14"/>
                <w:szCs w:val="14"/>
                <w:color w:val="auto"/>
              </w:rPr>
              <w:t>2</w:t>
            </w:r>
          </w:p>
        </w:tc>
        <w:tc>
          <w:tcPr>
            <w:tcW w:w="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9360" w:type="dxa"/>
            <w:vAlign w:val="bottom"/>
            <w:gridSpan w:val="2"/>
          </w:tcPr>
          <w:p>
            <w:pPr>
              <w:spacing w:after="0" w:line="149" w:lineRule="exact"/>
              <w:rPr>
                <w:sz w:val="20"/>
                <w:szCs w:val="20"/>
                <w:color w:val="auto"/>
              </w:rPr>
            </w:pPr>
            <w:r>
              <w:rPr>
                <w:rFonts w:ascii="Arial" w:cs="Arial" w:eastAsia="Arial" w:hAnsi="Arial"/>
                <w:sz w:val="14"/>
                <w:szCs w:val="14"/>
                <w:color w:val="auto"/>
              </w:rPr>
              <w:t>Environmental Services</w:t>
            </w:r>
          </w:p>
        </w:tc>
        <w:tc>
          <w:tcPr>
            <w:tcW w:w="1500" w:type="dxa"/>
            <w:vAlign w:val="bottom"/>
            <w:gridSpan w:val="2"/>
          </w:tcPr>
          <w:p>
            <w:pPr>
              <w:jc w:val="right"/>
              <w:ind w:right="1120"/>
              <w:spacing w:after="0" w:line="149" w:lineRule="exact"/>
              <w:rPr>
                <w:sz w:val="20"/>
                <w:szCs w:val="20"/>
                <w:color w:val="auto"/>
              </w:rPr>
            </w:pPr>
            <w:r>
              <w:rPr>
                <w:rFonts w:ascii="Arial" w:cs="Arial" w:eastAsia="Arial" w:hAnsi="Arial"/>
                <w:sz w:val="14"/>
                <w:szCs w:val="14"/>
                <w:color w:val="auto"/>
              </w:rPr>
              <w:t>2</w:t>
            </w:r>
          </w:p>
        </w:tc>
        <w:tc>
          <w:tcPr>
            <w:tcW w:w="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9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Cargo Transport</w:t>
            </w:r>
          </w:p>
        </w:tc>
        <w:tc>
          <w:tcPr>
            <w:tcW w:w="1500" w:type="dxa"/>
            <w:vAlign w:val="bottom"/>
            <w:gridSpan w:val="2"/>
            <w:shd w:val="clear" w:color="auto" w:fill="CCEEFF"/>
          </w:tcPr>
          <w:p>
            <w:pPr>
              <w:jc w:val="right"/>
              <w:ind w:right="1120"/>
              <w:spacing w:after="0" w:line="149" w:lineRule="exact"/>
              <w:rPr>
                <w:sz w:val="20"/>
                <w:szCs w:val="20"/>
                <w:color w:val="auto"/>
              </w:rPr>
            </w:pPr>
            <w:r>
              <w:rPr>
                <w:rFonts w:ascii="Arial" w:cs="Arial" w:eastAsia="Arial" w:hAnsi="Arial"/>
                <w:sz w:val="14"/>
                <w:szCs w:val="14"/>
                <w:color w:val="auto"/>
              </w:rPr>
              <w:t>1</w:t>
            </w:r>
          </w:p>
        </w:tc>
        <w:tc>
          <w:tcPr>
            <w:tcW w:w="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9"/>
        </w:trPr>
        <w:tc>
          <w:tcPr>
            <w:tcW w:w="9360" w:type="dxa"/>
            <w:vAlign w:val="bottom"/>
            <w:gridSpan w:val="2"/>
          </w:tcPr>
          <w:p>
            <w:pPr>
              <w:spacing w:after="0" w:line="149" w:lineRule="exact"/>
              <w:rPr>
                <w:sz w:val="20"/>
                <w:szCs w:val="20"/>
                <w:color w:val="auto"/>
              </w:rPr>
            </w:pPr>
            <w:r>
              <w:rPr>
                <w:rFonts w:ascii="Arial" w:cs="Arial" w:eastAsia="Arial" w:hAnsi="Arial"/>
                <w:sz w:val="14"/>
                <w:szCs w:val="14"/>
                <w:color w:val="auto"/>
              </w:rPr>
              <w:t>Education</w:t>
            </w:r>
          </w:p>
        </w:tc>
        <w:tc>
          <w:tcPr>
            <w:tcW w:w="1500" w:type="dxa"/>
            <w:vAlign w:val="bottom"/>
            <w:gridSpan w:val="2"/>
          </w:tcPr>
          <w:p>
            <w:pPr>
              <w:jc w:val="right"/>
              <w:ind w:right="1120"/>
              <w:spacing w:after="0" w:line="149" w:lineRule="exact"/>
              <w:rPr>
                <w:sz w:val="20"/>
                <w:szCs w:val="20"/>
                <w:color w:val="auto"/>
              </w:rPr>
            </w:pPr>
            <w:r>
              <w:rPr>
                <w:rFonts w:ascii="Arial" w:cs="Arial" w:eastAsia="Arial" w:hAnsi="Arial"/>
                <w:sz w:val="14"/>
                <w:szCs w:val="14"/>
                <w:color w:val="auto"/>
              </w:rPr>
              <w:t>1</w:t>
            </w:r>
          </w:p>
        </w:tc>
        <w:tc>
          <w:tcPr>
            <w:tcW w:w="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9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Mining, Steel, Iron and Non-Precious Metals</w:t>
            </w:r>
          </w:p>
        </w:tc>
        <w:tc>
          <w:tcPr>
            <w:tcW w:w="1500" w:type="dxa"/>
            <w:vAlign w:val="bottom"/>
            <w:gridSpan w:val="2"/>
            <w:shd w:val="clear" w:color="auto" w:fill="CCEEFF"/>
          </w:tcPr>
          <w:p>
            <w:pPr>
              <w:jc w:val="right"/>
              <w:ind w:right="1120"/>
              <w:spacing w:after="0" w:line="149" w:lineRule="exact"/>
              <w:rPr>
                <w:sz w:val="20"/>
                <w:szCs w:val="20"/>
                <w:color w:val="auto"/>
              </w:rPr>
            </w:pPr>
            <w:r>
              <w:rPr>
                <w:rFonts w:ascii="Arial" w:cs="Arial" w:eastAsia="Arial" w:hAnsi="Arial"/>
                <w:sz w:val="14"/>
                <w:szCs w:val="14"/>
                <w:color w:val="auto"/>
              </w:rPr>
              <w:t>1</w:t>
            </w:r>
          </w:p>
        </w:tc>
        <w:tc>
          <w:tcPr>
            <w:tcW w:w="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9360" w:type="dxa"/>
            <w:vAlign w:val="bottom"/>
            <w:gridSpan w:val="2"/>
          </w:tcPr>
          <w:p>
            <w:pPr>
              <w:spacing w:after="0" w:line="149" w:lineRule="exact"/>
              <w:rPr>
                <w:sz w:val="20"/>
                <w:szCs w:val="20"/>
                <w:color w:val="auto"/>
              </w:rPr>
            </w:pPr>
            <w:r>
              <w:rPr>
                <w:rFonts w:ascii="Arial" w:cs="Arial" w:eastAsia="Arial" w:hAnsi="Arial"/>
                <w:sz w:val="14"/>
                <w:szCs w:val="14"/>
                <w:color w:val="auto"/>
              </w:rPr>
              <w:t>Insurance</w:t>
            </w:r>
          </w:p>
        </w:tc>
        <w:tc>
          <w:tcPr>
            <w:tcW w:w="1500" w:type="dxa"/>
            <w:vAlign w:val="bottom"/>
            <w:gridSpan w:val="2"/>
          </w:tcPr>
          <w:p>
            <w:pPr>
              <w:jc w:val="right"/>
              <w:ind w:right="1120"/>
              <w:spacing w:after="0" w:line="149" w:lineRule="exact"/>
              <w:rPr>
                <w:sz w:val="20"/>
                <w:szCs w:val="20"/>
                <w:color w:val="auto"/>
              </w:rPr>
            </w:pPr>
            <w:r>
              <w:rPr>
                <w:rFonts w:ascii="Arial" w:cs="Arial" w:eastAsia="Arial" w:hAnsi="Arial"/>
                <w:sz w:val="14"/>
                <w:szCs w:val="14"/>
                <w:color w:val="auto"/>
              </w:rPr>
              <w:t>1</w:t>
            </w:r>
          </w:p>
        </w:tc>
        <w:tc>
          <w:tcPr>
            <w:tcW w:w="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9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Aerospace and Defense</w:t>
            </w:r>
          </w:p>
        </w:tc>
        <w:tc>
          <w:tcPr>
            <w:tcW w:w="1500" w:type="dxa"/>
            <w:vAlign w:val="bottom"/>
            <w:gridSpan w:val="2"/>
            <w:shd w:val="clear" w:color="auto" w:fill="CCEEFF"/>
          </w:tcPr>
          <w:p>
            <w:pPr>
              <w:jc w:val="right"/>
              <w:ind w:right="112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9360" w:type="dxa"/>
            <w:vAlign w:val="bottom"/>
            <w:gridSpan w:val="2"/>
          </w:tcPr>
          <w:p>
            <w:pPr>
              <w:spacing w:after="0" w:line="149" w:lineRule="exact"/>
              <w:rPr>
                <w:sz w:val="20"/>
                <w:szCs w:val="20"/>
                <w:color w:val="auto"/>
              </w:rPr>
            </w:pPr>
            <w:r>
              <w:rPr>
                <w:rFonts w:ascii="Arial" w:cs="Arial" w:eastAsia="Arial" w:hAnsi="Arial"/>
                <w:sz w:val="14"/>
                <w:szCs w:val="14"/>
                <w:color w:val="auto"/>
              </w:rPr>
              <w:t>Buildings and Real Estate</w:t>
            </w:r>
          </w:p>
        </w:tc>
        <w:tc>
          <w:tcPr>
            <w:tcW w:w="1500" w:type="dxa"/>
            <w:vAlign w:val="bottom"/>
            <w:gridSpan w:val="2"/>
          </w:tcPr>
          <w:p>
            <w:pPr>
              <w:jc w:val="right"/>
              <w:ind w:right="112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9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Leisure, Amusement, Motion Pictures, Entertainment</w:t>
            </w:r>
          </w:p>
        </w:tc>
        <w:tc>
          <w:tcPr>
            <w:tcW w:w="1500" w:type="dxa"/>
            <w:vAlign w:val="bottom"/>
            <w:gridSpan w:val="2"/>
            <w:shd w:val="clear" w:color="auto" w:fill="CCEEFF"/>
          </w:tcPr>
          <w:p>
            <w:pPr>
              <w:jc w:val="right"/>
              <w:ind w:right="112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9360" w:type="dxa"/>
            <w:vAlign w:val="bottom"/>
            <w:gridSpan w:val="2"/>
          </w:tcPr>
          <w:p>
            <w:pPr>
              <w:spacing w:after="0" w:line="149" w:lineRule="exact"/>
              <w:rPr>
                <w:sz w:val="20"/>
                <w:szCs w:val="20"/>
                <w:color w:val="auto"/>
              </w:rPr>
            </w:pPr>
            <w:r>
              <w:rPr>
                <w:rFonts w:ascii="Arial" w:cs="Arial" w:eastAsia="Arial" w:hAnsi="Arial"/>
                <w:sz w:val="14"/>
                <w:szCs w:val="14"/>
                <w:color w:val="auto"/>
              </w:rPr>
              <w:t>Telecommunications</w:t>
            </w:r>
          </w:p>
        </w:tc>
        <w:tc>
          <w:tcPr>
            <w:tcW w:w="1500" w:type="dxa"/>
            <w:vAlign w:val="bottom"/>
            <w:gridSpan w:val="2"/>
          </w:tcPr>
          <w:p>
            <w:pPr>
              <w:jc w:val="right"/>
              <w:ind w:right="112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9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1500" w:type="dxa"/>
            <w:vAlign w:val="bottom"/>
            <w:gridSpan w:val="2"/>
            <w:shd w:val="clear" w:color="auto" w:fill="CCEEFF"/>
          </w:tcPr>
          <w:p>
            <w:pPr>
              <w:jc w:val="right"/>
              <w:ind w:right="1120"/>
              <w:spacing w:after="0" w:line="149" w:lineRule="exact"/>
              <w:rPr>
                <w:sz w:val="20"/>
                <w:szCs w:val="20"/>
                <w:color w:val="auto"/>
              </w:rPr>
            </w:pPr>
            <w:r>
              <w:rPr>
                <w:rFonts w:ascii="Arial" w:cs="Arial" w:eastAsia="Arial" w:hAnsi="Arial"/>
                <w:sz w:val="14"/>
                <w:szCs w:val="14"/>
                <w:color w:val="auto"/>
              </w:rPr>
              <w:t>4</w:t>
            </w:r>
          </w:p>
        </w:tc>
        <w:tc>
          <w:tcPr>
            <w:tcW w:w="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
        </w:trPr>
        <w:tc>
          <w:tcPr>
            <w:tcW w:w="9360" w:type="dxa"/>
            <w:vAlign w:val="bottom"/>
            <w:gridSpan w:val="2"/>
            <w:vMerge w:val="restart"/>
          </w:tcPr>
          <w:p>
            <w:pPr>
              <w:spacing w:after="0"/>
              <w:rPr>
                <w:sz w:val="20"/>
                <w:szCs w:val="20"/>
                <w:color w:val="auto"/>
              </w:rPr>
            </w:pPr>
            <w:r>
              <w:rPr>
                <w:rFonts w:ascii="Arial" w:cs="Arial" w:eastAsia="Arial" w:hAnsi="Arial"/>
                <w:sz w:val="14"/>
                <w:szCs w:val="14"/>
                <w:color w:val="auto"/>
              </w:rPr>
              <w:t>Total</w:t>
            </w:r>
          </w:p>
        </w:tc>
        <w:tc>
          <w:tcPr>
            <w:tcW w:w="38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360" w:type="dxa"/>
            <w:vAlign w:val="bottom"/>
            <w:gridSpan w:val="2"/>
            <w:vMerge w:val="continue"/>
          </w:tcPr>
          <w:p>
            <w:pPr>
              <w:spacing w:after="0"/>
              <w:rPr>
                <w:sz w:val="13"/>
                <w:szCs w:val="13"/>
                <w:color w:val="auto"/>
              </w:rPr>
            </w:pPr>
          </w:p>
        </w:tc>
        <w:tc>
          <w:tcPr>
            <w:tcW w:w="1500" w:type="dxa"/>
            <w:vAlign w:val="bottom"/>
            <w:gridSpan w:val="2"/>
          </w:tcPr>
          <w:p>
            <w:pPr>
              <w:jc w:val="right"/>
              <w:ind w:right="1000"/>
              <w:spacing w:after="0" w:line="155" w:lineRule="exact"/>
              <w:rPr>
                <w:sz w:val="20"/>
                <w:szCs w:val="20"/>
                <w:color w:val="auto"/>
              </w:rPr>
            </w:pPr>
            <w:r>
              <w:rPr>
                <w:rFonts w:ascii="Arial" w:cs="Arial" w:eastAsia="Arial" w:hAnsi="Arial"/>
                <w:sz w:val="14"/>
                <w:szCs w:val="14"/>
                <w:color w:val="auto"/>
              </w:rPr>
              <w:t>100%</w:t>
            </w:r>
          </w:p>
        </w:tc>
        <w:tc>
          <w:tcPr>
            <w:tcW w:w="5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2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Our business and affairs are managed under the direction of our board of directors. The board of directors currently consists of five members, four of whom are not “interested persons” of PennantPark Investment as defined in Section 2(a)(19) of the 1940 Act. We refer to these individuals as our Independent Directors. Our board of directors elects our officers, who serve at the discretion of the board of directors.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12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Under our charter, our directors are divided into three classes. Each class of directors holds office for a three-year term. At each annual meeting of our stockholders, the successors to the class of directors whose terms expire at such meeting will be elected to hold office for a term expiring at the annual meeting of stockholders held in the third year following the year of their election. Each director holds office for the term to which he or she is elected and until his or her successor is duly elected and qualifies.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regarding the board of directors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Director</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3"/>
              </w:rPr>
              <w:t>Expiration</w:t>
            </w:r>
          </w:p>
        </w:tc>
      </w:tr>
      <w:tr>
        <w:trPr>
          <w:trHeight w:val="241"/>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580" w:type="dxa"/>
            <w:vAlign w:val="bottom"/>
          </w:tcPr>
          <w:p>
            <w:pPr>
              <w:jc w:val="center"/>
              <w:spacing w:after="0"/>
              <w:rPr>
                <w:sz w:val="20"/>
                <w:szCs w:val="20"/>
                <w:color w:val="auto"/>
              </w:rPr>
            </w:pPr>
            <w:r>
              <w:rPr>
                <w:rFonts w:ascii="Arial" w:cs="Arial" w:eastAsia="Arial" w:hAnsi="Arial"/>
                <w:sz w:val="18"/>
                <w:szCs w:val="18"/>
                <w:b w:val="1"/>
                <w:bCs w:val="1"/>
                <w:color w:val="auto"/>
                <w:w w:val="88"/>
              </w:rPr>
              <w:t>Age</w:t>
            </w:r>
          </w:p>
        </w:tc>
        <w:tc>
          <w:tcPr>
            <w:tcW w:w="4000" w:type="dxa"/>
            <w:vAlign w:val="bottom"/>
            <w:gridSpan w:val="3"/>
          </w:tcPr>
          <w:p>
            <w:pPr>
              <w:ind w:left="340"/>
              <w:spacing w:after="0"/>
              <w:rPr>
                <w:sz w:val="20"/>
                <w:szCs w:val="20"/>
                <w:color w:val="auto"/>
              </w:rPr>
            </w:pPr>
            <w:r>
              <w:rPr>
                <w:rFonts w:ascii="Arial" w:cs="Arial" w:eastAsia="Arial" w:hAnsi="Arial"/>
                <w:sz w:val="18"/>
                <w:szCs w:val="18"/>
                <w:b w:val="1"/>
                <w:bCs w:val="1"/>
                <w:color w:val="auto"/>
              </w:rPr>
              <w:t>Position</w:t>
            </w: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Since</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3"/>
              </w:rPr>
              <w:t>of Term</w:t>
            </w:r>
          </w:p>
        </w:tc>
      </w:tr>
      <w:tr>
        <w:trPr>
          <w:trHeight w:val="216"/>
        </w:trPr>
        <w:tc>
          <w:tcPr>
            <w:tcW w:w="4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Independent directors</w:t>
            </w:r>
          </w:p>
        </w:tc>
        <w:tc>
          <w:tcPr>
            <w:tcW w:w="3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3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Adam K. Bernstein</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4000" w:type="dxa"/>
            <w:vAlign w:val="bottom"/>
            <w:gridSpan w:val="3"/>
          </w:tcPr>
          <w:p>
            <w:pPr>
              <w:ind w:left="340"/>
              <w:spacing w:after="0"/>
              <w:rPr>
                <w:sz w:val="20"/>
                <w:szCs w:val="20"/>
                <w:color w:val="auto"/>
              </w:rPr>
            </w:pPr>
            <w:r>
              <w:rPr>
                <w:rFonts w:ascii="Arial" w:cs="Arial" w:eastAsia="Arial" w:hAnsi="Arial"/>
                <w:sz w:val="18"/>
                <w:szCs w:val="18"/>
                <w:color w:val="auto"/>
              </w:rPr>
              <w:t>Director</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3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2015</w:t>
            </w: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Marshall Brozost</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46</w:t>
            </w:r>
          </w:p>
        </w:tc>
        <w:tc>
          <w:tcPr>
            <w:tcW w:w="40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Director</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2014</w:t>
            </w:r>
          </w:p>
        </w:tc>
      </w:t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rPr>
              <w:t>Jeffrey Flug</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4000" w:type="dxa"/>
            <w:vAlign w:val="bottom"/>
            <w:gridSpan w:val="3"/>
          </w:tcPr>
          <w:p>
            <w:pPr>
              <w:ind w:left="340"/>
              <w:spacing w:after="0"/>
              <w:rPr>
                <w:sz w:val="20"/>
                <w:szCs w:val="20"/>
                <w:color w:val="auto"/>
              </w:rPr>
            </w:pPr>
            <w:r>
              <w:rPr>
                <w:rFonts w:ascii="Arial" w:cs="Arial" w:eastAsia="Arial" w:hAnsi="Arial"/>
                <w:sz w:val="18"/>
                <w:szCs w:val="18"/>
                <w:color w:val="auto"/>
              </w:rPr>
              <w:t>Director</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34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2015</w:t>
            </w: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Samuel L. Katz</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48</w:t>
            </w:r>
          </w:p>
        </w:tc>
        <w:tc>
          <w:tcPr>
            <w:tcW w:w="40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Director</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2014</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2"/>
        </w:trPr>
        <w:tc>
          <w:tcPr>
            <w:tcW w:w="45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Arthur H. Penn</w:t>
            </w:r>
          </w:p>
        </w:tc>
        <w:tc>
          <w:tcPr>
            <w:tcW w:w="5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50</w:t>
            </w:r>
          </w:p>
        </w:tc>
        <w:tc>
          <w:tcPr>
            <w:tcW w:w="4000" w:type="dxa"/>
            <w:vAlign w:val="bottom"/>
            <w:gridSpan w:val="3"/>
            <w:shd w:val="clear" w:color="auto" w:fill="CCEEFF"/>
          </w:tcPr>
          <w:p>
            <w:pPr>
              <w:ind w:left="340"/>
              <w:spacing w:after="0" w:line="201" w:lineRule="exact"/>
              <w:rPr>
                <w:sz w:val="20"/>
                <w:szCs w:val="20"/>
                <w:color w:val="auto"/>
              </w:rPr>
            </w:pPr>
            <w:r>
              <w:rPr>
                <w:rFonts w:ascii="Arial" w:cs="Arial" w:eastAsia="Arial" w:hAnsi="Arial"/>
                <w:sz w:val="18"/>
                <w:szCs w:val="18"/>
                <w:color w:val="auto"/>
              </w:rPr>
              <w:t>Chairman of the Board and Chief</w:t>
            </w:r>
          </w:p>
        </w:tc>
        <w:tc>
          <w:tcPr>
            <w:tcW w:w="7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2007</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2016</w:t>
            </w:r>
          </w:p>
        </w:tc>
      </w:tr>
      <w:tr>
        <w:trPr>
          <w:trHeight w:val="230"/>
        </w:trPr>
        <w:tc>
          <w:tcPr>
            <w:tcW w:w="4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Executive Officer</w:t>
            </w:r>
          </w:p>
        </w:tc>
        <w:tc>
          <w:tcPr>
            <w:tcW w:w="7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 Who is Not a Director</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information pertains to our executive officer who is not a director of PennantPark Investment.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58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9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8"/>
              </w:rPr>
              <w:t>Age</w:t>
            </w:r>
          </w:p>
        </w:tc>
        <w:tc>
          <w:tcPr>
            <w:tcW w:w="4920" w:type="dxa"/>
            <w:vAlign w:val="bottom"/>
          </w:tcPr>
          <w:p>
            <w:pPr>
              <w:spacing w:after="0"/>
              <w:rPr>
                <w:sz w:val="20"/>
                <w:szCs w:val="20"/>
                <w:color w:val="auto"/>
              </w:rPr>
            </w:pPr>
            <w:r>
              <w:rPr>
                <w:rFonts w:ascii="Arial" w:cs="Arial" w:eastAsia="Arial" w:hAnsi="Arial"/>
                <w:sz w:val="18"/>
                <w:szCs w:val="18"/>
                <w:b w:val="1"/>
                <w:bCs w:val="1"/>
                <w:color w:val="auto"/>
              </w:rPr>
              <w:t>Position</w:t>
            </w:r>
          </w:p>
        </w:tc>
      </w:tr>
      <w:tr>
        <w:trPr>
          <w:trHeight w:val="210"/>
        </w:trPr>
        <w:tc>
          <w:tcPr>
            <w:tcW w:w="5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Aviv Efrat</w:t>
            </w:r>
          </w:p>
        </w:tc>
        <w:tc>
          <w:tcPr>
            <w:tcW w:w="4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49</w:t>
            </w:r>
          </w:p>
        </w:tc>
        <w:tc>
          <w:tcPr>
            <w:tcW w:w="460" w:type="dxa"/>
            <w:vAlign w:val="bottom"/>
            <w:tcBorders>
              <w:top w:val="single" w:sz="8" w:color="CCEEFF"/>
            </w:tcBorders>
            <w:shd w:val="clear" w:color="auto" w:fill="CCEEFF"/>
          </w:tcPr>
          <w:p>
            <w:pPr>
              <w:spacing w:after="0"/>
              <w:rPr>
                <w:sz w:val="18"/>
                <w:szCs w:val="18"/>
                <w:color w:val="auto"/>
              </w:rPr>
            </w:pPr>
          </w:p>
        </w:tc>
        <w:tc>
          <w:tcPr>
            <w:tcW w:w="4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Chief Financial Officer and Treasurer</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Officer Who is Not a Director</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information pertains to our officer who is not a director of PennantPark Investment.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58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9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8"/>
              </w:rPr>
              <w:t>Age</w:t>
            </w:r>
          </w:p>
        </w:tc>
        <w:tc>
          <w:tcPr>
            <w:tcW w:w="4920" w:type="dxa"/>
            <w:vAlign w:val="bottom"/>
          </w:tcPr>
          <w:p>
            <w:pPr>
              <w:spacing w:after="0"/>
              <w:rPr>
                <w:sz w:val="20"/>
                <w:szCs w:val="20"/>
                <w:color w:val="auto"/>
              </w:rPr>
            </w:pPr>
            <w:r>
              <w:rPr>
                <w:rFonts w:ascii="Arial" w:cs="Arial" w:eastAsia="Arial" w:hAnsi="Arial"/>
                <w:sz w:val="18"/>
                <w:szCs w:val="18"/>
                <w:b w:val="1"/>
                <w:bCs w:val="1"/>
                <w:color w:val="auto"/>
              </w:rPr>
              <w:t>Position</w:t>
            </w:r>
          </w:p>
        </w:tc>
      </w:tr>
      <w:tr>
        <w:trPr>
          <w:trHeight w:val="210"/>
        </w:trPr>
        <w:tc>
          <w:tcPr>
            <w:tcW w:w="5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Guy F. Talarico</w:t>
            </w:r>
          </w:p>
        </w:tc>
        <w:tc>
          <w:tcPr>
            <w:tcW w:w="4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58</w:t>
            </w:r>
          </w:p>
        </w:tc>
        <w:tc>
          <w:tcPr>
            <w:tcW w:w="460" w:type="dxa"/>
            <w:vAlign w:val="bottom"/>
            <w:tcBorders>
              <w:top w:val="single" w:sz="8" w:color="CCEEFF"/>
            </w:tcBorders>
            <w:shd w:val="clear" w:color="auto" w:fill="CCEEFF"/>
          </w:tcPr>
          <w:p>
            <w:pPr>
              <w:spacing w:after="0"/>
              <w:rPr>
                <w:sz w:val="18"/>
                <w:szCs w:val="18"/>
                <w:color w:val="auto"/>
              </w:rPr>
            </w:pPr>
          </w:p>
        </w:tc>
        <w:tc>
          <w:tcPr>
            <w:tcW w:w="4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Chief Compliance Officer</w:t>
            </w: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executive office is located at 590 Madison Avenue, 15th Floor, New York, New York 10022.</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 Composition and Leadership Structure</w:t>
      </w:r>
    </w:p>
    <w:p>
      <w:pPr>
        <w:spacing w:after="0" w:line="11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1940 Act requires that at least a majority of our directors not be “interested persons” (as defined in the 1940 Act) of the Company. Currently, four of our five directors are Independent Directors. The Chairman of our board of directors is our Chief Executive Officer and therefore an interested person of us. The Independent Directors believe that the combined position of Chief Executive Officer and Chairman of the board of directors results in efficiencies in managing us by eliminating the need to transfer substantial information quickly and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repeatedly between the Chief Executive Officer and the Chairman and by offering the ability to capitalize on the specialized knowledge acquired from the duties of the roles. The board of directors has not identified a lead Independent Director; however, it has determined that its leadership structure, in which 80% of the directors are Independent Directors and, as such, are not affiliated with the Investment Adviser or the Administrator, is appropriate in light of the services that the Investment Adviser and the Administrator provide us and the potential conflicts of interest that could arise from these relationships.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 Risk Oversight Role</w:t>
      </w:r>
    </w:p>
    <w:p>
      <w:pPr>
        <w:spacing w:after="0" w:line="117"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The board of directors performs its risk oversight function primarily through (1) its three standing committees, described more fully below, which report to the entire board of directors and are comprised solely of Independent Directors and (2) monitoring by our Chief Compliance Officer in accordance with our compliance policies and procedures.</w:t>
      </w:r>
    </w:p>
    <w:p>
      <w:pPr>
        <w:spacing w:after="0" w:line="181"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As described below in more detail under “Audit Committee,” “Nominating and Corporate Governance Committee” and “Compensation Committee,” the board of directors’ Audit Committee, Nominating and Corporate Governance Committee and Compensation Committee assist the board of directors in fulfilling its risk oversight responsibilities. The Audit Committee’s risk oversight responsibilities include overseeing our accounting and financial reporting processes, including the annual audit of our financial statements and systems of internal controls regarding finance and accounting, pre-approving the engagement of an independent registered public accounting firm to render audit and/or permissible non-audit services and evaluating the qualifications, performance and independence of the independent registered public accounting firm. The Nominating and Corporate Governance Committee’s risk oversight responsibilities include selecting, researching and nominating directors for election by our stockholders, developing and recommending to the board of directors a set of corporate governance principles and overseeing the evaluation of the board of directors and our management. The Compensation Committee’s risk oversight responsibilities include determining, or recommending to the board for determining, the compensation of the Company’s chief executive officer and all other executive officers, paid directly by the Company, if any, and assisting the board of directors with matters related to compensation, as directed by the board of directors. The Audit Committee, Nominating and Corporate Governance Committee and Compensation Committee consist solely of Independent Directors.</w:t>
      </w:r>
    </w:p>
    <w:p>
      <w:pPr>
        <w:spacing w:after="0" w:line="180" w:lineRule="exact"/>
        <w:rPr>
          <w:sz w:val="20"/>
          <w:szCs w:val="20"/>
          <w:color w:val="auto"/>
        </w:rPr>
      </w:pPr>
    </w:p>
    <w:p>
      <w:pPr>
        <w:ind w:right="160" w:firstLine="456"/>
        <w:spacing w:after="0" w:line="285" w:lineRule="auto"/>
        <w:rPr>
          <w:sz w:val="20"/>
          <w:szCs w:val="20"/>
          <w:color w:val="auto"/>
        </w:rPr>
      </w:pPr>
      <w:r>
        <w:rPr>
          <w:rFonts w:ascii="Arial" w:cs="Arial" w:eastAsia="Arial" w:hAnsi="Arial"/>
          <w:sz w:val="16"/>
          <w:szCs w:val="16"/>
          <w:color w:val="auto"/>
        </w:rPr>
        <w:t>The board of directors also performs its risk oversight responsibilities with the assistance of the Chief Compliance Officer. Our Chief Compliance Officer prepares a written report annually discussing the adequacy and effectiveness of the compliance policies and procedures and certain of its service providers. The Chief Compliance Officer’s report, which is reviewed by the board of directors, addresses at a minimum: (1) the operation of our compliance policies and procedures and certain of our service providers since the last report; (2) any material changes to such policies and procedures since the last report; (3) any recommendations for material changes to such policies and procedures as a result of the Chief Compliance Officer’s annual review; and</w:t>
      </w:r>
    </w:p>
    <w:p>
      <w:pPr>
        <w:spacing w:after="0" w:line="2" w:lineRule="exact"/>
        <w:rPr>
          <w:sz w:val="20"/>
          <w:szCs w:val="20"/>
          <w:color w:val="auto"/>
        </w:rPr>
      </w:pPr>
    </w:p>
    <w:p>
      <w:pPr>
        <w:ind w:right="80" w:firstLine="8"/>
        <w:spacing w:after="0" w:line="255" w:lineRule="auto"/>
        <w:tabs>
          <w:tab w:leader="none" w:pos="255"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compliance matter that has occurred since the date of the last report about which the board of directors would reasonably need to know to oversee our compliance activities and risks. In addition, the Chief Compliance Officer meets separately in executive session with the Independent Directors at least once each year.</w:t>
      </w:r>
    </w:p>
    <w:p>
      <w:pPr>
        <w:spacing w:after="0" w:line="190"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believe that the board of directors’ role in risk oversight is effective and appropriate given the extensive regulation to which it is already subject as a BDC. Specifically, as a BDC, we must comply with certain regulatory requirements that control the levels of risk in our business and operations. For example, our ability to incur indebtedness is limited by the asset coverage requirements set forth in the 1940 Act (including any relief provided by the SEC thereto), and we generally must invest at least 70% of our total assets in “qualifying assets.” In addition, we elected to be treated as a RIC under the Code. As a RIC, we must, among other things, meet certain income source and asset diversification requirements.</w:t>
      </w:r>
    </w:p>
    <w:p>
      <w:pPr>
        <w:spacing w:after="0" w:line="173"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We believe that the extent of the board of directors’ and its committees’ roles in risk oversight complements the board of directors’ leadership structure. Because they are comprised solely of Independent Directors, the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Audit Committee, the Nominating and Corporate Governance Committee and Compensation Committee are able to exercise their oversight responsibilities without any conflict of interest that might discourage critical questioning and review. Through regular executive session meetings with our independent auditors, Chief Compliance Officer and Chief Executive Officer, the Independent Directors have similarly established direct communication and oversight channels that the board of directors believes foster open communication and early detection of issues of concern.</w:t>
      </w:r>
    </w:p>
    <w:p>
      <w:pPr>
        <w:spacing w:after="0" w:line="17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believe that the board of directors’ role in risk oversight must be evaluated on a case by case basis and that the current configuration and allocation of responsibilities among the board of directors and its committees with respect to the oversight of risk is appropriate. However, the board of directors and its committees continually re-examine the manner in which they administer their respective risk oversight functions, including through formal annual assessments of performance, to ensure that they meet our needs.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Biographical Information</w:t>
      </w:r>
    </w:p>
    <w:p>
      <w:pPr>
        <w:spacing w:after="0" w:line="121"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The board of directors believes that, collectively, the directors have balanced and diverse experience, qualifications, attributes and skills, which allow the board of directors to operate effectively in governing us and protecting the interests of our stockholders. Below is a description of the various experiences, qualifications, attributes and/or skills with respect to each director considered by the board of directors. Our directors have been divided into two groups-interested directors and Independent Directors. Interested directors are “interested persons” as defined in the 1940 Act.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Independent Directors</w:t>
      </w:r>
    </w:p>
    <w:p>
      <w:pPr>
        <w:spacing w:after="0" w:line="11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Adam K. Bernstein (50), Director. Mr. Bernstein became a Director of PennantPark Investment and PennantPark Floating Rate Capital Ltd. in February 2007 and October 2010, respectively. Mr. Bernstein is President of The Bernstein Companies, a Washington, D.C.-based real estate firm which he joined in 1986. Mr. Bernstein runs a diversified company that includes a Hotel division, a Private Real Estate Investment Trust, and a structured financed group that focuses on tax credit syndication and project lending for community development projects nationwide. In 2012, Mr. Bernstein was appointed to the Board of Overseers of the School of Arts and Sciences at the University of Pennsylvania.</w:t>
      </w:r>
    </w:p>
    <w:p>
      <w:pPr>
        <w:spacing w:after="0" w:line="173"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Marshall Brozost (46), Director. Mr. Brozost became a Director of PennantPark Investment Corporation and PennantPark Floating Rate Capital Ltd. in February 2007 and October 2010, respectively. Since May 2012, Mr. Brozost has been a Partner at Schulte Roth &amp; Zabel LLP, where he practices in the real estate and private equity groups. Prior to Schulte Roth &amp; Zabel, Mr. Brozost practiced law at O’Melveny &amp; Myers LLP from 2001 to 2004; Solomon &amp; Weinberg LLP from 2004 to 2005; and Dewey &amp; LeBoeuf LLP from 2005 to 2012. Mr. Brozost also served as a Vice President of Nomura Asset Capital Corporation from 1997 through 2000.</w:t>
      </w:r>
    </w:p>
    <w:p>
      <w:pPr>
        <w:spacing w:after="0" w:line="188"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Jeffrey Flug (51), Director. Mr. Flug became a Director of PennantPark Investment and PennantPark Floating Rate Capital Ltd. in February 2007 and October 2010, respectively. Since October 2012, Mr. Flug has been a director of Sears Hometown and Outlet Stores, Inc. Since 2009, Mr. Flug has been the President of Union Square Hospitality Group, LLC, an exclusive chain of restaurants. Mr. Flug was Chief Executive Officer and Executive Director of Millennium Promise Alliance, Inc. from 2006 to 2008. Millennium Promise is a non-profit organization whose mission is to eradicate extreme global poverty. Mr. Flug was Managing Director and Head of North American Institutional Sales at JP Morgan’s Investment Bank from 2000 to 2006. From 1988 to 2000, Mr. Flug was Managing Director for Goldman Sachs &amp; Co. in its Fixed Income Division.</w:t>
      </w:r>
    </w:p>
    <w:p>
      <w:pPr>
        <w:spacing w:after="0" w:line="178" w:lineRule="exact"/>
        <w:rPr>
          <w:sz w:val="20"/>
          <w:szCs w:val="20"/>
          <w:color w:val="auto"/>
        </w:rPr>
      </w:pPr>
    </w:p>
    <w:p>
      <w:pPr>
        <w:ind w:firstLine="571"/>
        <w:spacing w:after="0" w:line="286" w:lineRule="auto"/>
        <w:rPr>
          <w:sz w:val="20"/>
          <w:szCs w:val="20"/>
          <w:color w:val="auto"/>
        </w:rPr>
      </w:pPr>
      <w:r>
        <w:rPr>
          <w:rFonts w:ascii="Arial" w:cs="Arial" w:eastAsia="Arial" w:hAnsi="Arial"/>
          <w:sz w:val="17"/>
          <w:szCs w:val="17"/>
          <w:color w:val="auto"/>
        </w:rPr>
        <w:t>Samuel L. Katz (48), Director. Mr. Katz became a Director of PennantPark Investment and PennantPark Floating Rate Capital Ltd. in February 2007 and October 2010, respectively. Since 2007, Mr. Katz has been the Managing Partner of TZP Group LLC, a private equity fund. He served as Chief Executive Officer of MacAndrews &amp; Forbes Acquisition Holdings, Inc. from 2006 to 2007. From 1996 to 2006, Mr. Katz held a variety</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460" w:right="2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of senior positions at Cendant Corporation including, most recently, Chairman and Chief Executive Officer of the Cendant Travel Distribution Services Division from 2001 to 2005. Mr. Katz was also Co-Chairman of Cendant’s Marketing Services Division as well as Chief Strategic Officer.</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Interested Director</w:t>
      </w:r>
    </w:p>
    <w:p>
      <w:pPr>
        <w:spacing w:after="0" w:line="11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Arthur H. Penn (50), Founder, Chief Executive Officer and Chairman of the board of directors. Mr. Penn became the Chief Executive Officer and a Director of PennantPark Investment and PennantPark Floating Rate Capital Ltd. at their inception in January 2007 and October 2010, respectively. He also founded and became Managing Member of PennantPark Investment Advisers in January 2007. Mr. Penn co-founded Apollo Investment Management in 2004, where he was a Managing Partner from 2004 to 2006. He also served as Chief Operating Officer of Apollo Investment Corporation from its inception in 2004 to 2006 and served as President and Chief Operating Officer of that company in 2006. Mr. Penn was formerly a Managing Partner of Apollo Value Fund L.P. (formerly Apollo Distressed Investment Fund, L.P.) from 2003 to 2006. From 2002 to 2003, prior to joining Apollo, Mr. Penn was a Managing Director of CDC-IXIS Capital Markets. Mr. Penn previously served as Global Head of Leveraged Finance at UBS Warburg LLC (now UBS Investment Bank) from 1999 through 2001. Prior to joining UBS Warburg, Mr. Penn was Global Head of Fixed Income Capital markets for BT Securities and BT Alex Brown Incorporated from 1994 to 1999. From 1992 to 1994, Mr. Penn served as Head of High-Yield Capital Markets at Lehman Brothers.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 and Officer who are not Directors</w:t>
      </w:r>
    </w:p>
    <w:p>
      <w:pPr>
        <w:spacing w:after="0" w:line="11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Aviv Efrat (49), Chief Financial Officer and Treasurer. Mr. Efrat became Chief Financial Officer and Treasurer of PennantPark Investment and PennantPark Floating Rate Capital Ltd. in February 2007 and October 2010, respectively. Mr. Efrat is also a Managing Director of PennantPark Investment Administration, LLC. Mr. Efrat was a Director at BlackRock, Inc., where he was responsible for a variety of administrative, operational, and financial aspects of closed-end and open-end registered investment companies from 1997 to 2007. From 1994 to 1997, Mr. Efrat was in the Investment Companies Business Unit at Deloitte &amp; Touche LLP. He is a member of the American Institute of Certified Public Accountants and the New York State Society of Certified Public Accountants.</w:t>
      </w:r>
    </w:p>
    <w:p>
      <w:pPr>
        <w:spacing w:after="0" w:line="193"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Guy F. Talarico (58), Chief Compliance Officer. Mr. Talarico became Chief Compliance Officer of PennantPark Investment and PennantPark Floating Rate Capital Ltd. in May 2008 and March 2011, respectively. Mr. Talarico has served as Chief Compliance Officer for investment advisers, private funds and investment companies since 2004 when he founded Alaric Compliance Services, LLC. From 2001 to 2004, Mr. Talarico was Senior Director at Investors Bank &amp; Trust Company where he was servicing investment advisers, mutual funds and institutions. From 1986 to 2001, Mr. Talarico was a division executive with JPMorgan Chase Bank, N.A., servicing equity and fixed-income portfolio management, money market trading and custody functions, as well as overseeing compliance. Mr. Talarico has been admitted to practice law in the States of New Jersey and New York.</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2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For the fiscal year ended September 30, 2013, we held four board of directors meetings, four Audit Committee meetings and one Nominating and Corporate Governance Committee meeting. All directors attended at least 75% of the aggregate number of meetings of the board of directors and of the respective committees on which they served. We require each director to make a diligent effort to attend all board of directors and committee meetings, and encourage directors to attend the annual meeting of stockholders.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right="120" w:firstLine="571"/>
        <w:spacing w:after="0" w:line="277" w:lineRule="auto"/>
        <w:rPr>
          <w:sz w:val="20"/>
          <w:szCs w:val="20"/>
          <w:color w:val="auto"/>
        </w:rPr>
      </w:pPr>
      <w:r>
        <w:rPr>
          <w:rFonts w:ascii="Arial" w:cs="Arial" w:eastAsia="Arial" w:hAnsi="Arial"/>
          <w:sz w:val="18"/>
          <w:szCs w:val="18"/>
          <w:color w:val="auto"/>
        </w:rPr>
        <w:t>The members of the Audit Committee are Messrs. Bernstein, Brozost, Flug and Katz, each of whom is independent for purposes of the 1940 Act and the NASDAQ and NYSE corporate governance rules. Messrs. Flug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60" w:right="2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and Katz serve as Co-Chairmen of the Audit Committee. The Audit Committee operates pursuant to an Audit Committee Charter approved by the board of directors. The charter sets forth the responsibilities of the Audit Committee, which include selecting or retaining each year an independent registered public accounting firm (the “auditors”) to audit our accounts and records; reviewing and discussing with management and the auditors our annual audited financial statements, including disclosures made in management’s discussion and analysis of financial condition and results of operations, and recommending to the board of directors whether the audited financial statements should be included in our annual report on Form 10-K; reviewing and discussing with management and the auditors our quarterly financial statements prior to the filings of our quarterly reports on Form 10-Q; pre-approving the auditors’ engagement to render audit and/or permissible non-audit services; and evaluating the qualifications, performance and independence of the auditors. The Audit Committee is also responsible for aiding our board of directors in fair value pricing of debt and equity securities. The board of directors and Audit Committee use the services of nationally recognized independent valuation firms to help them determine the fair value of certain securities. Our board of directors has determined that each of Messrs. Flug and Katz is an “audit committee financial expert” as that term is defined under Item 407 of Regulation S-K under the Exchange Act. The Audit Committee Charter is available on our website </w:t>
      </w:r>
      <w:r>
        <w:rPr>
          <w:rFonts w:ascii="Arial" w:cs="Arial" w:eastAsia="Arial" w:hAnsi="Arial"/>
          <w:sz w:val="17"/>
          <w:szCs w:val="17"/>
          <w:i w:val="1"/>
          <w:iCs w:val="1"/>
          <w:u w:val="single" w:color="auto"/>
          <w:color w:val="auto"/>
        </w:rPr>
        <w:t>www.pennantpark.com</w:t>
      </w:r>
      <w:r>
        <w:rPr>
          <w:rFonts w:ascii="Arial" w:cs="Arial" w:eastAsia="Arial" w:hAnsi="Arial"/>
          <w:sz w:val="17"/>
          <w:szCs w:val="17"/>
          <w:color w:val="auto"/>
        </w:rPr>
        <w: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right="140" w:firstLine="456"/>
        <w:spacing w:after="0" w:line="272" w:lineRule="auto"/>
        <w:rPr>
          <w:sz w:val="20"/>
          <w:szCs w:val="20"/>
          <w:color w:val="auto"/>
        </w:rPr>
      </w:pPr>
      <w:r>
        <w:rPr>
          <w:rFonts w:ascii="Arial" w:cs="Arial" w:eastAsia="Arial" w:hAnsi="Arial"/>
          <w:sz w:val="17"/>
          <w:szCs w:val="17"/>
          <w:color w:val="auto"/>
        </w:rPr>
        <w:t xml:space="preserve">The members of the Nominating and Corporate Governance Committee are Messrs. Bernstein, Brozost, Flug and Katz, each of whom is independent for purposes of the 1940 Act and the NASDAQ and NYSE corporate governance rules. Messrs. Bernstein and Brozost serve as Co-Chairmen of the Nominating and Corporate Governance Committee. The Nominating and Corporate Governance Committee is responsible for selecting, researching and nominating directors for election by our stockholders, selecting nominees to fill vacancies on the board of directors or a committee of the board of directors, developing and recommending to the board of directors a set of corporate governance principles and overseeing the evaluation of the board of directors and our management. The Nominating and Corporate Governance Committee has adopted a written Nominating and Corporate Governance Committee Charter that is available on our website </w:t>
      </w:r>
      <w:r>
        <w:rPr>
          <w:rFonts w:ascii="Arial" w:cs="Arial" w:eastAsia="Arial" w:hAnsi="Arial"/>
          <w:sz w:val="17"/>
          <w:szCs w:val="17"/>
          <w:i w:val="1"/>
          <w:iCs w:val="1"/>
          <w:u w:val="single" w:color="auto"/>
          <w:color w:val="auto"/>
        </w:rPr>
        <w:t>www.pennantpark.com</w:t>
      </w:r>
      <w:r>
        <w:rPr>
          <w:rFonts w:ascii="Arial" w:cs="Arial" w:eastAsia="Arial" w:hAnsi="Arial"/>
          <w:sz w:val="17"/>
          <w:szCs w:val="17"/>
          <w:i w:val="1"/>
          <w:iCs w:val="1"/>
          <w:color w:val="auto"/>
        </w:rPr>
        <w:t>.</w:t>
      </w:r>
    </w:p>
    <w:p>
      <w:pPr>
        <w:spacing w:after="0" w:line="17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Nominating and Corporate Governance Committee will consider stockholder recommendations for possible nominees for election as directors when such recommendations are submitted in accordance with our bylaws, the Nominating and Corporate Governance Committee Charter and any applicable law, rule or regulation regarding director nominations. Nominations should be sent to Thomas Friedmann, Secretary, c/o PennantPark Investment Corporation, 590 Madison Avenue, 15th Floor, New York, New York 10022. When submitting a nomination to us for consideration, a stockholder must provide all information that would be required under applicable SEC rules to be disclosed in connection with election of a director, including the following minimum information for each director nominee: full name, age and address; principal occupation during the past five years; directorships on publicly held companies and investment companies during the past five years; number of shares of our common stock owned, if any; and a written consent of the individual to stand for election if nominated by the board of directors and to serve if elected by the stockholders.</w:t>
      </w:r>
    </w:p>
    <w:p>
      <w:pPr>
        <w:spacing w:after="0" w:line="166"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Criteria considered by the Nominating and Corporate Governance Committee in evaluating the qualifications of individuals for election as director of the board of directors include compliance with the independence and other applicable requirements of the NASDAQ corporate governance rules and the 1940 Act, and all other applicable laws, rules, regulations and listing standards; the criteria, policies and principles set forth in our Nominating and Corporate Governance Committee Charter; and the ability to contribute to our effective management, taking into account our needs and such factors as the individual’s experience, perspective, skills and knowledge of the industry in which we operate. The Nominating and Corporate Governance Committee has not adopted a formal policy with regard to the consideration of diversity in identifying individuals for election as members of the board of directors, but the Nominating and Corporate Governance Committee will consider such factors as they may deem are in the best interests of us and our stockholders. Those factors may include a person’s differences of viewpoint, professional experience, education and skills, as well as his or her race, gender and national origin. In addition, as part of the board of directors’ annual-self assessment, the members of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460" w:right="2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Nominating and Corporate Governance Committee evaluate the membership of the board of directors and whether the board of directors maintains satisfactory policies regarding membership selection.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The Compensation Committee is responsible for determining, or recommending to the board of directors for determining, the compensation of the Company’s chief executive officer and all other executive officers, paid directly by the Company, if any. The Compensation Committee also assists the board of directors with all matters related to compensation, as directed by the board of directors. The current members of the Compensation Committee are Messrs. Bernstein, Brozost, Flug and Katz, each of whom is not an interested person of us for purposes of the 1940 Act and the NASDAQ corporate governance rules. As discussed below, none of our executive officers is directly compensated by the Company and, as a result, the Compensation Committee does not produce and/or review and report on executive compensation practices. The Compensation Committee Charter is available on the Company’s website </w:t>
      </w:r>
      <w:r>
        <w:rPr>
          <w:rFonts w:ascii="Arial" w:cs="Arial" w:eastAsia="Arial" w:hAnsi="Arial"/>
          <w:sz w:val="18"/>
          <w:szCs w:val="18"/>
          <w:u w:val="single" w:color="auto"/>
          <w:color w:val="auto"/>
        </w:rPr>
        <w:t>(</w:t>
      </w:r>
      <w:r>
        <w:rPr>
          <w:rFonts w:ascii="Arial" w:cs="Arial" w:eastAsia="Arial" w:hAnsi="Arial"/>
          <w:sz w:val="18"/>
          <w:szCs w:val="18"/>
          <w:i w:val="1"/>
          <w:iCs w:val="1"/>
          <w:u w:val="single" w:color="auto"/>
          <w:color w:val="auto"/>
        </w:rPr>
        <w:t>www.pennantpark.com</w:t>
      </w:r>
      <w:r>
        <w:rPr>
          <w:rFonts w:ascii="Arial" w:cs="Arial" w:eastAsia="Arial" w:hAnsi="Arial"/>
          <w:sz w:val="18"/>
          <w:szCs w:val="18"/>
          <w:u w:val="single" w:color="auto"/>
          <w:color w:val="auto"/>
        </w:rPr>
        <w:t>)</w:t>
      </w:r>
      <w:r>
        <w:rPr>
          <w:rFonts w:ascii="Arial" w:cs="Arial" w:eastAsia="Arial" w:hAnsi="Arial"/>
          <w:sz w:val="18"/>
          <w:szCs w:val="18"/>
          <w:color w:val="auto"/>
        </w:rPr>
        <w: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of Directors</w:t>
      </w:r>
    </w:p>
    <w:p>
      <w:pPr>
        <w:spacing w:after="0" w:line="117"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The following table shows information regarding the compensation paid by us to our directors for the fiscal year ended September 30, 2013. No compensation is paid directly by us to any interested director or executive officer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100" w:type="dxa"/>
            <w:vAlign w:val="bottom"/>
            <w:tcBorders>
              <w:bottom w:val="single" w:sz="8" w:color="auto"/>
            </w:tcBorders>
            <w:gridSpan w:val="6"/>
          </w:tcPr>
          <w:p>
            <w:pPr>
              <w:ind w:left="660"/>
              <w:spacing w:after="0"/>
              <w:rPr>
                <w:sz w:val="20"/>
                <w:szCs w:val="20"/>
                <w:color w:val="auto"/>
              </w:rPr>
            </w:pPr>
            <w:r>
              <w:rPr>
                <w:rFonts w:ascii="Arial" w:cs="Arial" w:eastAsia="Arial" w:hAnsi="Arial"/>
                <w:sz w:val="14"/>
                <w:szCs w:val="14"/>
                <w:b w:val="1"/>
                <w:bCs w:val="1"/>
                <w:color w:val="auto"/>
                <w:w w:val="97"/>
              </w:rPr>
              <w:t>PennantPark Investment Corporation</w:t>
            </w:r>
          </w:p>
        </w:tc>
        <w:tc>
          <w:tcPr>
            <w:tcW w:w="6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4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PennantPark Floating Rate Capital, Ltd.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2"/>
            <w:vMerge w:val="restart"/>
          </w:tcPr>
          <w:p>
            <w:pPr>
              <w:jc w:val="center"/>
              <w:ind w:right="620"/>
              <w:spacing w:after="0"/>
              <w:rPr>
                <w:sz w:val="20"/>
                <w:szCs w:val="20"/>
                <w:color w:val="auto"/>
              </w:rPr>
            </w:pPr>
            <w:r>
              <w:rPr>
                <w:rFonts w:ascii="Arial" w:cs="Arial" w:eastAsia="Arial" w:hAnsi="Arial"/>
                <w:sz w:val="14"/>
                <w:szCs w:val="14"/>
                <w:b w:val="1"/>
                <w:bCs w:val="1"/>
                <w:color w:val="auto"/>
                <w:w w:val="92"/>
              </w:rPr>
              <w:t>Aggregate</w:t>
            </w:r>
          </w:p>
        </w:tc>
        <w:tc>
          <w:tcPr>
            <w:tcW w:w="130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8"/>
              </w:rPr>
              <w:t>Pension or</w:t>
            </w: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gridSpan w:val="2"/>
            <w:vMerge w:val="restart"/>
          </w:tcPr>
          <w:p>
            <w:pPr>
              <w:jc w:val="center"/>
              <w:ind w:right="640"/>
              <w:spacing w:after="0"/>
              <w:rPr>
                <w:sz w:val="20"/>
                <w:szCs w:val="20"/>
                <w:color w:val="auto"/>
              </w:rPr>
            </w:pPr>
            <w:r>
              <w:rPr>
                <w:rFonts w:ascii="Arial" w:cs="Arial" w:eastAsia="Arial" w:hAnsi="Arial"/>
                <w:sz w:val="14"/>
                <w:szCs w:val="14"/>
                <w:b w:val="1"/>
                <w:bCs w:val="1"/>
                <w:color w:val="auto"/>
                <w:w w:val="89"/>
              </w:rPr>
              <w:t>Aggregate</w:t>
            </w:r>
          </w:p>
        </w:tc>
        <w:tc>
          <w:tcPr>
            <w:tcW w:w="1560" w:type="dxa"/>
            <w:vAlign w:val="bottom"/>
            <w:gridSpan w:val="2"/>
          </w:tcPr>
          <w:p>
            <w:pPr>
              <w:jc w:val="center"/>
              <w:ind w:right="540"/>
              <w:spacing w:after="0" w:line="119" w:lineRule="exact"/>
              <w:rPr>
                <w:sz w:val="20"/>
                <w:szCs w:val="20"/>
                <w:color w:val="auto"/>
              </w:rPr>
            </w:pPr>
            <w:r>
              <w:rPr>
                <w:rFonts w:ascii="Arial" w:cs="Arial" w:eastAsia="Arial" w:hAnsi="Arial"/>
                <w:sz w:val="13"/>
                <w:szCs w:val="13"/>
                <w:b w:val="1"/>
                <w:bCs w:val="1"/>
                <w:color w:val="auto"/>
                <w:w w:val="98"/>
              </w:rPr>
              <w:t>Pension or</w:t>
            </w:r>
          </w:p>
        </w:tc>
        <w:tc>
          <w:tcPr>
            <w:tcW w:w="6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retirement</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5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3"/>
              </w:rPr>
              <w:t>retirement</w:t>
            </w: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30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89"/>
              </w:rPr>
              <w:t>benefits accrued</w:t>
            </w:r>
          </w:p>
        </w:tc>
        <w:tc>
          <w:tcPr>
            <w:tcW w:w="260" w:type="dxa"/>
            <w:vAlign w:val="bottom"/>
          </w:tcPr>
          <w:p>
            <w:pPr>
              <w:spacing w:after="0"/>
              <w:rPr>
                <w:sz w:val="12"/>
                <w:szCs w:val="12"/>
                <w:color w:val="auto"/>
              </w:rPr>
            </w:pPr>
          </w:p>
        </w:tc>
        <w:tc>
          <w:tcPr>
            <w:tcW w:w="122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rPr>
              <w:t>Total paid to</w:t>
            </w:r>
          </w:p>
        </w:tc>
        <w:tc>
          <w:tcPr>
            <w:tcW w:w="260" w:type="dxa"/>
            <w:vAlign w:val="bottom"/>
          </w:tcPr>
          <w:p>
            <w:pPr>
              <w:spacing w:after="0"/>
              <w:rPr>
                <w:sz w:val="12"/>
                <w:szCs w:val="12"/>
                <w:color w:val="auto"/>
              </w:rPr>
            </w:pPr>
          </w:p>
        </w:tc>
        <w:tc>
          <w:tcPr>
            <w:tcW w:w="14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56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w w:val="88"/>
              </w:rPr>
              <w:t>benefits accrued</w:t>
            </w: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paid to</w:t>
            </w:r>
          </w:p>
        </w:tc>
        <w:tc>
          <w:tcPr>
            <w:tcW w:w="0" w:type="dxa"/>
            <w:vAlign w:val="bottom"/>
          </w:tcPr>
          <w:p>
            <w:pPr>
              <w:spacing w:after="0"/>
              <w:rPr>
                <w:sz w:val="1"/>
                <w:szCs w:val="1"/>
                <w:color w:val="auto"/>
              </w:rPr>
            </w:pPr>
          </w:p>
        </w:tc>
      </w:tr>
      <w:tr>
        <w:trPr>
          <w:trHeight w:val="149"/>
        </w:trPr>
        <w:tc>
          <w:tcPr>
            <w:tcW w:w="254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Name</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2"/>
              </w:rPr>
              <w:t>from the</w:t>
            </w: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as part of our</w:t>
            </w:r>
          </w:p>
        </w:tc>
        <w:tc>
          <w:tcPr>
            <w:tcW w:w="26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6"/>
              </w:rPr>
              <w:t>from the</w:t>
            </w:r>
          </w:p>
        </w:tc>
        <w:tc>
          <w:tcPr>
            <w:tcW w:w="15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3"/>
              </w:rPr>
              <w:t>as part of our</w:t>
            </w: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director/</w:t>
            </w:r>
          </w:p>
        </w:tc>
        <w:tc>
          <w:tcPr>
            <w:tcW w:w="0" w:type="dxa"/>
            <w:vAlign w:val="bottom"/>
          </w:tcPr>
          <w:p>
            <w:pPr>
              <w:spacing w:after="0"/>
              <w:rPr>
                <w:sz w:val="1"/>
                <w:szCs w:val="1"/>
                <w:color w:val="auto"/>
              </w:rPr>
            </w:pPr>
          </w:p>
        </w:tc>
      </w:tr>
      <w:tr>
        <w:trPr>
          <w:trHeight w:val="171"/>
        </w:trPr>
        <w:tc>
          <w:tcPr>
            <w:tcW w:w="2540" w:type="dxa"/>
            <w:vAlign w:val="bottom"/>
            <w:gridSpan w:val="6"/>
            <w:vMerge w:val="continue"/>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3"/>
              </w:rPr>
              <w:t>Company</w:t>
            </w: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expense</w:t>
            </w:r>
            <w:r>
              <w:rPr>
                <w:rFonts w:ascii="Arial" w:cs="Arial" w:eastAsia="Arial" w:hAnsi="Arial"/>
                <w:sz w:val="12"/>
                <w:szCs w:val="12"/>
                <w:b w:val="1"/>
                <w:bCs w:val="1"/>
                <w:color w:val="auto"/>
                <w:w w:val="87"/>
              </w:rPr>
              <w:t>(1)</w:t>
            </w:r>
          </w:p>
        </w:tc>
        <w:tc>
          <w:tcPr>
            <w:tcW w:w="26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director/officer</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3"/>
              </w:rPr>
              <w:t>Company</w:t>
            </w:r>
          </w:p>
        </w:tc>
        <w:tc>
          <w:tcPr>
            <w:tcW w:w="15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7"/>
              </w:rPr>
              <w:t>expense</w:t>
            </w:r>
            <w:r>
              <w:rPr>
                <w:rFonts w:ascii="Arial" w:cs="Arial" w:eastAsia="Arial" w:hAnsi="Arial"/>
                <w:sz w:val="12"/>
                <w:szCs w:val="12"/>
                <w:b w:val="1"/>
                <w:bCs w:val="1"/>
                <w:color w:val="auto"/>
                <w:w w:val="87"/>
              </w:rPr>
              <w:t>(1)</w:t>
            </w:r>
          </w:p>
        </w:tc>
        <w:tc>
          <w:tcPr>
            <w:tcW w:w="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officer</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520" w:type="dxa"/>
            <w:vAlign w:val="bottom"/>
            <w:gridSpan w:val="5"/>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Independent directors</w:t>
            </w: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Adam K. Bernstein</w:t>
            </w:r>
          </w:p>
        </w:tc>
        <w:tc>
          <w:tcPr>
            <w:tcW w:w="8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gridSpan w:val="2"/>
          </w:tcPr>
          <w:p>
            <w:pPr>
              <w:ind w:left="84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CCEEFF"/>
            </w:tcBorders>
            <w:gridSpan w:val="2"/>
          </w:tcPr>
          <w:p>
            <w:pPr>
              <w:jc w:val="right"/>
              <w:ind w:right="520"/>
              <w:spacing w:after="0"/>
              <w:rPr>
                <w:sz w:val="20"/>
                <w:szCs w:val="20"/>
                <w:color w:val="auto"/>
              </w:rPr>
            </w:pPr>
            <w:r>
              <w:rPr>
                <w:rFonts w:ascii="Arial" w:cs="Arial" w:eastAsia="Arial" w:hAnsi="Arial"/>
                <w:sz w:val="18"/>
                <w:szCs w:val="18"/>
                <w:color w:val="auto"/>
              </w:rPr>
              <w:t>102,500</w:t>
            </w:r>
          </w:p>
        </w:tc>
        <w:tc>
          <w:tcPr>
            <w:tcW w:w="1300" w:type="dxa"/>
            <w:vAlign w:val="bottom"/>
            <w:tcBorders>
              <w:top w:val="single" w:sz="8" w:color="CCEEFF"/>
            </w:tcBorders>
            <w:gridSpan w:val="2"/>
          </w:tcPr>
          <w:p>
            <w:pPr>
              <w:jc w:val="right"/>
              <w:ind w:right="280"/>
              <w:spacing w:after="0"/>
              <w:rPr>
                <w:sz w:val="20"/>
                <w:szCs w:val="20"/>
                <w:color w:val="auto"/>
              </w:rPr>
            </w:pPr>
            <w:r>
              <w:rPr>
                <w:rFonts w:ascii="Arial" w:cs="Arial" w:eastAsia="Arial" w:hAnsi="Arial"/>
                <w:sz w:val="18"/>
                <w:szCs w:val="18"/>
                <w:color w:val="auto"/>
              </w:rPr>
              <w:t>None</w:t>
            </w:r>
          </w:p>
        </w:tc>
        <w:tc>
          <w:tcPr>
            <w:tcW w:w="540" w:type="dxa"/>
            <w:vAlign w:val="bottom"/>
            <w:tcBorders>
              <w:top w:val="single" w:sz="8" w:color="CCEEFF"/>
            </w:tcBorders>
            <w:gridSpan w:val="2"/>
          </w:tcPr>
          <w:p>
            <w:pPr>
              <w:ind w:left="26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CCEEFF"/>
            </w:tcBorders>
            <w:gridSpan w:val="2"/>
          </w:tcPr>
          <w:p>
            <w:pPr>
              <w:jc w:val="right"/>
              <w:ind w:right="280"/>
              <w:spacing w:after="0"/>
              <w:rPr>
                <w:sz w:val="20"/>
                <w:szCs w:val="20"/>
                <w:color w:val="auto"/>
              </w:rPr>
            </w:pPr>
            <w:r>
              <w:rPr>
                <w:rFonts w:ascii="Arial" w:cs="Arial" w:eastAsia="Arial" w:hAnsi="Arial"/>
                <w:sz w:val="18"/>
                <w:szCs w:val="18"/>
                <w:color w:val="auto"/>
                <w:w w:val="98"/>
              </w:rPr>
              <w:t>102,500</w:t>
            </w:r>
          </w:p>
        </w:tc>
        <w:tc>
          <w:tcPr>
            <w:tcW w:w="360" w:type="dxa"/>
            <w:vAlign w:val="bottom"/>
            <w:tcBorders>
              <w:top w:val="single" w:sz="8" w:color="CCEEFF"/>
            </w:tcBorders>
            <w:gridSpan w:val="2"/>
          </w:tcPr>
          <w:p>
            <w:pPr>
              <w:ind w:left="26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CCEEFF"/>
            </w:tcBorders>
            <w:gridSpan w:val="2"/>
          </w:tcPr>
          <w:p>
            <w:pPr>
              <w:jc w:val="right"/>
              <w:ind w:right="540"/>
              <w:spacing w:after="0"/>
              <w:rPr>
                <w:sz w:val="20"/>
                <w:szCs w:val="20"/>
                <w:color w:val="auto"/>
              </w:rPr>
            </w:pPr>
            <w:r>
              <w:rPr>
                <w:rFonts w:ascii="Arial" w:cs="Arial" w:eastAsia="Arial" w:hAnsi="Arial"/>
                <w:sz w:val="18"/>
                <w:szCs w:val="18"/>
                <w:color w:val="auto"/>
              </w:rPr>
              <w:t>57,500</w:t>
            </w:r>
          </w:p>
        </w:tc>
        <w:tc>
          <w:tcPr>
            <w:tcW w:w="1560" w:type="dxa"/>
            <w:vAlign w:val="bottom"/>
            <w:tcBorders>
              <w:top w:val="single" w:sz="8" w:color="CCEEFF"/>
            </w:tcBorders>
            <w:gridSpan w:val="2"/>
          </w:tcPr>
          <w:p>
            <w:pPr>
              <w:jc w:val="right"/>
              <w:ind w:right="540"/>
              <w:spacing w:after="0"/>
              <w:rPr>
                <w:sz w:val="20"/>
                <w:szCs w:val="20"/>
                <w:color w:val="auto"/>
              </w:rPr>
            </w:pPr>
            <w:r>
              <w:rPr>
                <w:rFonts w:ascii="Arial" w:cs="Arial" w:eastAsia="Arial" w:hAnsi="Arial"/>
                <w:sz w:val="18"/>
                <w:szCs w:val="18"/>
                <w:color w:val="auto"/>
              </w:rPr>
              <w:t>None</w:t>
            </w:r>
          </w:p>
        </w:tc>
        <w:tc>
          <w:tcPr>
            <w:tcW w:w="680" w:type="dxa"/>
            <w:vAlign w:val="bottom"/>
            <w:tcBorders>
              <w:top w:val="single" w:sz="8" w:color="CCEEFF"/>
            </w:tcBorders>
            <w:gridSpan w:val="2"/>
          </w:tcPr>
          <w:p>
            <w:pPr>
              <w:jc w:val="center"/>
              <w:ind w:right="100"/>
              <w:spacing w:after="0"/>
              <w:rPr>
                <w:sz w:val="20"/>
                <w:szCs w:val="20"/>
                <w:color w:val="auto"/>
              </w:rPr>
            </w:pPr>
            <w:r>
              <w:rPr>
                <w:rFonts w:ascii="Arial" w:cs="Arial" w:eastAsia="Arial" w:hAnsi="Arial"/>
                <w:sz w:val="18"/>
                <w:szCs w:val="18"/>
                <w:color w:val="auto"/>
                <w:w w:val="89"/>
              </w:rPr>
              <w:t>$57,500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Marshall Brozost</w:t>
            </w:r>
          </w:p>
        </w:tc>
        <w:tc>
          <w:tcPr>
            <w:tcW w:w="9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102,500</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None</w:t>
            </w:r>
          </w:p>
        </w:tc>
        <w:tc>
          <w:tcPr>
            <w:tcW w:w="5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102,500</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57,500</w:t>
            </w:r>
          </w:p>
        </w:tc>
        <w:tc>
          <w:tcPr>
            <w:tcW w:w="15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None</w:t>
            </w:r>
          </w:p>
        </w:tc>
        <w:tc>
          <w:tcPr>
            <w:tcW w:w="6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$57,500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5"/>
          </w:tcPr>
          <w:p>
            <w:pPr>
              <w:spacing w:after="0"/>
              <w:rPr>
                <w:sz w:val="20"/>
                <w:szCs w:val="20"/>
                <w:color w:val="auto"/>
              </w:rPr>
            </w:pPr>
            <w:r>
              <w:rPr>
                <w:rFonts w:ascii="Arial" w:cs="Arial" w:eastAsia="Arial" w:hAnsi="Arial"/>
                <w:sz w:val="18"/>
                <w:szCs w:val="18"/>
                <w:color w:val="auto"/>
              </w:rPr>
              <w:t>Jeffrey Flug</w:t>
            </w:r>
          </w:p>
        </w:tc>
        <w:tc>
          <w:tcPr>
            <w:tcW w:w="940" w:type="dxa"/>
            <w:vAlign w:val="bottom"/>
            <w:gridSpan w:val="2"/>
          </w:tcPr>
          <w:p>
            <w:pPr>
              <w:ind w:left="84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112,500</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None</w:t>
            </w:r>
          </w:p>
        </w:tc>
        <w:tc>
          <w:tcPr>
            <w:tcW w:w="5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112,500</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60,000</w:t>
            </w:r>
          </w:p>
        </w:tc>
        <w:tc>
          <w:tcPr>
            <w:tcW w:w="1560" w:type="dxa"/>
            <w:vAlign w:val="bottom"/>
            <w:gridSpan w:val="2"/>
          </w:tcPr>
          <w:p>
            <w:pPr>
              <w:jc w:val="right"/>
              <w:ind w:right="540"/>
              <w:spacing w:after="0"/>
              <w:rPr>
                <w:sz w:val="20"/>
                <w:szCs w:val="20"/>
                <w:color w:val="auto"/>
              </w:rPr>
            </w:pPr>
            <w:r>
              <w:rPr>
                <w:rFonts w:ascii="Arial" w:cs="Arial" w:eastAsia="Arial" w:hAnsi="Arial"/>
                <w:sz w:val="18"/>
                <w:szCs w:val="18"/>
                <w:color w:val="auto"/>
              </w:rPr>
              <w:t>None</w:t>
            </w:r>
          </w:p>
        </w:tc>
        <w:tc>
          <w:tcPr>
            <w:tcW w:w="6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$60,000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Samuel L. Katz</w:t>
            </w:r>
          </w:p>
        </w:tc>
        <w:tc>
          <w:tcPr>
            <w:tcW w:w="9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112,500</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None</w:t>
            </w:r>
          </w:p>
        </w:tc>
        <w:tc>
          <w:tcPr>
            <w:tcW w:w="5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112,500</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60,000</w:t>
            </w:r>
          </w:p>
        </w:tc>
        <w:tc>
          <w:tcPr>
            <w:tcW w:w="15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None</w:t>
            </w:r>
          </w:p>
        </w:tc>
        <w:tc>
          <w:tcPr>
            <w:tcW w:w="6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$60,000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20" w:type="dxa"/>
            <w:vAlign w:val="bottom"/>
            <w:gridSpan w:val="5"/>
          </w:tcPr>
          <w:p>
            <w:pPr>
              <w:spacing w:after="0" w:line="176" w:lineRule="exact"/>
              <w:rPr>
                <w:sz w:val="20"/>
                <w:szCs w:val="20"/>
                <w:color w:val="auto"/>
              </w:rPr>
            </w:pPr>
            <w:r>
              <w:rPr>
                <w:rFonts w:ascii="Arial" w:cs="Arial" w:eastAsia="Arial" w:hAnsi="Arial"/>
                <w:sz w:val="18"/>
                <w:szCs w:val="18"/>
                <w:b w:val="1"/>
                <w:bCs w:val="1"/>
                <w:color w:val="auto"/>
              </w:rPr>
              <w:t>Interested director</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Arthur H. Penn</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None</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None</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None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None</w:t>
            </w:r>
          </w:p>
        </w:tc>
        <w:tc>
          <w:tcPr>
            <w:tcW w:w="15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None</w:t>
            </w:r>
          </w:p>
        </w:tc>
        <w:tc>
          <w:tcPr>
            <w:tcW w:w="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20" w:type="dxa"/>
            <w:vAlign w:val="bottom"/>
            <w:gridSpan w:val="5"/>
          </w:tcPr>
          <w:p>
            <w:pPr>
              <w:spacing w:after="0" w:line="176" w:lineRule="exact"/>
              <w:rPr>
                <w:sz w:val="20"/>
                <w:szCs w:val="20"/>
                <w:color w:val="auto"/>
              </w:rPr>
            </w:pPr>
            <w:r>
              <w:rPr>
                <w:rFonts w:ascii="Arial" w:cs="Arial" w:eastAsia="Arial" w:hAnsi="Arial"/>
                <w:sz w:val="18"/>
                <w:szCs w:val="18"/>
                <w:b w:val="1"/>
                <w:bCs w:val="1"/>
                <w:color w:val="auto"/>
              </w:rPr>
              <w:t>Executive officer</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Aviv Efrat</w:t>
            </w:r>
            <w:r>
              <w:rPr>
                <w:rFonts w:ascii="Arial" w:cs="Arial" w:eastAsia="Arial" w:hAnsi="Arial"/>
                <w:sz w:val="15"/>
                <w:szCs w:val="15"/>
                <w:color w:val="auto"/>
              </w:rPr>
              <w:t>(2)</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None</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None</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None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None</w:t>
            </w:r>
          </w:p>
        </w:tc>
        <w:tc>
          <w:tcPr>
            <w:tcW w:w="15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None</w:t>
            </w:r>
          </w:p>
        </w:tc>
        <w:tc>
          <w:tcPr>
            <w:tcW w:w="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460" w:hanging="452"/>
        <w:spacing w:after="0"/>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We do not have a profit sharing or retirement plan, and directors do not receive any pension or retirement benefits from us.</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Mr. Efrat is an employee of the Administrator.</w:t>
      </w:r>
    </w:p>
    <w:p>
      <w:pPr>
        <w:spacing w:after="0" w:line="211"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Each Independent Director receives an annual payment of $90,000 for services performed on behalf of us as a director. The Independent Directors also receive $2,500 plus reimbursement of reasonable out-of-pocket expenses incurred in connection with attending each board of directors meeting and receive $1,000 plus reimbursement of reasonable out-of-pocket expenses incurred in connection with attending each committee meeting (unless combined with a board of directors meeting). In addition, each Co-Chairman of the Audit Committee receives an annual fee of $12,500 and each Co-Chairman of any other committee receives an annual fee of $2,500 for his additional services in these capacities. Also, we have purchased directors’ and officers’ liability insurance on behalf of our directors and officers. Independent Directors have the option to receive their directors’ fees paid in shares of our common stock issued at a price per share equal to the greater of NAV or the market price at the time of payment. No compensation is expected to be paid to directors who are “interested persons” (as defined in the 1940 Act).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Managers, or Senior Investment Professionals, Biographical Information.</w:t>
      </w:r>
    </w:p>
    <w:p>
      <w:pPr>
        <w:spacing w:after="0" w:line="117" w:lineRule="exact"/>
        <w:rPr>
          <w:sz w:val="20"/>
          <w:szCs w:val="20"/>
          <w:color w:val="auto"/>
        </w:rPr>
      </w:pPr>
    </w:p>
    <w:p>
      <w:pPr>
        <w:ind w:right="100" w:firstLine="456"/>
        <w:spacing w:after="0" w:line="271" w:lineRule="auto"/>
        <w:rPr>
          <w:sz w:val="20"/>
          <w:szCs w:val="20"/>
          <w:color w:val="auto"/>
        </w:rPr>
      </w:pPr>
      <w:r>
        <w:rPr>
          <w:rFonts w:ascii="Arial" w:cs="Arial" w:eastAsia="Arial" w:hAnsi="Arial"/>
          <w:sz w:val="17"/>
          <w:szCs w:val="17"/>
          <w:color w:val="auto"/>
        </w:rPr>
        <w:t>Our Investment Adviser has three experienced senior investment professionals in addition to Mr. Penn. These senior investment professionals of the Investment Adviser have worked together for many years, and average over 20 years of experience in the mezzanine lending, leveraged finance, distressed debt and private equity businesses. In addition, our senior investment professionals have been involved in originating, structuring, negotiating, managing and monitoring investments in each of these businesses across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Below is a summary of their biographical information. Our investment professionals receive no compensation from us. The compensation of these individuals is paid by our Investment Adviser and compensation includes a base salary and a bonus contingent upon past and future performance.</w:t>
      </w:r>
    </w:p>
    <w:p>
      <w:pPr>
        <w:spacing w:after="0" w:line="179"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Salvatore Giannetti III joined PennantPark Investment Advisers in February 2007. Mr. Giannetti was most recently Partner in the private equity firm Wilton Ivy Partners since 2004. He was a Managing Director at UBS Securities LLC in its Financial Sponsors and Leveraged Finance Group from 2000 to 2001. From 1997 to 2000, Mr. Giannetti was a Managing Director in the Investment Banking Division at Deutsche Bank (joining BT Securities and BT Alex Brown Inc.). From 1986 to 1997, Mr. Giannetti worked in the Investment Banking, Syndicated Loan &amp; Private Equity groups at Chase Securities Inc. and its predecessor firms, Chemical Securities and Manufacturers Hanover.</w:t>
      </w:r>
    </w:p>
    <w:p>
      <w:pPr>
        <w:spacing w:after="0" w:line="188" w:lineRule="exact"/>
        <w:rPr>
          <w:sz w:val="20"/>
          <w:szCs w:val="20"/>
          <w:color w:val="auto"/>
        </w:rPr>
      </w:pPr>
    </w:p>
    <w:p>
      <w:pPr>
        <w:ind w:right="280" w:firstLine="456"/>
        <w:spacing w:after="0" w:line="312" w:lineRule="auto"/>
        <w:rPr>
          <w:sz w:val="20"/>
          <w:szCs w:val="20"/>
          <w:color w:val="auto"/>
        </w:rPr>
      </w:pPr>
      <w:r>
        <w:rPr>
          <w:rFonts w:ascii="Arial" w:cs="Arial" w:eastAsia="Arial" w:hAnsi="Arial"/>
          <w:sz w:val="16"/>
          <w:szCs w:val="16"/>
          <w:color w:val="auto"/>
        </w:rPr>
        <w:t>P. Whitridge Williams, Jr. joined PennantPark Investment Advisers in March 2007. Mr. Williams was most recently a Managing Director in the Financial Sponsors and Leveraged Finance Group at UBS Securities LLC. Mr. Williams worked at UBS and predecessor firms, including Dillon Read and Co. Inc. from 1996 to 2007. During Mr. Williams' tenure at UBS, he spent four years as a senior member of the Telecom, Media and Technology Group.</w:t>
      </w:r>
    </w:p>
    <w:p>
      <w:pPr>
        <w:spacing w:after="0" w:line="14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Jose A. Briones joined PennantPark Investment Advisers in December 2009. Mr. Briones was most recently a Partner of Apollo Investment Management, L.P. and a member of its investment committee since 2006. He was a Managing Director with UBS Securities LLC in the Financial Sponsors and Leveraged Finance Group from 2001 to 2006. Prior to joining UBS he was a Vice President with JP Morgan in the Global Leveraged Finance Group from 1999 to 2001. From 1992 to 1999, Mr. Briones was a Vice President at BT Securities and BT Alex Brown Inc. in the Corporate Finance Department.</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to managing our investments, as of September 30, 2013, our portfolio managers also managed investments on behalf of the following entity:</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vMerge w:val="restart"/>
          </w:tcPr>
          <w:p>
            <w:pPr>
              <w:spacing w:after="0"/>
              <w:rPr>
                <w:sz w:val="20"/>
                <w:szCs w:val="20"/>
                <w:color w:val="auto"/>
              </w:rPr>
            </w:pPr>
            <w:r>
              <w:rPr>
                <w:rFonts w:ascii="Arial" w:cs="Arial" w:eastAsia="Arial" w:hAnsi="Arial"/>
                <w:sz w:val="18"/>
                <w:szCs w:val="18"/>
                <w:b w:val="1"/>
                <w:bCs w:val="1"/>
                <w:color w:val="auto"/>
              </w:rPr>
              <w:t>Name</w:t>
            </w:r>
          </w:p>
        </w:tc>
        <w:tc>
          <w:tcPr>
            <w:tcW w:w="3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720" w:type="dxa"/>
            <w:vAlign w:val="bottom"/>
            <w:gridSpan w:val="2"/>
          </w:tcPr>
          <w:p>
            <w:pPr>
              <w:ind w:left="340"/>
              <w:spacing w:after="0"/>
              <w:rPr>
                <w:sz w:val="20"/>
                <w:szCs w:val="20"/>
                <w:color w:val="auto"/>
              </w:rPr>
            </w:pPr>
            <w:r>
              <w:rPr>
                <w:rFonts w:ascii="Arial" w:cs="Arial" w:eastAsia="Arial" w:hAnsi="Arial"/>
                <w:sz w:val="18"/>
                <w:szCs w:val="18"/>
                <w:b w:val="1"/>
                <w:bCs w:val="1"/>
                <w:color w:val="auto"/>
              </w:rPr>
              <w:t>Gross Assets</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60" w:type="dxa"/>
            <w:vAlign w:val="bottom"/>
            <w:vMerge w:val="continue"/>
          </w:tcPr>
          <w:p>
            <w:pPr>
              <w:spacing w:after="0"/>
              <w:rPr>
                <w:sz w:val="20"/>
                <w:szCs w:val="20"/>
                <w:color w:val="auto"/>
              </w:rPr>
            </w:pPr>
          </w:p>
        </w:tc>
        <w:tc>
          <w:tcPr>
            <w:tcW w:w="2600" w:type="dxa"/>
            <w:vAlign w:val="bottom"/>
            <w:gridSpan w:val="3"/>
          </w:tcPr>
          <w:p>
            <w:pPr>
              <w:ind w:left="340"/>
              <w:spacing w:after="0"/>
              <w:rPr>
                <w:sz w:val="20"/>
                <w:szCs w:val="20"/>
                <w:color w:val="auto"/>
              </w:rPr>
            </w:pPr>
            <w:r>
              <w:rPr>
                <w:rFonts w:ascii="Arial" w:cs="Arial" w:eastAsia="Arial" w:hAnsi="Arial"/>
                <w:sz w:val="18"/>
                <w:szCs w:val="18"/>
                <w:b w:val="1"/>
                <w:bCs w:val="1"/>
                <w:color w:val="auto"/>
              </w:rPr>
              <w:t>Entity</w:t>
            </w:r>
          </w:p>
        </w:tc>
        <w:tc>
          <w:tcPr>
            <w:tcW w:w="3180" w:type="dxa"/>
            <w:vAlign w:val="bottom"/>
          </w:tcPr>
          <w:p>
            <w:pPr>
              <w:spacing w:after="0"/>
              <w:rPr>
                <w:sz w:val="20"/>
                <w:szCs w:val="20"/>
                <w:color w:val="auto"/>
              </w:rPr>
            </w:pPr>
            <w:r>
              <w:rPr>
                <w:rFonts w:ascii="Arial" w:cs="Arial" w:eastAsia="Arial" w:hAnsi="Arial"/>
                <w:sz w:val="18"/>
                <w:szCs w:val="18"/>
                <w:b w:val="1"/>
                <w:bCs w:val="1"/>
                <w:color w:val="auto"/>
              </w:rPr>
              <w:t>Investment Focus</w:t>
            </w:r>
          </w:p>
        </w:tc>
        <w:tc>
          <w:tcPr>
            <w:tcW w:w="1720" w:type="dxa"/>
            <w:vAlign w:val="bottom"/>
            <w:gridSpan w:val="2"/>
          </w:tcPr>
          <w:p>
            <w:pPr>
              <w:ind w:left="340"/>
              <w:spacing w:after="0"/>
              <w:rPr>
                <w:sz w:val="20"/>
                <w:szCs w:val="20"/>
                <w:color w:val="auto"/>
              </w:rPr>
            </w:pPr>
            <w:r>
              <w:rPr>
                <w:rFonts w:ascii="Arial" w:cs="Arial" w:eastAsia="Arial" w:hAnsi="Arial"/>
                <w:sz w:val="18"/>
                <w:szCs w:val="18"/>
                <w:b w:val="1"/>
                <w:bCs w:val="1"/>
                <w:color w:val="auto"/>
              </w:rPr>
              <w:t>($ in millions)</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6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PennantPark Floating Rate</w:t>
            </w:r>
          </w:p>
        </w:tc>
        <w:tc>
          <w:tcPr>
            <w:tcW w:w="340" w:type="dxa"/>
            <w:vAlign w:val="bottom"/>
            <w:tcBorders>
              <w:top w:val="single" w:sz="8" w:color="CCEEFF"/>
            </w:tcBorders>
            <w:shd w:val="clear" w:color="auto" w:fill="CCEEFF"/>
          </w:tcPr>
          <w:p>
            <w:pPr>
              <w:spacing w:after="0"/>
              <w:rPr>
                <w:sz w:val="16"/>
                <w:szCs w:val="16"/>
                <w:color w:val="auto"/>
              </w:rPr>
            </w:pPr>
          </w:p>
        </w:tc>
        <w:tc>
          <w:tcPr>
            <w:tcW w:w="192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31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 Ltd.</w:t>
            </w:r>
          </w:p>
        </w:tc>
        <w:tc>
          <w:tcPr>
            <w:tcW w:w="26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Business development</w:t>
            </w: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Primarily floating rate loans, with an</w:t>
            </w:r>
          </w:p>
        </w:tc>
        <w:tc>
          <w:tcPr>
            <w:tcW w:w="1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18"/>
                <w:szCs w:val="18"/>
                <w:color w:val="auto"/>
              </w:rPr>
            </w:pPr>
          </w:p>
        </w:tc>
        <w:tc>
          <w:tcPr>
            <w:tcW w:w="26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company</w:t>
            </w: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emphasis on senior secured loans, in</w:t>
            </w: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middle-market leveraged</w:t>
            </w: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6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9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companies.</w:t>
            </w:r>
          </w:p>
        </w:tc>
        <w:tc>
          <w:tcPr>
            <w:tcW w:w="34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3660" w:type="dxa"/>
            <w:vAlign w:val="bottom"/>
          </w:tcPr>
          <w:p>
            <w:pPr>
              <w:spacing w:after="0" w:line="201" w:lineRule="exact"/>
              <w:rPr>
                <w:sz w:val="20"/>
                <w:szCs w:val="20"/>
                <w:color w:val="auto"/>
              </w:rPr>
            </w:pPr>
            <w:r>
              <w:rPr>
                <w:rFonts w:ascii="Arial" w:cs="Arial" w:eastAsia="Arial" w:hAnsi="Arial"/>
                <w:sz w:val="18"/>
                <w:szCs w:val="18"/>
                <w:color w:val="auto"/>
              </w:rPr>
              <w:t>Other Managed Fund</w:t>
            </w:r>
          </w:p>
        </w:tc>
        <w:tc>
          <w:tcPr>
            <w:tcW w:w="2600" w:type="dxa"/>
            <w:vAlign w:val="bottom"/>
            <w:gridSpan w:val="3"/>
          </w:tcPr>
          <w:p>
            <w:pPr>
              <w:ind w:left="340"/>
              <w:spacing w:after="0" w:line="201" w:lineRule="exact"/>
              <w:rPr>
                <w:sz w:val="20"/>
                <w:szCs w:val="20"/>
                <w:color w:val="auto"/>
              </w:rPr>
            </w:pPr>
            <w:r>
              <w:rPr>
                <w:rFonts w:ascii="Arial" w:cs="Arial" w:eastAsia="Arial" w:hAnsi="Arial"/>
                <w:sz w:val="18"/>
                <w:szCs w:val="18"/>
                <w:color w:val="auto"/>
              </w:rPr>
              <w:t>Private Investment</w:t>
            </w:r>
          </w:p>
        </w:tc>
        <w:tc>
          <w:tcPr>
            <w:tcW w:w="3180" w:type="dxa"/>
            <w:vAlign w:val="bottom"/>
          </w:tcPr>
          <w:p>
            <w:pPr>
              <w:spacing w:after="0" w:line="201" w:lineRule="exact"/>
              <w:rPr>
                <w:sz w:val="20"/>
                <w:szCs w:val="20"/>
                <w:color w:val="auto"/>
              </w:rPr>
            </w:pPr>
            <w:r>
              <w:rPr>
                <w:rFonts w:ascii="Arial" w:cs="Arial" w:eastAsia="Arial" w:hAnsi="Arial"/>
                <w:sz w:val="18"/>
                <w:szCs w:val="18"/>
                <w:color w:val="auto"/>
              </w:rPr>
              <w:t>Other credit opportunities</w:t>
            </w:r>
          </w:p>
        </w:tc>
        <w:tc>
          <w:tcPr>
            <w:tcW w:w="172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w:t>
            </w:r>
          </w:p>
        </w:tc>
        <w:tc>
          <w:tcPr>
            <w:tcW w:w="260" w:type="dxa"/>
            <w:vAlign w:val="bottom"/>
          </w:tcPr>
          <w:p>
            <w:pPr>
              <w:jc w:val="right"/>
              <w:spacing w:after="0" w:line="201" w:lineRule="exact"/>
              <w:rPr>
                <w:sz w:val="20"/>
                <w:szCs w:val="20"/>
                <w:color w:val="auto"/>
              </w:rPr>
            </w:pPr>
            <w:r>
              <w:rPr>
                <w:rFonts w:ascii="Arial" w:cs="Arial" w:eastAsia="Arial" w:hAnsi="Arial"/>
                <w:sz w:val="18"/>
                <w:szCs w:val="18"/>
                <w:color w:val="auto"/>
                <w:w w:val="99"/>
              </w:rPr>
              <w:t>49</w:t>
            </w: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p>
        </w:tc>
        <w:tc>
          <w:tcPr>
            <w:tcW w:w="2600" w:type="dxa"/>
            <w:vAlign w:val="bottom"/>
            <w:gridSpan w:val="3"/>
          </w:tcPr>
          <w:p>
            <w:pPr>
              <w:ind w:left="340"/>
              <w:spacing w:after="0"/>
              <w:rPr>
                <w:sz w:val="20"/>
                <w:szCs w:val="20"/>
                <w:color w:val="auto"/>
              </w:rPr>
            </w:pPr>
            <w:r>
              <w:rPr>
                <w:rFonts w:ascii="Arial" w:cs="Arial" w:eastAsia="Arial" w:hAnsi="Arial"/>
                <w:sz w:val="18"/>
                <w:szCs w:val="18"/>
                <w:color w:val="auto"/>
              </w:rPr>
              <w:t>Fund</w:t>
            </w:r>
          </w:p>
        </w:tc>
        <w:tc>
          <w:tcPr>
            <w:tcW w:w="3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management and incentive fees payable by PennantPark Floating Rate Capital Ltd. are based on the gross assets and performance of PennantPark Floating Rate Capital Ltd., respectively.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60" w:right="2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CONTROL PERSONS AND PRINCIPAL STOCKHOLDERS</w:t>
      </w:r>
    </w:p>
    <w:p>
      <w:pPr>
        <w:spacing w:after="0" w:line="229"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As of December 11, 2013, to our knowledge, no person would be deemed to “control” us, as such term is defined in the 1940 Act. Our directors consist of an interested director and Independent Directors.</w:t>
      </w:r>
    </w:p>
    <w:p>
      <w:pPr>
        <w:spacing w:after="0" w:line="170" w:lineRule="exact"/>
        <w:rPr>
          <w:sz w:val="20"/>
          <w:szCs w:val="20"/>
          <w:color w:val="auto"/>
        </w:rPr>
      </w:pPr>
    </w:p>
    <w:p>
      <w:pPr>
        <w:ind w:right="460" w:firstLine="456"/>
        <w:spacing w:after="0" w:line="264" w:lineRule="auto"/>
        <w:rPr>
          <w:sz w:val="20"/>
          <w:szCs w:val="20"/>
          <w:color w:val="auto"/>
        </w:rPr>
      </w:pPr>
      <w:r>
        <w:rPr>
          <w:rFonts w:ascii="Arial" w:cs="Arial" w:eastAsia="Arial" w:hAnsi="Arial"/>
          <w:sz w:val="18"/>
          <w:szCs w:val="18"/>
          <w:color w:val="auto"/>
        </w:rPr>
        <w:t>The following table sets forth, as of December 11, 2013, certain ownership information with respect to our common stock for those persons who directly or indirectly own, control or hold with the power to vote, 5 percent or more of our outstanding common stock and all officers and directors, as a group.</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Percentage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of Common</w:t>
            </w:r>
          </w:p>
        </w:tc>
        <w:tc>
          <w:tcPr>
            <w:tcW w:w="0" w:type="dxa"/>
            <w:vAlign w:val="bottom"/>
          </w:tcPr>
          <w:p>
            <w:pPr>
              <w:spacing w:after="0"/>
              <w:rPr>
                <w:sz w:val="1"/>
                <w:szCs w:val="1"/>
                <w:color w:val="auto"/>
              </w:rPr>
            </w:pPr>
          </w:p>
        </w:tc>
      </w:tr>
      <w:tr>
        <w:trPr>
          <w:trHeight w:val="216"/>
        </w:trPr>
        <w:tc>
          <w:tcPr>
            <w:tcW w:w="65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Name and Address</w:t>
            </w:r>
            <w:r>
              <w:rPr>
                <w:rFonts w:ascii="Arial" w:cs="Arial" w:eastAsia="Arial" w:hAnsi="Arial"/>
                <w:sz w:val="15"/>
                <w:szCs w:val="15"/>
                <w:b w:val="1"/>
                <w:bCs w:val="1"/>
                <w:color w:val="auto"/>
              </w:rPr>
              <w:t>(1)</w:t>
            </w:r>
          </w:p>
        </w:tc>
        <w:tc>
          <w:tcPr>
            <w:tcW w:w="2540" w:type="dxa"/>
            <w:vAlign w:val="bottom"/>
            <w:gridSpan w:val="2"/>
            <w:vMerge w:val="restart"/>
          </w:tcPr>
          <w:p>
            <w:pPr>
              <w:ind w:left="240"/>
              <w:spacing w:after="0"/>
              <w:rPr>
                <w:sz w:val="20"/>
                <w:szCs w:val="20"/>
                <w:color w:val="auto"/>
              </w:rPr>
            </w:pPr>
            <w:r>
              <w:rPr>
                <w:rFonts w:ascii="Arial" w:cs="Arial" w:eastAsia="Arial" w:hAnsi="Arial"/>
                <w:sz w:val="18"/>
                <w:szCs w:val="18"/>
                <w:b w:val="1"/>
                <w:bCs w:val="1"/>
                <w:color w:val="auto"/>
              </w:rPr>
              <w:t>Type of Ownership</w:t>
            </w:r>
            <w:r>
              <w:rPr>
                <w:rFonts w:ascii="Arial" w:cs="Arial" w:eastAsia="Arial" w:hAnsi="Arial"/>
                <w:sz w:val="15"/>
                <w:szCs w:val="15"/>
                <w:b w:val="1"/>
                <w:bCs w:val="1"/>
                <w:color w:val="auto"/>
              </w:rPr>
              <w:t>(4)</w:t>
            </w:r>
          </w:p>
        </w:tc>
        <w:tc>
          <w:tcPr>
            <w:tcW w:w="130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Shares</w:t>
            </w: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Stock</w:t>
            </w:r>
          </w:p>
        </w:tc>
        <w:tc>
          <w:tcPr>
            <w:tcW w:w="0" w:type="dxa"/>
            <w:vAlign w:val="bottom"/>
          </w:tcPr>
          <w:p>
            <w:pPr>
              <w:spacing w:after="0"/>
              <w:rPr>
                <w:sz w:val="1"/>
                <w:szCs w:val="1"/>
                <w:color w:val="auto"/>
              </w:rPr>
            </w:pPr>
          </w:p>
        </w:tc>
      </w:tr>
      <w:tr>
        <w:trPr>
          <w:trHeight w:val="234"/>
        </w:trPr>
        <w:tc>
          <w:tcPr>
            <w:tcW w:w="6520" w:type="dxa"/>
            <w:vAlign w:val="bottom"/>
            <w:gridSpan w:val="3"/>
            <w:vMerge w:val="continue"/>
          </w:tcPr>
          <w:p>
            <w:pPr>
              <w:spacing w:after="0"/>
              <w:rPr>
                <w:sz w:val="20"/>
                <w:szCs w:val="20"/>
                <w:color w:val="auto"/>
              </w:rPr>
            </w:pPr>
          </w:p>
        </w:tc>
        <w:tc>
          <w:tcPr>
            <w:tcW w:w="2540" w:type="dxa"/>
            <w:vAlign w:val="bottom"/>
            <w:gridSpan w:val="2"/>
            <w:vMerge w:val="continue"/>
          </w:tcPr>
          <w:p>
            <w:pPr>
              <w:spacing w:after="0"/>
              <w:rPr>
                <w:sz w:val="20"/>
                <w:szCs w:val="20"/>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Owned</w:t>
            </w: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Outstanding</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1580" w:type="dxa"/>
            <w:vAlign w:val="bottom"/>
            <w:tcBorders>
              <w:top w:val="single" w:sz="8" w:color="auto"/>
            </w:tcBorders>
          </w:tcPr>
          <w:p>
            <w:pPr>
              <w:spacing w:after="0"/>
              <w:rPr>
                <w:sz w:val="7"/>
                <w:szCs w:val="7"/>
                <w:color w:val="auto"/>
              </w:rPr>
            </w:pPr>
          </w:p>
        </w:tc>
        <w:tc>
          <w:tcPr>
            <w:tcW w:w="4920" w:type="dxa"/>
            <w:vAlign w:val="bottom"/>
          </w:tcPr>
          <w:p>
            <w:pPr>
              <w:spacing w:after="0"/>
              <w:rPr>
                <w:sz w:val="7"/>
                <w:szCs w:val="7"/>
                <w:color w:val="auto"/>
              </w:rPr>
            </w:pPr>
          </w:p>
        </w:tc>
        <w:tc>
          <w:tcPr>
            <w:tcW w:w="2120" w:type="dxa"/>
            <w:vAlign w:val="bottom"/>
            <w:tcBorders>
              <w:top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Independent directors</w:t>
            </w:r>
          </w:p>
        </w:tc>
        <w:tc>
          <w:tcPr>
            <w:tcW w:w="2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ind w:left="340"/>
              <w:spacing w:after="0"/>
              <w:rPr>
                <w:sz w:val="20"/>
                <w:szCs w:val="20"/>
                <w:color w:val="auto"/>
              </w:rPr>
            </w:pPr>
            <w:r>
              <w:rPr>
                <w:rFonts w:ascii="Arial" w:cs="Arial" w:eastAsia="Arial" w:hAnsi="Arial"/>
                <w:sz w:val="18"/>
                <w:szCs w:val="18"/>
                <w:color w:val="auto"/>
              </w:rPr>
              <w:t>Adam K. Bernstein</w:t>
            </w:r>
            <w:r>
              <w:rPr>
                <w:rFonts w:ascii="Arial" w:cs="Arial" w:eastAsia="Arial" w:hAnsi="Arial"/>
                <w:sz w:val="15"/>
                <w:szCs w:val="15"/>
                <w:color w:val="auto"/>
              </w:rPr>
              <w:t>(2)</w:t>
            </w:r>
          </w:p>
        </w:tc>
        <w:tc>
          <w:tcPr>
            <w:tcW w:w="2540" w:type="dxa"/>
            <w:vAlign w:val="bottom"/>
            <w:gridSpan w:val="2"/>
          </w:tcPr>
          <w:p>
            <w:pPr>
              <w:spacing w:after="0"/>
              <w:rPr>
                <w:sz w:val="20"/>
                <w:szCs w:val="20"/>
                <w:color w:val="auto"/>
              </w:rPr>
            </w:pPr>
            <w:r>
              <w:rPr>
                <w:rFonts w:ascii="Arial" w:cs="Arial" w:eastAsia="Arial" w:hAnsi="Arial"/>
                <w:sz w:val="18"/>
                <w:szCs w:val="18"/>
                <w:color w:val="auto"/>
              </w:rPr>
              <w:t>Record/Beneficial</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88,971</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Marshall Brozost</w:t>
            </w: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Record/Beneficial</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13,540</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ind w:left="340"/>
              <w:spacing w:after="0"/>
              <w:rPr>
                <w:sz w:val="20"/>
                <w:szCs w:val="20"/>
                <w:color w:val="auto"/>
              </w:rPr>
            </w:pPr>
            <w:r>
              <w:rPr>
                <w:rFonts w:ascii="Arial" w:cs="Arial" w:eastAsia="Arial" w:hAnsi="Arial"/>
                <w:sz w:val="18"/>
                <w:szCs w:val="18"/>
                <w:color w:val="auto"/>
              </w:rPr>
              <w:t>Jeffrey Flug</w:t>
            </w:r>
          </w:p>
        </w:tc>
        <w:tc>
          <w:tcPr>
            <w:tcW w:w="2540" w:type="dxa"/>
            <w:vAlign w:val="bottom"/>
            <w:gridSpan w:val="2"/>
          </w:tcPr>
          <w:p>
            <w:pPr>
              <w:spacing w:after="0"/>
              <w:rPr>
                <w:sz w:val="20"/>
                <w:szCs w:val="20"/>
                <w:color w:val="auto"/>
              </w:rPr>
            </w:pPr>
            <w:r>
              <w:rPr>
                <w:rFonts w:ascii="Arial" w:cs="Arial" w:eastAsia="Arial" w:hAnsi="Arial"/>
                <w:sz w:val="18"/>
                <w:szCs w:val="18"/>
                <w:color w:val="auto"/>
              </w:rPr>
              <w:t>Record/Beneficial</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227,288</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Samuel L. Katz</w:t>
            </w: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Record/Beneficial</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113,482</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w:t>
            </w:r>
          </w:p>
        </w:tc>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Arthur H. Penn</w:t>
            </w:r>
            <w:r>
              <w:rPr>
                <w:rFonts w:ascii="Arial" w:cs="Arial" w:eastAsia="Arial" w:hAnsi="Arial"/>
                <w:sz w:val="15"/>
                <w:szCs w:val="15"/>
                <w:color w:val="auto"/>
              </w:rPr>
              <w:t>(3)</w:t>
            </w: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Record/Beneficial</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537,323</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Arial" w:cs="Arial" w:eastAsia="Arial" w:hAnsi="Arial"/>
                <w:sz w:val="18"/>
                <w:szCs w:val="18"/>
                <w:b w:val="1"/>
                <w:bCs w:val="1"/>
                <w:color w:val="auto"/>
              </w:rPr>
              <w:t>Executive officer</w:t>
            </w:r>
          </w:p>
        </w:tc>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Aviv Efrat</w:t>
            </w: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Record/Beneficial</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44,790</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6520" w:type="dxa"/>
            <w:vAlign w:val="bottom"/>
            <w:gridSpan w:val="3"/>
          </w:tcPr>
          <w:p>
            <w:pPr>
              <w:spacing w:after="0"/>
              <w:rPr>
                <w:sz w:val="20"/>
                <w:szCs w:val="20"/>
                <w:color w:val="auto"/>
              </w:rPr>
            </w:pPr>
            <w:r>
              <w:rPr>
                <w:rFonts w:ascii="Arial" w:cs="Arial" w:eastAsia="Arial" w:hAnsi="Arial"/>
                <w:sz w:val="18"/>
                <w:szCs w:val="18"/>
                <w:color w:val="auto"/>
              </w:rPr>
              <w:t>All directors and executive officer as a group (6 persons)</w:t>
            </w:r>
          </w:p>
        </w:tc>
        <w:tc>
          <w:tcPr>
            <w:tcW w:w="2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1,025,394</w:t>
            </w:r>
          </w:p>
        </w:tc>
        <w:tc>
          <w:tcPr>
            <w:tcW w:w="52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89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4" w:lineRule="exact"/>
        <w:rPr>
          <w:sz w:val="20"/>
          <w:szCs w:val="20"/>
          <w:color w:val="auto"/>
        </w:rPr>
      </w:pPr>
    </w:p>
    <w:p>
      <w:pPr>
        <w:ind w:left="460" w:hanging="452"/>
        <w:spacing w:after="0"/>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address for each officer and director is c/o PennantPark, 590 Madison Avenue, 15th Floor, New York, New York 10022.</w:t>
      </w:r>
    </w:p>
    <w:p>
      <w:pPr>
        <w:spacing w:after="0" w:line="23" w:lineRule="exact"/>
        <w:rPr>
          <w:rFonts w:ascii="Arial" w:cs="Arial" w:eastAsia="Arial" w:hAnsi="Arial"/>
          <w:sz w:val="18"/>
          <w:szCs w:val="18"/>
          <w:color w:val="auto"/>
        </w:rPr>
      </w:pPr>
    </w:p>
    <w:p>
      <w:pPr>
        <w:ind w:left="460" w:right="280" w:hanging="452"/>
        <w:spacing w:after="0" w:line="250" w:lineRule="auto"/>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Mr. Bernstein is the President of JAM Investments, LLC and may therefore be deemed to own beneficially the 68,236 shares of PNNT held by JAM Investments, LLC.</w:t>
      </w:r>
    </w:p>
    <w:p>
      <w:pPr>
        <w:ind w:left="460" w:right="240" w:hanging="452"/>
        <w:spacing w:after="0" w:line="250" w:lineRule="auto"/>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Mr. Penn is the Managing Member of the Investment Adviser and may therefore be deemed to own beneficially the 342,611 shares of PNNT held by the Investment Adviser.</w:t>
      </w:r>
    </w:p>
    <w:p>
      <w:pPr>
        <w:ind w:left="460" w:hanging="452"/>
        <w:spacing w:after="0"/>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9" w:lineRule="exact"/>
        <w:rPr>
          <w:sz w:val="20"/>
          <w:szCs w:val="20"/>
          <w:color w:val="auto"/>
        </w:rPr>
      </w:pPr>
    </w:p>
    <w:p>
      <w:pPr>
        <w:ind w:left="460" w:hanging="407"/>
        <w:spacing w:after="0"/>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Less than 1 percent.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60"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Dollar Range of Securities Beneficially Owned by Directors, Officers and Senior Investment Professionals</w:t>
      </w:r>
    </w:p>
    <w:p>
      <w:pPr>
        <w:spacing w:after="0" w:line="225"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following table sets forth the dollar range of our common stock beneficially owned by each of our directors, officers and senior investment professionals as of December 6, 2013. Information as to the beneficial ownerships is based on information furnished to us by such persons. We are not part of a “family of investment companies,” as that term is defined in the 1940 Act.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460" w:type="dxa"/>
            <w:vAlign w:val="bottom"/>
            <w:gridSpan w:val="3"/>
          </w:tcPr>
          <w:p>
            <w:pPr>
              <w:spacing w:after="0"/>
              <w:rPr>
                <w:sz w:val="20"/>
                <w:szCs w:val="20"/>
                <w:color w:val="auto"/>
              </w:rPr>
            </w:pPr>
            <w:r>
              <w:rPr>
                <w:rFonts w:ascii="Arial" w:cs="Arial" w:eastAsia="Arial" w:hAnsi="Arial"/>
                <w:sz w:val="18"/>
                <w:szCs w:val="18"/>
                <w:b w:val="1"/>
                <w:bCs w:val="1"/>
                <w:color w:val="auto"/>
              </w:rPr>
              <w:t>Directors</w:t>
            </w:r>
          </w:p>
        </w:tc>
        <w:tc>
          <w:tcPr>
            <w:tcW w:w="5760" w:type="dxa"/>
            <w:vAlign w:val="bottom"/>
            <w:gridSpan w:val="5"/>
          </w:tcPr>
          <w:p>
            <w:pPr>
              <w:jc w:val="center"/>
              <w:ind w:left="1130"/>
              <w:spacing w:after="0"/>
              <w:rPr>
                <w:sz w:val="20"/>
                <w:szCs w:val="20"/>
                <w:color w:val="auto"/>
              </w:rPr>
            </w:pPr>
            <w:r>
              <w:rPr>
                <w:rFonts w:ascii="Arial" w:cs="Arial" w:eastAsia="Arial" w:hAnsi="Arial"/>
                <w:sz w:val="18"/>
                <w:szCs w:val="18"/>
                <w:b w:val="1"/>
                <w:bCs w:val="1"/>
                <w:color w:val="auto"/>
                <w:w w:val="90"/>
              </w:rPr>
              <w:t>Dollar Range of the Common Stock of the Companies</w:t>
            </w:r>
            <w:r>
              <w:rPr>
                <w:rFonts w:ascii="Arial" w:cs="Arial" w:eastAsia="Arial" w:hAnsi="Arial"/>
                <w:sz w:val="15"/>
                <w:szCs w:val="15"/>
                <w:b w:val="1"/>
                <w:bCs w:val="1"/>
                <w:color w:val="auto"/>
                <w:w w:val="90"/>
              </w:rPr>
              <w:t>(1)</w:t>
            </w: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3740" w:type="dxa"/>
            <w:vAlign w:val="bottom"/>
          </w:tcPr>
          <w:p>
            <w:pPr>
              <w:spacing w:after="0"/>
              <w:rPr>
                <w:sz w:val="17"/>
                <w:szCs w:val="17"/>
                <w:color w:val="auto"/>
              </w:rPr>
            </w:pPr>
          </w:p>
        </w:tc>
        <w:tc>
          <w:tcPr>
            <w:tcW w:w="2400" w:type="dxa"/>
            <w:vAlign w:val="bottom"/>
            <w:tcBorders>
              <w:top w:val="single" w:sz="8" w:color="auto"/>
            </w:tcBorders>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92"/>
              </w:rPr>
              <w:t>PennantPark</w:t>
            </w:r>
          </w:p>
        </w:tc>
        <w:tc>
          <w:tcPr>
            <w:tcW w:w="2400" w:type="dxa"/>
            <w:vAlign w:val="bottom"/>
            <w:tcBorders>
              <w:top w:val="single" w:sz="8" w:color="auto"/>
            </w:tcBorders>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92"/>
              </w:rPr>
              <w:t>PennantPark</w:t>
            </w:r>
          </w:p>
        </w:tc>
        <w:tc>
          <w:tcPr>
            <w:tcW w:w="9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Investment</w:t>
            </w:r>
          </w:p>
        </w:tc>
        <w:tc>
          <w:tcPr>
            <w:tcW w:w="2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Floating Rate</w:t>
            </w:r>
          </w:p>
        </w:tc>
        <w:tc>
          <w:tcPr>
            <w:tcW w:w="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460" w:type="dxa"/>
            <w:vAlign w:val="bottom"/>
            <w:gridSpan w:val="3"/>
          </w:tcPr>
          <w:p>
            <w:pPr>
              <w:spacing w:after="0"/>
              <w:rPr>
                <w:sz w:val="20"/>
                <w:szCs w:val="20"/>
                <w:color w:val="auto"/>
              </w:rPr>
            </w:pPr>
            <w:r>
              <w:rPr>
                <w:rFonts w:ascii="Arial" w:cs="Arial" w:eastAsia="Arial" w:hAnsi="Arial"/>
                <w:sz w:val="18"/>
                <w:szCs w:val="18"/>
                <w:b w:val="1"/>
                <w:bCs w:val="1"/>
                <w:color w:val="auto"/>
              </w:rPr>
              <w:t>Independent directors</w:t>
            </w:r>
          </w:p>
        </w:tc>
        <w:tc>
          <w:tcPr>
            <w:tcW w:w="2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Corporation</w:t>
            </w:r>
          </w:p>
        </w:tc>
        <w:tc>
          <w:tcPr>
            <w:tcW w:w="2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Capital Ltd.</w:t>
            </w:r>
          </w:p>
        </w:tc>
        <w:tc>
          <w:tcPr>
            <w:tcW w:w="2160" w:type="dxa"/>
            <w:vAlign w:val="bottom"/>
            <w:gridSpan w:val="2"/>
          </w:tcPr>
          <w:p>
            <w:pPr>
              <w:jc w:val="right"/>
              <w:ind w:right="7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Borders>
              <w:top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Adam K. Bernstein</w:t>
            </w:r>
            <w:r>
              <w:rPr>
                <w:rFonts w:ascii="Arial" w:cs="Arial" w:eastAsia="Arial" w:hAnsi="Arial"/>
                <w:sz w:val="15"/>
                <w:szCs w:val="15"/>
                <w:color w:val="auto"/>
              </w:rPr>
              <w:t>(2)</w:t>
            </w:r>
          </w:p>
        </w:tc>
        <w:tc>
          <w:tcPr>
            <w:tcW w:w="2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Over $1,000,000</w:t>
            </w:r>
          </w:p>
        </w:tc>
        <w:tc>
          <w:tcPr>
            <w:tcW w:w="22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$ 50,001 - $100,000</w:t>
            </w:r>
          </w:p>
        </w:tc>
        <w:tc>
          <w:tcPr>
            <w:tcW w:w="22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Over $1,000,000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ind w:left="340"/>
              <w:spacing w:after="0"/>
              <w:rPr>
                <w:sz w:val="20"/>
                <w:szCs w:val="20"/>
                <w:color w:val="auto"/>
              </w:rPr>
            </w:pPr>
            <w:r>
              <w:rPr>
                <w:rFonts w:ascii="Arial" w:cs="Arial" w:eastAsia="Arial" w:hAnsi="Arial"/>
                <w:sz w:val="18"/>
                <w:szCs w:val="18"/>
                <w:color w:val="auto"/>
              </w:rPr>
              <w:t>Marshall Brozost</w:t>
            </w:r>
          </w:p>
        </w:tc>
        <w:tc>
          <w:tcPr>
            <w:tcW w:w="2180" w:type="dxa"/>
            <w:vAlign w:val="bottom"/>
          </w:tcPr>
          <w:p>
            <w:pPr>
              <w:jc w:val="center"/>
              <w:spacing w:after="0"/>
              <w:rPr>
                <w:sz w:val="20"/>
                <w:szCs w:val="20"/>
                <w:color w:val="auto"/>
              </w:rPr>
            </w:pPr>
            <w:r>
              <w:rPr>
                <w:rFonts w:ascii="Arial" w:cs="Arial" w:eastAsia="Arial" w:hAnsi="Arial"/>
                <w:sz w:val="18"/>
                <w:szCs w:val="18"/>
                <w:color w:val="auto"/>
                <w:w w:val="90"/>
              </w:rPr>
              <w:t>$100,001 - $500,000</w:t>
            </w:r>
          </w:p>
        </w:tc>
        <w:tc>
          <w:tcPr>
            <w:tcW w:w="220" w:type="dxa"/>
            <w:vAlign w:val="bottom"/>
          </w:tcPr>
          <w:p>
            <w:pPr>
              <w:spacing w:after="0"/>
              <w:rPr>
                <w:sz w:val="18"/>
                <w:szCs w:val="18"/>
                <w:color w:val="auto"/>
              </w:rPr>
            </w:pPr>
          </w:p>
        </w:tc>
        <w:tc>
          <w:tcPr>
            <w:tcW w:w="240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None</w:t>
            </w:r>
          </w:p>
        </w:tc>
        <w:tc>
          <w:tcPr>
            <w:tcW w:w="2160" w:type="dxa"/>
            <w:vAlign w:val="bottom"/>
            <w:gridSpan w:val="2"/>
          </w:tcPr>
          <w:p>
            <w:pPr>
              <w:jc w:val="right"/>
              <w:ind w:right="170"/>
              <w:spacing w:after="0"/>
              <w:rPr>
                <w:sz w:val="20"/>
                <w:szCs w:val="20"/>
                <w:color w:val="auto"/>
              </w:rPr>
            </w:pPr>
            <w:r>
              <w:rPr>
                <w:rFonts w:ascii="Arial" w:cs="Arial" w:eastAsia="Arial" w:hAnsi="Arial"/>
                <w:sz w:val="18"/>
                <w:szCs w:val="18"/>
                <w:color w:val="auto"/>
              </w:rPr>
              <w:t>$100,001 - $  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Jeffrey Flug</w:t>
            </w:r>
          </w:p>
        </w:tc>
        <w:tc>
          <w:tcPr>
            <w:tcW w:w="24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0"/>
              </w:rPr>
              <w:t>Over $1,000,000</w:t>
            </w:r>
          </w:p>
        </w:tc>
        <w:tc>
          <w:tcPr>
            <w:tcW w:w="24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2"/>
              </w:rPr>
              <w:t>None</w:t>
            </w:r>
          </w:p>
        </w:tc>
        <w:tc>
          <w:tcPr>
            <w:tcW w:w="216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Over $1,000,000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gridSpan w:val="2"/>
          </w:tcPr>
          <w:p>
            <w:pPr>
              <w:ind w:left="340"/>
              <w:spacing w:after="0"/>
              <w:rPr>
                <w:sz w:val="20"/>
                <w:szCs w:val="20"/>
                <w:color w:val="auto"/>
              </w:rPr>
            </w:pPr>
            <w:r>
              <w:rPr>
                <w:rFonts w:ascii="Arial" w:cs="Arial" w:eastAsia="Arial" w:hAnsi="Arial"/>
                <w:sz w:val="18"/>
                <w:szCs w:val="18"/>
                <w:color w:val="auto"/>
              </w:rPr>
              <w:t>Samuel L. Katz</w:t>
            </w:r>
          </w:p>
        </w:tc>
        <w:tc>
          <w:tcPr>
            <w:tcW w:w="24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Over $1,000,000</w:t>
            </w:r>
          </w:p>
        </w:tc>
        <w:tc>
          <w:tcPr>
            <w:tcW w:w="2180" w:type="dxa"/>
            <w:vAlign w:val="bottom"/>
          </w:tcPr>
          <w:p>
            <w:pPr>
              <w:jc w:val="center"/>
              <w:spacing w:after="0"/>
              <w:rPr>
                <w:sz w:val="20"/>
                <w:szCs w:val="20"/>
                <w:color w:val="auto"/>
              </w:rPr>
            </w:pPr>
            <w:r>
              <w:rPr>
                <w:rFonts w:ascii="Arial" w:cs="Arial" w:eastAsia="Arial" w:hAnsi="Arial"/>
                <w:sz w:val="18"/>
                <w:szCs w:val="18"/>
                <w:color w:val="auto"/>
                <w:w w:val="90"/>
              </w:rPr>
              <w:t>$500,001 - $1,000,000</w:t>
            </w:r>
          </w:p>
        </w:tc>
        <w:tc>
          <w:tcPr>
            <w:tcW w:w="220" w:type="dxa"/>
            <w:vAlign w:val="bottom"/>
          </w:tcPr>
          <w:p>
            <w:pPr>
              <w:spacing w:after="0"/>
              <w:rPr>
                <w:sz w:val="20"/>
                <w:szCs w:val="20"/>
                <w:color w:val="auto"/>
              </w:rPr>
            </w:pPr>
          </w:p>
        </w:tc>
        <w:tc>
          <w:tcPr>
            <w:tcW w:w="2160" w:type="dxa"/>
            <w:vAlign w:val="bottom"/>
            <w:gridSpan w:val="2"/>
          </w:tcPr>
          <w:p>
            <w:pPr>
              <w:jc w:val="right"/>
              <w:ind w:right="390"/>
              <w:spacing w:after="0"/>
              <w:rPr>
                <w:sz w:val="20"/>
                <w:szCs w:val="20"/>
                <w:color w:val="auto"/>
              </w:rPr>
            </w:pPr>
            <w:r>
              <w:rPr>
                <w:rFonts w:ascii="Arial" w:cs="Arial" w:eastAsia="Arial" w:hAnsi="Arial"/>
                <w:sz w:val="18"/>
                <w:szCs w:val="18"/>
                <w:color w:val="auto"/>
              </w:rPr>
              <w:t>Over $1,000,000</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700" w:type="dxa"/>
            <w:vAlign w:val="bottom"/>
          </w:tcPr>
          <w:p>
            <w:pPr>
              <w:spacing w:after="0"/>
              <w:rPr>
                <w:sz w:val="8"/>
                <w:szCs w:val="8"/>
                <w:color w:val="auto"/>
              </w:rPr>
            </w:pPr>
          </w:p>
        </w:tc>
        <w:tc>
          <w:tcPr>
            <w:tcW w:w="3740" w:type="dxa"/>
            <w:vAlign w:val="bottom"/>
          </w:tcPr>
          <w:p>
            <w:pPr>
              <w:spacing w:after="0"/>
              <w:rPr>
                <w:sz w:val="8"/>
                <w:szCs w:val="8"/>
                <w:color w:val="auto"/>
              </w:rPr>
            </w:pPr>
          </w:p>
        </w:tc>
        <w:tc>
          <w:tcPr>
            <w:tcW w:w="2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Interested director</w:t>
            </w:r>
          </w:p>
        </w:tc>
        <w:tc>
          <w:tcPr>
            <w:tcW w:w="2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gridSpan w:val="2"/>
          </w:tcPr>
          <w:p>
            <w:pPr>
              <w:ind w:left="340"/>
              <w:spacing w:after="0"/>
              <w:rPr>
                <w:sz w:val="20"/>
                <w:szCs w:val="20"/>
                <w:color w:val="auto"/>
              </w:rPr>
            </w:pPr>
            <w:r>
              <w:rPr>
                <w:rFonts w:ascii="Arial" w:cs="Arial" w:eastAsia="Arial" w:hAnsi="Arial"/>
                <w:sz w:val="18"/>
                <w:szCs w:val="18"/>
                <w:color w:val="auto"/>
              </w:rPr>
              <w:t>Arthur H. Penn</w:t>
            </w:r>
            <w:r>
              <w:rPr>
                <w:rFonts w:ascii="Arial" w:cs="Arial" w:eastAsia="Arial" w:hAnsi="Arial"/>
                <w:sz w:val="15"/>
                <w:szCs w:val="15"/>
                <w:color w:val="auto"/>
              </w:rPr>
              <w:t>(3)</w:t>
            </w:r>
          </w:p>
        </w:tc>
        <w:tc>
          <w:tcPr>
            <w:tcW w:w="24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Over $1,000,000</w:t>
            </w:r>
          </w:p>
        </w:tc>
        <w:tc>
          <w:tcPr>
            <w:tcW w:w="24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Over $1,000,000</w:t>
            </w:r>
          </w:p>
        </w:tc>
        <w:tc>
          <w:tcPr>
            <w:tcW w:w="2160" w:type="dxa"/>
            <w:vAlign w:val="bottom"/>
            <w:gridSpan w:val="2"/>
          </w:tcPr>
          <w:p>
            <w:pPr>
              <w:jc w:val="right"/>
              <w:ind w:right="390"/>
              <w:spacing w:after="0"/>
              <w:rPr>
                <w:sz w:val="20"/>
                <w:szCs w:val="20"/>
                <w:color w:val="auto"/>
              </w:rPr>
            </w:pPr>
            <w:r>
              <w:rPr>
                <w:rFonts w:ascii="Arial" w:cs="Arial" w:eastAsia="Arial" w:hAnsi="Arial"/>
                <w:sz w:val="18"/>
                <w:szCs w:val="18"/>
                <w:color w:val="auto"/>
              </w:rPr>
              <w:t>Over $1,000,000</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700" w:type="dxa"/>
            <w:vAlign w:val="bottom"/>
          </w:tcPr>
          <w:p>
            <w:pPr>
              <w:spacing w:after="0"/>
              <w:rPr>
                <w:sz w:val="8"/>
                <w:szCs w:val="8"/>
                <w:color w:val="auto"/>
              </w:rPr>
            </w:pPr>
          </w:p>
        </w:tc>
        <w:tc>
          <w:tcPr>
            <w:tcW w:w="3740" w:type="dxa"/>
            <w:vAlign w:val="bottom"/>
          </w:tcPr>
          <w:p>
            <w:pPr>
              <w:spacing w:after="0"/>
              <w:rPr>
                <w:sz w:val="8"/>
                <w:szCs w:val="8"/>
                <w:color w:val="auto"/>
              </w:rPr>
            </w:pPr>
          </w:p>
        </w:tc>
        <w:tc>
          <w:tcPr>
            <w:tcW w:w="2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Senior Investment Professionals</w:t>
            </w:r>
          </w:p>
        </w:tc>
        <w:tc>
          <w:tcPr>
            <w:tcW w:w="2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gridSpan w:val="2"/>
          </w:tcPr>
          <w:p>
            <w:pPr>
              <w:ind w:left="340"/>
              <w:spacing w:after="0"/>
              <w:rPr>
                <w:sz w:val="20"/>
                <w:szCs w:val="20"/>
                <w:color w:val="auto"/>
              </w:rPr>
            </w:pPr>
            <w:r>
              <w:rPr>
                <w:rFonts w:ascii="Arial" w:cs="Arial" w:eastAsia="Arial" w:hAnsi="Arial"/>
                <w:sz w:val="18"/>
                <w:szCs w:val="18"/>
                <w:color w:val="auto"/>
              </w:rPr>
              <w:t>Jose A. Briones</w:t>
            </w:r>
          </w:p>
        </w:tc>
        <w:tc>
          <w:tcPr>
            <w:tcW w:w="2180" w:type="dxa"/>
            <w:vAlign w:val="bottom"/>
          </w:tcPr>
          <w:p>
            <w:pPr>
              <w:jc w:val="center"/>
              <w:spacing w:after="0"/>
              <w:rPr>
                <w:sz w:val="20"/>
                <w:szCs w:val="20"/>
                <w:color w:val="auto"/>
              </w:rPr>
            </w:pPr>
            <w:r>
              <w:rPr>
                <w:rFonts w:ascii="Arial" w:cs="Arial" w:eastAsia="Arial" w:hAnsi="Arial"/>
                <w:sz w:val="18"/>
                <w:szCs w:val="18"/>
                <w:color w:val="auto"/>
                <w:w w:val="89"/>
              </w:rPr>
              <w:t>$500,001 - $1,000,000</w:t>
            </w:r>
          </w:p>
        </w:tc>
        <w:tc>
          <w:tcPr>
            <w:tcW w:w="220" w:type="dxa"/>
            <w:vAlign w:val="bottom"/>
          </w:tcPr>
          <w:p>
            <w:pPr>
              <w:spacing w:after="0"/>
              <w:rPr>
                <w:sz w:val="19"/>
                <w:szCs w:val="19"/>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9"/>
              </w:rPr>
              <w:t>$100,001 - $ 500,000</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$500,001</w:t>
            </w:r>
          </w:p>
        </w:tc>
        <w:tc>
          <w:tcPr>
            <w:tcW w:w="1200" w:type="dxa"/>
            <w:vAlign w:val="bottom"/>
          </w:tcPr>
          <w:p>
            <w:pPr>
              <w:jc w:val="right"/>
              <w:ind w:right="170"/>
              <w:spacing w:after="0"/>
              <w:rPr>
                <w:sz w:val="20"/>
                <w:szCs w:val="20"/>
                <w:color w:val="auto"/>
              </w:rPr>
            </w:pPr>
            <w:r>
              <w:rPr>
                <w:rFonts w:ascii="Arial" w:cs="Arial" w:eastAsia="Arial" w:hAnsi="Arial"/>
                <w:sz w:val="18"/>
                <w:szCs w:val="18"/>
                <w:color w:val="auto"/>
                <w:w w:val="90"/>
              </w:rPr>
              <w:t>- $1,000,000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Salvatore Giannetti III</w:t>
            </w: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$100,001 - $500,000</w:t>
            </w:r>
          </w:p>
        </w:tc>
        <w:tc>
          <w:tcPr>
            <w:tcW w:w="22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$100,001 - $ 500,000</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$100,001</w:t>
            </w:r>
          </w:p>
        </w:tc>
        <w:tc>
          <w:tcPr>
            <w:tcW w:w="12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5"/>
              </w:rPr>
              <w:t>- $  500,000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gridSpan w:val="2"/>
          </w:tcPr>
          <w:p>
            <w:pPr>
              <w:ind w:left="340"/>
              <w:spacing w:after="0"/>
              <w:rPr>
                <w:sz w:val="20"/>
                <w:szCs w:val="20"/>
                <w:color w:val="auto"/>
              </w:rPr>
            </w:pPr>
            <w:r>
              <w:rPr>
                <w:rFonts w:ascii="Arial" w:cs="Arial" w:eastAsia="Arial" w:hAnsi="Arial"/>
                <w:sz w:val="18"/>
                <w:szCs w:val="18"/>
                <w:color w:val="auto"/>
              </w:rPr>
              <w:t>P. Whitridge Williams, Jr.</w:t>
            </w:r>
          </w:p>
        </w:tc>
        <w:tc>
          <w:tcPr>
            <w:tcW w:w="2180" w:type="dxa"/>
            <w:vAlign w:val="bottom"/>
          </w:tcPr>
          <w:p>
            <w:pPr>
              <w:jc w:val="center"/>
              <w:spacing w:after="0"/>
              <w:rPr>
                <w:sz w:val="20"/>
                <w:szCs w:val="20"/>
                <w:color w:val="auto"/>
              </w:rPr>
            </w:pPr>
            <w:r>
              <w:rPr>
                <w:rFonts w:ascii="Arial" w:cs="Arial" w:eastAsia="Arial" w:hAnsi="Arial"/>
                <w:sz w:val="18"/>
                <w:szCs w:val="18"/>
                <w:color w:val="auto"/>
                <w:w w:val="89"/>
              </w:rPr>
              <w:t>$500,001 - $1,000,000</w:t>
            </w:r>
          </w:p>
        </w:tc>
        <w:tc>
          <w:tcPr>
            <w:tcW w:w="220" w:type="dxa"/>
            <w:vAlign w:val="bottom"/>
          </w:tcPr>
          <w:p>
            <w:pPr>
              <w:spacing w:after="0"/>
              <w:rPr>
                <w:sz w:val="20"/>
                <w:szCs w:val="20"/>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9"/>
              </w:rPr>
              <w:t>$100,001 - $ 500,000</w:t>
            </w: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$500,001</w:t>
            </w:r>
          </w:p>
        </w:tc>
        <w:tc>
          <w:tcPr>
            <w:tcW w:w="1200" w:type="dxa"/>
            <w:vAlign w:val="bottom"/>
          </w:tcPr>
          <w:p>
            <w:pPr>
              <w:jc w:val="right"/>
              <w:ind w:right="170"/>
              <w:spacing w:after="0"/>
              <w:rPr>
                <w:sz w:val="20"/>
                <w:szCs w:val="20"/>
                <w:color w:val="auto"/>
              </w:rPr>
            </w:pPr>
            <w:r>
              <w:rPr>
                <w:rFonts w:ascii="Arial" w:cs="Arial" w:eastAsia="Arial" w:hAnsi="Arial"/>
                <w:sz w:val="18"/>
                <w:szCs w:val="18"/>
                <w:color w:val="auto"/>
                <w:w w:val="90"/>
              </w:rPr>
              <w:t>- $1,000,000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89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4" w:lineRule="exact"/>
        <w:rPr>
          <w:sz w:val="20"/>
          <w:szCs w:val="20"/>
          <w:color w:val="auto"/>
        </w:rPr>
      </w:pPr>
    </w:p>
    <w:p>
      <w:pPr>
        <w:ind w:left="460" w:hanging="452"/>
        <w:spacing w:after="0"/>
        <w:tabs>
          <w:tab w:leader="none" w:pos="4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Dollar ranges are as follows: None; $1-$10,000; $10,001-$50,000; $50,001-$100,000; $100,001-$500,000; $500,001-$1,000,000; or over $1,000,000.</w:t>
      </w:r>
    </w:p>
    <w:p>
      <w:pPr>
        <w:spacing w:after="0" w:line="46" w:lineRule="exact"/>
        <w:rPr>
          <w:rFonts w:ascii="Arial" w:cs="Arial" w:eastAsia="Arial" w:hAnsi="Arial"/>
          <w:sz w:val="16"/>
          <w:szCs w:val="16"/>
          <w:color w:val="auto"/>
        </w:rPr>
      </w:pPr>
    </w:p>
    <w:p>
      <w:pPr>
        <w:ind w:left="460" w:hanging="452"/>
        <w:spacing w:after="0"/>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Also reflects holdings of JAM Investments, LLC.</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Also reflects holdings of PennantPark Investment Advisers, LLC.</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Management Agreement</w:t>
      </w:r>
    </w:p>
    <w:p>
      <w:pPr>
        <w:spacing w:after="0" w:line="121"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PennantPark Investment has entered into the Investment Management Agreement with the Investment Adviser under which the Investment Adviser, subject to the overall supervision of PennantPark Investment’s board of directors, manages the day-to-day operations of, and provides investment advisory services to, us. Mr. Penn, our Chairman and Chief Executive Officer, is the managing member and a senior investment professional of, and has a financial and controlling interest in PennantPark Investment Advisers. PennantPark Investment, through the Investment Adviser, provides similar services to our SBIC Funds under their investment management agreements. Such investment management agreements do not affect the management or incentive fees that we pay to the Investment Adviser on a consolidated basis. Under the terms of our Investment Management Agreement, the Investment Adviser:</w:t>
      </w:r>
    </w:p>
    <w:p>
      <w:pPr>
        <w:spacing w:after="0" w:line="70" w:lineRule="exact"/>
        <w:rPr>
          <w:sz w:val="20"/>
          <w:szCs w:val="20"/>
          <w:color w:val="auto"/>
        </w:rPr>
      </w:pPr>
    </w:p>
    <w:p>
      <w:pPr>
        <w:ind w:left="660" w:hanging="314"/>
        <w:spacing w:after="0"/>
        <w:tabs>
          <w:tab w:leader="none" w:pos="6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determines the composition of our portfolio, the nature and timing of the changes to our portfolio and the manner of implementing such changes;</w:t>
      </w:r>
    </w:p>
    <w:p>
      <w:pPr>
        <w:spacing w:after="0" w:line="99" w:lineRule="exact"/>
        <w:rPr>
          <w:rFonts w:ascii="Arial" w:cs="Arial" w:eastAsia="Arial" w:hAnsi="Arial"/>
          <w:sz w:val="16"/>
          <w:szCs w:val="16"/>
          <w:color w:val="auto"/>
        </w:rPr>
      </w:pPr>
    </w:p>
    <w:p>
      <w:pPr>
        <w:ind w:left="660" w:right="540" w:hanging="314"/>
        <w:spacing w:after="0" w:line="277"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 (including performing due diligence on our prospective portfolio companies);</w:t>
      </w:r>
    </w:p>
    <w:p>
      <w:pPr>
        <w:spacing w:after="0" w:line="21" w:lineRule="exact"/>
        <w:rPr>
          <w:rFonts w:ascii="Arial" w:cs="Arial" w:eastAsia="Arial" w:hAnsi="Arial"/>
          <w:sz w:val="18"/>
          <w:szCs w:val="18"/>
          <w:color w:val="auto"/>
        </w:rPr>
      </w:pPr>
    </w:p>
    <w:p>
      <w:pPr>
        <w:ind w:left="660" w:hanging="314"/>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closes and monitors the investments we make; and</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provides us with such other investment advisory, research and related services, as we may need from time to time.</w:t>
      </w:r>
    </w:p>
    <w:p>
      <w:pPr>
        <w:spacing w:after="0" w:line="117"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color w:val="auto"/>
        </w:rPr>
        <w:t>PennantPark Investment Advisers’ services under our Investment Management Agreement are not exclusive, and it is free to furnish similar services, without the prior approval of our stockholders or our board of directors, to other entities so long as its services to us are not impaired. Our board of directors would monitor any potential conflicts that may arise upon such a development. For providing these services, the Investment Adviser receives a fee from PennantPark Investment, consisting of two components-a base management fee and an incentive fee, or collectively, Management Fees.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Advisory Fees</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base management fee is calculated at an annual rate of 2.00% of our “average adjusted gross assets”, which equal our gross assets net of U.S. Treasury Bills, temporary draws under any credit facility, repurchase agreements or other balance sheet transactions undertaken at the end of a fiscal quarter for purposes of preserving investment flexibility for the next quarter and adjusted to exclude cash, cash equivalents and unfunded delayed draw loans, if any (see example below),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w:t>
      </w:r>
      <w:r>
        <w:rPr>
          <w:rFonts w:ascii="Arial" w:cs="Arial" w:eastAsia="Arial" w:hAnsi="Arial"/>
          <w:sz w:val="14"/>
          <w:szCs w:val="14"/>
          <w:color w:val="auto"/>
        </w:rPr>
        <w:t>th</w:t>
      </w:r>
      <w:r>
        <w:rPr>
          <w:rFonts w:ascii="Arial" w:cs="Arial" w:eastAsia="Arial" w:hAnsi="Arial"/>
          <w:sz w:val="17"/>
          <w:szCs w:val="17"/>
          <w:color w:val="auto"/>
        </w:rPr>
        <w:t xml:space="preserve"> day of a quarter and did not use the proceeds from the sale to repay outstanding indebtedness, our gross assets for such quarter would give effect to the net proceeds of the issuance for only 45 days of the quarter during which the additional shares were outstanding. For the fiscal years ended September 30, 2013, 2012 and 2011, the Investment Adviser earned base management fees of $21.3 million, $17.5 million and $14.9 million, respectively, from us.</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hypothetical example of the calculation of average adjusted gross assets: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Gross assets as of December 31, 20XX = $160 million</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 Treasury bills and temporary draws on credit facilities as of December 31, 20XX = $10 million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Adjusted gross assets as of December 31, 20XX = $150 million</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Gross assets as of March 31, 20XX = $200 million</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 Treasury bills and temporary draws on credit facilities as of March 31, 20XX = $20 million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Adjusted gross assets as of March 31, 20XX = $180 million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60" w:right="2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Average adjusted gross assets as of December 31, 20XX and March 31, 20XX which are the two most recently completed calendar quarter ends, and appropriately adjusted for any share issuances or repurchases during the current calendar quarter = ($150 million + $180 million) / 2 = $165 million</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has two parts, as follows:</w:t>
      </w:r>
    </w:p>
    <w:p>
      <w:pPr>
        <w:spacing w:after="0" w:line="117"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(as defined below), and any interest expense and distributions paid on any issued and outstanding preferred stock, but excluding the incentive fee). Pre-Incentive Fee Net Investment Income includes, in the case of investments with a deferred interest feature (such as OID, debt instruments with PIK interest and zero coupon securities), accrued income that we have not yet received in cash. Pre-Incentive Fee Net Investment Income does not include any realized capital gains, computed net of realized capital losses or unrealized capital appreciation or depreciation. Pre-Incentive Fee Net Investment Income, expressed as a percentage of the value of our net assets at the end of the immediately preceding calendar quarter, is compared to a hurdle rate of 1.75% per quarter (7.00% annualized). We pay the Investment Adviser an incentive fee with respect to our Pre-Incentive Fee Net Investment Income in each calendar quarter as follows: (1) no incentive fee in any calendar quarter in which our Pre-Incentive Fee Net Income does not exceed the hurdle rate of 1.75%, (2) 100% of our Pre-Incentive Fee Net Investment Income the hurdle rate of 1.75%,</w:t>
      </w:r>
    </w:p>
    <w:p>
      <w:pPr>
        <w:spacing w:after="0" w:line="4" w:lineRule="exact"/>
        <w:rPr>
          <w:sz w:val="20"/>
          <w:szCs w:val="20"/>
          <w:color w:val="auto"/>
        </w:rPr>
      </w:pPr>
    </w:p>
    <w:p>
      <w:pPr>
        <w:ind w:right="100" w:firstLine="8"/>
        <w:spacing w:after="0" w:line="287" w:lineRule="auto"/>
        <w:tabs>
          <w:tab w:leader="none" w:pos="255" w:val="left"/>
        </w:tabs>
        <w:numPr>
          <w:ilvl w:val="0"/>
          <w:numId w:val="78"/>
        </w:numPr>
        <w:rPr>
          <w:rFonts w:ascii="Arial" w:cs="Arial" w:eastAsia="Arial" w:hAnsi="Arial"/>
          <w:sz w:val="16"/>
          <w:szCs w:val="16"/>
          <w:color w:val="auto"/>
        </w:rPr>
      </w:pPr>
      <w:r>
        <w:rPr>
          <w:rFonts w:ascii="Arial" w:cs="Arial" w:eastAsia="Arial" w:hAnsi="Arial"/>
          <w:sz w:val="16"/>
          <w:szCs w:val="16"/>
          <w:color w:val="auto"/>
        </w:rPr>
        <w:t>100% of our Pre-Incentive Fee Net Investment Income with respect to that portion of such Pre-Incentive Fee Net Investment Income, if any, that exceeds the hurdle but is less than 2.1875% in any calendar quarter (8.75% annualized) (we refer to this portion of our Pre-Incentive Fee Net Investment Income (which exceeds the hurdle but is less than 2.1875%) as the “catch-up” which is meant to provide our Investment Adviser with 20% of our Pre-Incentive Fee Net Investment Income, as if a hurdle did not apply, if this net investment income exceeds 2.1875% in any calendar quarter), and (3) 20% of the amount of our Pre-Incentive Fee Net Investment Income, if any, that exceeds 2.1875% in any calendar quarter (8.75% annualized), once the hurdle is reached and the catch-up is achieved, 20% of the Pre-Incentive Fee Net Investment Income thereafter is allocated to our Investment Adviser. These calculations are prorated for any share issuances or repurchases, if applicable. For the fiscal years ended September 30, 2013, 2012 and 2011, the Investment Adviser earned $16.8 million, $14.2 million and $13.2 million, respectively, in net investment income from us.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is a graphical representation of the calculation of quarterly incentive fee based on Pre-Incentive Fee Net Investment Income:</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i w:val="1"/>
          <w:iCs w:val="1"/>
          <w:color w:val="auto"/>
        </w:rPr>
        <w:t>Pre-Incentive Fee Net Investment Income</w:t>
      </w:r>
    </w:p>
    <w:p>
      <w:pPr>
        <w:jc w:val="center"/>
        <w:ind w:right="-19"/>
        <w:spacing w:after="0"/>
        <w:rPr>
          <w:sz w:val="20"/>
          <w:szCs w:val="20"/>
          <w:color w:val="auto"/>
        </w:rPr>
      </w:pPr>
      <w:r>
        <w:rPr>
          <w:rFonts w:ascii="Arial" w:cs="Arial" w:eastAsia="Arial" w:hAnsi="Arial"/>
          <w:sz w:val="14"/>
          <w:szCs w:val="14"/>
          <w:b w:val="1"/>
          <w:bCs w:val="1"/>
          <w:i w:val="1"/>
          <w:iCs w:val="1"/>
          <w:color w:val="auto"/>
        </w:rPr>
        <w:t>(expressed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2346325</wp:posOffset>
            </wp:positionH>
            <wp:positionV relativeFrom="paragraph">
              <wp:posOffset>150495</wp:posOffset>
            </wp:positionV>
            <wp:extent cx="2573020" cy="50609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573020"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i w:val="1"/>
          <w:iCs w:val="1"/>
          <w:color w:val="auto"/>
        </w:rPr>
        <w:t>Percentage of Pre-Incentive Fee Net Investment Income</w:t>
      </w:r>
    </w:p>
    <w:p>
      <w:pPr>
        <w:jc w:val="center"/>
        <w:ind w:right="-19"/>
        <w:spacing w:after="0"/>
        <w:rPr>
          <w:sz w:val="20"/>
          <w:szCs w:val="20"/>
          <w:color w:val="auto"/>
        </w:rPr>
      </w:pPr>
      <w:r>
        <w:rPr>
          <w:rFonts w:ascii="Arial" w:cs="Arial" w:eastAsia="Arial" w:hAnsi="Arial"/>
          <w:sz w:val="14"/>
          <w:szCs w:val="14"/>
          <w:b w:val="1"/>
          <w:bCs w:val="1"/>
          <w:i w:val="1"/>
          <w:iCs w:val="1"/>
          <w:color w:val="auto"/>
        </w:rPr>
        <w:t>allocated to income-related portion of incentive fee</w:t>
      </w:r>
    </w:p>
    <w:p>
      <w:pPr>
        <w:spacing w:after="0" w:line="1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second part of the incentive fee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the fiscal years ended September 30,</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459" w:right="2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2013, 2012 and 2011 the Investment Adviser did not earn an incentive fee on capital gains as calculated under the Investment Management Agreement (as described above).</w:t>
      </w:r>
    </w:p>
    <w:p>
      <w:pPr>
        <w:spacing w:after="0" w:line="17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aggregate cumulative unrealized capital appreciation or depreciation. If such amount is positive at the end of a period, then we record a capital gains incentive fee equal to 20% of such amount, less the aggregate amount of actual capital gains related incentive fees paid in all prior years. If such amount is negative, then there is no accrual for such year. There can be no assurance that such unrealized capital appreciation will be realized in the future. For the years ended September 30, 2013, 2012 and 2011, our unrealized and realized capital gains did not exceed our cumulative realized and unrealized losses and therefore resulted in no accrual for capital gains incentive fees under GAAP.</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Examples of Quarterly Incentive Fee Calculation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1: Income Related Portion of Incentive Fee (*):</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1:</w:t>
      </w:r>
    </w:p>
    <w:p>
      <w:pPr>
        <w:spacing w:after="0" w:line="8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distributions, fees, etc.) = 1.25%</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w:t>
      </w:r>
      <w:r>
        <w:rPr>
          <w:rFonts w:ascii="Arial" w:cs="Arial" w:eastAsia="Arial" w:hAnsi="Arial"/>
          <w:sz w:val="15"/>
          <w:szCs w:val="15"/>
          <w:color w:val="auto"/>
        </w:rPr>
        <w:t>(1)</w:t>
      </w:r>
      <w:r>
        <w:rPr>
          <w:rFonts w:ascii="Arial" w:cs="Arial" w:eastAsia="Arial" w:hAnsi="Arial"/>
          <w:sz w:val="18"/>
          <w:szCs w:val="18"/>
          <w:color w:val="auto"/>
        </w:rPr>
        <w:t xml:space="preserve"> = 1.75%</w:t>
      </w:r>
    </w:p>
    <w:p>
      <w:pPr>
        <w:spacing w:after="0" w:line="2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 management fee</w:t>
      </w:r>
      <w:r>
        <w:rPr>
          <w:rFonts w:ascii="Arial" w:cs="Arial" w:eastAsia="Arial" w:hAnsi="Arial"/>
          <w:sz w:val="15"/>
          <w:szCs w:val="15"/>
          <w:color w:val="auto"/>
        </w:rPr>
        <w:t>(2)</w:t>
      </w:r>
      <w:r>
        <w:rPr>
          <w:rFonts w:ascii="Arial" w:cs="Arial" w:eastAsia="Arial" w:hAnsi="Arial"/>
          <w:sz w:val="18"/>
          <w:szCs w:val="18"/>
          <w:color w:val="auto"/>
        </w:rPr>
        <w:t xml:space="preserve"> = 0.50%</w:t>
      </w:r>
    </w:p>
    <w:p>
      <w:pPr>
        <w:spacing w:after="0" w:line="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expenses (legal, accounting, custodian, transfer agent, etc.) = 0.20%</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w:t>
      </w:r>
    </w:p>
    <w:p>
      <w:pPr>
        <w:spacing w:after="0" w:line="77" w:lineRule="exact"/>
        <w:rPr>
          <w:sz w:val="20"/>
          <w:szCs w:val="20"/>
          <w:color w:val="auto"/>
        </w:rPr>
      </w:pPr>
    </w:p>
    <w:p>
      <w:pPr>
        <w:ind w:left="460" w:right="3720"/>
        <w:spacing w:after="0" w:line="356" w:lineRule="auto"/>
        <w:rPr>
          <w:sz w:val="20"/>
          <w:szCs w:val="20"/>
          <w:color w:val="auto"/>
        </w:rPr>
      </w:pPr>
      <w:r>
        <w:rPr>
          <w:rFonts w:ascii="Arial" w:cs="Arial" w:eastAsia="Arial" w:hAnsi="Arial"/>
          <w:sz w:val="18"/>
          <w:szCs w:val="18"/>
          <w:color w:val="auto"/>
        </w:rPr>
        <w:t>(investment income—(base management fee + other expenses)) = 0.55% Pre-Incentive Net Investment Income does not exceed the hurdle; therefore there is no incentive fee.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2:</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distributions, fees, etc.) = 2.70%</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w:t>
      </w:r>
      <w:r>
        <w:rPr>
          <w:rFonts w:ascii="Arial" w:cs="Arial" w:eastAsia="Arial" w:hAnsi="Arial"/>
          <w:sz w:val="15"/>
          <w:szCs w:val="15"/>
          <w:color w:val="auto"/>
        </w:rPr>
        <w:t>(1)</w:t>
      </w:r>
      <w:r>
        <w:rPr>
          <w:rFonts w:ascii="Arial" w:cs="Arial" w:eastAsia="Arial" w:hAnsi="Arial"/>
          <w:sz w:val="18"/>
          <w:szCs w:val="18"/>
          <w:color w:val="auto"/>
        </w:rPr>
        <w:t xml:space="preserve"> = 1.75%</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 management fee</w:t>
      </w:r>
      <w:r>
        <w:rPr>
          <w:rFonts w:ascii="Arial" w:cs="Arial" w:eastAsia="Arial" w:hAnsi="Arial"/>
          <w:sz w:val="15"/>
          <w:szCs w:val="15"/>
          <w:color w:val="auto"/>
        </w:rPr>
        <w:t>(2)</w:t>
      </w:r>
      <w:r>
        <w:rPr>
          <w:rFonts w:ascii="Arial" w:cs="Arial" w:eastAsia="Arial" w:hAnsi="Arial"/>
          <w:sz w:val="18"/>
          <w:szCs w:val="18"/>
          <w:color w:val="auto"/>
        </w:rPr>
        <w:t xml:space="preserve"> = 0.50%</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expenses (legal, accounting, custodian, transfer agent, etc.) = 0.20%</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income—(base management fee + other expenses)) = 2.00%</w:t>
      </w:r>
    </w:p>
    <w:p>
      <w:pPr>
        <w:spacing w:after="0" w:line="131" w:lineRule="exact"/>
        <w:rPr>
          <w:sz w:val="20"/>
          <w:szCs w:val="20"/>
          <w:color w:val="auto"/>
        </w:rPr>
      </w:pPr>
    </w:p>
    <w:p>
      <w:pPr>
        <w:ind w:left="460"/>
        <w:spacing w:after="0"/>
        <w:tabs>
          <w:tab w:leader="none" w:pos="1980" w:val="left"/>
        </w:tabs>
        <w:rPr>
          <w:sz w:val="20"/>
          <w:szCs w:val="20"/>
          <w:color w:val="auto"/>
        </w:rPr>
      </w:pPr>
      <w:r>
        <w:rPr>
          <w:rFonts w:ascii="Arial" w:cs="Arial" w:eastAsia="Arial" w:hAnsi="Arial"/>
          <w:sz w:val="18"/>
          <w:szCs w:val="18"/>
          <w:color w:val="auto"/>
        </w:rPr>
        <w:t>Incentive fee</w:t>
      </w:r>
      <w:r>
        <w:rPr>
          <w:sz w:val="20"/>
          <w:szCs w:val="20"/>
          <w:color w:val="auto"/>
        </w:rPr>
        <w:tab/>
      </w:r>
      <w:r>
        <w:rPr>
          <w:rFonts w:ascii="Arial" w:cs="Arial" w:eastAsia="Arial" w:hAnsi="Arial"/>
          <w:sz w:val="16"/>
          <w:szCs w:val="16"/>
          <w:color w:val="auto"/>
        </w:rPr>
        <w:t>= 20% X Pre-Incentive Fee Net Investment Income, subject to “catch-up”</w:t>
      </w:r>
    </w:p>
    <w:p>
      <w:pPr>
        <w:spacing w:after="0" w:line="50" w:lineRule="exact"/>
        <w:rPr>
          <w:sz w:val="20"/>
          <w:szCs w:val="20"/>
          <w:color w:val="auto"/>
        </w:rPr>
      </w:pPr>
    </w:p>
    <w:p>
      <w:pPr>
        <w:ind w:left="2160" w:hanging="153"/>
        <w:spacing w:after="0"/>
        <w:tabs>
          <w:tab w:leader="none" w:pos="21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2.00% - 1.75%</w:t>
      </w:r>
    </w:p>
    <w:p>
      <w:pPr>
        <w:spacing w:after="0" w:line="63" w:lineRule="exact"/>
        <w:rPr>
          <w:rFonts w:ascii="Arial" w:cs="Arial" w:eastAsia="Arial" w:hAnsi="Arial"/>
          <w:sz w:val="18"/>
          <w:szCs w:val="18"/>
          <w:color w:val="auto"/>
        </w:rPr>
      </w:pPr>
    </w:p>
    <w:p>
      <w:pPr>
        <w:ind w:left="2160" w:hanging="153"/>
        <w:spacing w:after="0"/>
        <w:tabs>
          <w:tab w:leader="none" w:pos="21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0.25%</w:t>
      </w:r>
    </w:p>
    <w:p>
      <w:pPr>
        <w:spacing w:after="0" w:line="63" w:lineRule="exact"/>
        <w:rPr>
          <w:rFonts w:ascii="Arial" w:cs="Arial" w:eastAsia="Arial" w:hAnsi="Arial"/>
          <w:sz w:val="18"/>
          <w:szCs w:val="18"/>
          <w:color w:val="auto"/>
        </w:rPr>
      </w:pPr>
    </w:p>
    <w:p>
      <w:pPr>
        <w:ind w:left="2160" w:hanging="153"/>
        <w:spacing w:after="0"/>
        <w:tabs>
          <w:tab w:leader="none" w:pos="21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100% X 0.25%</w:t>
      </w:r>
    </w:p>
    <w:p>
      <w:pPr>
        <w:spacing w:after="0" w:line="63" w:lineRule="exact"/>
        <w:rPr>
          <w:rFonts w:ascii="Arial" w:cs="Arial" w:eastAsia="Arial" w:hAnsi="Arial"/>
          <w:sz w:val="18"/>
          <w:szCs w:val="18"/>
          <w:color w:val="auto"/>
        </w:rPr>
      </w:pPr>
    </w:p>
    <w:p>
      <w:pPr>
        <w:ind w:left="2160" w:hanging="153"/>
        <w:spacing w:after="0"/>
        <w:tabs>
          <w:tab w:leader="none" w:pos="21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0.25%</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460" w:right="2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3:</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distributions, fees, etc.) = 3.00%</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w:t>
      </w:r>
      <w:r>
        <w:rPr>
          <w:rFonts w:ascii="Arial" w:cs="Arial" w:eastAsia="Arial" w:hAnsi="Arial"/>
          <w:sz w:val="15"/>
          <w:szCs w:val="15"/>
          <w:color w:val="auto"/>
        </w:rPr>
        <w:t>(1)</w:t>
      </w:r>
      <w:r>
        <w:rPr>
          <w:rFonts w:ascii="Arial" w:cs="Arial" w:eastAsia="Arial" w:hAnsi="Arial"/>
          <w:sz w:val="18"/>
          <w:szCs w:val="18"/>
          <w:color w:val="auto"/>
        </w:rPr>
        <w:t xml:space="preserve"> = 1.75%</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 management fee</w:t>
      </w:r>
      <w:r>
        <w:rPr>
          <w:rFonts w:ascii="Arial" w:cs="Arial" w:eastAsia="Arial" w:hAnsi="Arial"/>
          <w:sz w:val="15"/>
          <w:szCs w:val="15"/>
          <w:color w:val="auto"/>
        </w:rPr>
        <w:t>(2)</w:t>
      </w:r>
      <w:r>
        <w:rPr>
          <w:rFonts w:ascii="Arial" w:cs="Arial" w:eastAsia="Arial" w:hAnsi="Arial"/>
          <w:sz w:val="18"/>
          <w:szCs w:val="18"/>
          <w:color w:val="auto"/>
        </w:rPr>
        <w:t xml:space="preserve"> = 0.50%</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expenses (legal, accounting, custodian, transfer agent, etc.) = 0.20%</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income—(base management fee + other expenses)) = 2.30%</w:t>
      </w:r>
    </w:p>
    <w:p>
      <w:pPr>
        <w:spacing w:after="0" w:line="131"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Incentive fee</w:t>
            </w:r>
          </w:p>
        </w:tc>
        <w:tc>
          <w:tcPr>
            <w:tcW w:w="6580" w:type="dxa"/>
            <w:vAlign w:val="bottom"/>
          </w:tcPr>
          <w:p>
            <w:pPr>
              <w:ind w:left="300"/>
              <w:spacing w:after="0"/>
              <w:rPr>
                <w:sz w:val="20"/>
                <w:szCs w:val="20"/>
                <w:color w:val="auto"/>
              </w:rPr>
            </w:pPr>
            <w:r>
              <w:rPr>
                <w:rFonts w:ascii="Arial" w:cs="Arial" w:eastAsia="Arial" w:hAnsi="Arial"/>
                <w:sz w:val="18"/>
                <w:szCs w:val="18"/>
                <w:color w:val="auto"/>
              </w:rPr>
              <w:t>= 20% x Pre-Incentive Fee Net Investment Income, subject to “catch-up”</w:t>
            </w:r>
          </w:p>
        </w:tc>
      </w:tr>
      <w:tr>
        <w:trPr>
          <w:trHeight w:val="270"/>
        </w:trPr>
        <w:tc>
          <w:tcPr>
            <w:tcW w:w="1240" w:type="dxa"/>
            <w:vAlign w:val="bottom"/>
          </w:tcPr>
          <w:p>
            <w:pPr>
              <w:spacing w:after="0"/>
              <w:rPr>
                <w:sz w:val="20"/>
                <w:szCs w:val="20"/>
                <w:color w:val="auto"/>
              </w:rPr>
            </w:pPr>
            <w:r>
              <w:rPr>
                <w:rFonts w:ascii="Arial" w:cs="Arial" w:eastAsia="Arial" w:hAnsi="Arial"/>
                <w:sz w:val="18"/>
                <w:szCs w:val="18"/>
                <w:color w:val="auto"/>
              </w:rPr>
              <w:t>Incentive fee</w:t>
            </w:r>
          </w:p>
        </w:tc>
        <w:tc>
          <w:tcPr>
            <w:tcW w:w="6580" w:type="dxa"/>
            <w:vAlign w:val="bottom"/>
          </w:tcPr>
          <w:p>
            <w:pPr>
              <w:ind w:left="300"/>
              <w:spacing w:after="0"/>
              <w:rPr>
                <w:sz w:val="20"/>
                <w:szCs w:val="20"/>
                <w:color w:val="auto"/>
              </w:rPr>
            </w:pPr>
            <w:r>
              <w:rPr>
                <w:rFonts w:ascii="Arial" w:cs="Arial" w:eastAsia="Arial" w:hAnsi="Arial"/>
                <w:sz w:val="18"/>
                <w:szCs w:val="18"/>
                <w:color w:val="auto"/>
                <w:w w:val="92"/>
              </w:rPr>
              <w:t>= 100% x “catch-up” + (20% x (Pre-Incentive Fee Net Investment Income - 2.1875%))</w:t>
            </w:r>
          </w:p>
        </w:tc>
      </w:tr>
      <w:tr>
        <w:trPr>
          <w:trHeight w:val="271"/>
        </w:trPr>
        <w:tc>
          <w:tcPr>
            <w:tcW w:w="1240" w:type="dxa"/>
            <w:vAlign w:val="bottom"/>
          </w:tcPr>
          <w:p>
            <w:pPr>
              <w:spacing w:after="0"/>
              <w:rPr>
                <w:sz w:val="20"/>
                <w:szCs w:val="20"/>
                <w:color w:val="auto"/>
              </w:rPr>
            </w:pPr>
            <w:r>
              <w:rPr>
                <w:rFonts w:ascii="Arial" w:cs="Arial" w:eastAsia="Arial" w:hAnsi="Arial"/>
                <w:sz w:val="18"/>
                <w:szCs w:val="18"/>
                <w:color w:val="auto"/>
              </w:rPr>
              <w:t>Catch-up</w:t>
            </w:r>
          </w:p>
        </w:tc>
        <w:tc>
          <w:tcPr>
            <w:tcW w:w="6580" w:type="dxa"/>
            <w:vAlign w:val="bottom"/>
          </w:tcPr>
          <w:p>
            <w:pPr>
              <w:ind w:left="300"/>
              <w:spacing w:after="0"/>
              <w:rPr>
                <w:sz w:val="20"/>
                <w:szCs w:val="20"/>
                <w:color w:val="auto"/>
              </w:rPr>
            </w:pPr>
            <w:r>
              <w:rPr>
                <w:rFonts w:ascii="Arial" w:cs="Arial" w:eastAsia="Arial" w:hAnsi="Arial"/>
                <w:sz w:val="18"/>
                <w:szCs w:val="18"/>
                <w:color w:val="auto"/>
              </w:rPr>
              <w:t>= 2.1875% - 1.75%</w:t>
            </w:r>
          </w:p>
        </w:tc>
      </w:tr>
    </w:tbl>
    <w:p>
      <w:pPr>
        <w:spacing w:after="0" w:line="40" w:lineRule="exact"/>
        <w:rPr>
          <w:sz w:val="20"/>
          <w:szCs w:val="20"/>
          <w:color w:val="auto"/>
        </w:rPr>
      </w:pPr>
    </w:p>
    <w:p>
      <w:pPr>
        <w:ind w:left="2160" w:hanging="153"/>
        <w:spacing w:after="0"/>
        <w:tabs>
          <w:tab w:leader="none" w:pos="2160" w:val="left"/>
        </w:tabs>
        <w:numPr>
          <w:ilvl w:val="1"/>
          <w:numId w:val="80"/>
        </w:numPr>
        <w:rPr>
          <w:rFonts w:ascii="Arial" w:cs="Arial" w:eastAsia="Arial" w:hAnsi="Arial"/>
          <w:sz w:val="18"/>
          <w:szCs w:val="18"/>
          <w:color w:val="auto"/>
        </w:rPr>
      </w:pPr>
      <w:r>
        <w:rPr>
          <w:rFonts w:ascii="Arial" w:cs="Arial" w:eastAsia="Arial" w:hAnsi="Arial"/>
          <w:sz w:val="18"/>
          <w:szCs w:val="18"/>
          <w:color w:val="auto"/>
        </w:rPr>
        <w:t>0.4375%</w:t>
      </w:r>
    </w:p>
    <w:p>
      <w:pPr>
        <w:spacing w:after="0" w:line="63" w:lineRule="exact"/>
        <w:rPr>
          <w:rFonts w:ascii="Arial" w:cs="Arial" w:eastAsia="Arial" w:hAnsi="Arial"/>
          <w:sz w:val="18"/>
          <w:szCs w:val="18"/>
          <w:color w:val="auto"/>
        </w:rPr>
      </w:pPr>
    </w:p>
    <w:p>
      <w:pPr>
        <w:ind w:left="2160" w:hanging="153"/>
        <w:spacing w:after="0"/>
        <w:tabs>
          <w:tab w:leader="none" w:pos="2160" w:val="left"/>
        </w:tabs>
        <w:numPr>
          <w:ilvl w:val="1"/>
          <w:numId w:val="80"/>
        </w:numPr>
        <w:rPr>
          <w:rFonts w:ascii="Arial" w:cs="Arial" w:eastAsia="Arial" w:hAnsi="Arial"/>
          <w:sz w:val="18"/>
          <w:szCs w:val="18"/>
          <w:color w:val="auto"/>
        </w:rPr>
      </w:pPr>
      <w:r>
        <w:rPr>
          <w:rFonts w:ascii="Arial" w:cs="Arial" w:eastAsia="Arial" w:hAnsi="Arial"/>
          <w:sz w:val="18"/>
          <w:szCs w:val="18"/>
          <w:color w:val="auto"/>
        </w:rPr>
        <w:t>(100% x 0.4375%) + (20% x (2.30% - 2.1875%))</w:t>
      </w:r>
    </w:p>
    <w:p>
      <w:pPr>
        <w:spacing w:after="0" w:line="63" w:lineRule="exact"/>
        <w:rPr>
          <w:rFonts w:ascii="Arial" w:cs="Arial" w:eastAsia="Arial" w:hAnsi="Arial"/>
          <w:sz w:val="18"/>
          <w:szCs w:val="18"/>
          <w:color w:val="auto"/>
        </w:rPr>
      </w:pPr>
    </w:p>
    <w:p>
      <w:pPr>
        <w:ind w:left="2160" w:hanging="153"/>
        <w:spacing w:after="0"/>
        <w:tabs>
          <w:tab w:leader="none" w:pos="2160" w:val="left"/>
        </w:tabs>
        <w:numPr>
          <w:ilvl w:val="1"/>
          <w:numId w:val="80"/>
        </w:numPr>
        <w:rPr>
          <w:rFonts w:ascii="Arial" w:cs="Arial" w:eastAsia="Arial" w:hAnsi="Arial"/>
          <w:sz w:val="18"/>
          <w:szCs w:val="18"/>
          <w:color w:val="auto"/>
        </w:rPr>
      </w:pPr>
      <w:r>
        <w:rPr>
          <w:rFonts w:ascii="Arial" w:cs="Arial" w:eastAsia="Arial" w:hAnsi="Arial"/>
          <w:sz w:val="18"/>
          <w:szCs w:val="18"/>
          <w:color w:val="auto"/>
        </w:rPr>
        <w:t>0.4375% + (20% x 0.1125%)</w:t>
      </w:r>
    </w:p>
    <w:p>
      <w:pPr>
        <w:spacing w:after="0" w:line="63" w:lineRule="exact"/>
        <w:rPr>
          <w:rFonts w:ascii="Arial" w:cs="Arial" w:eastAsia="Arial" w:hAnsi="Arial"/>
          <w:sz w:val="18"/>
          <w:szCs w:val="18"/>
          <w:color w:val="auto"/>
        </w:rPr>
      </w:pPr>
    </w:p>
    <w:p>
      <w:pPr>
        <w:ind w:left="2160" w:hanging="153"/>
        <w:spacing w:after="0"/>
        <w:tabs>
          <w:tab w:leader="none" w:pos="2160" w:val="left"/>
        </w:tabs>
        <w:numPr>
          <w:ilvl w:val="1"/>
          <w:numId w:val="80"/>
        </w:numPr>
        <w:rPr>
          <w:rFonts w:ascii="Arial" w:cs="Arial" w:eastAsia="Arial" w:hAnsi="Arial"/>
          <w:sz w:val="18"/>
          <w:szCs w:val="18"/>
          <w:color w:val="auto"/>
        </w:rPr>
      </w:pPr>
      <w:r>
        <w:rPr>
          <w:rFonts w:ascii="Arial" w:cs="Arial" w:eastAsia="Arial" w:hAnsi="Arial"/>
          <w:sz w:val="18"/>
          <w:szCs w:val="18"/>
          <w:color w:val="auto"/>
        </w:rPr>
        <w:t>0.4375% + 0.0225%</w:t>
      </w:r>
    </w:p>
    <w:p>
      <w:pPr>
        <w:spacing w:after="0" w:line="63" w:lineRule="exact"/>
        <w:rPr>
          <w:rFonts w:ascii="Arial" w:cs="Arial" w:eastAsia="Arial" w:hAnsi="Arial"/>
          <w:sz w:val="18"/>
          <w:szCs w:val="18"/>
          <w:color w:val="auto"/>
        </w:rPr>
      </w:pPr>
    </w:p>
    <w:p>
      <w:pPr>
        <w:ind w:left="2160" w:hanging="153"/>
        <w:spacing w:after="0"/>
        <w:tabs>
          <w:tab w:leader="none" w:pos="2160" w:val="left"/>
        </w:tabs>
        <w:numPr>
          <w:ilvl w:val="1"/>
          <w:numId w:val="80"/>
        </w:numPr>
        <w:rPr>
          <w:rFonts w:ascii="Arial" w:cs="Arial" w:eastAsia="Arial" w:hAnsi="Arial"/>
          <w:sz w:val="18"/>
          <w:szCs w:val="18"/>
          <w:color w:val="auto"/>
        </w:rPr>
      </w:pPr>
      <w:r>
        <w:rPr>
          <w:rFonts w:ascii="Arial" w:cs="Arial" w:eastAsia="Arial" w:hAnsi="Arial"/>
          <w:sz w:val="18"/>
          <w:szCs w:val="18"/>
          <w:color w:val="auto"/>
        </w:rPr>
        <w:t>0.46%</w:t>
      </w:r>
    </w:p>
    <w:p>
      <w:pPr>
        <w:spacing w:after="0" w:line="198" w:lineRule="exact"/>
        <w:rPr>
          <w:rFonts w:ascii="Arial" w:cs="Arial" w:eastAsia="Arial" w:hAnsi="Arial"/>
          <w:sz w:val="18"/>
          <w:szCs w:val="18"/>
          <w:color w:val="auto"/>
        </w:rPr>
      </w:pPr>
    </w:p>
    <w:p>
      <w:pPr>
        <w:ind w:left="460" w:hanging="452"/>
        <w:spacing w:after="0"/>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hypothetical amount of Pre-Incentive Fee Net Investment Income shown is based on a percentage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289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 w:lineRule="exact"/>
        <w:rPr>
          <w:sz w:val="20"/>
          <w:szCs w:val="20"/>
          <w:color w:val="auto"/>
        </w:rPr>
      </w:pPr>
    </w:p>
    <w:p>
      <w:pPr>
        <w:ind w:left="460" w:hanging="452"/>
        <w:spacing w:after="0"/>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Represents 7.0% annualized hurdle.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Represents 2.0% annualized base management fee.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2: Capital Gains Portion of Incentive Fee:</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1 = no net realized capital gains or losses</w:t>
      </w:r>
    </w:p>
    <w:p>
      <w:pPr>
        <w:spacing w:after="0" w:line="23" w:lineRule="exact"/>
        <w:rPr>
          <w:sz w:val="20"/>
          <w:szCs w:val="20"/>
          <w:color w:val="auto"/>
        </w:rPr>
      </w:pPr>
    </w:p>
    <w:p>
      <w:pPr>
        <w:ind w:right="40" w:firstLine="456"/>
        <w:spacing w:after="0" w:line="261" w:lineRule="auto"/>
        <w:rPr>
          <w:sz w:val="20"/>
          <w:szCs w:val="20"/>
          <w:color w:val="auto"/>
        </w:rPr>
      </w:pPr>
      <w:r>
        <w:rPr>
          <w:rFonts w:ascii="Arial" w:cs="Arial" w:eastAsia="Arial" w:hAnsi="Arial"/>
          <w:sz w:val="18"/>
          <w:szCs w:val="18"/>
          <w:color w:val="auto"/>
        </w:rPr>
        <w:t>Year 2 = 6% net realized capital gains and 1% realized capital losses and unrealized capital depreciation, capital gain incentive fee = 20% x (realized capital gains for year computed net of all realized capital losses and unrealized capital depreciation at year end)</w:t>
      </w:r>
    </w:p>
    <w:p>
      <w:pPr>
        <w:spacing w:after="0" w:line="332"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1840" w:type="dxa"/>
            <w:vAlign w:val="bottom"/>
          </w:tcPr>
          <w:p>
            <w:pPr>
              <w:spacing w:after="0"/>
              <w:rPr>
                <w:sz w:val="20"/>
                <w:szCs w:val="20"/>
                <w:color w:val="auto"/>
              </w:rPr>
            </w:pPr>
            <w:r>
              <w:rPr>
                <w:rFonts w:ascii="Arial" w:cs="Arial" w:eastAsia="Arial" w:hAnsi="Arial"/>
                <w:sz w:val="18"/>
                <w:szCs w:val="18"/>
                <w:color w:val="auto"/>
              </w:rPr>
              <w:t>Year 1 incentive fee</w:t>
            </w:r>
          </w:p>
        </w:tc>
        <w:tc>
          <w:tcPr>
            <w:tcW w:w="1780" w:type="dxa"/>
            <w:vAlign w:val="bottom"/>
          </w:tcPr>
          <w:p>
            <w:pPr>
              <w:ind w:left="400"/>
              <w:spacing w:after="0"/>
              <w:rPr>
                <w:sz w:val="20"/>
                <w:szCs w:val="20"/>
                <w:color w:val="auto"/>
              </w:rPr>
            </w:pPr>
            <w:r>
              <w:rPr>
                <w:rFonts w:ascii="Arial" w:cs="Arial" w:eastAsia="Arial" w:hAnsi="Arial"/>
                <w:sz w:val="18"/>
                <w:szCs w:val="18"/>
                <w:color w:val="auto"/>
              </w:rPr>
              <w:t>= 20% x (0)</w:t>
            </w:r>
          </w:p>
        </w:tc>
        <w:tc>
          <w:tcPr>
            <w:tcW w:w="0" w:type="dxa"/>
            <w:vAlign w:val="bottom"/>
          </w:tcPr>
          <w:p>
            <w:pPr>
              <w:spacing w:after="0"/>
              <w:rPr>
                <w:sz w:val="1"/>
                <w:szCs w:val="1"/>
                <w:color w:val="auto"/>
              </w:rPr>
            </w:pPr>
          </w:p>
        </w:tc>
      </w:tr>
      <w:tr>
        <w:trPr>
          <w:trHeight w:val="257"/>
        </w:trPr>
        <w:tc>
          <w:tcPr>
            <w:tcW w:w="1840" w:type="dxa"/>
            <w:vAlign w:val="bottom"/>
          </w:tcPr>
          <w:p>
            <w:pPr>
              <w:spacing w:after="0"/>
              <w:rPr>
                <w:sz w:val="22"/>
                <w:szCs w:val="22"/>
                <w:color w:val="auto"/>
              </w:rPr>
            </w:pPr>
          </w:p>
        </w:tc>
        <w:tc>
          <w:tcPr>
            <w:tcW w:w="1780" w:type="dxa"/>
            <w:vAlign w:val="bottom"/>
          </w:tcPr>
          <w:p>
            <w:pPr>
              <w:ind w:left="400"/>
              <w:spacing w:after="0"/>
              <w:rPr>
                <w:sz w:val="20"/>
                <w:szCs w:val="20"/>
                <w:color w:val="auto"/>
              </w:rPr>
            </w:pPr>
            <w:r>
              <w:rPr>
                <w:rFonts w:ascii="Arial" w:cs="Arial" w:eastAsia="Arial" w:hAnsi="Arial"/>
                <w:sz w:val="18"/>
                <w:szCs w:val="18"/>
                <w:color w:val="auto"/>
              </w:rPr>
              <w:t>= 0</w:t>
            </w:r>
          </w:p>
        </w:tc>
        <w:tc>
          <w:tcPr>
            <w:tcW w:w="0" w:type="dxa"/>
            <w:vAlign w:val="bottom"/>
          </w:tcPr>
          <w:p>
            <w:pPr>
              <w:spacing w:after="0"/>
              <w:rPr>
                <w:sz w:val="1"/>
                <w:szCs w:val="1"/>
                <w:color w:val="auto"/>
              </w:rPr>
            </w:pPr>
          </w:p>
        </w:tc>
      </w:tr>
      <w:tr>
        <w:trPr>
          <w:trHeight w:val="270"/>
        </w:trPr>
        <w:tc>
          <w:tcPr>
            <w:tcW w:w="1840" w:type="dxa"/>
            <w:vAlign w:val="bottom"/>
            <w:vMerge w:val="restart"/>
          </w:tcPr>
          <w:p>
            <w:pPr>
              <w:spacing w:after="0"/>
              <w:rPr>
                <w:sz w:val="20"/>
                <w:szCs w:val="20"/>
                <w:color w:val="auto"/>
              </w:rPr>
            </w:pPr>
            <w:r>
              <w:rPr>
                <w:rFonts w:ascii="Arial" w:cs="Arial" w:eastAsia="Arial" w:hAnsi="Arial"/>
                <w:sz w:val="18"/>
                <w:szCs w:val="18"/>
                <w:color w:val="auto"/>
              </w:rPr>
              <w:t>Year 2 incentive fee</w:t>
            </w:r>
          </w:p>
        </w:tc>
        <w:tc>
          <w:tcPr>
            <w:tcW w:w="1780" w:type="dxa"/>
            <w:vAlign w:val="bottom"/>
          </w:tcPr>
          <w:p>
            <w:pPr>
              <w:ind w:left="400"/>
              <w:spacing w:after="0"/>
              <w:rPr>
                <w:sz w:val="20"/>
                <w:szCs w:val="20"/>
                <w:color w:val="auto"/>
              </w:rPr>
            </w:pPr>
            <w:r>
              <w:rPr>
                <w:rFonts w:ascii="Arial" w:cs="Arial" w:eastAsia="Arial" w:hAnsi="Arial"/>
                <w:sz w:val="18"/>
                <w:szCs w:val="18"/>
                <w:color w:val="auto"/>
                <w:w w:val="96"/>
              </w:rPr>
              <w:t>= no incentive fee</w:t>
            </w:r>
          </w:p>
        </w:tc>
        <w:tc>
          <w:tcPr>
            <w:tcW w:w="0" w:type="dxa"/>
            <w:vAlign w:val="bottom"/>
          </w:tcPr>
          <w:p>
            <w:pPr>
              <w:spacing w:after="0"/>
              <w:rPr>
                <w:sz w:val="1"/>
                <w:szCs w:val="1"/>
                <w:color w:val="auto"/>
              </w:rPr>
            </w:pPr>
          </w:p>
        </w:tc>
      </w:tr>
      <w:tr>
        <w:trPr>
          <w:trHeight w:val="270"/>
        </w:trPr>
        <w:tc>
          <w:tcPr>
            <w:tcW w:w="1840" w:type="dxa"/>
            <w:vAlign w:val="bottom"/>
            <w:vMerge w:val="continue"/>
          </w:tcPr>
          <w:p>
            <w:pPr>
              <w:spacing w:after="0"/>
              <w:rPr>
                <w:sz w:val="23"/>
                <w:szCs w:val="23"/>
                <w:color w:val="auto"/>
              </w:rPr>
            </w:pPr>
          </w:p>
        </w:tc>
        <w:tc>
          <w:tcPr>
            <w:tcW w:w="1780" w:type="dxa"/>
            <w:vAlign w:val="bottom"/>
          </w:tcPr>
          <w:p>
            <w:pPr>
              <w:ind w:left="400"/>
              <w:spacing w:after="0"/>
              <w:rPr>
                <w:sz w:val="20"/>
                <w:szCs w:val="20"/>
                <w:color w:val="auto"/>
              </w:rPr>
            </w:pPr>
            <w:r>
              <w:rPr>
                <w:rFonts w:ascii="Arial" w:cs="Arial" w:eastAsia="Arial" w:hAnsi="Arial"/>
                <w:sz w:val="18"/>
                <w:szCs w:val="18"/>
                <w:color w:val="auto"/>
                <w:w w:val="93"/>
              </w:rPr>
              <w:t>= 20% x (6% -1%)</w:t>
            </w:r>
          </w:p>
        </w:tc>
        <w:tc>
          <w:tcPr>
            <w:tcW w:w="0" w:type="dxa"/>
            <w:vAlign w:val="bottom"/>
          </w:tcPr>
          <w:p>
            <w:pPr>
              <w:spacing w:after="0"/>
              <w:rPr>
                <w:sz w:val="1"/>
                <w:szCs w:val="1"/>
                <w:color w:val="auto"/>
              </w:rPr>
            </w:pPr>
          </w:p>
        </w:tc>
      </w:tr>
      <w:tr>
        <w:trPr>
          <w:trHeight w:val="270"/>
        </w:trPr>
        <w:tc>
          <w:tcPr>
            <w:tcW w:w="1840" w:type="dxa"/>
            <w:vAlign w:val="bottom"/>
          </w:tcPr>
          <w:p>
            <w:pPr>
              <w:spacing w:after="0"/>
              <w:rPr>
                <w:sz w:val="23"/>
                <w:szCs w:val="23"/>
                <w:color w:val="auto"/>
              </w:rPr>
            </w:pPr>
          </w:p>
        </w:tc>
        <w:tc>
          <w:tcPr>
            <w:tcW w:w="1780" w:type="dxa"/>
            <w:vAlign w:val="bottom"/>
          </w:tcPr>
          <w:p>
            <w:pPr>
              <w:ind w:left="400"/>
              <w:spacing w:after="0"/>
              <w:rPr>
                <w:sz w:val="20"/>
                <w:szCs w:val="20"/>
                <w:color w:val="auto"/>
              </w:rPr>
            </w:pPr>
            <w:r>
              <w:rPr>
                <w:rFonts w:ascii="Arial" w:cs="Arial" w:eastAsia="Arial" w:hAnsi="Arial"/>
                <w:sz w:val="18"/>
                <w:szCs w:val="18"/>
                <w:color w:val="auto"/>
              </w:rPr>
              <w:t>= 20% x 5%</w:t>
            </w:r>
          </w:p>
        </w:tc>
        <w:tc>
          <w:tcPr>
            <w:tcW w:w="0" w:type="dxa"/>
            <w:vAlign w:val="bottom"/>
          </w:tcPr>
          <w:p>
            <w:pPr>
              <w:spacing w:after="0"/>
              <w:rPr>
                <w:sz w:val="1"/>
                <w:szCs w:val="1"/>
                <w:color w:val="auto"/>
              </w:rPr>
            </w:pPr>
          </w:p>
        </w:tc>
      </w:tr>
      <w:tr>
        <w:trPr>
          <w:trHeight w:val="270"/>
        </w:trPr>
        <w:tc>
          <w:tcPr>
            <w:tcW w:w="1840" w:type="dxa"/>
            <w:vAlign w:val="bottom"/>
          </w:tcPr>
          <w:p>
            <w:pPr>
              <w:spacing w:after="0"/>
              <w:rPr>
                <w:sz w:val="23"/>
                <w:szCs w:val="23"/>
                <w:color w:val="auto"/>
              </w:rPr>
            </w:pPr>
          </w:p>
        </w:tc>
        <w:tc>
          <w:tcPr>
            <w:tcW w:w="1780" w:type="dxa"/>
            <w:vAlign w:val="bottom"/>
          </w:tcPr>
          <w:p>
            <w:pPr>
              <w:ind w:left="400"/>
              <w:spacing w:after="0"/>
              <w:rPr>
                <w:sz w:val="20"/>
                <w:szCs w:val="20"/>
                <w:color w:val="auto"/>
              </w:rPr>
            </w:pPr>
            <w:r>
              <w:rPr>
                <w:rFonts w:ascii="Arial" w:cs="Arial" w:eastAsia="Arial" w:hAnsi="Arial"/>
                <w:sz w:val="18"/>
                <w:szCs w:val="18"/>
                <w:color w:val="auto"/>
              </w:rPr>
              <w:t>= 1%</w:t>
            </w: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of the Investment Adviser</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PennantPark Investment Advisers is a registered investment adviser under the Investment Advisers Act of 1940, as amended. The principal executive office of PennantPark Investment Advisers is located at 590 Madison Avenue, 15th Floor, New York, NY 10022.</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Duration and Termination of Investment Management Agreement</w:t>
      </w:r>
    </w:p>
    <w:p>
      <w:pPr>
        <w:spacing w:after="0" w:line="117"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The Investment Management Agreement was re-approved by our board of directors, including a majority of our directors who are not interested persons of us or the Investment Adviser, in February 2013. Unless terminated</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20"/>
          </w:cols>
          <w:pgMar w:left="240" w:top="460" w:right="4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earlier as described below, our Investment Management Agreement will continue in effect for a period of one year through February 2014. It will remain in effect if approved annually by our board of directors, or by the affirmative vote of the holders of a majority of our outstanding voting securities, including, in either case, approval by a majority of our directors who are not interested persons of us or the Investment Adviser. In determining to re-approve the Investment Management Agreement, our board of directors requested information from the Investment Adviser that enabled it to evaluate a number of factors relevant to its determination. These factors included the nature, quality and extent of services performed by the Investment Adviser, our ability to manage conflicts of interest effectively, our short and long-term performance, our costs, including as compared to comparable externally and internally managed publicly traded BDCs that engage in similar investing activities, our profitability and any economies of scale. Based on the information reviewed and the considerations detailed above, our board of directors, including all of our directors who are not interested persons of us or the Investment Adviser, concluded that the investment advisory fee rates and terms are fair and reasonable in relation to the services provided and re-approved the Investment Management Agreement as being in the best interests of our stockholders. The Investment Management Agreement will automatically terminate in the event of its assignment.</w:t>
      </w:r>
    </w:p>
    <w:p>
      <w:pPr>
        <w:spacing w:after="0" w:line="183" w:lineRule="exact"/>
        <w:rPr>
          <w:sz w:val="20"/>
          <w:szCs w:val="20"/>
          <w:color w:val="auto"/>
        </w:rPr>
      </w:pPr>
    </w:p>
    <w:p>
      <w:pPr>
        <w:jc w:val="both"/>
        <w:ind w:right="280" w:firstLine="456"/>
        <w:spacing w:after="0" w:line="279" w:lineRule="auto"/>
        <w:rPr>
          <w:sz w:val="20"/>
          <w:szCs w:val="20"/>
          <w:color w:val="auto"/>
        </w:rPr>
      </w:pPr>
      <w:r>
        <w:rPr>
          <w:rFonts w:ascii="Arial" w:cs="Arial" w:eastAsia="Arial" w:hAnsi="Arial"/>
          <w:sz w:val="17"/>
          <w:szCs w:val="17"/>
          <w:color w:val="auto"/>
        </w:rPr>
        <w:t>The Investment Management Agreement may be terminated by either party without penalty upon not more than 60 days’ written notice to the other. See “Risk Factors—Risks Relating to our Business and Structure—We are dependent upon our Investment Adviser’s key personnel for our future success, and if our Investment Adviser is unable to hire and retain qualified personnel or if our Investment Adviser loses any member of its management team, our ability to achieve our investment objectives could be significantly harmed” for more information.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 Agreements</w:t>
      </w:r>
    </w:p>
    <w:p>
      <w:pPr>
        <w:spacing w:after="0" w:line="121"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We have entered into an agreement, or the Administration Agreement, with the Administrator, under which the Administrator furnishes us with office facilities, equipment and clerical, bookkeeping and record keeping services at such facilities. Under this agreement, the Administrator performs, or oversees the performance of, our required administrative services, which include, among other things, being responsible for the financial records which we are required to maintain and preparing reports to our stockholders and reports filed with the SEC. In addition, the Administrator assists us in determining and publishing our NAV, oversees the preparation and filing of our tax returns and the printing and dissemination of reports to our stockholders, and generally oversees the payment of our expenses and the performance of administrative and professional services rendered to us by others. PennantPark Investment, through the Administrator, provides similar services to our SBIC Funds under their administration agreements. Payments under our Administration Agreement are equal to an amount based upon our allocable portion of the Administrator’s overhead in performing its obligations under our Administration Agreement, including rent and our allocable portion of the cost of compensation and related expenses of our Chief Compliance Officer and Chief Financial Officer and their respective staffs. Under our Administration Agreement, the Administrator offers, on our behalf, managerial assistance to those portfolio companies to which we are required to offer such assistance. To the extent that our Administrator outsources any of its functions, we will pay the fees associated with such functions on a direct basis without profit to the Administrator. Reimbursement for certain of these costs is included in administrative services expenses in the Consolidated Statement of Operations. For the fiscal years ended September 30, 2013, 2012 and 2011, the Investment Adviser and Administrator, collectively, were reimbursed $2.9 million, $3.6 million and $2.6 million, respectively, from us, including expenses it incurred on behalf of the Administrator for the services described above.</w:t>
      </w:r>
    </w:p>
    <w:p>
      <w:pPr>
        <w:spacing w:after="0" w:line="183"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PennantPark Investment entered into an administration agreement with SPH. Under the administration agreement with SPH, or the SPH Administration Agreement, PennantPark Investment, through the Administrator, furnishes SPH with office facilities, equipment and clerical, bookkeeping and record keeping services at such facilities. Additionally, the Administrator performs, or oversees the performance of, SPH’s required administrative services, which include, among other things, maintaining financial records, preparing financial reports and filing tax returns. Payments under the SPH Administration Agreement are equal to an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amount based upon SPH’s allocable portion of the Administrator’s overhead in performing its obligations under the SPH Administration Agreement, including rent and the allocable portion of the cost of compensation and related expenses of our Chief Financial Officer and respective staff. For the fiscal years ended September 30, 2013, 2012 and 2011, PennantPark Investment was reimbursed $0.4 million, $0.7 million and $0.5 million, respectively, from SPH, including expenses it incurred on behalf of the Administrator for the services described above.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Duration and Termination of Administration Agreement</w:t>
      </w:r>
    </w:p>
    <w:p>
      <w:pPr>
        <w:spacing w:after="0" w:line="117"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The Administration Agreement was re-approved by our board of directors, including a majority of our directors who are not interested persons of PennantPark Investment, in February 2013.</w:t>
      </w:r>
    </w:p>
    <w:p>
      <w:pPr>
        <w:spacing w:after="0" w:line="62"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Unless terminated earlier as described below, our Administration Agreement will continue in effect for a period of one year through February 2014. It will remain in effect if approved annually by our board of directors, or by the affirmative vote of the holders of a majority of our outstanding voting securities, including, in either case, approval by a majority of our directors who are not interested persons of us.</w:t>
      </w:r>
    </w:p>
    <w:p>
      <w:pPr>
        <w:spacing w:after="0" w:line="73"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The Administration Agreement may not be assigned by either party without the consent of the other party. The Administration Agreement may be terminated by either party upon not more than 60 days’ written notice to the other.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Our Investment Management Agreement and Administration Agreement provide that, absent willful misfeasance, bad faith or gross negligence in the performance of their duties or by reason of the reckless disregard of their duties and obligations, PennantPark Investment Advisers and PennantPark Investment Administration and their officers, manager, partners, agents, employees, controlling persons, members and any other person or entity affiliated with them are entitled to indemnification from PennantPark Investment for any damages, liabilities, costs and expenses (including reasonable attorneys’ fees and amounts reasonably paid in settlement) arising from the rendering of PennantPark Investment Advisers’ and PennantPark Investment Administration’s services under our Investment Management Agreement or Administration Agreement or otherwise as Investment Adviser or Administrator for PennantPark Investment.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w:t>
      </w:r>
    </w:p>
    <w:p>
      <w:pPr>
        <w:spacing w:after="0" w:line="12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have entered into the License Agreement with PennantPark Investment Advisers pursuant to which PennantPark Investment Advisers has granted us a royalty-free, non-exclusive license to use the name “PennantPark.” Under this agreement, we have a right to use the PennantPark name, for so long as PennantPark Investment Advisers or one of its affiliates remains our Investment Adviser. Other than with respect to this limited license, we have no legal right to the “PennantPark” name.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60" w:right="2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DETERMINATION OF NET ASSET VALUE</w:t>
      </w:r>
    </w:p>
    <w:p>
      <w:pPr>
        <w:spacing w:after="0" w:line="229"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NAV per share of our outstanding shares of common stock is determined quarterly by dividing the value of total assets minus liabilities by the total number of shares outstanding.</w:t>
      </w:r>
    </w:p>
    <w:p>
      <w:pPr>
        <w:spacing w:after="0" w:line="170"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As a BDC, we generally invest in illiquid securities including debt and equity investments of middle-market companies. 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or otherwise by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17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expect that there will not be readily available market values for many of the investments which are or will be in our portfolio, and we value such investments at fair value as determined in good faith by or under the direction of our board of directors using a documented valuation policy, described herein,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differ from our valuation and the difference could be material. See Notes 2 and 5 to the Consolidated Financial Statements.</w:t>
      </w:r>
    </w:p>
    <w:p>
      <w:pPr>
        <w:spacing w:after="0" w:line="182"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76" w:lineRule="exact"/>
        <w:rPr>
          <w:sz w:val="20"/>
          <w:szCs w:val="20"/>
          <w:color w:val="auto"/>
        </w:rPr>
      </w:pPr>
    </w:p>
    <w:p>
      <w:pPr>
        <w:ind w:left="900" w:right="220" w:hanging="446"/>
        <w:spacing w:after="0" w:line="277"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the Investment Adviser responsible for the portfolio investment;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130"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an investment. The independent valuation firms review management’s preliminary valuations in light of its own independent assessment and also in light of any market quotations obtained from an independent pricing service, broker, dealer or market maker;</w:t>
      </w:r>
    </w:p>
    <w:p>
      <w:pPr>
        <w:spacing w:after="0" w:line="92" w:lineRule="exact"/>
        <w:rPr>
          <w:rFonts w:ascii="Arial" w:cs="Arial" w:eastAsia="Arial" w:hAnsi="Arial"/>
          <w:sz w:val="18"/>
          <w:szCs w:val="18"/>
          <w:color w:val="auto"/>
        </w:rPr>
      </w:pPr>
    </w:p>
    <w:p>
      <w:pPr>
        <w:ind w:left="900" w:right="400" w:hanging="446"/>
        <w:spacing w:after="0" w:line="286" w:lineRule="auto"/>
        <w:tabs>
          <w:tab w:leader="none" w:pos="9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audit committee of our board of directors reviews the preliminary valuations of the Investment Adviser and those of the independent valuation firms on a quarterly basis, periodically assess the valuation methodologies of the independent valuation firms, and responds to and supplements the valuation recommendations of the independent valuation firms to reflect any comments; and</w:t>
      </w:r>
    </w:p>
    <w:p>
      <w:pPr>
        <w:spacing w:after="0" w:line="70" w:lineRule="exact"/>
        <w:rPr>
          <w:rFonts w:ascii="Arial" w:cs="Arial" w:eastAsia="Arial" w:hAnsi="Arial"/>
          <w:sz w:val="17"/>
          <w:szCs w:val="17"/>
          <w:color w:val="auto"/>
        </w:rPr>
      </w:pPr>
    </w:p>
    <w:p>
      <w:pPr>
        <w:ind w:left="900" w:right="100" w:hanging="446"/>
        <w:spacing w:after="0" w:line="277"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Our board of directors discusses the valuations and determines the fair value of each investment in our portfolio in good faith, based on the input of our Investment Adviser, the independent valuation firms and the audit committee.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the extent we invest in derivative instruments in the future, such instruments would be valued in accordance with our valuation policy.</w:t>
      </w:r>
    </w:p>
    <w:p>
      <w:pPr>
        <w:spacing w:after="0" w:line="22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PennantPark Investment. Unobservable inputs reflect the assumptions market participants would use in pricing an asset or liability based on the best information available to us at the reporting period date.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Determinations In Connection With Offerings</w:t>
      </w:r>
    </w:p>
    <w:p>
      <w:pPr>
        <w:spacing w:after="0" w:line="121" w:lineRule="exact"/>
        <w:rPr>
          <w:sz w:val="20"/>
          <w:szCs w:val="20"/>
          <w:color w:val="auto"/>
        </w:rPr>
      </w:pPr>
    </w:p>
    <w:p>
      <w:pPr>
        <w:ind w:right="220" w:firstLine="456"/>
        <w:spacing w:after="0" w:line="279" w:lineRule="auto"/>
        <w:rPr>
          <w:sz w:val="20"/>
          <w:szCs w:val="20"/>
          <w:color w:val="auto"/>
        </w:rPr>
      </w:pPr>
      <w:r>
        <w:rPr>
          <w:rFonts w:ascii="Arial" w:cs="Arial" w:eastAsia="Arial" w:hAnsi="Arial"/>
          <w:sz w:val="17"/>
          <w:szCs w:val="17"/>
          <w:color w:val="auto"/>
        </w:rPr>
        <w:t>In connection with each offering of shares of our common stock, our board of directors or a committee thereof is required to make the determination that we are not selling shares of our common stock at a price below NAV of our common stock at the time at which the sale is made unless we receive the consent of the majority of our common stockholders to do so, and the board of directors decides that such an offering is in the best interests of our common stockholders. Our board of directors will consider the following factors, among others, in making such determination:</w:t>
      </w:r>
    </w:p>
    <w:p>
      <w:pPr>
        <w:spacing w:after="0" w:line="77" w:lineRule="exact"/>
        <w:rPr>
          <w:sz w:val="20"/>
          <w:szCs w:val="20"/>
          <w:color w:val="auto"/>
        </w:rPr>
      </w:pPr>
    </w:p>
    <w:p>
      <w:pPr>
        <w:ind w:left="900" w:hanging="325"/>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NAV of our common stock disclosed in the most recent periodic report that we filed with the SEC;</w:t>
      </w:r>
    </w:p>
    <w:p>
      <w:pPr>
        <w:spacing w:after="0" w:line="90" w:lineRule="exact"/>
        <w:rPr>
          <w:rFonts w:ascii="Arial" w:cs="Arial" w:eastAsia="Arial" w:hAnsi="Arial"/>
          <w:sz w:val="18"/>
          <w:szCs w:val="18"/>
          <w:color w:val="auto"/>
        </w:rPr>
      </w:pPr>
    </w:p>
    <w:p>
      <w:pPr>
        <w:ind w:left="900" w:right="200" w:hanging="325"/>
        <w:spacing w:after="0" w:line="286" w:lineRule="auto"/>
        <w:tabs>
          <w:tab w:leader="none" w:pos="9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our management’s assessment of whether any change in the NAV of our common stock has occurred (including through the realization of gains on the sale of our portfolio securities) during the period beginning on the date of the most recent public filing with the SEC that discloses the NAV of our common stock and ending two days prior to the date of the sale of our common stock; and</w:t>
      </w:r>
    </w:p>
    <w:p>
      <w:pPr>
        <w:spacing w:after="0" w:line="30" w:lineRule="exact"/>
        <w:rPr>
          <w:rFonts w:ascii="Arial" w:cs="Arial" w:eastAsia="Arial" w:hAnsi="Arial"/>
          <w:sz w:val="17"/>
          <w:szCs w:val="17"/>
          <w:color w:val="auto"/>
        </w:rPr>
      </w:pPr>
    </w:p>
    <w:p>
      <w:pPr>
        <w:ind w:left="900" w:right="620" w:hanging="325"/>
        <w:spacing w:after="0" w:line="277"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magnitude of the difference between the offering price of the shares of our common stock in the proposed offering and management’s assessment of any change in the NAV of our common stock during the period discussed above.</w:t>
      </w:r>
    </w:p>
    <w:p>
      <w:pPr>
        <w:spacing w:after="0" w:line="17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Importantly, this determination will not necessarily require that we calculate the NAV of our common stock in connection with each offering of shares of our common stock, but instead it will involve the determination by our board of directors or a committee thereof that we are not selling shares of our common stock at a price below the then current NAV of our common stock at the time at which the sale is made or otherwise in violation of the 1940 Act. However, if we receive the consent of a majority of our common stockholders to issue shares of our common stock at a price below our then current NAV and our board of directors decides that such an offering is in the best interest of our common stockholders, then we may undertake such an offering. See “Sales Of Common Stock Below Net Asset Value” for more information.</w:t>
      </w:r>
    </w:p>
    <w:p>
      <w:pPr>
        <w:spacing w:after="0" w:line="19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To the extent that the above procedures result in even a remote possibility that we may (i) in the absence of stockholder approval issue shares of our common stock at a price below the then current NAV of our common stock at the time at which the sale is made or (ii) trigger our undertaking to suspend the offering of shares of our common stock pursuant to this prospectus if the NAV fluctuates by certain amounts in certain circumstances until the prospectus is amended, the board of directors or a committee thereof will elect, in the case of clause (i) above, either to postpone the offering until such time that there is no longer the possibility of the occurrence of such event or to undertake to determine NAV within two days prior to any such sale to ensure that such sale will not be below our then current NAV, and, in the case of clause (ii) above, to comply with such undertaking or to undertake to determine NAV to ensure that such undertaking has not been triggered.</w:t>
      </w:r>
    </w:p>
    <w:p>
      <w:pPr>
        <w:spacing w:after="0" w:line="189"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We may, however, subject to the requirements of the 1940 Act, issue rights to acquire our common stock at a price below the current NAV of the common stock if our board of directors determines that such sale is in our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60" w:right="2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addition, we note that for us to file a post-effective amendment to this registration statement on Form N-2, we must then be qualified to register our securities on Form N-2. If we raise additional funds by issuing more common stock or warrants or senior securities convertible into, or exchangeable for, our common stock, the percentage ownership of our common stockholders at that time would decrease, and our common stockholders may experience dilution.</w:t>
      </w:r>
    </w:p>
    <w:p>
      <w:pPr>
        <w:spacing w:after="0" w:line="166" w:lineRule="exact"/>
        <w:rPr>
          <w:sz w:val="20"/>
          <w:szCs w:val="20"/>
          <w:color w:val="auto"/>
        </w:rPr>
      </w:pPr>
    </w:p>
    <w:p>
      <w:pPr>
        <w:jc w:val="both"/>
        <w:ind w:right="80" w:firstLine="456"/>
        <w:spacing w:after="0" w:line="342" w:lineRule="auto"/>
        <w:rPr>
          <w:sz w:val="20"/>
          <w:szCs w:val="20"/>
          <w:color w:val="auto"/>
        </w:rPr>
      </w:pPr>
      <w:r>
        <w:rPr>
          <w:rFonts w:ascii="Arial" w:cs="Arial" w:eastAsia="Arial" w:hAnsi="Arial"/>
          <w:sz w:val="16"/>
          <w:szCs w:val="16"/>
          <w:color w:val="auto"/>
        </w:rPr>
        <w:t>These processes and procedures are part of our compliance policies and procedures. Records will be made contemporaneously with all determinations of the board of directors described in this section, and we will maintain these records with other records that we are required to maintain under the 1940 Act.</w:t>
      </w:r>
    </w:p>
    <w:p>
      <w:pPr>
        <w:spacing w:after="0" w:line="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360"/>
          </w:cols>
          <w:pgMar w:left="240" w:top="460" w:right="29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REINVESTMENT PLAN</w:t>
      </w:r>
    </w:p>
    <w:p>
      <w:pPr>
        <w:spacing w:after="0" w:line="229"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We have adopted a dividend reinvestment plan that provides for reinvestment of our dividends and other distributions on behalf of our stockholders, unless a stockholder elects to receive cash as provided below. As a result, if our board of directors authorizes, and we declare, a cash dividend or other distribution, then our stockholders who have not ‘opted out’ of our dividend reinvestment plan will have their cash distribution automatically reinvested in additional shares of our common stock, rather than receiving the cash distribution.</w:t>
      </w:r>
    </w:p>
    <w:p>
      <w:pPr>
        <w:spacing w:after="0" w:line="18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No action is required on the part of registered stockholders to have their cash dividend or other distribution reinvested in shares of our common stock. A registered stockholder may elect to receive an entire distribution in cash by notifying American Stock Transfer &amp; Trust Company, the plan administrator and our transfer agent and registrar, in writing so that such notice is received by the plan administrator no later than the record date for distributions to stockholders. The plan administrator will set up an account for shares acquired through the plan for each stockholder who has not elected to receive dividends or other distributions in cash and hold such shares in non-certificated form. Upon request by a stockholder participating in the plan, received in writing not less than 10 days prior to the record date, the plan administrator will, instead of crediting shares to the participant’s account, issue a certificate registered in the participant’s name for the number of whole shares of our common stock and a check for any fractional share.</w:t>
      </w:r>
    </w:p>
    <w:p>
      <w:pPr>
        <w:spacing w:after="0" w:line="16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Those stockholders whose shares are held by a broker or other financial intermediary may receive dividends and other distributions in cash by notifying their broker or other financial intermediary of their election.</w:t>
      </w:r>
    </w:p>
    <w:p>
      <w:pPr>
        <w:spacing w:after="0" w:line="17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Generally, we intend to issue shares to implement the plan, when our shares are trading at a premium to our NAV per share. However, we reserve the right to purchase shares in the open market in connection with our implementation of the plan. The number of shares to be issued to a stockholder is determined by dividing the total dollar amount of the distribution payable to such stockholder by the market price per share of our common stock at the close of regular trading on the NASDAQ Global Select Market on the valuation date for such distribution. Market price per share on that date will be the closing price for such shares on the NASDAQ Global Select Market or, if no sale is reported for such day, at the average of their reported bid and asked prices. The number of shares of our common stock to be outstanding after giving effect to payment of the dividend or other distribution cannot be established until the value per share at which additional shares will be issued has been determined and elections of our stockholders have been tabulated.</w:t>
      </w:r>
    </w:p>
    <w:p>
      <w:pPr>
        <w:spacing w:after="0" w:line="167"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Except as described below, the plan administrator’s fees will be paid by us.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$0.10 per share brokerage commissions from the proceeds. Additionally, there are brokerage commissions, currently $0.03 per share, incurred in connection with open market purchases.</w:t>
      </w:r>
    </w:p>
    <w:p>
      <w:pPr>
        <w:spacing w:after="0" w:line="17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Stockholders who receive dividends and other distributions in the form of stock are subject to the same federal, state and local tax consequences as are stockholders who elect to receive their distributions in cash. A stockholder’s basis for determining gain or loss upon the sale of stock received in a dividend or other distribution from us will be equal to the total dollar amount of the distribution payable to the stockholder. Any stock received in a dividend or other distribution will have a new holding period for tax purposes commencing on the day following the day on which the shares are credited to the U.S. stockholder’s account.</w:t>
      </w:r>
    </w:p>
    <w:p>
      <w:pPr>
        <w:spacing w:after="0" w:line="188"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 xml:space="preserve">Participants may terminate their accounts under the plan by notifying the plan administrator via its website at </w:t>
      </w:r>
      <w:r>
        <w:rPr>
          <w:rFonts w:ascii="Arial" w:cs="Arial" w:eastAsia="Arial" w:hAnsi="Arial"/>
          <w:sz w:val="18"/>
          <w:szCs w:val="18"/>
          <w:i w:val="1"/>
          <w:iCs w:val="1"/>
          <w:u w:val="single" w:color="auto"/>
          <w:color w:val="auto"/>
        </w:rPr>
        <w:t>www.amstock.com</w:t>
      </w:r>
      <w:r>
        <w:rPr>
          <w:rFonts w:ascii="Arial" w:cs="Arial" w:eastAsia="Arial" w:hAnsi="Arial"/>
          <w:sz w:val="18"/>
          <w:szCs w:val="18"/>
          <w:color w:val="auto"/>
        </w:rPr>
        <w:t xml:space="preserve"> or by filling out the transaction request form located at bottom of their statement and sending it to the plan administrator.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00"/>
          </w:cols>
          <w:pgMar w:left="240" w:top="460" w:right="2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The plan may be terminated by us upon notice in writing mailed to each participant at least 30 days prior to any record date for the payment of any dividend by us. All correspondence concerning the plan should be directed to the plan administrator by mail at American Stock Transfer &amp; Trust Company, P.O. Box 922, Wall Street Station, New York, New York 10269, or by the plan administrator’s Interactive Voice Response System at 1-800-278-4353.</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00"/>
          </w:cols>
          <w:pgMar w:left="240" w:top="459" w:right="45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CAPITAL STOCK</w:t>
      </w:r>
    </w:p>
    <w:p>
      <w:pPr>
        <w:spacing w:after="0" w:line="229"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The following description is based on relevant portions of the Maryland General Corporation Law and on our charter and bylaws. This summary is not necessarily complete, and we refer you to the Maryland General Corporation Law and our charter and bylaws for a more detailed description of the provisions summarized below.</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Stock</w:t>
      </w:r>
    </w:p>
    <w:p>
      <w:pPr>
        <w:spacing w:after="0" w:line="12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As of September 30, 2013, our authorized capital stock consisted of 100,000,000 shares of stock, par value $0.001 per share, all of which is classified as common stock. Our common stock is quoted on the NASDAQ Global Select Market under the ticker symbol “PNNT.” There are no outstanding options or warrants to purchase our stock. No stock has been authorized for issuance under any equity compensation plans. Under Maryland law, our stockholders generally are not personally liable for our debts or obligations.</w:t>
      </w:r>
    </w:p>
    <w:p>
      <w:pPr>
        <w:spacing w:after="0" w:line="187"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The last reported closing market price of our common stock on December 6, 2013 was $11.93 per share. As of September 30, 2013, we had 11 stockholders of record.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our outstanding classes of securities as of September 30, 2013:</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600" w:type="dxa"/>
            <w:vAlign w:val="bottom"/>
            <w:gridSpan w:val="2"/>
            <w:vMerge w:val="restart"/>
          </w:tcPr>
          <w:p>
            <w:pPr>
              <w:jc w:val="center"/>
              <w:ind w:right="620"/>
              <w:spacing w:after="0"/>
              <w:rPr>
                <w:sz w:val="20"/>
                <w:szCs w:val="20"/>
                <w:color w:val="auto"/>
              </w:rPr>
            </w:pPr>
            <w:r>
              <w:rPr>
                <w:rFonts w:ascii="Arial" w:cs="Arial" w:eastAsia="Arial" w:hAnsi="Arial"/>
                <w:sz w:val="14"/>
                <w:szCs w:val="14"/>
                <w:b w:val="1"/>
                <w:bCs w:val="1"/>
                <w:color w:val="auto"/>
                <w:w w:val="94"/>
              </w:rPr>
              <w:t>Amount</w:t>
            </w:r>
          </w:p>
        </w:tc>
        <w:tc>
          <w:tcPr>
            <w:tcW w:w="166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4"/>
              </w:rPr>
              <w:t>Amount Held by</w:t>
            </w:r>
          </w:p>
        </w:tc>
        <w:tc>
          <w:tcPr>
            <w:tcW w:w="9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9"/>
        </w:trPr>
        <w:tc>
          <w:tcPr>
            <w:tcW w:w="7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Title of Class</w:t>
            </w:r>
          </w:p>
        </w:tc>
        <w:tc>
          <w:tcPr>
            <w:tcW w:w="1600" w:type="dxa"/>
            <w:vAlign w:val="bottom"/>
            <w:gridSpan w:val="2"/>
            <w:vMerge w:val="continue"/>
          </w:tcPr>
          <w:p>
            <w:pPr>
              <w:spacing w:after="0"/>
              <w:rPr>
                <w:sz w:val="12"/>
                <w:szCs w:val="12"/>
                <w:color w:val="auto"/>
              </w:rPr>
            </w:pPr>
          </w:p>
        </w:tc>
        <w:tc>
          <w:tcPr>
            <w:tcW w:w="16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6"/>
              </w:rPr>
              <w:t>Us or for Our</w:t>
            </w: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200" w:type="dxa"/>
            <w:vAlign w:val="bottom"/>
            <w:gridSpan w:val="2"/>
            <w:vMerge w:val="continue"/>
          </w:tcPr>
          <w:p>
            <w:pPr>
              <w:spacing w:after="0"/>
              <w:rPr>
                <w:sz w:val="14"/>
                <w:szCs w:val="14"/>
                <w:color w:val="auto"/>
              </w:rPr>
            </w:pPr>
          </w:p>
        </w:tc>
        <w:tc>
          <w:tcPr>
            <w:tcW w:w="160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5"/>
              </w:rPr>
              <w:t>Authorized</w:t>
            </w:r>
          </w:p>
        </w:tc>
        <w:tc>
          <w:tcPr>
            <w:tcW w:w="166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9"/>
              </w:rPr>
              <w:t>Account</w:t>
            </w: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210"/>
        </w:trPr>
        <w:tc>
          <w:tcPr>
            <w:tcW w:w="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Common</w:t>
            </w:r>
          </w:p>
        </w:tc>
        <w:tc>
          <w:tcPr>
            <w:tcW w:w="6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par value $0.001 per share</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100,000,000</w:t>
            </w:r>
          </w:p>
        </w:tc>
        <w:tc>
          <w:tcPr>
            <w:tcW w:w="6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6"/>
              </w:rPr>
              <w:t>66,499,327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60" w:firstLine="456"/>
        <w:spacing w:after="0" w:line="279" w:lineRule="auto"/>
        <w:rPr>
          <w:sz w:val="20"/>
          <w:szCs w:val="20"/>
          <w:color w:val="auto"/>
        </w:rPr>
      </w:pPr>
      <w:r>
        <w:rPr>
          <w:rFonts w:ascii="Arial" w:cs="Arial" w:eastAsia="Arial" w:hAnsi="Arial"/>
          <w:sz w:val="17"/>
          <w:szCs w:val="17"/>
          <w:color w:val="auto"/>
        </w:rPr>
        <w:t>Under our charter, our board of directors is authorized to classify and reclassify any unissued shares of stock into other classes or series of stock and authorize the issuance of shares of stock without obtaining stockholder approval. As permitted by the Maryland General Corporation Law, our charter provides that the board of directors, without any action by our stockholders, may amend the charter from time to time to increase or decrease the aggregate number of shares of stock or the number of shares of stock of any class or series that we have authority to issue.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All shares of our common stock have equal rights as to earnings, assets, distributions and voting and, when they are issued, will be duly authorized, validly issued, fully paid and nonassessable. Distributions may be paid to the holders of our common stock if, as and when authorized by our board of directors and declared by us out of assets legally available. Shares of our common stock have no preemptive, exchange, conversion or redemption rights and are freely transferable, except where their transfer is restricted by federal and state securities laws or by contract. In the event of a liquidation, dissolution or winding up of PennantPark Investment,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of Directors and Officers; Indemnification and Advance of Expenses</w:t>
      </w:r>
    </w:p>
    <w:p>
      <w:pPr>
        <w:spacing w:after="0" w:line="12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Maryland law permits a Maryland corporation to include in its charter a provision limiting the liability of its directors and officers to the corporation and its stockholders for money damages except for liability resulting from (a) actual receipt of an improper benefit or profit in money, property or services or (b) active and deliberate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59" w:right="2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dishonesty established by a final judgment as being material to the cause of action. Our charter contains such a provision which eliminates directors’ and officers’ liability to the maximum extent permitted by Maryland law, subject to the requirements of the 1940 Act.</w:t>
      </w:r>
    </w:p>
    <w:p>
      <w:pPr>
        <w:spacing w:after="0" w:line="17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Our charter authorizes us, to the maximum extent permitted by Maryland law and subject to the requirements of the 1940 Act, to obligate us to indemnify, and to pay or reimburse reasonable expenses in advance of final disposition of a proceeding to, any present or former director or officer or any individual who, while a director or officer and at our request, serves or has served another corporation, real estate investment trust, partnership, joint venture, trust employee benefit plan, or other enterprise as a director, officer, partner or trustee, from and against any claim or liability to which that person may become subject or which that person may incur by reason of his or her service in any such capacity and to pay or reimburse their reasonable expenses in advance of final disposition of a proceeding.</w:t>
      </w:r>
    </w:p>
    <w:p>
      <w:pPr>
        <w:spacing w:after="0" w:line="193"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Our bylaws obligate us, to the maximum extent permitted by Maryland law and subject to the requirements of the 1940 Act, to indemnify any present or former director or officer or any individual who, while a director or officer and at our request, serves or has served another corporation, real estate investment trust, partnership, joint venture, trust, employee benefit plan or other enterprise as a director, officer, partner or trustee and who is made, or threatened to be made, a party to a proceeding by reason of his or her service in any such capacity from and against any claim or liability to which that person may become subject or which that person may incur by reason of his or her service in any such capacity and, without requiring a preliminary determination of the ultimate entitlement to indemnification to pay or reimburse their reasonable expenses in advance of final disposition of a proceeding. The charter and bylaws also permit us to indemnify and advance expenses to any person who served a predecessor of us in any of the capacities described above and any of our employees or agents or any employees or agents of our predecessor. In accordance with the 1940 Act, we will not indemnify any person for any liability to which such person would be subject by reason of such person’s willful misfeasance, bad faith, gross negligence or reckless disregard of the duties involved in the conduct of his or her office.</w:t>
      </w:r>
    </w:p>
    <w:p>
      <w:pPr>
        <w:spacing w:after="0" w:line="17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Maryland law requires a corporation (unless its charter provides otherwise, which our charter does not) to indemnify a director or officer who has been successful, on the merits or otherwise,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of the Maryland General Corporation Law and our Charter and Bylaws</w:t>
      </w:r>
    </w:p>
    <w:p>
      <w:pPr>
        <w:spacing w:after="0" w:line="121" w:lineRule="exact"/>
        <w:rPr>
          <w:sz w:val="20"/>
          <w:szCs w:val="20"/>
          <w:color w:val="auto"/>
        </w:rPr>
      </w:pPr>
    </w:p>
    <w:p>
      <w:pPr>
        <w:ind w:right="400" w:firstLine="456"/>
        <w:spacing w:after="0" w:line="264" w:lineRule="auto"/>
        <w:rPr>
          <w:sz w:val="20"/>
          <w:szCs w:val="20"/>
          <w:color w:val="auto"/>
        </w:rPr>
      </w:pPr>
      <w:r>
        <w:rPr>
          <w:rFonts w:ascii="Arial" w:cs="Arial" w:eastAsia="Arial" w:hAnsi="Arial"/>
          <w:sz w:val="18"/>
          <w:szCs w:val="18"/>
          <w:color w:val="auto"/>
        </w:rPr>
        <w:t>The Maryland General Corporation Law and our charter and bylaws contain provisions that could make it more difficult for a potential acquirer to acquire us by means of a tender offer, proxy contest or otherwise. These provisions are expected to discourage certain coercive takeover practices and inadequate takeover bids and to</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00"/>
          </w:cols>
          <w:pgMar w:left="240" w:top="460" w:right="25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encourage persons seeking to acquire control of us to negotiate first with our board of directors. We believe that the benefits of these provisions outweigh the potential disadvantages of discouraging any such acquisition proposals because, among other things, the negotiation of such proposals may improve their terms.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board of directors is divided into three classes of directors serving staggered three-year terms. The terms of the first, second and third classes will expire at the annual meeting of stockholders held in 2014, 2015, and 2016, respectively, and in each case, those directors will serve until their successors are duly elected and qualify. Upon expiration of their current terms, directors of each class will be elected to serve for a term expiring at the annual meeting of stockholders held in the third year following the year of their election and until their successors are duly elected and qualify and each year one class of directors will be elected by the stockholders. 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Election of directors</w:t>
      </w:r>
    </w:p>
    <w:p>
      <w:pPr>
        <w:spacing w:after="0" w:line="117"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color w:val="auto"/>
        </w:rPr>
        <w:t>Our charter and bylaws provide that the affirmative vote of the holders of a majority of the outstanding shares of stock entitled to vote in the election of directors will be required to elect a director. Pursuant to the charter, our board of directors may amend the bylaws to alter the vote required to elect directors.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Number of directors; vacancies; removal</w:t>
      </w:r>
    </w:p>
    <w:p>
      <w:pPr>
        <w:spacing w:after="0" w:line="11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Our charter provides that the number of directors will be set only by the board of directors in accordance with our bylaws. Our bylaws provide that a majority of our entire board of directors may at any time increase or decrease the number of directors. However, unless our bylaws are amended, the number of directors may never be less than four nor more than eight. We have elected to be subject to the provision of Subtitle 8 of Title 3 of the Maryland General Corporation Law regarding the filling of vacancies on the board of directors. Accordingly, except as may be provided by the board of directors in setting the terms of any class or series of preferred stock, any and all vacancies on the board of directors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occurred and until a successor is elected and qualifies, subject to any applicable requirements of the 1940 Act.</w:t>
      </w:r>
    </w:p>
    <w:p>
      <w:pPr>
        <w:spacing w:after="0" w:line="192" w:lineRule="exact"/>
        <w:rPr>
          <w:sz w:val="20"/>
          <w:szCs w:val="20"/>
          <w:color w:val="auto"/>
        </w:rPr>
      </w:pPr>
    </w:p>
    <w:p>
      <w:pPr>
        <w:ind w:right="780" w:firstLine="456"/>
        <w:spacing w:after="0" w:line="277" w:lineRule="auto"/>
        <w:rPr>
          <w:sz w:val="20"/>
          <w:szCs w:val="20"/>
          <w:color w:val="auto"/>
        </w:rPr>
      </w:pPr>
      <w:r>
        <w:rPr>
          <w:rFonts w:ascii="Arial" w:cs="Arial" w:eastAsia="Arial" w:hAnsi="Arial"/>
          <w:sz w:val="18"/>
          <w:szCs w:val="18"/>
          <w:color w:val="auto"/>
        </w:rPr>
        <w:t>Our charter provides that a director may be removed only for cause, as defined in our charter, and then only by the affirmative vote of at least two-thirds of the votes entitled to be cast in the election of directors.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Action by stockholders</w:t>
      </w:r>
    </w:p>
    <w:p>
      <w:pPr>
        <w:spacing w:after="0" w:line="117"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Under the Maryland General Corporation Law, stockholder action can be taken only at an annual or special meeting of stockholders or by unanimous written consent in lieu of a meeting (unless the charter provides for stockholder action by less than unanimous consent, which our charter does not). These provisions, combined with the requirements of our bylaws regarding the calling of a stockholder-requested special meeting of stockholders discussed below, may have the effect of delaying consideration of a stockholder proposal until the next annual meeting.</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notice provisions for stockholder nominations and stockholder proposals</w:t>
      </w:r>
    </w:p>
    <w:p>
      <w:pPr>
        <w:spacing w:after="0" w:line="117"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Our bylaws provide that with respect to an annual meeting of stockholders, nominations of persons for election to the board of directors and the proposal of business to be considered by stockholders may be made only (1) pursuant to our notice of the meeting, (2) by or at the direction of the board of directors or (3) by a</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460" w:right="2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stockholder who was a stockholder of record at the time of provision of notice and at the time of the meeting, who is entitled to vote at the meeting and who has complied with the advance notice procedures of the bylaws. With respect to special meetings of stockholders, only the business specified in our notice of the meeting may be brought before the meeting. Nominations of persons for election to the board of directors at a special meeting may be made only (1) by or at the direction of the board of directors or (2) provided that the special meeting has been called in accordance with our bylaws for the purposes of electing directors by a stockholder who was a stockholder of record at the time of provision of notice and at the time of the meeting, who is entitled to vote at the meeting and who has complied with the advance notice provisions of the bylaws.</w:t>
      </w:r>
    </w:p>
    <w:p>
      <w:pPr>
        <w:spacing w:after="0" w:line="178"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The purpose of requiring stockholders to give us advance notice of nominations and other business is to afford our board of directors a meaningful opportunity to consider the qualifications of the proposed nominees and the advisability of any other proposed business and, to the extent deemed necessary or desirable by our board of directors, to inform stockholders and make recommendations about such qualifications or business, as well as to provide a more orderly procedure for conducting meetings of stockholders. Although our bylaws do not give our board of directors any power to disapprove stockholder nominations for the election of directors or proposals recommending certain action, they may have the effect of precluding a contest for the election of directors or the consideration of stockholder proposals if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Calling of special meetings of stockholders</w:t>
      </w:r>
    </w:p>
    <w:p>
      <w:pPr>
        <w:spacing w:after="0" w:line="117"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Our bylaws provide that special meetings of stockholders may be called by our board of directors and certain of our officers. Additionally, our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not less than a majority of all the votes entitled to be cast at such meeting.</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Approval of extraordinary corporate action; amendment of charter and bylaws</w:t>
      </w:r>
    </w:p>
    <w:p>
      <w:pPr>
        <w:spacing w:after="0" w:line="11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Under Maryland law, a Maryland corporation generally cannot dissolve, amend its charter, merge,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Our charter generally provides for approval of charter amendments and extraordinary transactions by the stockholders entitled to cast at least a majority of the votes entitled to be cast on the matter. Our charter also provides that certain charter amendments and any proposal for our conversion, whether by merger or otherwise, from a closed-end company to an open-end company or any proposal for our liquidation or dissolution requires the approval of the stockholders entitled to cast at least 80 percent of the votes entitled to be cast on such matter. However, if such amendment or proposal is approved by at least two-thirds of our continuing directors (in addition to approval by our board of directors), such amendment or proposal may be approved by a majority of the votes entitled to be cast on such a matter. The “continuing directors” are defined in our charter as our current directors as well as those directors whose nomination for election by the stockholders or whose election by the directors to fill vacancies is approved by a majority of the continuing directors then on the board of directors.</w:t>
      </w:r>
    </w:p>
    <w:p>
      <w:pPr>
        <w:spacing w:after="0" w:line="173"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Our charter and bylaws provide that the board of directors will have the exclusive power to adopt, alter or repeal any provision of our bylaws and to make new bylaws.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460" w:right="2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appraisal rights</w:t>
      </w:r>
    </w:p>
    <w:p>
      <w:pPr>
        <w:spacing w:after="0" w:line="117"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Except with respect to appraisal rights arising in connection with the Maryland Control Share Acquisition Act discussed below, as permitted by the Maryland General Corporation Law, our charter provides that stockholders will not be entitled to exercise appraisal rights.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Control share acquisitions</w:t>
      </w:r>
    </w:p>
    <w:p>
      <w:pPr>
        <w:spacing w:after="0" w:line="117"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The Control Share Acquisition Act provides that control shares of a Maryland corporation acquired in a control share acquisition have no voting rights except to the extent approved by a vote of two-thirds of the votes entitled to be cast on the matter. Shares owned by the acquirer, by officers or by directors who are employees of the corporation are excluded from shares entitled to vote on the matter. Control shares are voting shares of stock which, if aggregated with all other shares of stock owned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w:t>
      </w:r>
    </w:p>
    <w:p>
      <w:pPr>
        <w:spacing w:after="0" w:line="64" w:lineRule="exact"/>
        <w:rPr>
          <w:sz w:val="20"/>
          <w:szCs w:val="20"/>
          <w:color w:val="auto"/>
        </w:rPr>
      </w:pPr>
    </w:p>
    <w:p>
      <w:pPr>
        <w:ind w:left="900" w:hanging="325"/>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requisite stockholder approval must be obtained each time an acquirer crosses one of the thresholds of voting power set forth above. Control shares do not include shares the acquiring person is then entitled to vote as a result of having previously obtained stockholder approval. A control share acquisition means the acquisition of control shares, subject to certain exceptions.</w:t>
      </w:r>
    </w:p>
    <w:p>
      <w:pPr>
        <w:spacing w:after="0" w:line="181"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spacing w:after="0" w:line="187"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If voting rights are not approved at the meeting or if the acquiring person does not deliver an acquiring person statement as required by the statute, then the corporation may repurchase for fair value any or all of the control shares, except those for which voting rights have previously been approved. The right of the corporation to repurchase control shares is subject to certain conditions and limitations, including, as provided in our bylaws, compliance with the 1940 Act. Fair value is determined, without regard to the absence of voting rights for the control shares, as of the date of the last control share acquisition by the acquirer or of any meeting of stockholders at which the voting rights of the shares are considered and not approved. If voting rights for control shares are approved at a stockholders meeting and the acquirer becomes entitled to vote a majority of the shares entitled to vote, all other stockholders may exercise appraisal rights. The fair value of the shares as determined for purposes of appraisal rights may not be less than the highest price per share paid by the acquirer in the control share acquisition.</w:t>
      </w:r>
    </w:p>
    <w:p>
      <w:pPr>
        <w:spacing w:after="0" w:line="179"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Control Share Acquisition Act does not apply (a) to shares acquired in a merger, consolidation or share exchange if the corporation is a party to the transaction or (b) to acquisitions approved or exempted by the charter or bylaws of the corporation.</w:t>
      </w:r>
    </w:p>
    <w:p>
      <w:pPr>
        <w:spacing w:after="0" w:line="62"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Our bylaws contain a provision exempting from the Control Share Acquisition Act any and all acquisitions by any person of our shares of stock. There can be no assurance that such provision will not be amended or eliminated at any time in the future to the extent permitted by the 1940 Act.</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00"/>
          </w:cols>
          <w:pgMar w:left="240" w:top="459" w:right="25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Under Maryland law,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 a merger, consolidation, share exchange or, in circumstances specified in the statute, an asset transfer or issuance or reclassification of equity securities. An interested stockholder is defined as:</w:t>
      </w:r>
    </w:p>
    <w:p>
      <w:pPr>
        <w:spacing w:after="0" w:line="92" w:lineRule="exact"/>
        <w:rPr>
          <w:sz w:val="20"/>
          <w:szCs w:val="20"/>
          <w:color w:val="auto"/>
        </w:rPr>
      </w:pPr>
    </w:p>
    <w:p>
      <w:pPr>
        <w:ind w:left="900" w:hanging="325"/>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any person who beneficially owns 10% or more of the voting power of the corporation’s shares; or</w:t>
      </w:r>
    </w:p>
    <w:p>
      <w:pPr>
        <w:spacing w:after="0" w:line="90"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 affiliate or associate of the corporation who, at any time within the two-year period prior to the date in question, was the beneficial owner of 10% or more of the voting power of the then outstanding voting stock of the corporation.</w:t>
      </w:r>
    </w:p>
    <w:p>
      <w:pPr>
        <w:spacing w:after="0" w:line="170"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A person is not an interested stockholder under this statute if the board of directors approved in advance the transaction by which he otherwise would have become an interested stockholder. However, in approving a transaction, the board of directors may provide that its approval is subject to compliance, at or after the time of approval, with any terms and conditions determined by the board.</w:t>
      </w:r>
    </w:p>
    <w:p>
      <w:pPr>
        <w:spacing w:after="0" w:line="18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After the five-year prohibition, any business combination between the corporation and an interested stockholder generally must be recommended by the board of directors of the corporation and approved by the affirmative vote of at least:</w:t>
      </w:r>
    </w:p>
    <w:p>
      <w:pPr>
        <w:spacing w:after="0" w:line="76" w:lineRule="exact"/>
        <w:rPr>
          <w:sz w:val="20"/>
          <w:szCs w:val="20"/>
          <w:color w:val="auto"/>
        </w:rPr>
      </w:pPr>
    </w:p>
    <w:p>
      <w:pPr>
        <w:ind w:left="900" w:hanging="325"/>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80% of the votes entitled to be cast by holders of outstanding shares of voting stock of the corporation; and</w:t>
      </w:r>
    </w:p>
    <w:p>
      <w:pPr>
        <w:spacing w:after="0" w:line="130" w:lineRule="exact"/>
        <w:rPr>
          <w:rFonts w:ascii="Arial" w:cs="Arial" w:eastAsia="Arial" w:hAnsi="Arial"/>
          <w:sz w:val="18"/>
          <w:szCs w:val="18"/>
          <w:color w:val="auto"/>
        </w:rPr>
      </w:pPr>
    </w:p>
    <w:p>
      <w:pPr>
        <w:ind w:left="900" w:right="220" w:hanging="325"/>
        <w:spacing w:after="0" w:line="342" w:lineRule="auto"/>
        <w:tabs>
          <w:tab w:leader="none" w:pos="9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pacing w:after="0" w:line="124"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w:t>
      </w:r>
    </w:p>
    <w:p>
      <w:pPr>
        <w:spacing w:after="0" w:line="124"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statute permits various exemptions from its provisions, including business combinations that are exempted by the board of directors before the time that the interested stockholder becomes an interested stockholder. Our board of directors has adopted a resolution that any business combination between us and any other person is exempted from the provisions of the Business Combination Act, provided that the business combination is first approved by the board of directors, including a majority of the directors who are not interested persons as defined in the 1940 Act. This resolution, however, may be altered or repealed in whole or in part at any time. If this resolution is repealed, or the board of directors does not otherwise approve a business combination, the statute may discourage others from trying to acquire control of us and increase the difficulty of consummating any offer.</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Conflict with 1940 Act</w:t>
      </w:r>
    </w:p>
    <w:p>
      <w:pPr>
        <w:spacing w:after="0" w:line="117"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Our bylaws provide that, if and to the extent that any provision of the Maryland General Corporation Law, including the Control Share Acquisition Act (if we amend our bylaws to be subject to such Act) and the Business Combination Act, or any provision of our charter or bylaws conflicts with any provision of the 1940 Act, the applicable provision of the 1940 Act will control.</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460" w:right="2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OUR PREFERRED STOCK</w:t>
      </w:r>
    </w:p>
    <w:p>
      <w:pPr>
        <w:spacing w:after="0" w:line="22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charter authorizes our board of directors to classify and reclassify any unissued shares of stock into other classes or series of stock, including preferred stock. Prior to issuance of shares of each class or series, the board of directors is required by Maryland law and by our charter to set the terms, preferences, conversion or other rights, voting powers, restrictions, limitations as to dividends or other distributions, qualifications and terms or conditions of redemption for each class or series. Thus, the board of directors could authorize the issuance of shares of preferred stock with terms and conditions which could have the effect of delaying, deferring or preventing a transaction or a change in control that might involve a premium price for holders of our common stock or otherwise be in their best interest. You should note, however, that any issuance of preferred stock must comply with the requirements of the 1940 Act.</w:t>
      </w:r>
    </w:p>
    <w:p>
      <w:pPr>
        <w:spacing w:after="0" w:line="189"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The 1940 Act generally requires that (1) immediately after issuance and before any distribution is made with respect to our common stock and before any purchase of common stock is made, such preferred stock together with all other senior securities must not exceed an amount equal to 50% of our total assets less liabilities not represented by indebtedness, and (2) the holders of shares of preferred stock, if any are issued, must be entitled as a class to elect two directors at all times and to elect a majority of the directors if distributions on such preferred stock are in arrears by two years or more. Certain matters under the 1940 Act require the separate vote of the holders of any issued and outstanding preferred stock. For example, holders of preferred stock would vote separately from the holders of common stock on a proposal to cease operations as a BDC. We believe that the availability for issuance of preferred stock will provide us with increased flexibility in structuring future financings and acquisitions.</w:t>
      </w:r>
    </w:p>
    <w:p>
      <w:pPr>
        <w:spacing w:after="0" w:line="178"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For any series of preferred stock that we may issue, our board of directors will determine and the prospectus supplement relating to such series will describe:</w:t>
      </w:r>
    </w:p>
    <w:p>
      <w:pPr>
        <w:spacing w:after="0" w:line="76" w:lineRule="exact"/>
        <w:rPr>
          <w:sz w:val="20"/>
          <w:szCs w:val="20"/>
          <w:color w:val="auto"/>
        </w:rPr>
      </w:pPr>
    </w:p>
    <w:p>
      <w:pPr>
        <w:ind w:left="660" w:hanging="314"/>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designation and number of shares of such series;</w:t>
      </w:r>
    </w:p>
    <w:p>
      <w:pPr>
        <w:spacing w:after="0" w:line="130" w:lineRule="exact"/>
        <w:rPr>
          <w:rFonts w:ascii="Arial" w:cs="Arial" w:eastAsia="Arial" w:hAnsi="Arial"/>
          <w:sz w:val="18"/>
          <w:szCs w:val="18"/>
          <w:color w:val="auto"/>
        </w:rPr>
      </w:pPr>
    </w:p>
    <w:p>
      <w:pPr>
        <w:ind w:left="660" w:right="140" w:hanging="314"/>
        <w:spacing w:after="0" w:line="277" w:lineRule="auto"/>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rate and time at which, and the preferences and conditions under which, any dividends will be paid on shares of such series, as well as whether such dividends are cumulative or non-cumulative and participating or non-participating;</w:t>
      </w:r>
    </w:p>
    <w:p>
      <w:pPr>
        <w:spacing w:after="0" w:line="75" w:lineRule="exact"/>
        <w:rPr>
          <w:rFonts w:ascii="Arial" w:cs="Arial" w:eastAsia="Arial" w:hAnsi="Arial"/>
          <w:sz w:val="18"/>
          <w:szCs w:val="18"/>
          <w:color w:val="auto"/>
        </w:rPr>
      </w:pPr>
    </w:p>
    <w:p>
      <w:pPr>
        <w:ind w:left="660" w:hanging="314"/>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provisions relating to convertibility or exchangeability of the shares of such series;</w:t>
      </w:r>
    </w:p>
    <w:p>
      <w:pPr>
        <w:spacing w:after="0" w:line="130" w:lineRule="exact"/>
        <w:rPr>
          <w:rFonts w:ascii="Arial" w:cs="Arial" w:eastAsia="Arial" w:hAnsi="Arial"/>
          <w:sz w:val="18"/>
          <w:szCs w:val="18"/>
          <w:color w:val="auto"/>
        </w:rPr>
      </w:pPr>
    </w:p>
    <w:p>
      <w:pPr>
        <w:ind w:left="660" w:hanging="314"/>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rights and preferences, if any, of holders of shares of such series upon our liquidation, dissolution or winding up of our affairs;</w:t>
      </w:r>
    </w:p>
    <w:p>
      <w:pPr>
        <w:spacing w:after="0" w:line="130" w:lineRule="exact"/>
        <w:rPr>
          <w:rFonts w:ascii="Arial" w:cs="Arial" w:eastAsia="Arial" w:hAnsi="Arial"/>
          <w:sz w:val="18"/>
          <w:szCs w:val="18"/>
          <w:color w:val="auto"/>
        </w:rPr>
      </w:pPr>
    </w:p>
    <w:p>
      <w:pPr>
        <w:ind w:left="660" w:hanging="314"/>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voting powers, if any, of the holders of shares of such series;</w:t>
      </w:r>
    </w:p>
    <w:p>
      <w:pPr>
        <w:spacing w:after="0" w:line="130" w:lineRule="exact"/>
        <w:rPr>
          <w:rFonts w:ascii="Arial" w:cs="Arial" w:eastAsia="Arial" w:hAnsi="Arial"/>
          <w:sz w:val="18"/>
          <w:szCs w:val="18"/>
          <w:color w:val="auto"/>
        </w:rPr>
      </w:pPr>
    </w:p>
    <w:p>
      <w:pPr>
        <w:ind w:left="660" w:hanging="314"/>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provisions relating to the redemption of the shares of such series;</w:t>
      </w:r>
    </w:p>
    <w:p>
      <w:pPr>
        <w:spacing w:after="0" w:line="130" w:lineRule="exact"/>
        <w:rPr>
          <w:rFonts w:ascii="Arial" w:cs="Arial" w:eastAsia="Arial" w:hAnsi="Arial"/>
          <w:sz w:val="18"/>
          <w:szCs w:val="18"/>
          <w:color w:val="auto"/>
        </w:rPr>
      </w:pPr>
    </w:p>
    <w:p>
      <w:pPr>
        <w:ind w:left="660" w:right="560" w:hanging="314"/>
        <w:spacing w:after="0" w:line="277" w:lineRule="auto"/>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limitations on our ability to pay dividends or make distributions on, or acquire or redeem, other securities while shares of such series are outstanding;</w:t>
      </w:r>
    </w:p>
    <w:p>
      <w:pPr>
        <w:spacing w:after="0" w:line="75" w:lineRule="exact"/>
        <w:rPr>
          <w:rFonts w:ascii="Arial" w:cs="Arial" w:eastAsia="Arial" w:hAnsi="Arial"/>
          <w:sz w:val="18"/>
          <w:szCs w:val="18"/>
          <w:color w:val="auto"/>
        </w:rPr>
      </w:pPr>
    </w:p>
    <w:p>
      <w:pPr>
        <w:ind w:left="660" w:hanging="314"/>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conditions or restrictions on our ability to issue additional shares of such series or other securities;</w:t>
      </w:r>
    </w:p>
    <w:p>
      <w:pPr>
        <w:spacing w:after="0" w:line="130" w:lineRule="exact"/>
        <w:rPr>
          <w:rFonts w:ascii="Arial" w:cs="Arial" w:eastAsia="Arial" w:hAnsi="Arial"/>
          <w:sz w:val="18"/>
          <w:szCs w:val="18"/>
          <w:color w:val="auto"/>
        </w:rPr>
      </w:pPr>
    </w:p>
    <w:p>
      <w:pPr>
        <w:ind w:left="660" w:hanging="314"/>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130" w:lineRule="exact"/>
        <w:rPr>
          <w:rFonts w:ascii="Arial" w:cs="Arial" w:eastAsia="Arial" w:hAnsi="Arial"/>
          <w:sz w:val="18"/>
          <w:szCs w:val="18"/>
          <w:color w:val="auto"/>
        </w:rPr>
      </w:pPr>
    </w:p>
    <w:p>
      <w:pPr>
        <w:ind w:left="660" w:right="480" w:hanging="314"/>
        <w:spacing w:after="0" w:line="277" w:lineRule="auto"/>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other relative power, preferences and participating, optional or special rights of shares of such series, and the qualifications, limitations or restrictions thereof.</w:t>
      </w:r>
    </w:p>
    <w:p>
      <w:pPr>
        <w:spacing w:after="0" w:line="170"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All shares of preferred stock that we may issue will be identical and of equal rank except as to the particular terms thereof that may be fixed by our board of directors, and all shares of each series of preferred stock will be identical and of equal rank except as to the dates from which cumulative dividends, if any, thereon will be cumulative.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quarterly to weekly and are subject to extension. We expect the dividend rate to be variable and determined for each dividend period.</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360"/>
          </w:cols>
          <w:pgMar w:left="240" w:top="460" w:right="29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OUR WARRANTS</w:t>
      </w:r>
    </w:p>
    <w:p>
      <w:pPr>
        <w:spacing w:after="0" w:line="229"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following is a general description of the terms of the warrants we may issue from time to time. Particular terms of any warrants we offer will be described in the prospectus supplement relating to such warrants.</w:t>
      </w:r>
    </w:p>
    <w:p>
      <w:pPr>
        <w:spacing w:after="0" w:line="170"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We may issue warrants to purchase shares of our common stock, preferred stock or debt securities. Such warrants may be issued independently or together with shares of common or preferred stock or a specified principal amount of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prospectus supplement will describe the particular terms of any series of warrants we may issue, including the following:</w:t>
      </w:r>
    </w:p>
    <w:p>
      <w:pPr>
        <w:spacing w:after="0" w:line="131" w:lineRule="exact"/>
        <w:rPr>
          <w:sz w:val="20"/>
          <w:szCs w:val="20"/>
          <w:color w:val="auto"/>
        </w:rPr>
      </w:pPr>
    </w:p>
    <w:p>
      <w:pPr>
        <w:ind w:left="900" w:hanging="325"/>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price or prices at which such warrants will be issued;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currency or currencies, including composite currencies, in which the price of such warrants may be payable;</w:t>
      </w:r>
    </w:p>
    <w:p>
      <w:pPr>
        <w:spacing w:after="0" w:line="130" w:lineRule="exact"/>
        <w:rPr>
          <w:rFonts w:ascii="Arial" w:cs="Arial" w:eastAsia="Arial" w:hAnsi="Arial"/>
          <w:sz w:val="18"/>
          <w:szCs w:val="18"/>
          <w:color w:val="auto"/>
        </w:rPr>
      </w:pPr>
    </w:p>
    <w:p>
      <w:pPr>
        <w:ind w:left="900" w:right="320" w:hanging="325"/>
        <w:spacing w:after="0" w:line="277"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such security or each principal amount of such security;</w:t>
      </w:r>
    </w:p>
    <w:p>
      <w:pPr>
        <w:spacing w:after="0" w:line="75" w:lineRule="exact"/>
        <w:rPr>
          <w:rFonts w:ascii="Arial" w:cs="Arial" w:eastAsia="Arial" w:hAnsi="Arial"/>
          <w:sz w:val="18"/>
          <w:szCs w:val="18"/>
          <w:color w:val="auto"/>
        </w:rPr>
      </w:pPr>
    </w:p>
    <w:p>
      <w:pPr>
        <w:jc w:val="both"/>
        <w:ind w:left="900" w:hanging="325"/>
        <w:spacing w:after="0" w:line="264"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w:t>
      </w:r>
    </w:p>
    <w:p>
      <w:pPr>
        <w:spacing w:after="0" w:line="86" w:lineRule="exact"/>
        <w:rPr>
          <w:rFonts w:ascii="Arial" w:cs="Arial" w:eastAsia="Arial" w:hAnsi="Arial"/>
          <w:sz w:val="18"/>
          <w:szCs w:val="18"/>
          <w:color w:val="auto"/>
        </w:rPr>
      </w:pPr>
    </w:p>
    <w:p>
      <w:pPr>
        <w:ind w:left="900" w:right="160" w:hanging="325"/>
        <w:spacing w:after="0" w:line="264"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will commence and the date on which such right will expire;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whether such warrants will be issued in registered form or bearer form;</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which may be exercised at any one time;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if applicable, the date on and after which such warrants and the related securities will be separately transferable;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warrants;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8"/>
        </w:numPr>
        <w:rPr>
          <w:rFonts w:ascii="Arial" w:cs="Arial" w:eastAsia="Arial" w:hAnsi="Arial"/>
          <w:sz w:val="17"/>
          <w:szCs w:val="17"/>
          <w:color w:val="auto"/>
        </w:rPr>
      </w:pPr>
      <w:r>
        <w:rPr>
          <w:rFonts w:ascii="Arial" w:cs="Arial" w:eastAsia="Arial" w:hAnsi="Arial"/>
          <w:sz w:val="17"/>
          <w:szCs w:val="17"/>
          <w:color w:val="auto"/>
        </w:rPr>
        <w:t>any other terms of such warrants, including terms, procedures and limitations relating to the exchange and exercise of such warrants.</w:t>
      </w:r>
    </w:p>
    <w:p>
      <w:pPr>
        <w:spacing w:after="0" w:line="23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We and the warrant agent may amend or supplement the warrant agreement for a series of warrants without the consent of the holders of the warrants issued thereunder to effect changes that are not inconsistent with the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00"/>
          </w:cols>
          <w:pgMar w:left="240" w:top="459" w:right="2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provisions of the warrants and that do not materially and adversely affect the interests of the holders of the warrants.</w:t>
      </w:r>
    </w:p>
    <w:p>
      <w:pPr>
        <w:spacing w:after="0" w:line="225" w:lineRule="exact"/>
        <w:rPr>
          <w:sz w:val="20"/>
          <w:szCs w:val="20"/>
          <w:color w:val="auto"/>
        </w:rPr>
      </w:pPr>
    </w:p>
    <w:p>
      <w:pPr>
        <w:ind w:right="260" w:firstLine="456"/>
        <w:spacing w:after="0" w:line="302" w:lineRule="auto"/>
        <w:rPr>
          <w:sz w:val="20"/>
          <w:szCs w:val="20"/>
          <w:color w:val="auto"/>
        </w:rPr>
      </w:pPr>
      <w:r>
        <w:rPr>
          <w:rFonts w:ascii="Arial" w:cs="Arial" w:eastAsia="Arial" w:hAnsi="Arial"/>
          <w:sz w:val="16"/>
          <w:szCs w:val="16"/>
          <w:color w:val="auto"/>
        </w:rPr>
        <w:t>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w:t>
      </w:r>
    </w:p>
    <w:p>
      <w:pPr>
        <w:spacing w:after="0" w:line="154"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Under the 1940 Act, we may generally only offer warrants provided that (1) the warrants expire by their terms within ten years, (2) the exercise price is not less than the market value of our common stock at the date of issuance, (3) the exercise price is not less than the then current NAV per share of our common stock (unless the requirements of Section 63 of the 1940 Act are met), (4) our stockholders authorize the proposal to issue such warrants, and our board of directors approves such issuance on the basis that the issuance is in the best interests of us and our stockholders and (5)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at the time of issuance may not exceed 25% of our outstanding voting securities.</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360"/>
          </w:cols>
          <w:pgMar w:left="240" w:top="460" w:right="29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SUBSCRIPTION RIGHTS</w:t>
      </w:r>
    </w:p>
    <w:p>
      <w:pPr>
        <w:spacing w:after="0" w:line="229"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may issue subscription rights to purchase common stock. Subscription rights may be issued independently or together with any other offered security and may or may not be transferable by the person purchasing or receiving the subscription rights. In connection with any subscription rights offering to our stockholders, we may enter into a standby underwriting or other arrangement with one or more underwriters or other persons pursuant to which such underwriters or other persons would purchase any offered securities remaining unsubscribed for after such subscription rights offering.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applicable prospectus supplement would describe the following terms of subscription rights in respect of which this prospectus is being delivered:</w:t>
      </w:r>
    </w:p>
    <w:p>
      <w:pPr>
        <w:spacing w:after="0" w:line="154" w:lineRule="exact"/>
        <w:rPr>
          <w:sz w:val="20"/>
          <w:szCs w:val="20"/>
          <w:color w:val="auto"/>
        </w:rPr>
      </w:pPr>
    </w:p>
    <w:p>
      <w:pPr>
        <w:ind w:left="900" w:hanging="325"/>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title of such subscription rights;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exercise price or a formula for the determination of the exercise price for such subscription rights;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number or a formula for the determination of the number of such subscription rights issued to each stockholder;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extent to which such subscription rights are transferable;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9"/>
        </w:numPr>
        <w:rPr>
          <w:rFonts w:ascii="Arial" w:cs="Arial" w:eastAsia="Arial" w:hAnsi="Arial"/>
          <w:sz w:val="16"/>
          <w:szCs w:val="16"/>
          <w:color w:val="auto"/>
        </w:rPr>
      </w:pPr>
      <w:r>
        <w:rPr>
          <w:rFonts w:ascii="Arial" w:cs="Arial" w:eastAsia="Arial" w:hAnsi="Arial"/>
          <w:sz w:val="16"/>
          <w:szCs w:val="16"/>
          <w:color w:val="auto"/>
        </w:rPr>
        <w:t>if applicable, a discussion of the material U.S. federal income tax considerations applicable to the issuance or exercise of such subscription rights;</w:t>
      </w:r>
    </w:p>
    <w:p>
      <w:pPr>
        <w:spacing w:after="0" w:line="153" w:lineRule="exact"/>
        <w:rPr>
          <w:rFonts w:ascii="Arial" w:cs="Arial" w:eastAsia="Arial" w:hAnsi="Arial"/>
          <w:sz w:val="16"/>
          <w:szCs w:val="16"/>
          <w:color w:val="auto"/>
        </w:rPr>
      </w:pPr>
    </w:p>
    <w:p>
      <w:pPr>
        <w:ind w:left="900" w:right="260" w:hanging="325"/>
        <w:spacing w:after="0" w:line="277"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date on which the right to exercise such subscription rights would commence, and the date on which such rights will expire (subject to any extension);</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extent to which such subscription rights include an over-subscription privilege with respect to unsubscribed securities;</w:t>
      </w:r>
    </w:p>
    <w:p>
      <w:pPr>
        <w:spacing w:after="0" w:line="130" w:lineRule="exact"/>
        <w:rPr>
          <w:rFonts w:ascii="Arial" w:cs="Arial" w:eastAsia="Arial" w:hAnsi="Arial"/>
          <w:sz w:val="18"/>
          <w:szCs w:val="18"/>
          <w:color w:val="auto"/>
        </w:rPr>
      </w:pPr>
    </w:p>
    <w:p>
      <w:pPr>
        <w:ind w:left="900" w:right="600" w:hanging="325"/>
        <w:spacing w:after="0" w:line="277"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if applicable, the material terms of any standby underwriting or other purchase arrangement that we may enter into in connection with the subscription rights offering; and</w:t>
      </w:r>
    </w:p>
    <w:p>
      <w:pPr>
        <w:spacing w:after="0" w:line="75"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any other terms of such subscription rights, including terms, procedures and limitations relating to the exchange and exercise of such subscription rights.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Subscription Rights</w:t>
      </w:r>
    </w:p>
    <w:p>
      <w:pPr>
        <w:spacing w:after="0" w:line="12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Each subscription right would entitle the holder of the subscription right to purchase for cash such amount of shares of common stock or other securities at such exercise price as will in each case be set forth in, or be determinable as set forth in, the prospectus supplement relating to the subscription rights offered thereby or another report filed with the SEC. Subscription rights may be exercised at any time up to the close of business on the expiration date for such subscription rights set forth in the applicable prospectus supplement. After the close of business on the expiration date, all unexercised subscription rights would become void.</w:t>
      </w:r>
    </w:p>
    <w:p>
      <w:pPr>
        <w:spacing w:after="0" w:line="188"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or other securities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00"/>
          </w:cols>
          <w:pgMar w:left="240" w:top="459" w:right="25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purchasable upon such exercise. We may determine to offer any unsubscribed offered securities directly to stockholders, persons other than stockholders, to or through agents, underwriters or dealers or through a combination of such methods, including pursuant to standby underwriting or other arrangements, as set forth in the applicable prospectus supplement.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459" w:right="2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OUR DEBT SECURITIES</w:t>
      </w:r>
    </w:p>
    <w:p>
      <w:pPr>
        <w:spacing w:after="0" w:line="229"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For the fiscal year ended September 30, 2013, we issued $71.3 million in aggregate principal amount of 2025 Notes for net proceeds of $68.8 million after underwriting discounts and offering costs. Interest on the 2025 Notes is paid quarterly on February 1, May 1, August 1 and November 1, at a rate of</w:t>
      </w:r>
    </w:p>
    <w:p>
      <w:pPr>
        <w:spacing w:after="0" w:line="254" w:lineRule="auto"/>
        <w:rPr>
          <w:sz w:val="20"/>
          <w:szCs w:val="20"/>
          <w:color w:val="auto"/>
        </w:rPr>
      </w:pPr>
      <w:r>
        <w:rPr>
          <w:rFonts w:ascii="Arial" w:cs="Arial" w:eastAsia="Arial" w:hAnsi="Arial"/>
          <w:sz w:val="18"/>
          <w:szCs w:val="18"/>
          <w:color w:val="auto"/>
        </w:rPr>
        <w:t>6.25% per year, commencing on May 1, 2013. The 2025 Notes mature on February 1, 2025. We may redeem the 2025 Notes in whole or in part at any time or from time to time on or after February 1, 2016. The 2025 Notes are our general, unsecured obligations and rank equal in right of payment with all of our existing and future senior unsecured indebtedness. The 2025 Notes are quoted on the NYSE under the ticker symbol “PNTA.” The last reported closing market price of the 2025 Notes on December 6, 2013 was $23.93 per $25 of par.</w:t>
      </w:r>
    </w:p>
    <w:p>
      <w:pPr>
        <w:spacing w:after="0" w:line="190"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We may issue additional debt securities in one or more series. The specific terms of each additional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spacing w:after="0" w:line="187"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As required by federal law for all bonds and notes of companies that are publicly offered, the debt securities are governed by a document called an “indenture.” An indenture is a contract between us and a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see “Description of our Debt Securities—Events of Default” for more information. Second, the trustee performs certain administrative duties for us, such as sending interest and principal payments to holders.</w:t>
      </w:r>
    </w:p>
    <w:p>
      <w:pPr>
        <w:spacing w:after="0" w:line="17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Because this section is a summary, it does not describe every aspect of the debt securities and the indenture. We urge you to read the indenture because it, and not this description, defines your rights as a holder of debt securities. For example, in this section, we use capitalized words to signify terms that are specifically defined in the indenture. Some of the definitions are repeated in this prospectus, but for the rest, you will need to read the indenture. We have filed the indenture with the SEC.</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prospectus supplement, which will accompany this prospectus, will describe the particular series of debt securities being offered by including:</w:t>
      </w:r>
    </w:p>
    <w:p>
      <w:pPr>
        <w:spacing w:after="0" w:line="142" w:lineRule="exact"/>
        <w:rPr>
          <w:sz w:val="20"/>
          <w:szCs w:val="20"/>
          <w:color w:val="auto"/>
        </w:rPr>
      </w:pPr>
    </w:p>
    <w:p>
      <w:pPr>
        <w:ind w:left="900" w:hanging="325"/>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designation or title of the series of debt securities;</w:t>
      </w:r>
    </w:p>
    <w:p>
      <w:pPr>
        <w:spacing w:after="0" w:line="130"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total principal amount of the series of debt securities and whether or not the offering may be reopened for additional securities of that series and on what terms;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percentage of the principal amount at which the series of debt securities will be offered;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date or dates on which principal will be payable;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rate or rates (which may be either fixed or variable) and/or the method of determining such rate or rates of interest, if any;</w:t>
      </w:r>
    </w:p>
    <w:p>
      <w:pPr>
        <w:spacing w:after="0" w:line="130"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date or dates from which any interest will accrue, or the method of determining such date or dates, and the date or dates on which any interest will be payable;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terms for redemption, extension or early repayment, if any;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currencies in which the series of debt securities are issued and payable;</w:t>
      </w:r>
    </w:p>
    <w:p>
      <w:pPr>
        <w:spacing w:after="0" w:line="130" w:lineRule="exact"/>
        <w:rPr>
          <w:rFonts w:ascii="Arial" w:cs="Arial" w:eastAsia="Arial" w:hAnsi="Arial"/>
          <w:sz w:val="18"/>
          <w:szCs w:val="18"/>
          <w:color w:val="auto"/>
        </w:rPr>
      </w:pPr>
    </w:p>
    <w:p>
      <w:pPr>
        <w:jc w:val="both"/>
        <w:ind w:left="900" w:right="240" w:hanging="325"/>
        <w:spacing w:after="0" w:line="264"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00"/>
          </w:cols>
          <w:pgMar w:left="240" w:top="460" w:right="25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480" w:hanging="325"/>
        <w:spacing w:after="0" w:line="277"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place or places, if any, other than or in addition to The City of New York, of payment, transfer, conversion and/or exchange of the debt securities;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denominations in which the offered debt securities will be issued;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provision for any sinking fund;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any restrictive covenants;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any Events of Default;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whether the series of debt securities are issuable in certificated form;</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any provisions for defeasance or covenant defeasance;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7"/>
          <w:szCs w:val="17"/>
          <w:color w:val="auto"/>
        </w:rPr>
      </w:pPr>
      <w:r>
        <w:rPr>
          <w:rFonts w:ascii="Arial" w:cs="Arial" w:eastAsia="Arial" w:hAnsi="Arial"/>
          <w:sz w:val="17"/>
          <w:szCs w:val="17"/>
          <w:color w:val="auto"/>
        </w:rPr>
        <w:t>any special federal income tax implications, including, if applicable, federal income tax considerations relating to original issue discount;</w:t>
      </w:r>
    </w:p>
    <w:p>
      <w:pPr>
        <w:spacing w:after="0" w:line="142" w:lineRule="exact"/>
        <w:rPr>
          <w:rFonts w:ascii="Arial" w:cs="Arial" w:eastAsia="Arial" w:hAnsi="Arial"/>
          <w:sz w:val="17"/>
          <w:szCs w:val="17"/>
          <w:color w:val="auto"/>
        </w:rPr>
      </w:pPr>
    </w:p>
    <w:p>
      <w:pPr>
        <w:ind w:left="900" w:right="440" w:hanging="325"/>
        <w:spacing w:after="0" w:line="342" w:lineRule="auto"/>
        <w:tabs>
          <w:tab w:leader="none" w:pos="900" w:val="left"/>
        </w:tabs>
        <w:numPr>
          <w:ilvl w:val="0"/>
          <w:numId w:val="91"/>
        </w:numPr>
        <w:rPr>
          <w:rFonts w:ascii="Arial" w:cs="Arial" w:eastAsia="Arial" w:hAnsi="Arial"/>
          <w:sz w:val="16"/>
          <w:szCs w:val="16"/>
          <w:color w:val="auto"/>
        </w:rPr>
      </w:pPr>
      <w:r>
        <w:rPr>
          <w:rFonts w:ascii="Arial" w:cs="Arial" w:eastAsia="Arial" w:hAnsi="Arial"/>
          <w:sz w:val="16"/>
          <w:szCs w:val="16"/>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any provisions for convertibility or exchangeability of the debt securities into or for any other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whether the debt securities are subject to subordination and the terms of such subordination;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listing, if any, on a securities exchange;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any other terms.</w:t>
      </w:r>
    </w:p>
    <w:p>
      <w:pPr>
        <w:spacing w:after="0" w:line="22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debt securities may be secured or unsecured obligations. Under the provisions of the 1940 Act, we are permitted, as a BDC, to issue debt only in amounts such that we are in compliance with our asset coverage, as defined in the 1940 Act, excluding the SBA debentures due to SEC exemptive relief granted in June 2011. Unless the prospectus supplement states otherwise, principal (and premium, if any) and interest, if any, will be paid by us in immediately available funds.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right="420" w:firstLine="456"/>
        <w:spacing w:after="0" w:line="264" w:lineRule="auto"/>
        <w:rPr>
          <w:sz w:val="20"/>
          <w:szCs w:val="20"/>
          <w:color w:val="auto"/>
        </w:rPr>
      </w:pPr>
      <w:r>
        <w:rPr>
          <w:rFonts w:ascii="Arial" w:cs="Arial" w:eastAsia="Arial" w:hAnsi="Arial"/>
          <w:sz w:val="18"/>
          <w:szCs w:val="18"/>
          <w:color w:val="auto"/>
        </w:rPr>
        <w:t>The indenture provides that any debt securities proposed to be sold under this prospectus and the attached prospectus supplement, or offered debt securities, and any debt securities issuable upon the exercise of warrants or upon conversion or exchange of other offered securities, or underlying debt securities may be issued under the indenture in one or more series.</w:t>
      </w:r>
    </w:p>
    <w:p>
      <w:pPr>
        <w:spacing w:after="0" w:line="18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For purposes of this prospectus, any reference to the payment of principal of, or premium or interest, if any, on, debt securities will include additional amounts if required by the terms of the debt securities.</w:t>
      </w:r>
    </w:p>
    <w:p>
      <w:pPr>
        <w:spacing w:after="0" w:line="170"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indenture limits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“Description of our Debt Securities-Resignation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1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340"/>
          </w:cols>
          <w:pgMar w:left="240" w:top="460" w:right="31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indenture does not contain any provisions that give you protection in the event we issue a large amount of debt or we are acquired by another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entity.</w:t>
      </w:r>
    </w:p>
    <w:p>
      <w:pPr>
        <w:spacing w:after="0" w:line="211" w:lineRule="exact"/>
        <w:rPr>
          <w:sz w:val="20"/>
          <w:szCs w:val="20"/>
          <w:color w:val="auto"/>
        </w:rPr>
      </w:pPr>
    </w:p>
    <w:p>
      <w:pPr>
        <w:ind w:right="100" w:firstLine="456"/>
        <w:spacing w:after="0" w:line="308" w:lineRule="auto"/>
        <w:rPr>
          <w:sz w:val="20"/>
          <w:szCs w:val="20"/>
          <w:color w:val="auto"/>
        </w:rPr>
      </w:pPr>
      <w:r>
        <w:rPr>
          <w:rFonts w:ascii="Arial" w:cs="Arial" w:eastAsia="Arial" w:hAnsi="Arial"/>
          <w:sz w:val="17"/>
          <w:szCs w:val="17"/>
          <w:color w:val="auto"/>
        </w:rPr>
        <w:t>We refer you to the prospectus supplement for information with respect to any deletions from, modifications of or additions to the Events of Default or our covenants that are described below, including any addition of a covenant or other provision providing event risk or similar protection.</w:t>
      </w:r>
    </w:p>
    <w:p>
      <w:pPr>
        <w:spacing w:after="0" w:line="14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If any debt securities are convertible into shares of our common stock, the exercise price for such conversion will not be less than the NAV per share at the time of issuance of such debt securities (unless the majority of our board of directors determines that a lower exercise price is in the best interests of us and our stockholders, a majority of our stockholders (including stockholders who are not affiliated persons of us) have approved an issuance of common stock below the then current NAV per share in the 12 months preceding the issuance and the exercise price closely approximates the market value of our common stock at the time the debt securities are issued).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and Exchange</w:t>
      </w:r>
    </w:p>
    <w:p>
      <w:pPr>
        <w:spacing w:after="0" w:line="12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Securities in Registered Form</w:t>
      </w:r>
    </w:p>
    <w:p>
      <w:pPr>
        <w:spacing w:after="0" w:line="12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We may issue the debt securities in registered form, in which case we may issue them either in book-entry form only or in “certificated” form. Debt securities issued in book-entry form will be represented by global securities. We expect that we will issue debt securities in book-entry only form represented by global securities.</w:t>
      </w:r>
    </w:p>
    <w:p>
      <w:pPr>
        <w:spacing w:after="0" w:line="154"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We also will have the option of issuing debt securities in non-registered form as bearer securities if we issue the securities outside the United States to non-U.S. persons. In that case, the prospectus supplement will set forth the mechanics for holding the bearer securities, including the procedures for receiving payments, for exchanging the bearer securities, including the procedures for receiving payments, for exchanging the bearer securities for registered securities of the same series, and for receiving notices. The prospectus supplement will also describe the requirements with respect to our maintenance of offices or agencies outside the United States and the applicable U.S. federal tax law requirements.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Book-Entry Holders</w:t>
      </w:r>
    </w:p>
    <w:p>
      <w:pPr>
        <w:spacing w:after="0" w:line="117" w:lineRule="exact"/>
        <w:rPr>
          <w:sz w:val="20"/>
          <w:szCs w:val="20"/>
          <w:color w:val="auto"/>
        </w:rPr>
      </w:pPr>
    </w:p>
    <w:p>
      <w:pPr>
        <w:jc w:val="both"/>
        <w:ind w:right="40" w:firstLine="456"/>
        <w:spacing w:after="0" w:line="279" w:lineRule="auto"/>
        <w:rPr>
          <w:sz w:val="20"/>
          <w:szCs w:val="20"/>
          <w:color w:val="auto"/>
        </w:rPr>
      </w:pPr>
      <w:r>
        <w:rPr>
          <w:rFonts w:ascii="Arial" w:cs="Arial" w:eastAsia="Arial" w:hAnsi="Arial"/>
          <w:sz w:val="17"/>
          <w:szCs w:val="17"/>
          <w:color w:val="auto"/>
        </w:rPr>
        <w:t>We will issue registered debt securities in book-entry form only, unless we specify otherwise in the applicable prospectus supplement. This means debt securities will be represented by one or more global securities registered in the name of a depositary that will hold them on behalf of financial institutions that participate in the depositary’s book-entry system. These participating institutions, in turn, hold beneficial interests in the debt securities held by the depositary or its nominee. These institutions may hold these interests on behalf of themselves or customers.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460" w:right="2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Under the indenture, only the person in whose name a debt security is registered is recognized as the holder of that debt security. Consequently, for debt securities issued in book-entry form, we will recognize only the depositary as the holder of the debt securities and we will make all payments on the debt securities to the depositary. The depositary will then pass along the payments it receives to its participants, which in turn will pass the payments along to their customers who are the beneficial owners. The depositary and its participants do so under agreements they have made with one another or with their customers; they are not obligated to do so under the terms of the debt securities.</w:t>
      </w:r>
    </w:p>
    <w:p>
      <w:pPr>
        <w:spacing w:after="0" w:line="188" w:lineRule="exact"/>
        <w:rPr>
          <w:sz w:val="20"/>
          <w:szCs w:val="20"/>
          <w:color w:val="auto"/>
        </w:rPr>
      </w:pPr>
    </w:p>
    <w:p>
      <w:pPr>
        <w:ind w:right="220" w:firstLine="456"/>
        <w:spacing w:after="0" w:line="286" w:lineRule="auto"/>
        <w:rPr>
          <w:sz w:val="20"/>
          <w:szCs w:val="20"/>
          <w:color w:val="auto"/>
        </w:rPr>
      </w:pPr>
      <w:r>
        <w:rPr>
          <w:rFonts w:ascii="Arial" w:cs="Arial" w:eastAsia="Arial" w:hAnsi="Arial"/>
          <w:sz w:val="17"/>
          <w:szCs w:val="17"/>
          <w:color w:val="auto"/>
        </w:rPr>
        <w:t>As a result, investors will not own debt securities directly. Instead, they will own beneficial interests in a global security, through a bank, broker or other financial institution that participates in the depositary’s book-entry system or holds an interest through a participant. As long as the debt securities are represented by one or more global securities, investors will be indirect holders, and not holders, of the debt securities.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Street Name Holders</w:t>
      </w:r>
    </w:p>
    <w:p>
      <w:pPr>
        <w:spacing w:after="0" w:line="117"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In the future, we may issue debt securities in certificated form or terminate a global security. In these cases, investors may choose to hold their debt securities in their own names or in “street name.” Debt securities held in street name are registered in the name of a bank, broker or other financial institution chosen by the investor, and the investor holds a beneficial interest in those debt securities through the account he or she maintains at that institution.</w:t>
      </w:r>
    </w:p>
    <w:p>
      <w:pPr>
        <w:spacing w:after="0" w:line="147"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For debt securities held in street name, we will recognize only the intermediary banks, brokers and other financial institutions in whose names the debt securities are registered as the holders of those debt securities, and we will make all payments on those debt securities to them. These institutions will pass along the payments they receive to their customers who are the beneficial owners, but only because they agree to do so in their customer agreements or because they are legally required to do so. Investors who hold debt securities in street name will be indirect holders, and not holders, of the debt securities.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Holders</w:t>
      </w:r>
    </w:p>
    <w:p>
      <w:pPr>
        <w:spacing w:after="0" w:line="11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Our obligations, as well as the obligations of the applicable trustee and those of any third parties employed by us or the applicable trustee, run only to the legal holders of the debt securities. We do not have obligations to investors who hold beneficial interests in global securities, in street name or by any other indirect means. This will be the case whether an investor chooses to be an indirect holder of a debt security or has no choice because we are issuing the debt securities only in book-entry form.</w:t>
      </w:r>
    </w:p>
    <w:p>
      <w:pPr>
        <w:spacing w:after="0" w:line="18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if we want to obtain the approval of the holders for any purpose (for example, to amend an indenture or to relieve us of the consequences of a default or of our obligation to comply with a particular provision of an indenture), we would seek the approval only from the holders, and not the indirect holders, of the debt securities. Whether and how the holders contact the indirect holders is up to the holders.</w:t>
      </w:r>
    </w:p>
    <w:p>
      <w:pPr>
        <w:spacing w:after="0" w:line="188"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When we refer to you, we mean those who invest in the debt securities being offered by this prospectus, whether they are the holders or only indirect holders of those debt securities. When we refer to your debt securities, we mean the debt securities in which you hold a direct or indirect interest.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Considerations for Indirect Holders</w:t>
      </w:r>
    </w:p>
    <w:p>
      <w:pPr>
        <w:spacing w:after="0" w:line="11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If you hold debt securities through a bank, broker or other financial institution, either in book-entry form or in street name, we urge you to check with that institution to find out:</w:t>
      </w:r>
    </w:p>
    <w:p>
      <w:pPr>
        <w:spacing w:after="0" w:line="76" w:lineRule="exact"/>
        <w:rPr>
          <w:sz w:val="20"/>
          <w:szCs w:val="20"/>
          <w:color w:val="auto"/>
        </w:rPr>
      </w:pPr>
    </w:p>
    <w:p>
      <w:pPr>
        <w:ind w:left="900" w:hanging="325"/>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how it handles securities payments and notices;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00"/>
          </w:cols>
          <w:pgMar w:left="240" w:top="459" w:right="25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whether it imposes fees or charges;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how it would handle a request for the holders’ consent, if ever required;</w:t>
      </w:r>
    </w:p>
    <w:p>
      <w:pPr>
        <w:spacing w:after="0" w:line="130" w:lineRule="exact"/>
        <w:rPr>
          <w:rFonts w:ascii="Arial" w:cs="Arial" w:eastAsia="Arial" w:hAnsi="Arial"/>
          <w:sz w:val="18"/>
          <w:szCs w:val="18"/>
          <w:color w:val="auto"/>
        </w:rPr>
      </w:pPr>
    </w:p>
    <w:p>
      <w:pPr>
        <w:ind w:left="900" w:right="320" w:hanging="325"/>
        <w:spacing w:after="0" w:line="277"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whether and how you can instruct it to send you debt securities registered in your own name so you can be a holder, if that is permitted in the future for a particular series of debt securities;</w:t>
      </w:r>
    </w:p>
    <w:p>
      <w:pPr>
        <w:spacing w:after="0" w:line="75"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how it would exercise rights under the debt securities if there were a default or other event triggering the need for holders to act to protect their interests;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if the debt securities are in book-entry form, how the depositary’s rules and procedures will affect these matters.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right="260" w:firstLine="456"/>
        <w:spacing w:after="0" w:line="308" w:lineRule="auto"/>
        <w:rPr>
          <w:sz w:val="20"/>
          <w:szCs w:val="20"/>
          <w:color w:val="auto"/>
        </w:rPr>
      </w:pPr>
      <w:r>
        <w:rPr>
          <w:rFonts w:ascii="Arial" w:cs="Arial" w:eastAsia="Arial" w:hAnsi="Arial"/>
          <w:sz w:val="17"/>
          <w:szCs w:val="17"/>
          <w:color w:val="auto"/>
        </w:rPr>
        <w:t>As noted above, we expect that we will issue debt securities as registered securities in book-entry form only. A global security represents one or any other number of individual debt securities. Generally, all debt securities represented by the same global securities will have the same terms.</w:t>
      </w:r>
    </w:p>
    <w:p>
      <w:pPr>
        <w:spacing w:after="0" w:line="14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Each debt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debt securities issued in book-entry form.</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 global security may not be transferred to or registered in the name of anyone other than the depositary or its nominee, unless special termination situations arise. We describe those situations below under “Description of our Debt Securities—Global Securities—Special Situations when a Global Security Will Be Terminated.” As a result of these arrangements, the depositary, or its nominee, will be the sole registered owner and holder of all debt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has an account with the depositary. Thus, an investor whose security is represented by a global security will not be a holder of the debt security, but only an indirect holder of a beneficial interest in the global security.</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Considerations for Global Securities</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As an indirect holder, an investor’s rights relating to a global security will be governed by the account rules of the investor’s financial institution and of the depositary, as well as general laws relating to securities transfers. The depositary that holds the global security will be considered the holder of the debt securities represented by the global security.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debt securities are issued only in the form of a global security, an investor should be aware of the following:</w:t>
      </w:r>
    </w:p>
    <w:p>
      <w:pPr>
        <w:spacing w:after="0" w:line="131" w:lineRule="exact"/>
        <w:rPr>
          <w:sz w:val="20"/>
          <w:szCs w:val="20"/>
          <w:color w:val="auto"/>
        </w:rPr>
      </w:pPr>
    </w:p>
    <w:p>
      <w:pPr>
        <w:ind w:left="900" w:right="360" w:hanging="325"/>
        <w:spacing w:after="0" w:line="277" w:lineRule="auto"/>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 investor cannot cause the debt securities to be registered in his or her name and cannot obtain certificates for his or her interest in the debt securities, except in the special situations we describe below;</w:t>
      </w:r>
    </w:p>
    <w:p>
      <w:pPr>
        <w:spacing w:after="0" w:line="75" w:lineRule="exact"/>
        <w:rPr>
          <w:rFonts w:ascii="Arial" w:cs="Arial" w:eastAsia="Arial" w:hAnsi="Arial"/>
          <w:sz w:val="18"/>
          <w:szCs w:val="18"/>
          <w:color w:val="auto"/>
        </w:rPr>
      </w:pPr>
    </w:p>
    <w:p>
      <w:pPr>
        <w:ind w:left="900" w:right="120" w:hanging="325"/>
        <w:spacing w:after="0" w:line="264" w:lineRule="auto"/>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 investor will be an indirect holder and must look to his or her own bank or broker for payments on the debt securities and protection of his or her legal rights relating to the debt securities, as we describe under “Description of our Debt Securities—Issuance of Securities in Registered Form” above;</w:t>
      </w:r>
    </w:p>
    <w:p>
      <w:pPr>
        <w:spacing w:after="0" w:line="86"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 investor may not be able to sell interests in the debt securities to some insurance companies and other institutions that are required by law to own their securities in non-book-entry form;</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380"/>
          </w:cols>
          <w:pgMar w:left="240" w:top="459" w:right="27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20" w:hanging="325"/>
        <w:spacing w:after="0" w:line="277" w:lineRule="auto"/>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 investor may not be able to pledge his or her interest in a global security in circumstances where certificates representing the debt securities must be delivered to the lender or other beneficiary of the pledge in order for the pledge to be effective;</w:t>
      </w:r>
    </w:p>
    <w:p>
      <w:pPr>
        <w:spacing w:after="0" w:line="75" w:lineRule="exact"/>
        <w:rPr>
          <w:rFonts w:ascii="Arial" w:cs="Arial" w:eastAsia="Arial" w:hAnsi="Arial"/>
          <w:sz w:val="18"/>
          <w:szCs w:val="18"/>
          <w:color w:val="auto"/>
        </w:rPr>
      </w:pPr>
    </w:p>
    <w:p>
      <w:pPr>
        <w:ind w:left="900" w:right="320" w:hanging="325"/>
        <w:spacing w:after="0" w:line="286" w:lineRule="auto"/>
        <w:tabs>
          <w:tab w:leader="none" w:pos="90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depositary’s policies, which may change from time to time, will govern payments, transfers, exchanges and other matters relating to an investor’s interest in a global security. We and the trustee have no responsibility for any aspect of the depositary’s actions or for its records of ownership interests in a global security. We and the trustee also do not supervise the depositary in any way;</w:t>
      </w:r>
    </w:p>
    <w:p>
      <w:pPr>
        <w:spacing w:after="0" w:line="70" w:lineRule="exact"/>
        <w:rPr>
          <w:rFonts w:ascii="Arial" w:cs="Arial" w:eastAsia="Arial" w:hAnsi="Arial"/>
          <w:sz w:val="17"/>
          <w:szCs w:val="17"/>
          <w:color w:val="auto"/>
        </w:rPr>
      </w:pPr>
    </w:p>
    <w:p>
      <w:pPr>
        <w:ind w:left="900" w:right="600" w:hanging="325"/>
        <w:spacing w:after="0" w:line="277" w:lineRule="auto"/>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if we redeem less than all the debt securities of a particular series being redeemed, DTC’s practice is to determine by lot the amount to be redeemed from each of its participants holding that series;</w:t>
      </w:r>
    </w:p>
    <w:p>
      <w:pPr>
        <w:spacing w:after="0" w:line="75" w:lineRule="exact"/>
        <w:rPr>
          <w:rFonts w:ascii="Arial" w:cs="Arial" w:eastAsia="Arial" w:hAnsi="Arial"/>
          <w:sz w:val="18"/>
          <w:szCs w:val="18"/>
          <w:color w:val="auto"/>
        </w:rPr>
      </w:pPr>
    </w:p>
    <w:p>
      <w:pPr>
        <w:ind w:left="900" w:right="120" w:hanging="325"/>
        <w:spacing w:after="0" w:line="264" w:lineRule="auto"/>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 investor is required to give notice of exercise of any option to elect repayment of its debt securities, through its participant, to the applicable trustee and to deliver the related debt securities by causing its participant to transfer its interest in those debt securities, on DTC’s records, to the applicable trustee;</w:t>
      </w:r>
    </w:p>
    <w:p>
      <w:pPr>
        <w:spacing w:after="0" w:line="86" w:lineRule="exact"/>
        <w:rPr>
          <w:rFonts w:ascii="Arial" w:cs="Arial" w:eastAsia="Arial" w:hAnsi="Arial"/>
          <w:sz w:val="18"/>
          <w:szCs w:val="18"/>
          <w:color w:val="auto"/>
        </w:rPr>
      </w:pPr>
    </w:p>
    <w:p>
      <w:pPr>
        <w:ind w:left="900" w:right="120" w:hanging="325"/>
        <w:spacing w:after="0" w:line="342" w:lineRule="auto"/>
        <w:tabs>
          <w:tab w:leader="none" w:pos="900" w:val="left"/>
        </w:tabs>
        <w:numPr>
          <w:ilvl w:val="0"/>
          <w:numId w:val="95"/>
        </w:numPr>
        <w:rPr>
          <w:rFonts w:ascii="Arial" w:cs="Arial" w:eastAsia="Arial" w:hAnsi="Arial"/>
          <w:sz w:val="16"/>
          <w:szCs w:val="16"/>
          <w:color w:val="auto"/>
        </w:rPr>
      </w:pPr>
      <w:r>
        <w:rPr>
          <w:rFonts w:ascii="Arial" w:cs="Arial" w:eastAsia="Arial" w:hAnsi="Arial"/>
          <w:sz w:val="16"/>
          <w:szCs w:val="16"/>
          <w:color w:val="auto"/>
        </w:rPr>
        <w:t>DTC requires that those who purchase and sell interests in a global security deposited in its book-entry system use immediately available funds. Your broker or bank may also require you to use immediately available funds when purchasing or selling interests in a global security; and</w:t>
      </w:r>
    </w:p>
    <w:p>
      <w:pPr>
        <w:spacing w:after="0" w:line="29" w:lineRule="exact"/>
        <w:rPr>
          <w:rFonts w:ascii="Arial" w:cs="Arial" w:eastAsia="Arial" w:hAnsi="Arial"/>
          <w:sz w:val="16"/>
          <w:szCs w:val="16"/>
          <w:color w:val="auto"/>
        </w:rPr>
      </w:pPr>
    </w:p>
    <w:p>
      <w:pPr>
        <w:ind w:left="900" w:right="180" w:hanging="325"/>
        <w:spacing w:after="0" w:line="259" w:lineRule="auto"/>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financial institutions that participate in the depositary’s book-entry system, and through which an investor holds its interest in a global security, may also have their own policies affecting payments, notices and other matters relating to the debt securities. There may be more than one financial intermediary in the chain of ownership for an investor. We do not monitor and are not responsible for the actions of any of those intermediaries.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Situations when a Global Security Will Be Terminated</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In a few special situations described below, a global security will be terminated and interests in it will be exchanged for certificates in non-book-entry form (certificated securities). After that exchange, the choice of whether to hold the certificated debt securities directly or in street name will be up to the investor. Investors must consult their own banks or brokers to find out how to have their interests in a global security transferred on termination to their own names, so that they will be holders. We have described the rights of holders and street name investors under “Description of our Debt Securities—Issuance of Securities in Registered Form” above.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special situations for termination of a global security are as follows:</w:t>
      </w:r>
    </w:p>
    <w:p>
      <w:pPr>
        <w:spacing w:after="0" w:line="131" w:lineRule="exact"/>
        <w:rPr>
          <w:sz w:val="20"/>
          <w:szCs w:val="20"/>
          <w:color w:val="auto"/>
        </w:rPr>
      </w:pPr>
    </w:p>
    <w:p>
      <w:pPr>
        <w:ind w:left="660" w:right="120" w:hanging="314"/>
        <w:spacing w:after="0" w:line="277" w:lineRule="auto"/>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if the depositary notifies us that it is unwilling, unable or no longer qualified to continue as depositary for that global security, and we are unable to appoint another institution to act as depositary;</w:t>
      </w:r>
    </w:p>
    <w:p>
      <w:pPr>
        <w:spacing w:after="0" w:line="75" w:lineRule="exact"/>
        <w:rPr>
          <w:rFonts w:ascii="Arial" w:cs="Arial" w:eastAsia="Arial" w:hAnsi="Arial"/>
          <w:sz w:val="18"/>
          <w:szCs w:val="18"/>
          <w:color w:val="auto"/>
        </w:rPr>
      </w:pPr>
    </w:p>
    <w:p>
      <w:pPr>
        <w:ind w:left="660" w:hanging="314"/>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if we notify the trustee that we wish to terminate that global security; or</w:t>
      </w:r>
    </w:p>
    <w:p>
      <w:pPr>
        <w:spacing w:after="0" w:line="130" w:lineRule="exact"/>
        <w:rPr>
          <w:rFonts w:ascii="Arial" w:cs="Arial" w:eastAsia="Arial" w:hAnsi="Arial"/>
          <w:sz w:val="18"/>
          <w:szCs w:val="18"/>
          <w:color w:val="auto"/>
        </w:rPr>
      </w:pPr>
    </w:p>
    <w:p>
      <w:pPr>
        <w:ind w:left="660" w:hanging="314"/>
        <w:spacing w:after="0" w:line="277" w:lineRule="auto"/>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if an event of default has occurred with regard to the debt securities represented by that global security and has not been cured or waived; we discuss defaults later under “Description of our Debt Securities—Events of Default.”</w:t>
      </w:r>
    </w:p>
    <w:p>
      <w:pPr>
        <w:spacing w:after="0" w:line="17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prospectus supplement may list situations for terminating a global security that would apply only to the particular series of debt securities covered by the prospectus supplement. If a global security is terminated, only the depositary, and not we or the applicable trustee, is responsible for deciding the names of the institutions in whose names the debt securities represented by the global security will be registered and, therefore, who will be the holders of those debt securities.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12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We will pay interest to the person listed in the applicable trustee’s records as the owner of the debt security at the close of business on a particular day in advance of each due date for interest, even if that person no longer</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380"/>
          </w:cols>
          <w:pgMar w:left="240" w:top="460" w:right="27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40"/>
        <w:spacing w:after="0" w:line="302" w:lineRule="auto"/>
        <w:rPr>
          <w:sz w:val="20"/>
          <w:szCs w:val="20"/>
          <w:color w:val="auto"/>
        </w:rPr>
      </w:pPr>
      <w:r>
        <w:rPr>
          <w:rFonts w:ascii="Arial" w:cs="Arial" w:eastAsia="Arial" w:hAnsi="Arial"/>
          <w:sz w:val="16"/>
          <w:szCs w:val="16"/>
          <w:color w:val="auto"/>
        </w:rPr>
        <w:t>owns the debt security on the interest due date. That day, often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Payments on Global Securities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 as described under “Description of our Debt Securities—Global Securities.”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Payments on Certificated Securities</w:t>
      </w:r>
    </w:p>
    <w:p>
      <w:pPr>
        <w:spacing w:after="0" w:line="117"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We will make payments on a certificated debt security as follows. We will pay interest that is due on an interest payment date by check mailed on the interest payment date to the holder at his or her address shown on the trustee’s records as of the close of business on the regular record date. We will make all payments of principal and premium, if any, by check at the office of the applicable trustee in New York, New York and/or at other offices that may be specified in the prospectus supplement or in a notice to holders against surrender of the debt security.</w:t>
      </w:r>
    </w:p>
    <w:p>
      <w:pPr>
        <w:spacing w:after="0" w:line="171"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Alternatively, if the holder asks us to do so, we will pay any amount that becomes due on the debt security by wire transfer of immediately available funds to an account at a bank in the City of New York, on the due date. To request payment by wire, the holder must give the applicable trustee or other paying agent appropriate transfer instructions at least 15 business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 When Offices Are Closed</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attached prospectus supplement. Such payment will not result in a default under any debt security or the indenture, and no interest will accrue on the payment amount from the original due date to the next day that is a business day.</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Book-entry and other indirect holders should consult their banks or brokers for information on how they will receive payments on their debt securities.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 will have rights if an Event of Default occurs in respect of the debt securities of your series and is not cured, as described later in this subsection.</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term “Event of Default” in respect of the debt securities of your series means any of the following:</w:t>
      </w:r>
    </w:p>
    <w:p>
      <w:pPr>
        <w:spacing w:after="0" w:line="131" w:lineRule="exact"/>
        <w:rPr>
          <w:sz w:val="20"/>
          <w:szCs w:val="20"/>
          <w:color w:val="auto"/>
        </w:rPr>
      </w:pPr>
    </w:p>
    <w:p>
      <w:pPr>
        <w:ind w:left="900" w:hanging="325"/>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we do not pay the principal of, or any premium on, a debt security of the series on its due date;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we do not pay interest on a debt security of the series within 30 days of its due date;</w:t>
      </w:r>
    </w:p>
    <w:p>
      <w:pPr>
        <w:spacing w:after="0" w:line="130" w:lineRule="exact"/>
        <w:rPr>
          <w:rFonts w:ascii="Arial" w:cs="Arial" w:eastAsia="Arial" w:hAnsi="Arial"/>
          <w:sz w:val="18"/>
          <w:szCs w:val="18"/>
          <w:color w:val="auto"/>
        </w:rPr>
      </w:pPr>
    </w:p>
    <w:p>
      <w:pPr>
        <w:ind w:left="5580" w:right="3200" w:hanging="5005"/>
        <w:spacing w:after="0" w:line="449" w:lineRule="auto"/>
        <w:tabs>
          <w:tab w:leader="none" w:pos="897" w:val="left"/>
        </w:tabs>
        <w:numPr>
          <w:ilvl w:val="0"/>
          <w:numId w:val="97"/>
        </w:numPr>
        <w:rPr>
          <w:rFonts w:ascii="Arial" w:cs="Arial" w:eastAsia="Arial" w:hAnsi="Arial"/>
          <w:sz w:val="18"/>
          <w:szCs w:val="18"/>
          <w:color w:val="auto"/>
        </w:rPr>
      </w:pPr>
      <w:r>
        <w:rPr>
          <w:rFonts w:ascii="Arial" w:cs="Arial" w:eastAsia="Arial" w:hAnsi="Arial"/>
          <w:sz w:val="18"/>
          <w:szCs w:val="18"/>
          <w:color w:val="auto"/>
        </w:rPr>
        <w:t>we do not deposit any sinking fund payment in respect of debt securities of the series on its due date; 118</w:t>
      </w:r>
    </w:p>
    <w:p>
      <w:pPr>
        <w:sectPr>
          <w:pgSz w:w="11900" w:h="16838" w:orient="portrait"/>
          <w:cols w:equalWidth="0" w:num="1">
            <w:col w:w="11360"/>
          </w:cols>
          <w:pgMar w:left="240" w:top="460" w:right="29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00" w:hanging="325"/>
        <w:spacing w:after="0" w:line="342" w:lineRule="auto"/>
        <w:tabs>
          <w:tab w:leader="none" w:pos="900" w:val="left"/>
        </w:tabs>
        <w:numPr>
          <w:ilvl w:val="0"/>
          <w:numId w:val="98"/>
        </w:numPr>
        <w:rPr>
          <w:rFonts w:ascii="Arial" w:cs="Arial" w:eastAsia="Arial" w:hAnsi="Arial"/>
          <w:sz w:val="16"/>
          <w:szCs w:val="16"/>
          <w:color w:val="auto"/>
        </w:rPr>
      </w:pPr>
      <w:r>
        <w:rPr>
          <w:rFonts w:ascii="Arial" w:cs="Arial" w:eastAsia="Arial" w:hAnsi="Arial"/>
          <w:sz w:val="16"/>
          <w:szCs w:val="16"/>
          <w:color w:val="auto"/>
        </w:rPr>
        <w:t>we remain in breach of a covenant in respect of debt securities of the series for 60 days after we receive a written notice of default stating we are in breach. The notice must be sent by either the trustee or holders of at least 25% of the principal amount of debt securities of the series;</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we file for bankruptcy or certain other events of bankruptcy, insolvency or reorganization occur;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other Event of Default in respect of debt securities of the series described in the prospectus supplement occurs.</w:t>
      </w:r>
    </w:p>
    <w:p>
      <w:pPr>
        <w:spacing w:after="0" w:line="225" w:lineRule="exact"/>
        <w:rPr>
          <w:sz w:val="20"/>
          <w:szCs w:val="20"/>
          <w:color w:val="auto"/>
        </w:rPr>
      </w:pPr>
    </w:p>
    <w:p>
      <w:pPr>
        <w:ind w:right="220" w:firstLine="456"/>
        <w:spacing w:after="0" w:line="286" w:lineRule="auto"/>
        <w:rPr>
          <w:sz w:val="20"/>
          <w:szCs w:val="20"/>
          <w:color w:val="auto"/>
        </w:rPr>
      </w:pPr>
      <w:r>
        <w:rPr>
          <w:rFonts w:ascii="Arial" w:cs="Arial" w:eastAsia="Arial" w:hAnsi="Arial"/>
          <w:sz w:val="17"/>
          <w:szCs w:val="17"/>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Remedies if an Event of Default Occurs</w:t>
      </w:r>
    </w:p>
    <w:p>
      <w:pPr>
        <w:spacing w:after="0" w:line="117"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If an Event of Default has occurred and has not been cured or waived, the trustee or the holders of not less than 25% in principal amount of the debt securities of the affected series may declare the entire principal amount of all the debt securities of that series to be due and immediately payable. This is called a declaration of acceleration of maturity. A declaration of acceleration of maturity may be canceled by the holders of a majority in principal amount of the debt securities of the affected series if the default is cured or waived and certain other conditions are satisfied.</w:t>
      </w:r>
    </w:p>
    <w:p>
      <w:pPr>
        <w:spacing w:after="0" w:line="17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Except in cases of default, where the trustee has some special duties, the trustee is not required to take any action under the indenture at the request of any holders unless the holders offer the trustee reasonable protection from expenses and liability (called an “indemnity”). If reasonable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58"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Before you are allowed to bypass your trustee and bring your own lawsuit or other formal legal action or take other steps to enforce your rights or protect your interests relating to the debt securities, the following must occur:</w:t>
      </w:r>
    </w:p>
    <w:p>
      <w:pPr>
        <w:spacing w:after="0" w:line="76" w:lineRule="exact"/>
        <w:rPr>
          <w:sz w:val="20"/>
          <w:szCs w:val="20"/>
          <w:color w:val="auto"/>
        </w:rPr>
      </w:pPr>
    </w:p>
    <w:p>
      <w:pPr>
        <w:ind w:left="660" w:hanging="314"/>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you must give the trustee written notice that an Event of Default has occurred and remains uncured;</w:t>
      </w:r>
    </w:p>
    <w:p>
      <w:pPr>
        <w:spacing w:after="0" w:line="130" w:lineRule="exact"/>
        <w:rPr>
          <w:rFonts w:ascii="Arial" w:cs="Arial" w:eastAsia="Arial" w:hAnsi="Arial"/>
          <w:sz w:val="18"/>
          <w:szCs w:val="18"/>
          <w:color w:val="auto"/>
        </w:rPr>
      </w:pPr>
    </w:p>
    <w:p>
      <w:pPr>
        <w:ind w:left="660" w:right="260" w:hanging="314"/>
        <w:spacing w:after="0" w:line="342" w:lineRule="auto"/>
        <w:tabs>
          <w:tab w:leader="none" w:pos="66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holders of at least 25% in principal amount of all outstanding debt securities of the relevant series must make a written request that the trustee take action because of the default and must offer reasonable indemnity to the trustee against the cost and other liabilities of taking that action;</w:t>
      </w:r>
    </w:p>
    <w:p>
      <w:pPr>
        <w:spacing w:after="0" w:line="29" w:lineRule="exact"/>
        <w:rPr>
          <w:rFonts w:ascii="Arial" w:cs="Arial" w:eastAsia="Arial" w:hAnsi="Arial"/>
          <w:sz w:val="16"/>
          <w:szCs w:val="16"/>
          <w:color w:val="auto"/>
        </w:rPr>
      </w:pPr>
    </w:p>
    <w:p>
      <w:pPr>
        <w:ind w:left="660" w:hanging="314"/>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trustee must not have taken action for 60 days after receipt of the above notice and offer of indemnity; and</w:t>
      </w:r>
    </w:p>
    <w:p>
      <w:pPr>
        <w:spacing w:after="0" w:line="130" w:lineRule="exact"/>
        <w:rPr>
          <w:rFonts w:ascii="Arial" w:cs="Arial" w:eastAsia="Arial" w:hAnsi="Arial"/>
          <w:sz w:val="18"/>
          <w:szCs w:val="18"/>
          <w:color w:val="auto"/>
        </w:rPr>
      </w:pPr>
    </w:p>
    <w:p>
      <w:pPr>
        <w:ind w:left="660" w:right="380" w:hanging="314"/>
        <w:spacing w:after="0" w:line="277" w:lineRule="auto"/>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holders of a majority in principal amount of the debt securities must not have given the trustee a direction inconsistent with the above notice during that 60-day period.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However, you are entitled at any time to bring a lawsuit for the payment of money due on your debt securities on or after the due date.</w:t>
      </w:r>
    </w:p>
    <w:p>
      <w:pPr>
        <w:spacing w:after="0" w:line="221" w:lineRule="exact"/>
        <w:rPr>
          <w:sz w:val="20"/>
          <w:szCs w:val="20"/>
          <w:color w:val="auto"/>
        </w:rPr>
      </w:pPr>
    </w:p>
    <w:p>
      <w:pPr>
        <w:ind w:right="120" w:firstLine="571"/>
        <w:spacing w:after="0" w:line="282"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166"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Each year, we will furnish to each trustee a written statement of certain of our officers certifying that to their knowledge we are in compliance with the indenture and the debt securities, or else specifying any default.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00"/>
          </w:cols>
          <w:pgMar w:left="240" w:top="460" w:right="25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Waiver of Default</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holders of a majority in principal amount of the relevant series of debt securities may waive a default for all the relevant series of debt securities. If this happens, the default will be treated as if it had not occurred. No one can waive a payment default on a holder’s debt security, however, without the holder’s approval.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or Consolidation</w:t>
      </w:r>
    </w:p>
    <w:p>
      <w:pPr>
        <w:spacing w:after="0" w:line="121" w:lineRule="exact"/>
        <w:rPr>
          <w:sz w:val="20"/>
          <w:szCs w:val="20"/>
          <w:color w:val="auto"/>
        </w:rPr>
      </w:pPr>
    </w:p>
    <w:p>
      <w:pPr>
        <w:ind w:right="860" w:firstLine="456"/>
        <w:spacing w:after="0" w:line="342" w:lineRule="auto"/>
        <w:rPr>
          <w:sz w:val="20"/>
          <w:szCs w:val="20"/>
          <w:color w:val="auto"/>
        </w:rPr>
      </w:pPr>
      <w:r>
        <w:rPr>
          <w:rFonts w:ascii="Arial" w:cs="Arial" w:eastAsia="Arial" w:hAnsi="Arial"/>
          <w:sz w:val="16"/>
          <w:szCs w:val="16"/>
          <w:color w:val="auto"/>
        </w:rPr>
        <w:t>Under the terms of the indenture, we are generally permitted to consolidate or merge with another entity. We are also permitted to sell all or substantially all of our assets to another entity. However, we may not take any of these actions unless all the following conditions are met:</w:t>
      </w:r>
    </w:p>
    <w:p>
      <w:pPr>
        <w:spacing w:after="0" w:line="29" w:lineRule="exact"/>
        <w:rPr>
          <w:sz w:val="20"/>
          <w:szCs w:val="20"/>
          <w:color w:val="auto"/>
        </w:rPr>
      </w:pPr>
    </w:p>
    <w:p>
      <w:pPr>
        <w:ind w:left="900" w:right="340" w:hanging="325"/>
        <w:spacing w:after="0" w:line="277" w:lineRule="auto"/>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where we merge out of existence or sell our assets, the resulting entity must agree to be legally responsible for our obligations under the debt securities;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alternatively, we must be the surviving company;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immediately after the transaction no event of default will exist;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we must deliver certain certificates and documents to the trustee;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we must satisfy any other requirements specified in the prospectus supplement relating to a particular series of debt securities.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or Waiver</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three types of changes we can make to the indenture and the debt securities issued thereunder.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Requiring Your Approval</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First, there are changes that we cannot make to your debt securities without your specific approval. The following is a list of those types of changes:</w:t>
      </w:r>
    </w:p>
    <w:p>
      <w:pPr>
        <w:spacing w:after="0" w:line="154" w:lineRule="exact"/>
        <w:rPr>
          <w:sz w:val="20"/>
          <w:szCs w:val="20"/>
          <w:color w:val="auto"/>
        </w:rPr>
      </w:pPr>
    </w:p>
    <w:p>
      <w:pPr>
        <w:ind w:left="900" w:hanging="325"/>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interest on a debt security;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reduce any amounts due on a debt security;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reduce the amount of principal payable upon acceleration of the maturity of a security following a default;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adversely affect any right of repayment at the holder’s option;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change the place or currency of payment on a debt security (except as otherwise described in the prospectus or prospectus supplement);</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impair your right to sue for payment;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adversely affect any right to convert or exchange a debt security in accordance with its terms;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modify or amend the indenture;</w:t>
      </w:r>
    </w:p>
    <w:p>
      <w:pPr>
        <w:spacing w:after="0" w:line="130" w:lineRule="exact"/>
        <w:rPr>
          <w:rFonts w:ascii="Arial" w:cs="Arial" w:eastAsia="Arial" w:hAnsi="Arial"/>
          <w:sz w:val="18"/>
          <w:szCs w:val="18"/>
          <w:color w:val="auto"/>
        </w:rPr>
      </w:pPr>
    </w:p>
    <w:p>
      <w:pPr>
        <w:ind w:left="900" w:right="260" w:hanging="325"/>
        <w:spacing w:after="0" w:line="277" w:lineRule="auto"/>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waive compliance with certain provisions of the indenture or to waive certain defaults;</w:t>
      </w:r>
    </w:p>
    <w:p>
      <w:pPr>
        <w:spacing w:after="0" w:line="75" w:lineRule="exact"/>
        <w:rPr>
          <w:rFonts w:ascii="Arial" w:cs="Arial" w:eastAsia="Arial" w:hAnsi="Arial"/>
          <w:sz w:val="18"/>
          <w:szCs w:val="18"/>
          <w:color w:val="auto"/>
        </w:rPr>
      </w:pPr>
    </w:p>
    <w:p>
      <w:pPr>
        <w:ind w:left="900" w:right="520" w:hanging="325"/>
        <w:spacing w:after="0" w:line="277" w:lineRule="auto"/>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modify any other aspect of the provisions of the indenture dealing with supplemental indentures, modification and waiver of past defaults, changes to the quorum or voting requirements or the waiver of certain covenants;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change any obligation we have to pay additional amounts.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380"/>
          </w:cols>
          <w:pgMar w:left="240" w:top="460" w:right="27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Not Requiring Approval</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second type of change does not require any vote by the holders of the debt securities. This type is limited to clarifications and certain other changes that would not adversely affect holders of the outstanding debt securities in any material respect. We also do not need any approval to make any change that affects only debt securities to be issued under the indenture after the change takes effect.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Requiring Majority Approval</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other change to the indenture and the debt securities would require the following approval:</w:t>
      </w:r>
    </w:p>
    <w:p>
      <w:pPr>
        <w:spacing w:after="0" w:line="131" w:lineRule="exact"/>
        <w:rPr>
          <w:sz w:val="20"/>
          <w:szCs w:val="20"/>
          <w:color w:val="auto"/>
        </w:rPr>
      </w:pPr>
    </w:p>
    <w:p>
      <w:pPr>
        <w:ind w:left="900" w:hanging="325"/>
        <w:spacing w:after="0"/>
        <w:tabs>
          <w:tab w:leader="none" w:pos="90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if the change affects only one series of debt securities, it must be approved by the holders of a majority in principal amount of that series; and</w:t>
      </w:r>
    </w:p>
    <w:p>
      <w:pPr>
        <w:spacing w:after="0" w:line="113" w:lineRule="exact"/>
        <w:rPr>
          <w:rFonts w:ascii="Arial" w:cs="Arial" w:eastAsia="Arial" w:hAnsi="Arial"/>
          <w:sz w:val="16"/>
          <w:szCs w:val="16"/>
          <w:color w:val="auto"/>
        </w:rPr>
      </w:pPr>
    </w:p>
    <w:p>
      <w:pPr>
        <w:ind w:left="900" w:right="180" w:hanging="325"/>
        <w:spacing w:after="0" w:line="342" w:lineRule="auto"/>
        <w:tabs>
          <w:tab w:leader="none" w:pos="90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each case, the required approval must be given by written consent.</w:t>
      </w:r>
    </w:p>
    <w:p>
      <w:pPr>
        <w:spacing w:after="0" w:line="22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holders of a majority in principal amount of all of the series of debt securities issued under an indenture, voting together as one class for this purpose, may waive our compliance with some of our covenants in that indenture. However, we cannot obtain a waiver of a payment default or of any of the matters covered by the bullet points included above under “Description of our Debt Securities—Modification or Waiver—Changes Requiring Your Approval.”</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Further Details Concerning Voting</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When taking a vote, we will use the following rules to decide how much principal to attribute to a debt security:</w:t>
      </w:r>
    </w:p>
    <w:p>
      <w:pPr>
        <w:spacing w:after="0" w:line="131" w:lineRule="exact"/>
        <w:rPr>
          <w:sz w:val="20"/>
          <w:szCs w:val="20"/>
          <w:color w:val="auto"/>
        </w:rPr>
      </w:pPr>
    </w:p>
    <w:p>
      <w:pPr>
        <w:ind w:left="900" w:right="220" w:hanging="325"/>
        <w:spacing w:after="0" w:line="277" w:lineRule="auto"/>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for original issue discount securities, we will use the principal amount that would be due and payable on the voting date if the maturity of these debt securities were accelerated to that date because of a default;</w:t>
      </w:r>
    </w:p>
    <w:p>
      <w:pPr>
        <w:spacing w:after="0" w:line="75" w:lineRule="exact"/>
        <w:rPr>
          <w:rFonts w:ascii="Arial" w:cs="Arial" w:eastAsia="Arial" w:hAnsi="Arial"/>
          <w:sz w:val="18"/>
          <w:szCs w:val="18"/>
          <w:color w:val="auto"/>
        </w:rPr>
      </w:pPr>
    </w:p>
    <w:p>
      <w:pPr>
        <w:ind w:left="900" w:right="320" w:hanging="325"/>
        <w:spacing w:after="0" w:line="277" w:lineRule="auto"/>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for debt securities whose principal amount is not known (for example, because it is based on an index), we will use a special rule for that debt security described in the prospectus supplement;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for debt securities denominated in one or more foreign currencies, we will use the U.S. dollar equivalent.</w:t>
      </w:r>
    </w:p>
    <w:p>
      <w:pPr>
        <w:spacing w:after="0" w:line="225"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“Description of our Debt Securities— Defeasance—Full Defeasance.” 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174" w:lineRule="exact"/>
        <w:rPr>
          <w:sz w:val="20"/>
          <w:szCs w:val="20"/>
          <w:color w:val="auto"/>
        </w:rPr>
      </w:pPr>
    </w:p>
    <w:p>
      <w:pPr>
        <w:ind w:firstLine="571"/>
        <w:spacing w:after="0" w:line="282"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approval may be granted or denied if we seek to change the indenture or the debt securities or request a waiver.</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459" w:right="2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w:t>
      </w:r>
    </w:p>
    <w:p>
      <w:pPr>
        <w:spacing w:after="0" w:line="12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following provisions will be applicable to each series of debt securities unless we state in the applicable prospectus supplement that the provisions of covenant defeasance and full defeasance will not be applicable to that series.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 Defeasance</w:t>
      </w:r>
    </w:p>
    <w:p>
      <w:pPr>
        <w:spacing w:after="0" w:line="11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Under current U.S. federal tax law,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“Description of our Debt Securities—Indenture Provisions—Subordination” below. In order to achieve covenant defeasance, we must do the following:</w:t>
      </w:r>
    </w:p>
    <w:p>
      <w:pPr>
        <w:spacing w:after="0" w:line="94" w:lineRule="exact"/>
        <w:rPr>
          <w:sz w:val="20"/>
          <w:szCs w:val="20"/>
          <w:color w:val="auto"/>
        </w:rPr>
      </w:pPr>
    </w:p>
    <w:p>
      <w:pPr>
        <w:ind w:left="900" w:right="280" w:hanging="325"/>
        <w:spacing w:after="0" w:line="264" w:lineRule="auto"/>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 and</w:t>
      </w:r>
    </w:p>
    <w:p>
      <w:pPr>
        <w:spacing w:after="0" w:line="86" w:lineRule="exact"/>
        <w:rPr>
          <w:rFonts w:ascii="Arial" w:cs="Arial" w:eastAsia="Arial" w:hAnsi="Arial"/>
          <w:sz w:val="18"/>
          <w:szCs w:val="18"/>
          <w:color w:val="auto"/>
        </w:rPr>
      </w:pPr>
    </w:p>
    <w:p>
      <w:pPr>
        <w:ind w:left="900" w:right="100" w:hanging="325"/>
        <w:spacing w:after="0" w:line="264" w:lineRule="auto"/>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we may be required to deliver to the trustee a legal opinion of our counsel confirming that, under current U.S. federal income tax law, we may make the above deposit without causing you to be taxed on the debt securities any differently than if we did not make the deposit and just repaid the debt securities ourselves at maturity.</w:t>
      </w:r>
    </w:p>
    <w:p>
      <w:pPr>
        <w:spacing w:after="0" w:line="181" w:lineRule="exact"/>
        <w:rPr>
          <w:sz w:val="20"/>
          <w:szCs w:val="20"/>
          <w:color w:val="auto"/>
        </w:rPr>
      </w:pPr>
    </w:p>
    <w:p>
      <w:pPr>
        <w:ind w:right="280" w:firstLine="456"/>
        <w:spacing w:after="0" w:line="308" w:lineRule="auto"/>
        <w:rPr>
          <w:sz w:val="20"/>
          <w:szCs w:val="20"/>
          <w:color w:val="auto"/>
        </w:rPr>
      </w:pPr>
      <w:r>
        <w:rPr>
          <w:rFonts w:ascii="Arial" w:cs="Arial" w:eastAsia="Arial" w:hAnsi="Arial"/>
          <w:sz w:val="17"/>
          <w:szCs w:val="17"/>
          <w:color w:val="auto"/>
        </w:rPr>
        <w:t>We must deliver to the trustee a legal opinion of our counsel stating that the above deposit does not require registration by us under the 1940 Act, as amended, and a legal opinion and officers’ certificate stating that all conditions precedent to covenant defeasance have been complied with.</w:t>
      </w:r>
    </w:p>
    <w:p>
      <w:pPr>
        <w:spacing w:after="0" w:line="147"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If we accomplish covenant defeasance, you can still look to us for repayment of the debt securities if there were a shortfall in the trust deposit or the trustee is prevented from making payment. In fact, if one of the remaining Events of Default occurred (such as our bankruptcy) and the debt securities became immediately due and payable, there might be a shortfall. Depending on the event causing the default, you may not be able to obtain payment of the shortfall.</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Full Defeasance</w:t>
      </w:r>
    </w:p>
    <w:p>
      <w:pPr>
        <w:spacing w:after="0" w:line="117" w:lineRule="exact"/>
        <w:rPr>
          <w:sz w:val="20"/>
          <w:szCs w:val="20"/>
          <w:color w:val="auto"/>
        </w:rPr>
      </w:pPr>
    </w:p>
    <w:p>
      <w:pPr>
        <w:ind w:right="380" w:firstLine="456"/>
        <w:spacing w:after="0" w:line="308" w:lineRule="auto"/>
        <w:rPr>
          <w:sz w:val="20"/>
          <w:szCs w:val="20"/>
          <w:color w:val="auto"/>
        </w:rPr>
      </w:pPr>
      <w:r>
        <w:rPr>
          <w:rFonts w:ascii="Arial" w:cs="Arial" w:eastAsia="Arial" w:hAnsi="Arial"/>
          <w:sz w:val="17"/>
          <w:szCs w:val="17"/>
          <w:color w:val="auto"/>
        </w:rPr>
        <w:t>If there is a change in U.S. federal tax law, as described below, we can legally release ourselves from all payment and other obligations on the debt securities of a particular series (called “full defeasance”) if we put in place the following other arrangements for you to be repaid:</w:t>
      </w:r>
    </w:p>
    <w:p>
      <w:pPr>
        <w:spacing w:after="0" w:line="52" w:lineRule="exact"/>
        <w:rPr>
          <w:sz w:val="20"/>
          <w:szCs w:val="20"/>
          <w:color w:val="auto"/>
        </w:rPr>
      </w:pPr>
    </w:p>
    <w:p>
      <w:pPr>
        <w:ind w:left="900" w:right="280" w:hanging="325"/>
        <w:spacing w:after="0" w:line="264" w:lineRule="auto"/>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p>
      <w:pPr>
        <w:spacing w:after="0" w:line="86" w:lineRule="exact"/>
        <w:rPr>
          <w:rFonts w:ascii="Arial" w:cs="Arial" w:eastAsia="Arial" w:hAnsi="Arial"/>
          <w:sz w:val="18"/>
          <w:szCs w:val="18"/>
          <w:color w:val="auto"/>
        </w:rPr>
      </w:pPr>
    </w:p>
    <w:p>
      <w:pPr>
        <w:ind w:left="900" w:hanging="325"/>
        <w:spacing w:after="0" w:line="255" w:lineRule="auto"/>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we may be required to deliver to the trustee a legal opinion confirming that there has been a change in current U.S. federal tax law or an Internal Revenue Service ruling that allows us to make the above deposit without causing you to be taxed on the debt securities any differently than if we did not make the deposit and just repaid the debt securities ourselves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 and</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00"/>
          </w:cols>
          <w:pgMar w:left="240" w:top="460" w:right="25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40" w:hanging="325"/>
        <w:spacing w:after="0" w:line="277" w:lineRule="auto"/>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we must deliver to the trustee a legal opinion of our counsel stating that the above deposit does not require registration by us under the 1940 Act and a legal opinion and officers’ certificate certifying compliance with all conditions precedent to defeasance.</w:t>
      </w:r>
    </w:p>
    <w:p>
      <w:pPr>
        <w:spacing w:after="0" w:line="17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If we ever did accomplish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“Description of our Debt Securities—Indenture Provisions—Subordination.”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and Transfer of Certificated Registered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registered debt securities cease to be issued in book-entry form, they will be issued:</w:t>
      </w:r>
    </w:p>
    <w:p>
      <w:pPr>
        <w:spacing w:after="0" w:line="131" w:lineRule="exact"/>
        <w:rPr>
          <w:sz w:val="20"/>
          <w:szCs w:val="20"/>
          <w:color w:val="auto"/>
        </w:rPr>
      </w:pPr>
    </w:p>
    <w:p>
      <w:pPr>
        <w:ind w:left="900" w:hanging="325"/>
        <w:spacing w:after="0"/>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only in fully registered certificated form;</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without interest coupons;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unless we indicate otherwise in the prospectus supplement, in denominations of $1,000 and amounts that are multiples of $1,000.</w:t>
      </w:r>
    </w:p>
    <w:p>
      <w:pPr>
        <w:spacing w:after="0" w:line="225"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Holders may exchange their certificated securities for debt securities of smaller denominations or combined into fewer debt securities of larger denominations, as long as the total principal amount is not changed.</w:t>
      </w:r>
    </w:p>
    <w:p>
      <w:pPr>
        <w:spacing w:after="0" w:line="170" w:lineRule="exact"/>
        <w:rPr>
          <w:sz w:val="20"/>
          <w:szCs w:val="20"/>
          <w:color w:val="auto"/>
        </w:rPr>
      </w:pPr>
    </w:p>
    <w:p>
      <w:pPr>
        <w:ind w:right="400" w:firstLine="456"/>
        <w:spacing w:after="0" w:line="264" w:lineRule="auto"/>
        <w:rPr>
          <w:sz w:val="20"/>
          <w:szCs w:val="20"/>
          <w:color w:val="auto"/>
        </w:rPr>
      </w:pPr>
      <w:r>
        <w:rPr>
          <w:rFonts w:ascii="Arial" w:cs="Arial" w:eastAsia="Arial" w:hAnsi="Arial"/>
          <w:sz w:val="18"/>
          <w:szCs w:val="18"/>
          <w:color w:val="auto"/>
        </w:rPr>
        <w:t>Holders may exchange or transfer their certificated securities at the office of their trustee. We have appointed the trustee to act as our agent for registering debt securities in the names of holders transferring debt securities. We may appoint another entity to perform these functions or perform them ourselves.</w:t>
      </w:r>
    </w:p>
    <w:p>
      <w:pPr>
        <w:spacing w:after="0" w:line="18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Holders will not be required to pay a service charge to transfer or exchange their certificated securities, but they may be required to pay any tax or other governmental charge associated with the transfer or exchange. The transfer or exchange will be made only if our transfer agent is satisfied with the holder’s proof of legal ownership.</w:t>
      </w:r>
    </w:p>
    <w:p>
      <w:pPr>
        <w:spacing w:after="0" w:line="181" w:lineRule="exact"/>
        <w:rPr>
          <w:sz w:val="20"/>
          <w:szCs w:val="20"/>
          <w:color w:val="auto"/>
        </w:rPr>
      </w:pPr>
    </w:p>
    <w:p>
      <w:pPr>
        <w:ind w:right="160" w:firstLine="456"/>
        <w:spacing w:after="0" w:line="342" w:lineRule="auto"/>
        <w:rPr>
          <w:sz w:val="20"/>
          <w:szCs w:val="20"/>
          <w:color w:val="auto"/>
        </w:rPr>
      </w:pPr>
      <w:r>
        <w:rPr>
          <w:rFonts w:ascii="Arial" w:cs="Arial" w:eastAsia="Arial" w:hAnsi="Arial"/>
          <w:sz w:val="16"/>
          <w:szCs w:val="16"/>
          <w:color w:val="auto"/>
        </w:rPr>
        <w:t>If we have designated additional transfer agents for your debt security, they will be named in the prospectus supplement. We may appoint additional transfer agents or cancel the appointment of any particular transfer agent. We may also approve a change in the office through which any transfer agent acts.</w:t>
      </w:r>
    </w:p>
    <w:p>
      <w:pPr>
        <w:spacing w:after="0" w:line="124"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spacing w:after="0" w:line="188"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If a registered debt security is issued in book-entry form, only the depositary will be entitled to transfer and exchange the debt security as described in this subsection, since it will be the sole holder of the debt security.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of Trustee</w:t>
      </w:r>
    </w:p>
    <w:p>
      <w:pPr>
        <w:spacing w:after="0" w:line="121" w:lineRule="exact"/>
        <w:rPr>
          <w:sz w:val="20"/>
          <w:szCs w:val="20"/>
          <w:color w:val="auto"/>
        </w:rPr>
      </w:pPr>
    </w:p>
    <w:p>
      <w:pPr>
        <w:ind w:right="280" w:firstLine="456"/>
        <w:spacing w:after="0" w:line="286" w:lineRule="auto"/>
        <w:rPr>
          <w:sz w:val="20"/>
          <w:szCs w:val="20"/>
          <w:color w:val="auto"/>
        </w:rPr>
      </w:pPr>
      <w:r>
        <w:rPr>
          <w:rFonts w:ascii="Arial" w:cs="Arial" w:eastAsia="Arial" w:hAnsi="Arial"/>
          <w:sz w:val="17"/>
          <w:szCs w:val="17"/>
          <w:color w:val="auto"/>
        </w:rPr>
        <w:t>Each trustee may resign or be removed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460" w:right="2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Indenture Provisions—Subordination</w:t>
      </w:r>
    </w:p>
    <w:p>
      <w:pPr>
        <w:spacing w:after="0" w:line="121"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color w:val="auto"/>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spacing w:after="0" w:line="165"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In the event that, notwithstanding the foregoing, any payment by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65"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By reason of this subordination, in the event of a distribution of our assets upon our insolvency, certain of our senior creditors may recover more, ratably, than holders of any subordinated debt securities. The indenture provides that these subordination provisions will not apply to money and securities held in trust under the defeasance provisions of the indenture.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Senior Indebtedness is defined in the indenture as the principal of (and premium, if any) and unpaid interest on:</w:t>
      </w:r>
    </w:p>
    <w:p>
      <w:pPr>
        <w:spacing w:after="0" w:line="131" w:lineRule="exact"/>
        <w:rPr>
          <w:sz w:val="20"/>
          <w:szCs w:val="20"/>
          <w:color w:val="auto"/>
        </w:rPr>
      </w:pPr>
    </w:p>
    <w:p>
      <w:pPr>
        <w:ind w:left="900" w:right="140" w:hanging="325"/>
        <w:spacing w:after="0" w:line="259" w:lineRule="auto"/>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92" w:lineRule="exact"/>
        <w:rPr>
          <w:rFonts w:ascii="Arial" w:cs="Arial" w:eastAsia="Arial" w:hAnsi="Arial"/>
          <w:sz w:val="18"/>
          <w:szCs w:val="18"/>
          <w:color w:val="auto"/>
        </w:rPr>
      </w:pPr>
    </w:p>
    <w:p>
      <w:pPr>
        <w:ind w:left="900" w:hanging="325"/>
        <w:spacing w:after="0"/>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renewals, extensions, modifications and refinancings of any of this indebtedness.</w:t>
      </w:r>
    </w:p>
    <w:p>
      <w:pPr>
        <w:spacing w:after="0" w:line="225" w:lineRule="exact"/>
        <w:rPr>
          <w:sz w:val="20"/>
          <w:szCs w:val="20"/>
          <w:color w:val="auto"/>
        </w:rPr>
      </w:pPr>
    </w:p>
    <w:p>
      <w:pPr>
        <w:ind w:right="160" w:firstLine="456"/>
        <w:spacing w:after="0" w:line="342" w:lineRule="auto"/>
        <w:rPr>
          <w:sz w:val="20"/>
          <w:szCs w:val="20"/>
          <w:color w:val="auto"/>
        </w:rPr>
      </w:pPr>
      <w:r>
        <w:rPr>
          <w:rFonts w:ascii="Arial" w:cs="Arial" w:eastAsia="Arial" w:hAnsi="Arial"/>
          <w:sz w:val="16"/>
          <w:szCs w:val="16"/>
          <w:color w:val="auto"/>
        </w:rPr>
        <w:t>If this prospectus is being delivered in connection with the offering of a series of indenture securities denominated as subordinated debt securities, the accompanying prospectus supplement will set forth the approximate amount of our Senior Indebtedness outstanding as of a recent date.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 under the Indenture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American Stock Transfer &amp; Trust Company, LLC is the trustee under the indenture.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Considerations Relating to Foreign Currencies</w:t>
      </w:r>
    </w:p>
    <w:p>
      <w:pPr>
        <w:spacing w:after="0" w:line="121"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459" w:right="2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UNITS</w:t>
      </w:r>
    </w:p>
    <w:p>
      <w:pPr>
        <w:spacing w:after="0" w:line="22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As specified in the applicable prospectus supplement, we may issue units comprised of one or more of the other securities described in this prospectus in any combination. Each unit may also include securities issued by the U.S. Treasury. Each unit will be issued so that the holder of the unit is also the holder of each security included in the unit. Thus, the holder of a unit will have the rights and obligations of a holder of each included security. The prospectus supplement will describe:</w:t>
      </w:r>
    </w:p>
    <w:p>
      <w:pPr>
        <w:spacing w:after="0" w:line="92" w:lineRule="exact"/>
        <w:rPr>
          <w:sz w:val="20"/>
          <w:szCs w:val="20"/>
          <w:color w:val="auto"/>
        </w:rPr>
      </w:pPr>
    </w:p>
    <w:p>
      <w:pPr>
        <w:ind w:left="900" w:right="220" w:hanging="325"/>
        <w:spacing w:after="0" w:line="277" w:lineRule="auto"/>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designation and terms of the units and of the securities comprising the units, including whether and under what circumstances the securities comprising the units may be held or transferred separately;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 description of the terms of any unit agreement governing the units;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 description of the provisions for the payment, settlement, transfer or exchange of the units;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whether the units will be issued in fully registered or global form.</w:t>
      </w:r>
    </w:p>
    <w:p>
      <w:pPr>
        <w:spacing w:after="0" w:line="225"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If a unit includes a share of common stock, the public offering price for the unit will reflect a price per share of common stock that equals or exceeds our then current NAV per share, unless the requirements of Section 63 of the 1940 Act have been satisfied. Section 63 permits us to sell shares of common stock below our then current NAV per share if: (1) the majority of our board of directors approves the offering as being in the best interests of us and our stockholders, (2) a majority of our stockholders (including a majority of our stockholders who are not affiliated persons of us) have approved the issuance of common stock below the then current NAV per share in the 12 months preceding the offering and (3) the offering price closely approximates the market value of the common stock. If the Section 63 requirements are met, the price per share of common stock included in a unit may be below the Company’s then current NAV per share. See “Sales of Common Stock Below Net Asset Value” for more information.</w:t>
      </w:r>
    </w:p>
    <w:p>
      <w:pPr>
        <w:spacing w:after="0" w:line="178"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Units may also include warrants to purchase shares of our common stock in the future. We may generally only offer such warrants if (1) the warrants expire by their terms within ten years, (2) the exercise price is not less than the market value of our common stock at the date of issuance, (3) the exercise prices is not less than the then current NAV per share of our common stock (unless the Section 63 requirements are met), (4) our stockholders authorize the proposal to issue such warrants, and our board of directors approves such issuance on the basis that the issuance is in the best interests of us and our stockholders and, (5) if the warrants are accompanied by other securities, the warrants are not separately transferable unless no class of such warrants and the securities accompanying them have been publicly distributed. The 1940 Act also provides that the amount of our voting securities that would result from the exercise of all outstanding warrants at the time of issuance may not exceed 25% of our outstanding voting securities.</w:t>
      </w:r>
    </w:p>
    <w:p>
      <w:pPr>
        <w:spacing w:after="0" w:line="16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Units may also include subscription rights to purchase shares of our common stock. We will not offer transferable subscription rights in a unit providing for subscription at a price below the then current NAV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w:t>
      </w:r>
    </w:p>
    <w:p>
      <w:pPr>
        <w:spacing w:after="0" w:line="187"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Units may also include debt securities. If such debt securities are convertible into shares of our common stock, the exercise price for such conversion will not be less than the NAV per share of our common stock at the time of issuance of the unit (unless the Section 63 requirements are met).</w:t>
      </w:r>
    </w:p>
    <w:p>
      <w:pPr>
        <w:spacing w:after="0" w:line="12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descriptions of the units and any applicable underlying security or pledge or depositary arrangements in this prospectus and in any prospectus supplement are summaries of the material provisions of the applicable agreements and are subject to, and qualified in their entirety by reference to, the terms and provisions of the applicable agreements, forms of which have been or will be filed as exhibits to the registration statement of which this prospectus forms a part.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460" w:right="2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ind w:right="180" w:firstLine="456"/>
        <w:spacing w:after="0" w:line="297" w:lineRule="auto"/>
        <w:rPr>
          <w:sz w:val="20"/>
          <w:szCs w:val="20"/>
          <w:color w:val="auto"/>
        </w:rPr>
      </w:pPr>
      <w:r>
        <w:rPr>
          <w:rFonts w:ascii="Arial" w:cs="Arial" w:eastAsia="Arial" w:hAnsi="Arial"/>
          <w:sz w:val="16"/>
          <w:szCs w:val="16"/>
          <w:color w:val="auto"/>
        </w:rPr>
        <w:t>We are a BDC under the 1940 Act, which has qualified and intends to continue to qualify to maintain an election to be treated as a RIC under Subchapter M of the Code. The 1940 Act contains prohibitions and restrictions relating to transactions between a BDC and their affiliates (including any investment advisers or sub-advisers), principal underwriters and affiliates of those affiliates or underwriters and requires that a majority of the directors be persons other than “interested persons,” as that term is defined in the 1940 Act. In addition, the 1940 Act provides that we may not change the nature of our business so as to cease to be, or to withdraw our election as, a BDC unless approved by a majority of our outstanding voting securities.</w:t>
      </w:r>
    </w:p>
    <w:p>
      <w:pPr>
        <w:spacing w:after="0" w:line="15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may invest up to 100% of our assets in securities acquired directly from issuers in privately negotiated transactions. With respect to such securities, we may, for the purpose of public resale, be deemed an “underwriter” as that term is defined in the Securities Act. We may purchase or otherwise receive warrants to purchase the common stock of our portfolio companies in connection with acquisition financing or other investments. Similarly, in connection with an acquisition, we may acquire rights to require the issuers of acquired securities or their affiliates to repurchase them under certain circumstances. We do not intend to acquire securities issued by any investment company that exceed the limits imposed by the 1940 Act. Under these limits, we generally cannot acquire more than 3% of the voting stock of any investment company, invest more than 5% of the value of our total assets in the securities of one investment company or invest more than 10% of the value of our total assets in the securities of more than one investment company. With regard to that portion of our portfolio invested in securities issued by investment companies, it should be noted that such investments might subject our stockholders to additional expenses. We may enter into hedging transactions to manage the risks associated with interest rate fluctuations. None of these policies are fundamental and may be changed without stockholder approval.</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Qualifying Assets</w:t>
      </w:r>
    </w:p>
    <w:p>
      <w:pPr>
        <w:spacing w:after="0" w:line="121" w:lineRule="exact"/>
        <w:rPr>
          <w:sz w:val="20"/>
          <w:szCs w:val="20"/>
          <w:color w:val="auto"/>
        </w:rPr>
      </w:pPr>
    </w:p>
    <w:p>
      <w:pPr>
        <w:jc w:val="both"/>
        <w:ind w:right="320" w:firstLine="456"/>
        <w:spacing w:after="0" w:line="264" w:lineRule="auto"/>
        <w:rPr>
          <w:sz w:val="20"/>
          <w:szCs w:val="20"/>
          <w:color w:val="auto"/>
        </w:rPr>
      </w:pPr>
      <w:r>
        <w:rPr>
          <w:rFonts w:ascii="Arial" w:cs="Arial" w:eastAsia="Arial" w:hAnsi="Arial"/>
          <w:sz w:val="18"/>
          <w:szCs w:val="18"/>
          <w:color w:val="auto"/>
        </w:rPr>
        <w:t>Under the 1940 Act, a BDC may not acquire any asset other than assets of the type listed in Section 55(a) of the 1940 Act, which are referred to as qualifying assets, unless, at the time the acquisition is made, qualifying assets represent at least 70% of the BDC’s total assets. The principal categories of qualifying assets relevant to our business are the following:</w:t>
      </w:r>
    </w:p>
    <w:p>
      <w:pPr>
        <w:spacing w:after="0" w:line="87" w:lineRule="exact"/>
        <w:rPr>
          <w:sz w:val="20"/>
          <w:szCs w:val="20"/>
          <w:color w:val="auto"/>
        </w:rPr>
      </w:pPr>
    </w:p>
    <w:p>
      <w:pPr>
        <w:ind w:left="900" w:right="200" w:hanging="446"/>
        <w:spacing w:after="0" w:line="259" w:lineRule="auto"/>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under the 1940 Act to include any issuer which:</w:t>
      </w:r>
    </w:p>
    <w:p>
      <w:pPr>
        <w:spacing w:after="0" w:line="92" w:lineRule="exact"/>
        <w:rPr>
          <w:rFonts w:ascii="Arial" w:cs="Arial" w:eastAsia="Arial" w:hAnsi="Arial"/>
          <w:sz w:val="18"/>
          <w:szCs w:val="18"/>
          <w:color w:val="auto"/>
        </w:rPr>
      </w:pPr>
    </w:p>
    <w:p>
      <w:pPr>
        <w:ind w:left="1480" w:hanging="567"/>
        <w:spacing w:after="0"/>
        <w:tabs>
          <w:tab w:leader="none" w:pos="148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is organized under the laws of, and has its principal place of business in, the United States;</w:t>
      </w:r>
    </w:p>
    <w:p>
      <w:pPr>
        <w:spacing w:after="0" w:line="130" w:lineRule="exact"/>
        <w:rPr>
          <w:rFonts w:ascii="Arial" w:cs="Arial" w:eastAsia="Arial" w:hAnsi="Arial"/>
          <w:sz w:val="18"/>
          <w:szCs w:val="18"/>
          <w:color w:val="auto"/>
        </w:rPr>
      </w:pPr>
    </w:p>
    <w:p>
      <w:pPr>
        <w:ind w:left="1480" w:right="80" w:hanging="567"/>
        <w:spacing w:after="0" w:line="342" w:lineRule="auto"/>
        <w:tabs>
          <w:tab w:leader="none" w:pos="1480" w:val="left"/>
        </w:tabs>
        <w:numPr>
          <w:ilvl w:val="1"/>
          <w:numId w:val="110"/>
        </w:numPr>
        <w:rPr>
          <w:rFonts w:ascii="Arial" w:cs="Arial" w:eastAsia="Arial" w:hAnsi="Arial"/>
          <w:sz w:val="16"/>
          <w:szCs w:val="16"/>
          <w:color w:val="auto"/>
        </w:rPr>
      </w:pPr>
      <w:r>
        <w:rPr>
          <w:rFonts w:ascii="Arial" w:cs="Arial" w:eastAsia="Arial" w:hAnsi="Arial"/>
          <w:sz w:val="16"/>
          <w:szCs w:val="16"/>
          <w:color w:val="auto"/>
        </w:rPr>
        <w:t>is not an investment company (other than a small business investment company wholly-owned by the BDC) or a company that would be an investment company but is excluded from the definition of an investment company by Section 3(c) of the 1940 Act; and</w:t>
      </w:r>
    </w:p>
    <w:p>
      <w:pPr>
        <w:spacing w:after="0" w:line="29" w:lineRule="exact"/>
        <w:rPr>
          <w:rFonts w:ascii="Arial" w:cs="Arial" w:eastAsia="Arial" w:hAnsi="Arial"/>
          <w:sz w:val="16"/>
          <w:szCs w:val="16"/>
          <w:color w:val="auto"/>
        </w:rPr>
      </w:pPr>
    </w:p>
    <w:p>
      <w:pPr>
        <w:ind w:left="1480" w:hanging="567"/>
        <w:spacing w:after="0"/>
        <w:tabs>
          <w:tab w:leader="none" w:pos="148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satisfies any of the following:</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2"/>
          <w:numId w:val="110"/>
        </w:numPr>
        <w:rPr>
          <w:rFonts w:ascii="Arial" w:cs="Arial" w:eastAsia="Arial" w:hAnsi="Arial"/>
          <w:sz w:val="18"/>
          <w:szCs w:val="18"/>
          <w:color w:val="auto"/>
        </w:rPr>
      </w:pPr>
      <w:r>
        <w:rPr>
          <w:rFonts w:ascii="Arial" w:cs="Arial" w:eastAsia="Arial" w:hAnsi="Arial"/>
          <w:sz w:val="18"/>
          <w:szCs w:val="18"/>
          <w:color w:val="auto"/>
        </w:rPr>
        <w:t>does not have any class of securities listed on a national securities exchange;</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2"/>
          <w:numId w:val="110"/>
        </w:numPr>
        <w:rPr>
          <w:rFonts w:ascii="Arial" w:cs="Arial" w:eastAsia="Arial" w:hAnsi="Arial"/>
          <w:sz w:val="16"/>
          <w:szCs w:val="16"/>
          <w:color w:val="auto"/>
        </w:rPr>
      </w:pPr>
      <w:r>
        <w:rPr>
          <w:rFonts w:ascii="Arial" w:cs="Arial" w:eastAsia="Arial" w:hAnsi="Arial"/>
          <w:sz w:val="16"/>
          <w:szCs w:val="16"/>
          <w:color w:val="auto"/>
        </w:rPr>
        <w:t>has any class of securities listed on a national securities exchange subject to a maximum market capitalization of $250.0 million; or</w:t>
      </w:r>
    </w:p>
    <w:p>
      <w:pPr>
        <w:spacing w:after="0" w:line="153" w:lineRule="exact"/>
        <w:rPr>
          <w:rFonts w:ascii="Arial" w:cs="Arial" w:eastAsia="Arial" w:hAnsi="Arial"/>
          <w:sz w:val="16"/>
          <w:szCs w:val="16"/>
          <w:color w:val="auto"/>
        </w:rPr>
      </w:pPr>
    </w:p>
    <w:p>
      <w:pPr>
        <w:ind w:left="1920" w:right="80" w:hanging="440"/>
        <w:spacing w:after="0" w:line="264" w:lineRule="auto"/>
        <w:tabs>
          <w:tab w:leader="none" w:pos="1920" w:val="left"/>
        </w:tabs>
        <w:numPr>
          <w:ilvl w:val="2"/>
          <w:numId w:val="110"/>
        </w:numPr>
        <w:rPr>
          <w:rFonts w:ascii="Arial" w:cs="Arial" w:eastAsia="Arial" w:hAnsi="Arial"/>
          <w:sz w:val="18"/>
          <w:szCs w:val="18"/>
          <w:color w:val="auto"/>
        </w:rPr>
      </w:pPr>
      <w:r>
        <w:rPr>
          <w:rFonts w:ascii="Arial" w:cs="Arial" w:eastAsia="Arial" w:hAnsi="Arial"/>
          <w:sz w:val="18"/>
          <w:szCs w:val="18"/>
          <w:color w:val="auto"/>
        </w:rPr>
        <w:t>is controlled by a BDC, either alone or as part of a group acting together, and such BDC in fact exercises a controlling influence over the management or policies of such eligible portfolio company and, as a result of such control, has an affiliated person who is a director of such eligible portfolio company.</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Securities of any eligible portfolio company which we control.</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00"/>
          </w:cols>
          <w:pgMar w:left="240" w:top="459" w:right="25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line="312" w:lineRule="auto"/>
        <w:tabs>
          <w:tab w:leader="none" w:pos="90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Securities purchased in a private transaction from a U.S. operating company or from an affiliated person of the issuer, or in transactions incidental thereto, if such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52" w:lineRule="exact"/>
        <w:rPr>
          <w:rFonts w:ascii="Arial" w:cs="Arial" w:eastAsia="Arial" w:hAnsi="Arial"/>
          <w:sz w:val="16"/>
          <w:szCs w:val="16"/>
          <w:color w:val="auto"/>
        </w:rPr>
      </w:pPr>
    </w:p>
    <w:p>
      <w:pPr>
        <w:ind w:left="900" w:right="140" w:hanging="446"/>
        <w:spacing w:after="0" w:line="277" w:lineRule="auto"/>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75"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Securities received in exchange for or distributed on or with respect to securities described in (1) through (4) above, or pursuant to the exercise of warrants or rights relating to such securities.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Cash, cash equivalents, U.S. Government securities or high-quality debt securities maturing in one year or less from the time of investment.</w:t>
      </w:r>
    </w:p>
    <w:p>
      <w:pPr>
        <w:spacing w:after="0" w:line="237"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In addition, a BDC must have been organized and have its principal place of business in the United States and must be operated for the purpose of making investments in the types of securities described in (1), (2) or (3) above.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Assistance to Portfolio Companies</w:t>
      </w:r>
    </w:p>
    <w:p>
      <w:pPr>
        <w:spacing w:after="0" w:line="121"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As a BDC, we are required to make available managerial assistance to our portfolio companies that constitute a qualifying asset within the meaning of Section 55 of the 1940 Act. However, if a BDC purchases securities in conjunction with one or more other persons acting together, one of the other persons in the group may make available such managerial assistance. Making available managerial assistance means any arrangement whereby the BDC, through its directors, officers or employees, offers to provide, and, if accepted, does provide, significant guidance and counsel concerning the management, operations or business objectives and policies of a portfolio company. Our Administrator may provide such assistance on our behalf to portfolio companies that request such assistance. Officers of our Investment Adviser and Administrator provide assistance to our controlled affiliates.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Temporary Investments</w:t>
      </w:r>
    </w:p>
    <w:p>
      <w:pPr>
        <w:spacing w:after="0" w:line="121"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Pending investments in other types of qualifying assets, as described above, may consist of cash, cash equivalents, U.S. Government securities or high-quality debt securities maturing in one year or less from the time of investment, which we refer to, collectively, as temporary investments, so that 70% of our assets are qualifying assets. We may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total assets constitute repurchase agreements from a single counterparty, we would not meet the Diversification Tests, as defined later in this prospectus, in order to qualify as a RIC for federal income tax purposes. Thus, we do not intend to enter into repurchase agreements with a single counterparty in excess of this limit. Our Investment Adviser will monitor the creditworthiness of the counterparties with which we enter into repurchase agreement transactions.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Securities</w:t>
      </w:r>
    </w:p>
    <w:p>
      <w:pPr>
        <w:spacing w:after="0" w:line="121" w:lineRule="exact"/>
        <w:rPr>
          <w:sz w:val="20"/>
          <w:szCs w:val="20"/>
          <w:color w:val="auto"/>
        </w:rPr>
      </w:pPr>
    </w:p>
    <w:p>
      <w:pPr>
        <w:jc w:val="both"/>
        <w:ind w:right="220" w:firstLine="456"/>
        <w:spacing w:after="0" w:line="286" w:lineRule="auto"/>
        <w:rPr>
          <w:sz w:val="20"/>
          <w:szCs w:val="20"/>
          <w:color w:val="auto"/>
        </w:rPr>
      </w:pPr>
      <w:r>
        <w:rPr>
          <w:rFonts w:ascii="Arial" w:cs="Arial" w:eastAsia="Arial" w:hAnsi="Arial"/>
          <w:sz w:val="17"/>
          <w:szCs w:val="17"/>
          <w:color w:val="auto"/>
        </w:rPr>
        <w:t>We are permitted, under specified conditions, to issue multiple classes of indebtedness and one class of stock senior to our common stock if our asset coverage, as defined in the 1940 Act, is compliant with the 1940 Act, immediately after each such issuance. In addition, while any senior securities remain outstanding, we must make provisions to prohibit any distribution to our stockholders or the repurchase of such securities or shares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460" w:right="2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unless we meet the applicable asset coverage requirement at the time of the distribution or repurchase. We may also borrow amounts up to 5% of the value of our total assets for temporary or emergency purposes without regard to our asset coverage ratio. We received exemptive relief from the SEC allowing us to modify the asset coverage requirement to exclude the SBA debentures from the calculation. For a discussion of the risks associated with leverage, see “Risk Factors—Risks Relating to our Business and Structure—Regulations governing our operation as a business development company will affect our ability to, and the way in which we, raise additional capital” for more information.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Code of Ethics and Code of Conduct</w:t>
      </w:r>
    </w:p>
    <w:p>
      <w:pPr>
        <w:spacing w:after="0" w:line="12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 xml:space="preserve">We and PennantPark Investment Advisers have adopted a joint code of ethics pursuant to Rule 17j-1 under the 1940 Act and a code of conduct that establish procedures for personal investments and restricts certain personal securities transactions. Personnel subject to each code may invest in securities for their personal investment accounts, including securities that may be purchased or held by us, so long as such investments are made in accordance with the codes’ requirements. Our joint code of ethics and code of conduct are available, free of charge, on our website at </w:t>
      </w:r>
      <w:r>
        <w:rPr>
          <w:rFonts w:ascii="Arial" w:cs="Arial" w:eastAsia="Arial" w:hAnsi="Arial"/>
          <w:sz w:val="18"/>
          <w:szCs w:val="18"/>
          <w:i w:val="1"/>
          <w:iCs w:val="1"/>
          <w:u w:val="single" w:color="auto"/>
          <w:color w:val="auto"/>
        </w:rPr>
        <w:t>www.pennantpark.com</w:t>
      </w:r>
      <w:r>
        <w:rPr>
          <w:rFonts w:ascii="Arial" w:cs="Arial" w:eastAsia="Arial" w:hAnsi="Arial"/>
          <w:sz w:val="18"/>
          <w:szCs w:val="18"/>
          <w:color w:val="auto"/>
        </w:rPr>
        <w:t xml:space="preserve">. You may read and copy the code of ethics at the SEC’s Public Reference Room in Washington, D.C. You may obtain information on the operation of the Public Reference Room by calling the SEC at (202) 551-8090. In addition, the joint code of ethics is attached as an exhibit to our annual report on Form 10-K and is available on the EDGAR Database on the SEC's Internet site at </w:t>
      </w:r>
      <w:r>
        <w:rPr>
          <w:rFonts w:ascii="Arial" w:cs="Arial" w:eastAsia="Arial" w:hAnsi="Arial"/>
          <w:sz w:val="18"/>
          <w:szCs w:val="18"/>
          <w:i w:val="1"/>
          <w:iCs w:val="1"/>
          <w:u w:val="single" w:color="auto"/>
          <w:color w:val="auto"/>
        </w:rPr>
        <w:t>www.sec.gov</w:t>
      </w:r>
      <w:r>
        <w:rPr>
          <w:rFonts w:ascii="Arial" w:cs="Arial" w:eastAsia="Arial" w:hAnsi="Arial"/>
          <w:sz w:val="18"/>
          <w:szCs w:val="18"/>
          <w:color w:val="auto"/>
        </w:rPr>
        <w:t xml:space="preserve">. You may also obtain a copy of our joint code of ethics, after paying a duplicating fee, by electronic request at the following email address: </w:t>
      </w:r>
      <w:r>
        <w:rPr>
          <w:rFonts w:ascii="Arial" w:cs="Arial" w:eastAsia="Arial" w:hAnsi="Arial"/>
          <w:sz w:val="18"/>
          <w:szCs w:val="18"/>
          <w:i w:val="1"/>
          <w:iCs w:val="1"/>
          <w:u w:val="single" w:color="auto"/>
          <w:color w:val="auto"/>
        </w:rPr>
        <w:t>publicinfo@sec.gov</w:t>
      </w:r>
      <w:r>
        <w:rPr>
          <w:rFonts w:ascii="Arial" w:cs="Arial" w:eastAsia="Arial" w:hAnsi="Arial"/>
          <w:sz w:val="18"/>
          <w:szCs w:val="18"/>
          <w:color w:val="auto"/>
        </w:rPr>
        <w:t>, or by writing the SEC’s Public Reference Section, 100 F Street, N.E., Washington, D.C. 20549.</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Voting Policies and Procedures</w:t>
      </w:r>
    </w:p>
    <w:p>
      <w:pPr>
        <w:spacing w:after="0" w:line="121" w:lineRule="exact"/>
        <w:rPr>
          <w:sz w:val="20"/>
          <w:szCs w:val="20"/>
          <w:color w:val="auto"/>
        </w:rPr>
      </w:pPr>
    </w:p>
    <w:p>
      <w:pPr>
        <w:jc w:val="both"/>
        <w:ind w:right="40" w:firstLine="456"/>
        <w:spacing w:after="0" w:line="286" w:lineRule="auto"/>
        <w:rPr>
          <w:sz w:val="20"/>
          <w:szCs w:val="20"/>
          <w:color w:val="auto"/>
        </w:rPr>
      </w:pPr>
      <w:r>
        <w:rPr>
          <w:rFonts w:ascii="Arial" w:cs="Arial" w:eastAsia="Arial" w:hAnsi="Arial"/>
          <w:sz w:val="17"/>
          <w:szCs w:val="17"/>
          <w:color w:val="auto"/>
        </w:rPr>
        <w:t>We have delegated our proxy voting responsibility to our Investment Adviser. The Proxy Voting Policies and Procedures of our Investment Adviser are set forth below. The guidelines are reviewed periodically by our Investment Adviser and our non-interested directors, and, accordingly, are subject to change. For purposes of these Proxy Voting Policies and Procedures described below, “we,” “our” and “us” refers to our Investment Adviser.</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Introduction</w:t>
      </w:r>
    </w:p>
    <w:p>
      <w:pPr>
        <w:spacing w:after="0" w:line="117" w:lineRule="exact"/>
        <w:rPr>
          <w:sz w:val="20"/>
          <w:szCs w:val="20"/>
          <w:color w:val="auto"/>
        </w:rPr>
      </w:pPr>
    </w:p>
    <w:p>
      <w:pPr>
        <w:ind w:right="280" w:firstLine="456"/>
        <w:spacing w:after="0" w:line="308" w:lineRule="auto"/>
        <w:rPr>
          <w:sz w:val="20"/>
          <w:szCs w:val="20"/>
          <w:color w:val="auto"/>
        </w:rPr>
      </w:pPr>
      <w:r>
        <w:rPr>
          <w:rFonts w:ascii="Arial" w:cs="Arial" w:eastAsia="Arial" w:hAnsi="Arial"/>
          <w:sz w:val="17"/>
          <w:szCs w:val="17"/>
          <w:color w:val="auto"/>
        </w:rPr>
        <w:t>As an Investment Adviser registered under the Advisers Act, we have a fiduciary duty to act solely in the best interests of our clients. As part of this duty, we recognize that we must vote client securities in a timely manner free of conflicts of interest and in the best interests of our clients.</w:t>
      </w:r>
    </w:p>
    <w:p>
      <w:pPr>
        <w:spacing w:after="0" w:line="147"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These policies and procedures for voting proxies for our investment advisory clients are intended to comply with Section 206 of, and Rule 206(4)-6 under, the Advisers Act.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Proxy Policies</w:t>
      </w:r>
    </w:p>
    <w:p>
      <w:pPr>
        <w:spacing w:after="0" w:line="1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vote proxies relating to our portfolio securities in what we perceive to be the best interest of our clients’ stockholders. We review on a case-by-case basis each proposal submitted to a stockholder vote to determine its impact on the portfolio securities held by our clients. Although we will generally vote against proposals that may have a negative impact on our clients’ portfolio securities, we may vote for such a proposal if there exists compelling long-term reasons to do so.</w:t>
      </w:r>
    </w:p>
    <w:p>
      <w:pPr>
        <w:spacing w:after="0" w:line="18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proxy voting decisions are made by the senior officers who are responsible for monitoring each of our clients’ investments. To ensure that our vote is not the product of a conflict of interest, we require that: (1) anyone involved in the decision making process disclose to our Chief Compliance Officer any potential conflict that he or she is aware of and any contact that he or she has had with any interested party regarding a proxy vote; and (2) employees involved in the decision making process or vote administration are prohibited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00"/>
          </w:cols>
          <w:pgMar w:left="240" w:top="460" w:right="25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from revealing how we intend to vote on a proposal in order to reduce any attempted influence from interested parties.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Proxy Voting Records</w:t>
      </w:r>
    </w:p>
    <w:p>
      <w:pPr>
        <w:spacing w:after="0" w:line="117" w:lineRule="exact"/>
        <w:rPr>
          <w:sz w:val="20"/>
          <w:szCs w:val="20"/>
          <w:color w:val="auto"/>
        </w:rPr>
      </w:pPr>
    </w:p>
    <w:p>
      <w:pPr>
        <w:ind w:right="380" w:firstLine="456"/>
        <w:spacing w:after="0" w:line="342" w:lineRule="auto"/>
        <w:rPr>
          <w:sz w:val="20"/>
          <w:szCs w:val="20"/>
          <w:color w:val="auto"/>
        </w:rPr>
      </w:pPr>
      <w:r>
        <w:rPr>
          <w:rFonts w:ascii="Arial" w:cs="Arial" w:eastAsia="Arial" w:hAnsi="Arial"/>
          <w:sz w:val="16"/>
          <w:szCs w:val="16"/>
          <w:color w:val="auto"/>
        </w:rPr>
        <w:t>You may obtain information about how we voted proxies, free of charge, by calling us collect at (212) 905-1000 or by making a written request for proxy voting information to: Aviv Efrat, Chief Financial Officer and Treasurer, 590 Madison Avenue, 15</w:t>
      </w:r>
      <w:r>
        <w:rPr>
          <w:rFonts w:ascii="Arial" w:cs="Arial" w:eastAsia="Arial" w:hAnsi="Arial"/>
          <w:sz w:val="13"/>
          <w:szCs w:val="13"/>
          <w:color w:val="auto"/>
        </w:rPr>
        <w:t>th</w:t>
      </w:r>
      <w:r>
        <w:rPr>
          <w:rFonts w:ascii="Arial" w:cs="Arial" w:eastAsia="Arial" w:hAnsi="Arial"/>
          <w:sz w:val="16"/>
          <w:szCs w:val="16"/>
          <w:color w:val="auto"/>
        </w:rPr>
        <w:t xml:space="preserve"> Floor, New York, New York 10022.</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Protection Principles</w:t>
      </w:r>
    </w:p>
    <w:p>
      <w:pPr>
        <w:spacing w:after="0" w:line="12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181" w:lineRule="exact"/>
        <w:rPr>
          <w:sz w:val="20"/>
          <w:szCs w:val="20"/>
          <w:color w:val="auto"/>
        </w:rPr>
      </w:pPr>
    </w:p>
    <w:p>
      <w:pPr>
        <w:jc w:val="both"/>
        <w:ind w:right="80" w:firstLine="456"/>
        <w:spacing w:after="0" w:line="312" w:lineRule="auto"/>
        <w:rPr>
          <w:sz w:val="20"/>
          <w:szCs w:val="20"/>
          <w:color w:val="auto"/>
        </w:rPr>
      </w:pPr>
      <w:r>
        <w:rPr>
          <w:rFonts w:ascii="Arial" w:cs="Arial" w:eastAsia="Arial" w:hAnsi="Arial"/>
          <w:sz w:val="16"/>
          <w:szCs w:val="16"/>
          <w:color w:val="auto"/>
        </w:rPr>
        <w:t>Generally, we do not receive any non-public personal information relating to our stockholders, although certain non-public personal information of our stockholders may become available to us. We do not disclose any non-public personal information about our stockholders or former stockholders to anyone, except as permitted by law or as is necessary in order to service stockholder accounts (for example, to a transfer agent or third party administrator).</w:t>
      </w:r>
    </w:p>
    <w:p>
      <w:pPr>
        <w:spacing w:after="0" w:line="147"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We restrict access to non-public personal information about our stockholders to employees of our Investment Adviser and its affiliates with a legitimate business need for the information. We maintain physical, electronic and procedural safeguards designed to protect the non-public personal information of our stockholders.</w:t>
      </w:r>
    </w:p>
    <w:p>
      <w:pPr>
        <w:spacing w:after="0" w:line="181"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 xml:space="preserve">Our privacy protection policies are available, free of charge, on our website at </w:t>
      </w:r>
      <w:r>
        <w:rPr>
          <w:rFonts w:ascii="Arial" w:cs="Arial" w:eastAsia="Arial" w:hAnsi="Arial"/>
          <w:sz w:val="17"/>
          <w:szCs w:val="17"/>
          <w:i w:val="1"/>
          <w:iCs w:val="1"/>
          <w:u w:val="single" w:color="auto"/>
          <w:color w:val="auto"/>
        </w:rPr>
        <w:t>www.pennantpark.com</w:t>
      </w:r>
      <w:r>
        <w:rPr>
          <w:rFonts w:ascii="Arial" w:cs="Arial" w:eastAsia="Arial" w:hAnsi="Arial"/>
          <w:sz w:val="17"/>
          <w:szCs w:val="17"/>
          <w:color w:val="auto"/>
        </w:rPr>
        <w:t xml:space="preserve">. In addition, the privacy policy is available on the EDGAR Database on the SEC’s Internet site at </w:t>
      </w:r>
      <w:r>
        <w:rPr>
          <w:rFonts w:ascii="Arial" w:cs="Arial" w:eastAsia="Arial" w:hAnsi="Arial"/>
          <w:sz w:val="17"/>
          <w:szCs w:val="17"/>
          <w:i w:val="1"/>
          <w:iCs w:val="1"/>
          <w:u w:val="single" w:color="auto"/>
          <w:color w:val="auto"/>
        </w:rPr>
        <w:t>www.sec.gov</w:t>
      </w:r>
      <w:r>
        <w:rPr>
          <w:rFonts w:ascii="Arial" w:cs="Arial" w:eastAsia="Arial" w:hAnsi="Arial"/>
          <w:sz w:val="17"/>
          <w:szCs w:val="17"/>
          <w:color w:val="auto"/>
        </w:rPr>
        <w:t xml:space="preserve">, filed as an exhibit to our annual report on Form 10-K (File No. 814-00736), filed on November 16, 2011. You may also obtain copies of our privacy policy, after paying a duplicating fee, by electronic request at the following email address: </w:t>
      </w:r>
      <w:r>
        <w:rPr>
          <w:rFonts w:ascii="Arial" w:cs="Arial" w:eastAsia="Arial" w:hAnsi="Arial"/>
          <w:sz w:val="17"/>
          <w:szCs w:val="17"/>
          <w:i w:val="1"/>
          <w:iCs w:val="1"/>
          <w:u w:val="single" w:color="auto"/>
          <w:color w:val="auto"/>
        </w:rPr>
        <w:t>publicinfo@sec.gov</w:t>
      </w:r>
      <w:r>
        <w:rPr>
          <w:rFonts w:ascii="Arial" w:cs="Arial" w:eastAsia="Arial" w:hAnsi="Arial"/>
          <w:sz w:val="17"/>
          <w:szCs w:val="17"/>
          <w:color w:val="auto"/>
        </w:rPr>
        <w:t>, or by writing the SEC’s Public Reference Section, 100 F Street, N.E., Washington, D.C. 20549.</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21"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We may also be prohibited under the 1940 Act from knowingly participating in certain transactions with our affiliates without the prior approval of our board of directors, including a majority of our directors who are not interested persons of us and, in some cases, prior approval by the SEC.</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be periodically examined by the SEC and SBA for compliance with the 1940 Act and 1958 Act, respectively.</w:t>
      </w:r>
    </w:p>
    <w:p>
      <w:pPr>
        <w:spacing w:after="0" w:line="225"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color w:val="auto"/>
        </w:rPr>
        <w:t>We are required by law to provide and maintain a bond issued by a reputable fidelity insurance company to protect us against larceny and embezzlement. Furthermore, as a BDC, we are prohibited from protecting any director or officer against any liability to PennantPark Investment or our stockholders arising from willful misfeasance, bad faith, gross negligence or reckless disregard of the duties involved in the conduct of such person’s office.</w:t>
      </w:r>
    </w:p>
    <w:p>
      <w:pPr>
        <w:spacing w:after="0" w:line="14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and PennantPark Investment Advisers have each adopted and implemented written policies and procedures reasonably designed to prevent violation of the federal securities laws. We review these policies and procedures annually for their adequacy and the effectiveness of their implementation, and we designate a Chief Compliance Officer to be responsible for administering the policies and procedures.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459" w:right="2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Sarbanes-Oxley Act of 2002</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Sarbanes-Oxley Act imposes several regulatory requirements on publicly held companies and their insiders. Many of these requirements affect us.</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example:</w:t>
      </w:r>
    </w:p>
    <w:p>
      <w:pPr>
        <w:spacing w:after="0" w:line="131" w:lineRule="exact"/>
        <w:rPr>
          <w:sz w:val="20"/>
          <w:szCs w:val="20"/>
          <w:color w:val="auto"/>
        </w:rPr>
      </w:pPr>
    </w:p>
    <w:p>
      <w:pPr>
        <w:ind w:left="900" w:right="140" w:hanging="325"/>
        <w:spacing w:after="0" w:line="277" w:lineRule="auto"/>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pursuant to Rule 13a-14 of the Exchange Act, our Chief Executive Officer and Chief Financial Officer must certify the accuracy of the financial statements contained in our periodic reports;</w:t>
      </w:r>
    </w:p>
    <w:p>
      <w:pPr>
        <w:spacing w:after="0" w:line="75"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pursuant to Item 307 of Regulation S-K, our periodic reports must disclose our conclusions about the effectiveness of our disclosure controls and procedures;</w:t>
      </w:r>
    </w:p>
    <w:p>
      <w:pPr>
        <w:spacing w:after="0" w:line="75"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pursuant to Rule 13a-15 of the Exchange Act, our management must prepare an annual report regarding its assessment of our internal controls over financial reporting; and</w:t>
      </w:r>
    </w:p>
    <w:p>
      <w:pPr>
        <w:spacing w:after="0" w:line="75" w:lineRule="exact"/>
        <w:rPr>
          <w:rFonts w:ascii="Arial" w:cs="Arial" w:eastAsia="Arial" w:hAnsi="Arial"/>
          <w:sz w:val="18"/>
          <w:szCs w:val="18"/>
          <w:color w:val="auto"/>
        </w:rPr>
      </w:pPr>
    </w:p>
    <w:p>
      <w:pPr>
        <w:jc w:val="both"/>
        <w:ind w:left="900" w:right="140" w:hanging="325"/>
        <w:spacing w:after="0" w:line="312" w:lineRule="auto"/>
        <w:tabs>
          <w:tab w:leader="none" w:pos="90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pursuant to Item 308 of Regulation S-K and Rule 13a-15 of the Exchange Act, our periodic reports must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255"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The Sarbanes-Oxley Act requires us to review our current policies and procedures to determine whether we comply with the Sarbanes-Oxley Act and the regulations promulgated there-under. We continue to monitor our compliance with all regulations that are adopted under the Sarbanes-Oxley Act and continue to take actions necessary to ensure that we are in compliance with that act.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Small Business Administration Regulations</w:t>
      </w:r>
    </w:p>
    <w:p>
      <w:pPr>
        <w:spacing w:after="0" w:line="12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SBIC LP and SBIC II are licensed under the SBA as SBICs under Section 301(c) of the 1958 Act. SBIC LP and SBIC II received their licenses in July 2010 and January 2013, respectively.</w:t>
      </w:r>
    </w:p>
    <w:p>
      <w:pPr>
        <w:spacing w:after="0" w:line="62"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SBICs are designed to stimulate the flow of capital to businesses that meet specified eligibility requirements discussed below. Under SBA regulations, our SBIC Funds are subject to regulatory requirements including making investments in SBA eligible businesses, investing at least 25% of regulatory capital in eligible smaller businesses, placing certain limitations on the financing terms of investments, prohibiting investing in certain industries, and required capitalization thresholds among other regulations. Furthermore, our SBIC Funds are subject to periodic audits and examinations of their financial statements that are prepared on a basis of accounting other than GAAP pursuant to SBA accounting standards and financial reporting requirements for SBICs. For example, SBIC LP does not use fair value accounting on its assets or liabilities under SBA valuation guidelines. If either of our SBIC Funds fails to comply with applicable SBA regulations, the SBA could, depending on the severity of the violation, limit or prohibit use of debentures, declare outstanding debentures immediately due and payable, and/or limit our SBIC Funds from making new investments. In addition, the SBA can revoke or suspend a license for willful or repeated violation of, or willful or repeated failure to observe, any provision of the 1958 Act or any rule or regulation promulgated thereunder. These actions by the SBA would, in turn, negatively affect us because our SBIC Funds are our wholly owned subsidiaries.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Eligible Small and Smaller Businesses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Under present SBA regulations, eligible small business include businesses that (together with their affiliates) have tangible net worth not exceeding $18.0 million and have average annual net income of $6.0 million for the two most recent fiscal years. In addition, each of our SBIC Funds must invest at least 25% of investments in “smaller” concerns. A smaller concern is a business that has tangible net worth not exceeding $6.0 million and has average annual net income not exceeding $2.0 million for the two most recent fiscal years or, as an alternative to the aforementioned requirement, meet the size requirements based on either the number of</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20"/>
          </w:cols>
          <w:pgMar w:left="240" w:top="460" w:right="2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employees or gross revenue, which is based on the industry in which the smaller concern operates. Once an SBIC has invested in a company, it may continue to make follow-on investments in the company, regardless of the size of the business, up and until the time a business offers its securities in a public market.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Limitations, Terms and Changes in Control</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SBA prohibits an SBIC from financing small businesses in certain industries such as relending, gambling, oil and gas exploration and other passive businesses. Additional SBA prohibitions include investing outside the United States, investing more than 20% of regulatory capital in one company and lending money to any officer, director or employee or to invest in any affiliate thereof. The SBA places certain limits on the financing terms of investments by our SBIC Funds in portfolio companies such as limiting the interest rate on debt securities and loans provided to portfolio companies. The SBA also limits fees, prepayment terms and other economic arrangements that are typically charged in lending arrangements.</w:t>
      </w:r>
    </w:p>
    <w:p>
      <w:pPr>
        <w:spacing w:after="0" w:line="17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SBA also prohibits, without prior written approval, a “change in control” of our SBIC Funds or transfers that would result in any person or group owning 10% or more of a class of capital stock (or its equivalent in the case of a partnership) of a licensed SBIC. A “change of control” is any event which would result in the transfer of power, direct or indirect, to direct management and policies of an SBIC, whether through ownership, contractual arrangements or otherwise.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Idle Funds Limitation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SBA limits an SBIC from investing idle funds to the following types of securities:</w:t>
      </w:r>
    </w:p>
    <w:p>
      <w:pPr>
        <w:spacing w:after="0" w:line="131" w:lineRule="exact"/>
        <w:rPr>
          <w:sz w:val="20"/>
          <w:szCs w:val="20"/>
          <w:color w:val="auto"/>
        </w:rPr>
      </w:pPr>
    </w:p>
    <w:p>
      <w:pPr>
        <w:ind w:left="900" w:right="360" w:hanging="325"/>
        <w:spacing w:after="0" w:line="277" w:lineRule="auto"/>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direct obligations of, or obligations guaranteed as to principal and interest by, the United States government, which mature within 15 months from the date of the investment;</w:t>
      </w:r>
    </w:p>
    <w:p>
      <w:pPr>
        <w:spacing w:after="0" w:line="75" w:lineRule="exact"/>
        <w:rPr>
          <w:rFonts w:ascii="Arial" w:cs="Arial" w:eastAsia="Arial" w:hAnsi="Arial"/>
          <w:sz w:val="18"/>
          <w:szCs w:val="18"/>
          <w:color w:val="auto"/>
        </w:rPr>
      </w:pPr>
    </w:p>
    <w:p>
      <w:pPr>
        <w:ind w:left="900" w:right="440" w:hanging="325"/>
        <w:spacing w:after="0" w:line="277" w:lineRule="auto"/>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repurchase agreements with federally insured institutions with a maturity of seven days or less (and the securities underlying the repurchase obligations must be direct obligations of or guaranteed by the federal government);</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certificates of deposit with a maturity of one year or less, issued by a federally insured institution;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 deposit account in a federally insured institution that is subject to withdrawal restriction of one year or less.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SBA Leverage or Debentures</w:t>
      </w:r>
    </w:p>
    <w:p>
      <w:pPr>
        <w:spacing w:after="0" w:line="11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SBA-guaranteed debentures are non-recourse to us, have a 10-year maturity, and may be prepaid at any time without penalty. The interest rate of SBA-guaranteed debentures is fixed at the time of issuance at a market-driven spread over 10-year U.S. Treasury Notes. Leverage through SBA-guaranteed debentures is subject to required capitalization thresholds. SBA current regulations limit the amount that an SBIC may borrow to a maximum of $150 million, which is up to twice its regulatory capital, and a maximum of $225 million as part of a group of SBICs under common control.</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00"/>
          </w:cols>
          <w:pgMar w:left="240" w:top="459" w:right="25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BROKERAGE ALLOCATIONS AND OTHER PRACTICES</w:t>
      </w:r>
    </w:p>
    <w:p>
      <w:pPr>
        <w:spacing w:after="0" w:line="22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Since we generally acquire and dispose of our investments in privately negotiated transactions, we infrequently use brokers in the normal course of our business. Subject to policies established by our board of directors, the Investment Adviser is primarily responsible for the execution of the publicly traded securities portion of our portfolio transactions and the allocation of brokerage commissions. The Investment Adviser does not expect to execute transactions through any particular broker or dealer, but seeks to obtain the best net results for PennantPark Investment, taking into account such factors as price (including the applicable brokerage commission or dealer spread), size of order, difficulty of execution, and operational facilities of the brokerage firm and the firm’s risk and skill in positioning blocks of securities. While the Investment Adviser generally seeks reasonably competitive trade execution costs, PennantPark Investment will not necessarily pay the lowest spread or commission available. Subject to applicable legal requirements, the Investment Adviser may select a broker based partly upon brokerage or research services provided to the Investment Adviser and PennantPark Investment and any other clients. In return for such services, we may pay a higher commission than other brokers would charge if the Investment Adviser determines in good faith that such commission is reasonable in relation to the services provided.</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360"/>
          </w:cols>
          <w:pgMar w:left="240" w:top="460" w:right="29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229"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following discussion is a general summary of the material U.S. federal income tax considerations applicable to us and to an investment in our common stock. This summary does not purport to be a complete description of the income tax considerations applicable to an investment in any of our securities. For example, we have not described tax consequences that we assume to be generally known by investors or certain considerations that may be relevant to certain types of holders subject to special treatment under U.S. federal income tax laws, including stockholders subject to the alternative minimum tax, tax-exempt organizations, insurance companies, dealers in securities, pension plans and trusts, and financial institutions. This summary assumes that investors hold our common stock as capital assets (within the meaning of the Code). The discussion is based upon the Code, Treasury regulations, and administrative and judicial interpretations, each as of the date of this prospectus and all of which are subject to change, possibly retroactively, which could affect the continuing validity of this discussion. We have not sought and will not seek any ruling from the Internal Revenue Service regarding this offering. This summary does not discuss any aspects of U.S. estate or gift tax or foreign, state or local tax. It does not discuss the special treatment under U.S. federal income tax laws that could result if we invested in tax-exempt securities or certain other investment assets.</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“U.S. stockholder” generally is a beneficial owner of shares of our common stock that is for U.S. federal income tax purposes:</w:t>
      </w:r>
    </w:p>
    <w:p>
      <w:pPr>
        <w:spacing w:after="0" w:line="131" w:lineRule="exact"/>
        <w:rPr>
          <w:sz w:val="20"/>
          <w:szCs w:val="20"/>
          <w:color w:val="auto"/>
        </w:rPr>
      </w:pPr>
    </w:p>
    <w:p>
      <w:pPr>
        <w:ind w:left="900" w:hanging="325"/>
        <w:spacing w:after="0"/>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or any state thereof or the District of Columbia; 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 trust or an estate, the income of which is subject to U.S. federal income taxation regardless of its source.</w:t>
      </w:r>
    </w:p>
    <w:p>
      <w:pPr>
        <w:spacing w:after="0" w:line="225"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A “Non-U.S. stockholder” is a beneficial owner of shares of our common stock that is neither a U.S. stockholder nor a partnership for U.S. federal income tax purposes.</w:t>
      </w:r>
    </w:p>
    <w:p>
      <w:pPr>
        <w:spacing w:after="0" w:line="17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If a partnership (including an entity treated as a partnership for U.S. federal income tax purposes) holds shares of our common stock, the tax treatment of a partner in the partnership will generally depend upon the status of the partner and the activities of the partnership. A prospective stockholder that is a partner of a partnership holding shares of our common stock should consult its tax advisors with respect to the purchase, ownership and disposition of shares of our common stock.</w:t>
      </w:r>
    </w:p>
    <w:p>
      <w:pPr>
        <w:spacing w:after="0" w:line="18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Tax matters are very complicated and the tax consequences to an investor of an investment in our shares will depend on the facts of his, her or its particular situation. We encourage investors to consult their own tax advisors regarding the specific consequences of such an investment, including tax reporting requirements, the applicability of federal, state, local and foreign tax laws, eligibility for the benefits of any applicable tax treaty and the effect of any possible changes in the tax laws.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in Connection with Holding Securities other than our Common Stock</w:t>
      </w:r>
    </w:p>
    <w:p>
      <w:pPr>
        <w:spacing w:after="0" w:line="121" w:lineRule="exact"/>
        <w:rPr>
          <w:sz w:val="20"/>
          <w:szCs w:val="20"/>
          <w:color w:val="auto"/>
        </w:rPr>
      </w:pPr>
    </w:p>
    <w:p>
      <w:pPr>
        <w:ind w:right="220" w:firstLine="456"/>
        <w:spacing w:after="0" w:line="276" w:lineRule="auto"/>
        <w:rPr>
          <w:sz w:val="20"/>
          <w:szCs w:val="20"/>
          <w:color w:val="auto"/>
        </w:rPr>
      </w:pPr>
      <w:r>
        <w:rPr>
          <w:rFonts w:ascii="Arial" w:cs="Arial" w:eastAsia="Arial" w:hAnsi="Arial"/>
          <w:sz w:val="17"/>
          <w:szCs w:val="17"/>
          <w:color w:val="auto"/>
        </w:rPr>
        <w:t>We intend to describe in any prospectus supplement related to the offering of preferred stock, debt securities, warrants or rights offerings to purchase our common stock, the U.S. federal income tax considerations applicable to such securities as will be sold by us pursuant to that supplement, including the taxation of any debt securities that will be sold at an original issue discount or acquired with market discount or amortizable bond premium and the tax treatment of sales, exchanges or retirements of our debt securities. In addition, we may describe in the applicable prospectus supplement the U.S. federal income tax considerations applicable to holders of our debt securities who are not “U.S. persons.”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00"/>
          </w:cols>
          <w:pgMar w:left="240" w:top="460" w:right="25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to be Taxed as a RIC</w:t>
      </w:r>
    </w:p>
    <w:p>
      <w:pPr>
        <w:spacing w:after="0" w:line="121"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We have elected to be taxed, and intend to qualify annually to maintain our election to be taxed, as a RIC under Subchapter M of the Code. To maintain our RIC tax election, we must, among other requirements, meet certain source-of-income and quarterly asset diversification requirements (as described below). We also must annually distribute at least 90% of the sum of our ordinary income and realized net short-term capital gains in excess of realized net long-term capital losses, if any, out of the assets legally available for distribution, or the Annual Distribution Requirement. Although not required for us to maintain our RIC tax status, in order to preclude the imposition of a 4% nondeductible federal excise tax imposed on RICs, we must distribute during each calendar year an amount at least equal to the sum of (1) 98% of our net ordinary income for the calendar year, (2) 98.2% of the sum of our realized net capital gains for the one-year period ending on October 31 of the calendar year and (3) the sum of any net ordinary income plus net capital gains and net ordinary gains for preceding years that were not distributed during such years, or the Excise Tax Avoidance Requirement. In addition, although we may distribute realized net capital gains (i.e., net long-term capital gains in excess of short-term capital losses), if any, at least annually, out of the assets legally available for such distributions in the manner described above, we have retained and may continue to retain such net capital gains or ordinary income to provide us with additional liquidity.</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order to qualify as a RIC for federal income tax purposes, we must:</w:t>
      </w:r>
    </w:p>
    <w:p>
      <w:pPr>
        <w:spacing w:after="0" w:line="131" w:lineRule="exact"/>
        <w:rPr>
          <w:sz w:val="20"/>
          <w:szCs w:val="20"/>
          <w:color w:val="auto"/>
        </w:rPr>
      </w:pPr>
    </w:p>
    <w:p>
      <w:pPr>
        <w:ind w:left="900" w:hanging="325"/>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maintain an election to be treated as a BDC under the 1940 Act at all times during each taxable year;</w:t>
      </w:r>
    </w:p>
    <w:p>
      <w:pPr>
        <w:spacing w:after="0" w:line="130" w:lineRule="exact"/>
        <w:rPr>
          <w:rFonts w:ascii="Arial" w:cs="Arial" w:eastAsia="Arial" w:hAnsi="Arial"/>
          <w:sz w:val="18"/>
          <w:szCs w:val="18"/>
          <w:color w:val="auto"/>
        </w:rPr>
      </w:pPr>
    </w:p>
    <w:p>
      <w:pPr>
        <w:ind w:left="900" w:right="200" w:hanging="325"/>
        <w:spacing w:after="0" w:line="264" w:lineRule="auto"/>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derive in each taxable year at least 90% of our gross income from dividends, interest, payments with respect to certain securities loans, gains from the sale of stock or other securities, net income from certain qualified publicly traded partnerships or other income derived with respect to our business of investing in such stock or securities, or the 90% Income Test; and</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diversify our holdings, or the Diversification Tests, so that at the end of each quarter of the taxable year:</w:t>
      </w:r>
    </w:p>
    <w:p>
      <w:pPr>
        <w:spacing w:after="0" w:line="130" w:lineRule="exact"/>
        <w:rPr>
          <w:rFonts w:ascii="Arial" w:cs="Arial" w:eastAsia="Arial" w:hAnsi="Arial"/>
          <w:sz w:val="18"/>
          <w:szCs w:val="18"/>
          <w:color w:val="auto"/>
        </w:rPr>
      </w:pPr>
    </w:p>
    <w:p>
      <w:pPr>
        <w:ind w:left="1480" w:right="140" w:hanging="567"/>
        <w:spacing w:after="0" w:line="264" w:lineRule="auto"/>
        <w:tabs>
          <w:tab w:leader="none" w:pos="148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at least 50% of the value of our assets consists of cash, cash equivalents, U.S. Government securities, securities of other RICs, and other securities if such other securities of any one issuer neither represents more than 5% of the value of our assets nor more than 10% of the outstanding voting securities of the issuer; and</w:t>
      </w:r>
    </w:p>
    <w:p>
      <w:pPr>
        <w:spacing w:after="0" w:line="86" w:lineRule="exact"/>
        <w:rPr>
          <w:rFonts w:ascii="Arial" w:cs="Arial" w:eastAsia="Arial" w:hAnsi="Arial"/>
          <w:sz w:val="18"/>
          <w:szCs w:val="18"/>
          <w:color w:val="auto"/>
        </w:rPr>
      </w:pPr>
    </w:p>
    <w:p>
      <w:pPr>
        <w:ind w:left="1480" w:right="180" w:hanging="567"/>
        <w:spacing w:after="0" w:line="286" w:lineRule="auto"/>
        <w:tabs>
          <w:tab w:leader="none" w:pos="1480" w:val="left"/>
        </w:tabs>
        <w:numPr>
          <w:ilvl w:val="1"/>
          <w:numId w:val="115"/>
        </w:numPr>
        <w:rPr>
          <w:rFonts w:ascii="Arial" w:cs="Arial" w:eastAsia="Arial" w:hAnsi="Arial"/>
          <w:sz w:val="17"/>
          <w:szCs w:val="17"/>
          <w:color w:val="auto"/>
        </w:rPr>
      </w:pPr>
      <w:r>
        <w:rPr>
          <w:rFonts w:ascii="Arial" w:cs="Arial" w:eastAsia="Arial" w:hAnsi="Arial"/>
          <w:sz w:val="17"/>
          <w:szCs w:val="17"/>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qualified publicly traded partnerships.</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Taxation as a RIC</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we qualify as a RIC, and satisfy the Annual Distribution Requirement, then we will not be subject to federal income tax on the portion of our investment company taxable income and net capital gain (i.e., realized net long-term capital gains in excess of realized net short-term capital losses) we distribute to stockholders. We will be subject to U.S. federal income tax at the regular corporate rates on any income or capital gain not distributed (or deemed distributed) to our stockholders.</w:t>
      </w:r>
    </w:p>
    <w:p>
      <w:pPr>
        <w:spacing w:after="0" w:line="18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may be required to recognize taxable income in circumstances in which we do not receive cash. For example, if we hold debt obligations that are treated under applicable tax rules as having OID (such as debt instruments with PIK interest or, in certain cases, increasing interest rates or issued with warrants), we must include in income each year a portion of the OID that accrues over the life of the obligation, regardless of whether cash representing such income is received by us in the same taxable year. Because any OID accrued will be included in our investment company taxable income in the year of accrual, we may be required to make a distribution to our stockholders in order to satisfy the Annual Distribution Requirement, even though we will not have received any corresponding cash amount.</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20"/>
          </w:cols>
          <w:pgMar w:left="240" w:top="460" w:right="2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Gain or loss realized by us from warrants acquired by us as well as any loss attributable to the lapse of such warrants generally will be treated as capital gain or loss. Such gain or loss generally will be long-term or short-term, depending on how long we held a particular warrant.</w:t>
      </w:r>
    </w:p>
    <w:p>
      <w:pPr>
        <w:spacing w:after="0" w:line="170"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Although we do not presently expect to do so, we are authorized to borrow funds and to sell assets in order to satisfy distribution requirements. However, under the 1940 Act, we are not permitted to make distributions to our stockholders while our debt obligations and other senior securities are outstanding unless certain asset coverage requirements are met.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193"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We may distribute our common stock as a dividend of our taxable income and a stockholder could receive a portion of the dividends declared and distributed by us in shares of our common stock with the remaining amount in cash. A stockholder will be considered to have recognized dividend income equal to the fair market value of the stock paid by us plus cash received with respect to such dividend. The total dividend declared would be taxable income to a stockholder even though he or she may only receive a relatively small portion of the dividend in cash to pay any taxes due on the dividend. We have not elected to distribute stock as a dividend but reserve the right to do so.</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Failure to Qualify as a RIC</w:t>
      </w:r>
    </w:p>
    <w:p>
      <w:pPr>
        <w:spacing w:after="0" w:line="11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If we fail to satisfy the Annual Distribution Requirement or fail to qualify as a RIC in any taxable year, unless certain cure provisions apply, we will be subject to tax in that year on all of our taxable income, regardless of whether we make any distributions to our stockholders. In that case, all of our income will be subject to corporate-level federal income tax, reducing the amount available to be distributed to our stockholders. In contrast, assuming we qualify as a RIC, our corporate-level federal income tax should be substantially reduced or eliminated. See “Election to be Taxed as a RIC” above for more information.</w:t>
      </w:r>
    </w:p>
    <w:p>
      <w:pPr>
        <w:spacing w:after="0" w:line="154"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If we are unable to maintain our status as a RIC, we would be subject to tax on all of our taxable income at regular corporate rates. We would not be able to deduct distributions to stockholders, nor would distributions be required to be made. Distributions would generally be taxable to our stockholders as ordinary distribution income eligible for a preferential maximum rate to the extent of our current and accumulated earnings and profits. Subject to certain limitations under the Code, dividends paid by us to corporate stockholders would be eligible for the dividends received deduction. Distributions in excess of our current and accumulated earnings and profits would be treated first as a return of capital to the extent of the stockholder’s tax basis in our common stock, and any remaining distributions would be treated as a capital gain.</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remainder of this discussion assumes that we qualify as a RIC and have satisfied the Annual Distribution Requirement.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U.S. Stockholders</w:t>
      </w:r>
    </w:p>
    <w:p>
      <w:pPr>
        <w:spacing w:after="0" w:line="121" w:lineRule="exact"/>
        <w:rPr>
          <w:sz w:val="20"/>
          <w:szCs w:val="20"/>
          <w:color w:val="auto"/>
        </w:rPr>
      </w:pPr>
    </w:p>
    <w:p>
      <w:pPr>
        <w:ind w:right="180" w:firstLine="456"/>
        <w:spacing w:after="0" w:line="273" w:lineRule="auto"/>
        <w:rPr>
          <w:sz w:val="20"/>
          <w:szCs w:val="20"/>
          <w:color w:val="auto"/>
        </w:rPr>
      </w:pPr>
      <w:r>
        <w:rPr>
          <w:rFonts w:ascii="Arial" w:cs="Arial" w:eastAsia="Arial" w:hAnsi="Arial"/>
          <w:sz w:val="17"/>
          <w:szCs w:val="17"/>
          <w:color w:val="auto"/>
        </w:rPr>
        <w:t>Distributions by us generally are taxable to U.S. stockholders as ordinary income or capital gains including distributions pursuant to a dividend reinvestment plan or where stockholders can elect to receive cash or stock. Distributions of our “investment company taxable income” (which is, generally, our ordinary income plus realized net short-term capital gains in excess of realized net long-term capital losses) will be taxable as ordinary income to U.S. stockholders to the extent of our current or accumulated earnings and profits, whether paid in cash or reinvested in additional common stock. To the extent such distributions paid by us to non-corporate stockholders (including individuals) are attributable to dividends from U.S. corporations and certain qualified foreign corporations, such distributions generally will be eligible for a reduced tax rate, if certain holding period</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20"/>
          </w:cols>
          <w:pgMar w:left="240" w:top="459" w:right="2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requirements are satisfied. In this regard, it is anticipated that distributions paid by us will generally not be attributable to dividends and, therefore, generally will not qualify for the reduced maximum rate. Distributions of our net capital gains (which is generally our realized net long-term capital gains in excess of realized net short-term capital losses) properly designated by us as “capital gain distributions” will be taxable to a U.S. stockholder as long-term capital gains at a reduced rate in the case of individuals, trusts or estates, regardless of the U.S. stockholder’s holding period for his, her or its common stock and regardless of whether paid in cash or reinvested in additional common stock. Distributions in excess of our earnings and profits first will reduce a U.S. stockholder’s adjusted tax basis in such stockholder’s common stock and, after the adjusted basis is reduced to zero, will constitute capital gains to such U.S. stockholder.</w:t>
      </w:r>
    </w:p>
    <w:p>
      <w:pPr>
        <w:spacing w:after="0" w:line="165"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Although we currently intend to distribute any long-term capital gains at least annually, we may in the future decide to retain some or all of our long-term capital gains, but designate the retained amount as a “deemed distribution.” In that case, among other consequences, we will pay tax on the retained amount, each U.S. stockholder will be required to include his, her or its share of the deemed distribution in income as if it had been actually distributed to the U.S. stockholder, and the U.S. stockholder will be entitled to claim a credit equal to his, her or its allocable share of the tax paid thereon by us. The amount of the deemed distribution net of such tax will be added to the U.S. stockholder’s tax basis for his, her or its common stock. Since we expect to pay tax on any retained capital gains at our regular corporate tax rate, and since that rate is in excess of the maximum rate currently payable by individuals on long-term capital gains, the amount of tax that individual stockholders will be treated as having paid and for which they will receive a credit will exceed the tax they owe on the retained net capital gain. Such excess generally may be claimed as a credit against the U.S. stockholder’s other federal income tax obligations or may be refunded to the extent it exceeds a stockholder’s liability for federal income tax. A stockholder that is not subject to federal income tax or otherwise required to file a federal income tax return would be required to file a federal income tax return on the appropriate form in order to claim a refund for the taxes we paid. In order to use the deemed distribution approach, we must provide written notice to our stockholders prior to the expiration of 60 days after the close of the relevant taxable year. We cannot treat any of our investment company taxable income as a “deemed distribution.”</w:t>
      </w:r>
    </w:p>
    <w:p>
      <w:pPr>
        <w:spacing w:after="0" w:line="16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For purposes of determining (1) whether the Annual Distribution Requirement is satisfied for any year and (2) the amount of capital gain distributions paid for that year, we may, under certain circumstances, elect to treat a distribution that is paid during the following taxable year as if it had been paid during the taxable year in question. If we make such an election, the U.S. stockholder will still be treated as receiving the distribution in the taxable year in which the distribution is made. However, any distribution declared by us in October, November or December of any calendar year, payable to stockholders of record on a specified date in such a month and actually paid during January of the following year, will be treated as if it had been received by our U.S. stockholders on December 31 of the year in which the distribution was declared.</w:t>
      </w:r>
    </w:p>
    <w:p>
      <w:pPr>
        <w:spacing w:after="0" w:line="193"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If an investor purchases shares of our common stock shortly before the record date of a distribution, the price of the shares will include the value of the distribution and the investor will be subject to tax on the distribution even though economically it represents a return of his, her or its investment.</w:t>
      </w:r>
    </w:p>
    <w:p>
      <w:pPr>
        <w:spacing w:after="0" w:line="14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 stockholder generally will recognize taxable gain or loss if the stockholder sells or otherwise disposes of his, her or its shares of our common stock. Any gain arising from such sale or disposition generally will be treated as capital gain or loss if the stockholder has held his, her or its shares for more than one year. Otherwise, it would be classified as short-term capital gain or loss. However, any capital loss arising from the sale or disposition of shares of our common stock held for six months or less will be treated as long-term capital loss to the extent of the amount of capital gain distributions received or undistributed capital gain deemed received, with respect to such shares. In addition, all or a portion of any loss recognized upon a disposition of shares of our common stock may be disallowed if other shares of our common stock are purchased (whether through reinvestment of dividends or other distributions or otherwise) within 30 days before or after the disposition.</w:t>
      </w:r>
    </w:p>
    <w:p>
      <w:pPr>
        <w:spacing w:after="0" w:line="189"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In general, individual U.S. stockholders currently are subject to a maximum federal income tax rate of either 15% or 20% (depending on whether the stockholder’s income exceeds certain threshold amounts) on their net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20"/>
          </w:cols>
          <w:pgMar w:left="240" w:top="459" w:right="2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capital gain, i.e., the excess of realized net long-term capital gain over realized net short-term capital loss for a taxable year, including a long-term capital gain derived from an investment in our shares. Such rate is lower than the maximum rate on ordinary income currently payable by individuals. Corporate U.S. stockholders currently are subject to federal income tax on net capital gain at the maximum 35% rate also applied to ordinary income. Non-corporate stockholders with net capital losses for a year (i.e., capital losses in excess of capital gains) generally may deduct up to $3,000 of such losses against their ordinary income each year; any net capital losses of a non-corporate stockholder in excess of $3,000 generally may be carried forward and used in subsequent years as provided in the Code. Corporate stockholders generally may not deduct any net capital losses for a year, but may carryback such losses for three years or carry forward such losses for five years.</w:t>
      </w:r>
    </w:p>
    <w:p>
      <w:pPr>
        <w:spacing w:after="0" w:line="189"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For taxable years beginning after December 31, 2012, an additional 3.8% Medicare tax will be imposed on certain net investment income (including ordinary dividends and capital gain distributions received from us and net gains from redemptions or other taxable dispositions of our shares) of U.S. individuals, estates and trusts to the extent that such person’s “modified adjusted gross income” (in the case of an individual) or “adjusted gross income” (in the case of an estate or trust) exceeds certain threshold amounts.</w:t>
      </w:r>
    </w:p>
    <w:p>
      <w:pPr>
        <w:spacing w:after="0" w:line="18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will send to each of our U.S. stockholders, as promptly as possible after the end of each calendar year, a notice detailing, on a per share and per distribution basis, the amounts includible in such U.S. stockholder’s taxable income for such year as ordinary income and as long-term capital gain. In addition, the federal tax status of each year’s distributions generally will be reported to the Internal Revenue Service (including the amount of distributions, if any, eligible for the preferential rate). Distributions may also be subject to additional state, local and foreign taxes depending on a U.S. stockholder’s particular situation. Distributions distributed by us generally will not be eligible for the distributions-received deduction or the preferential rate applicable to qualifying distributions.</w:t>
      </w:r>
    </w:p>
    <w:p>
      <w:pPr>
        <w:spacing w:after="0" w:line="193"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Recent legislation requires reporting of adjusted cost basis information for covered securities, which generally include shares of a RIC acquired after January 1, 2012, to the Internal Revenue Service, or IRS, and to taxpayers. Stockholders should contact their financial intermediaries with respect to reporting of cost basis and available elections for their accounts.</w:t>
      </w:r>
    </w:p>
    <w:p>
      <w:pPr>
        <w:spacing w:after="0" w:line="18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U.S. stockholders may be subject to federal income tax withholding (“backup withholding”) currently at a rate of 28% from all taxable distributions to any non-corporate U.S. stockholder (1) who fails to furnish a correct taxpayer identification number or a certificate that such stockholder is exempt from backup withholding, or (2) with respect to whom the IRS notifies a withholding agent that such stockholder has failed to properly report certain interest and distribution income to the IRS and to respond to notices to that effect. An individual’s taxpayer identification number is his or her social security number. Any amount withheld under backup withholding is allowed as a credit against the U.S. stockholder’s federal income tax liability and may entitle such stockholder to a refund, provided that proper information is timely provided to the IRS.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Stockholders</w:t>
      </w:r>
    </w:p>
    <w:p>
      <w:pPr>
        <w:spacing w:after="0" w:line="121"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Whether an investment in the shares is appropriate for a Non-U.S. stockholder will depend upon that person’s particular circumstances. An investment in the shares by a Non-U.S. stockholder may have adverse tax consequences. Non-U.S. stockholders should consult their tax advisers before investing in our common stock.</w:t>
      </w:r>
    </w:p>
    <w:p>
      <w:pPr>
        <w:spacing w:after="0" w:line="18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Distributions of our “investment company taxable income” to Non-U.S. stockholders (including interest income and net short-term capital gain) are expected to be subject to withholding of federal tax at a 30% rate (or lower rate provided by an applicable treaty) to the extent of our current and accumulated earnings and profits. If the distributions are effectively connected with a U.S. trade or business of the Non-U.S. stockholder, we will not be required to withhold U.S. federal tax if the Non-U.S. stockholder complies with applicable certification and disclosure requirements, although the distributions will be subject to U.S. federal income tax at the rates applicable to U.S. persons. Special certification requirements apply to a Non-U.S. stockholder that is a foreign partnership or a foreign trust, and such entities are urged to consult their own tax advisors.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00"/>
          </w:cols>
          <w:pgMar w:left="240" w:top="460" w:right="25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In addition, with respect to certain distributions made by RICs to Non-U.S. stockholders in taxable years beginning before January 1, 2014, no withholding is required and the distributions generally are not subject to U.S. federal income tax if (i) the distributions are properly designated in a notice timely delivered to our stockholders as “interest-related dividends” or “short-term capital gain dividends,” (ii) the distributions are derived from sources specified in the Code for such dividends and (iii) certain other requirements are satisfied. No assurance can be given as to whether legislation will be enacted to extend the application of this provision to taxable years of RICs beginning on or after January 1, 2014.</w:t>
      </w:r>
    </w:p>
    <w:p>
      <w:pPr>
        <w:spacing w:after="0" w:line="17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Actual or deemed distributions of our net long-term capital gains to a Non-U.S. stockholder, and gains realized by a Non-U.S. stockholder upon the sale of our common stock, will not be subject to federal withholding tax and generally will not be subject to federal income tax unless, (i) the distributions or gains, as the case may be, are effectively connected with a U.S. trade or business of the Non-U.S. stockholder and, if an income tax treaty applies, are attributable to a permanent establishment maintained by the Non-U.S. stockholder in the United States or (ii) in the case of an individual stockholder, the stockholder is present in the United States for a period or periods aggregating 183 days or more during the year of the sale or the receipt of the distributions or gains and certain other conditions are met.</w:t>
      </w:r>
    </w:p>
    <w:p>
      <w:pPr>
        <w:spacing w:after="0" w:line="193"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Effective July 1, 2014, withholding agents will be required to withhold U.S. tax (at a 30% rate) on payments of taxable dividends and (effective January 1, 2017) redemption proceeds and certain capital gain dividends made to certain non-U.S. entities that fail to comply (or be deemed compliant) with extensive new reporting and withholding requirements designed to inform the U.S. Department of the Treasury of U.S.-owned foreign investment accounts.</w:t>
      </w:r>
    </w:p>
    <w:p>
      <w:pPr>
        <w:ind w:right="900"/>
        <w:spacing w:after="0" w:line="261" w:lineRule="auto"/>
        <w:rPr>
          <w:sz w:val="20"/>
          <w:szCs w:val="20"/>
          <w:color w:val="auto"/>
        </w:rPr>
      </w:pPr>
      <w:r>
        <w:rPr>
          <w:rFonts w:ascii="Arial" w:cs="Arial" w:eastAsia="Arial" w:hAnsi="Arial"/>
          <w:sz w:val="18"/>
          <w:szCs w:val="18"/>
          <w:color w:val="auto"/>
        </w:rPr>
        <w:t>Stockholders may be requested to provide additional information to the withholding agents to enable the withholding agents to determine whether withholding is required.</w:t>
      </w:r>
    </w:p>
    <w:p>
      <w:pPr>
        <w:spacing w:after="0" w:line="184"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If we distribute our net capital gains in the form of deemed rather than actual distributions (which we may do in the future), a Non-U.S. stockholder will be entitled to a federal income tax credit or tax refund equal to the stockholder’s allocable share of the tax we pay on the capital gains deemed to have been distributed. In order to obtain the refund, the Non-U.S. stockholder must obtain a U.S. taxpayer identification number and file a federal income tax return even if the Non-U.S. stockholder would not otherwise be required to obtain a U.S. taxpayer identification number or file a federal income tax return. For a corporate Non-U.S. stockholder, distributions (both actual and deemed), and gains realized upon the sale of our common stock that are effectively connected with a U.S. trade or business may, under certain circumstances, be subject to an additional “branch profits tax” at a 30% rate (or at a lower rate if provided for by an applicable treaty). Accordingly, investment in the shares may not be appropriate for a Non-U.S. stockholder.</w:t>
      </w:r>
    </w:p>
    <w:p>
      <w:pPr>
        <w:spacing w:after="0" w:line="16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 Non-U.S. stockholder who is a non-resident alien individual, and who is otherwise subject to withholding of federal income tax, may be subject to information reporting and backup withholding of federal income tax on distributions unless the Non-U.S. stockholder provides us or the distribution paying agent with an IRS Form W-8BEN (or an acceptable substitute form) or otherwise meets documentary evidence requirements for establishing that it is a Non-U.S. stockholder or otherwise establishes an exemption from backup withholding.</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Non-U.S. stockholders may also be subject to U.S. estate tax with respect to their investment in our common shares.</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Non-U.S. persons should consult their own tax advisors with respect to the U.S. federal income tax and withholding tax, and state, local and foreign tax consequences of an investment in the shares.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20"/>
          </w:cols>
          <w:pgMar w:left="240" w:top="460" w:right="2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We may sell the securities in any of three ways (or in any combination): (a) through underwriters or dealers; (b) directly to a limited number of purchasers or to a single purchaser; or (c) through agents. The securities may also be sold “at-the-market” to or through a market maker or into an existing trading market for the securities, on an exchange or otherwise. The prospectus supplement will set forth the terms of the offering of such securities, including:</w:t>
      </w:r>
    </w:p>
    <w:p>
      <w:pPr>
        <w:spacing w:after="0" w:line="52" w:lineRule="exact"/>
        <w:rPr>
          <w:sz w:val="20"/>
          <w:szCs w:val="20"/>
          <w:color w:val="auto"/>
        </w:rPr>
      </w:pPr>
    </w:p>
    <w:p>
      <w:pPr>
        <w:ind w:left="900" w:hanging="325"/>
        <w:spacing w:after="0"/>
        <w:tabs>
          <w:tab w:leader="none" w:pos="90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the name or names of any underwriters, dealers or agents and the amounts of securities underwritten or purchased by each of them;</w:t>
      </w:r>
    </w:p>
    <w:p>
      <w:pPr>
        <w:spacing w:after="0" w:line="142" w:lineRule="exact"/>
        <w:rPr>
          <w:rFonts w:ascii="Arial" w:cs="Arial" w:eastAsia="Arial" w:hAnsi="Arial"/>
          <w:sz w:val="17"/>
          <w:szCs w:val="17"/>
          <w:color w:val="auto"/>
        </w:rPr>
      </w:pPr>
    </w:p>
    <w:p>
      <w:pPr>
        <w:ind w:left="900" w:right="60" w:hanging="325"/>
        <w:spacing w:after="0" w:line="277" w:lineRule="auto"/>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offering price of the securities and the proceeds to us and any discounts, commissions or concessions allowed or reallowed or paid to dealers;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any securities exchanges on which the securities may be listed.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offering price and any discounts or concessions allowed or reallowed or paid to dealers may be changed from time to time.</w:t>
      </w:r>
    </w:p>
    <w:p>
      <w:pPr>
        <w:spacing w:after="0" w:line="225"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We may offer our shares of common stock in a public offering at-the-market to a select group of investors, in which case a stockholder may not be able to participate in such offering and a stockholder will experience dilution unless the stockholder purchases additional shares of our common stock in the secondary market at the same or lower price.</w:t>
      </w:r>
    </w:p>
    <w:p>
      <w:pPr>
        <w:spacing w:after="0" w:line="181" w:lineRule="exact"/>
        <w:rPr>
          <w:sz w:val="20"/>
          <w:szCs w:val="20"/>
          <w:color w:val="auto"/>
        </w:rPr>
      </w:pPr>
    </w:p>
    <w:p>
      <w:pPr>
        <w:jc w:val="both"/>
        <w:ind w:right="100" w:firstLine="456"/>
        <w:spacing w:after="0" w:line="288" w:lineRule="auto"/>
        <w:rPr>
          <w:sz w:val="20"/>
          <w:szCs w:val="20"/>
          <w:color w:val="auto"/>
        </w:rPr>
      </w:pPr>
      <w:r>
        <w:rPr>
          <w:rFonts w:ascii="Arial" w:cs="Arial" w:eastAsia="Arial" w:hAnsi="Arial"/>
          <w:sz w:val="16"/>
          <w:szCs w:val="16"/>
          <w:color w:val="auto"/>
        </w:rPr>
        <w:t>If underwriters are used in the sale of any securities, the securities will be acquired by the underwriters for their own accounts and may be resold from time to time in one or more transactions, including negotiated transactions, at a fixed public offering price or at varying prices determined at the time of sale. The securities may be either offered to the public through underwriting syndicates represented by managing underwriters, or directly by underwriters.</w:t>
      </w:r>
    </w:p>
    <w:p>
      <w:pPr>
        <w:ind w:right="540"/>
        <w:spacing w:after="0" w:line="261" w:lineRule="auto"/>
        <w:rPr>
          <w:sz w:val="20"/>
          <w:szCs w:val="20"/>
          <w:color w:val="auto"/>
        </w:rPr>
      </w:pPr>
      <w:r>
        <w:rPr>
          <w:rFonts w:ascii="Arial" w:cs="Arial" w:eastAsia="Arial" w:hAnsi="Arial"/>
          <w:sz w:val="18"/>
          <w:szCs w:val="18"/>
          <w:color w:val="auto"/>
        </w:rPr>
        <w:t>Generally, the underwriters’ obligations to purchase the securities will be subject to certain conditions precedent. The underwriters will be obligated to purchase all of the securities if they purchase any of the securities.</w:t>
      </w:r>
    </w:p>
    <w:p>
      <w:pPr>
        <w:spacing w:after="0" w:line="184"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color w:val="auto"/>
        </w:rPr>
        <w:t>In compliance with the guidelines of FINRA, the maximum compensation to the underwriters or dealers in connection with the sale of our securities pursuant to this prospectus and the accompanying supplement to this prospectus may not exceed 8% of the aggregate offering price of the securities as set forth on the cover page of the supplement to this prospectus.</w:t>
      </w:r>
    </w:p>
    <w:p>
      <w:pPr>
        <w:spacing w:after="0" w:line="181" w:lineRule="exact"/>
        <w:rPr>
          <w:sz w:val="20"/>
          <w:szCs w:val="20"/>
          <w:color w:val="auto"/>
        </w:rPr>
      </w:pPr>
    </w:p>
    <w:p>
      <w:pPr>
        <w:ind w:right="580" w:firstLine="456"/>
        <w:spacing w:after="0" w:line="342" w:lineRule="auto"/>
        <w:rPr>
          <w:sz w:val="20"/>
          <w:szCs w:val="20"/>
          <w:color w:val="auto"/>
        </w:rPr>
      </w:pPr>
      <w:r>
        <w:rPr>
          <w:rFonts w:ascii="Arial" w:cs="Arial" w:eastAsia="Arial" w:hAnsi="Arial"/>
          <w:sz w:val="16"/>
          <w:szCs w:val="16"/>
          <w:color w:val="auto"/>
        </w:rPr>
        <w:t>We may sell the securities through agents from time to time. The prospectus supplement will name any agent involved in the offer or sale of the securities and any commissions we pay to them. Generally, any agent will be acting on a best efforts basis for the period of its appointment.</w:t>
      </w:r>
    </w:p>
    <w:p>
      <w:pPr>
        <w:spacing w:after="0" w:line="12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may authorize underwriters, dealers or agents to solicit offers by certain purchasers to purchase the securities from us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pay for soliciting these contracts.</w:t>
      </w:r>
    </w:p>
    <w:p>
      <w:pPr>
        <w:spacing w:after="0" w:line="187"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Agents and underwriters may be entitled to indemnification by us against certain civil liabilities, including liabilities under the Securities Act, or to contribution with respect to payments which the agents or underwriters may be required to make in respect thereof. Agents and underwriters may be customers of, engage in transactions with, or perform services for us in the ordinary course of business.</w:t>
      </w:r>
    </w:p>
    <w:p>
      <w:pPr>
        <w:spacing w:after="0" w:line="181"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We may enter into derivative transactions with third parties, or sell securities not covered by this prospectus to third parties in privately negotiated transactions. If the applicable prospectus supplement indicates,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00"/>
          </w:cols>
          <w:pgMar w:left="240" w:top="460" w:right="25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identified in the applicable prospectus supplement (or a post-effective amendment). We or one of our affiliates may loan or pledge securities to a financial institution or other third party that in turn may sell the securities using this prospectus. Such financial institution or third party may transfer its short position to investors in our securities or in connection with a simultaneous offering of other securities offered by this prospectus or otherwise.</w:t>
      </w: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SUB-ADMINISTRATOR, CUSTODIAN, TRANSFER AGENT AND TRUSTEE</w:t>
      </w:r>
    </w:p>
    <w:p>
      <w:pPr>
        <w:spacing w:after="0" w:line="229" w:lineRule="exact"/>
        <w:rPr>
          <w:sz w:val="20"/>
          <w:szCs w:val="20"/>
          <w:color w:val="auto"/>
        </w:rPr>
      </w:pPr>
    </w:p>
    <w:p>
      <w:pPr>
        <w:ind w:right="120" w:firstLine="456"/>
        <w:spacing w:after="0" w:line="293" w:lineRule="auto"/>
        <w:rPr>
          <w:sz w:val="20"/>
          <w:szCs w:val="20"/>
          <w:color w:val="auto"/>
        </w:rPr>
      </w:pPr>
      <w:r>
        <w:rPr>
          <w:rFonts w:ascii="Arial" w:cs="Arial" w:eastAsia="Arial" w:hAnsi="Arial"/>
          <w:sz w:val="16"/>
          <w:szCs w:val="16"/>
          <w:color w:val="auto"/>
        </w:rPr>
        <w:t>BNY Mellon Investment Servicing (US) Inc. (formerly PNC Global Investment Servicing, Inc.), a subsidiary of The Bank of New York Mellon, provides administrative and accounting services to us under a sub-administration and accounting services agreement. The Bank of New York Mellon (successor in interest of PFPC Trust Company) provides custodian services to us pursuant to a custodian services agreement. The principal business address of The Bank of New York Mellon is One Wall Street, New York, NY 10286. American Stock Transfer &amp; Trust Company, LLC acts as our transfer agent, distribution paying agent and registrar. The principal business address of American Stock Transfer &amp; Trust Company, LLC is 6201 15th Avenue, Brooklyn, New York 11219, telephone number: (800) 937-5449. American Stock Transfer &amp; Trust Company, LLC serves as trustee for our 2025 Notes.</w:t>
      </w:r>
    </w:p>
    <w:p>
      <w:pPr>
        <w:spacing w:after="0" w:line="3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Certain legal matters regarding the securities offered by this prospectus will be passed upon for PennantPark Investment by Dechert LLP, Washington, D.C., and by Venable LLP, as special Maryland counsel.</w:t>
      </w: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independent registered public accounting firm until November 21, 2013, KPMG LLP, is located at 345 Park Avenue, New York, New York 10154.</w:t>
      </w:r>
    </w:p>
    <w:p>
      <w:pPr>
        <w:spacing w:after="0" w:line="248" w:lineRule="exact"/>
        <w:rPr>
          <w:sz w:val="20"/>
          <w:szCs w:val="20"/>
          <w:color w:val="auto"/>
        </w:rPr>
      </w:pPr>
    </w:p>
    <w:p>
      <w:pPr>
        <w:jc w:val="center"/>
        <w:ind w:right="140"/>
        <w:spacing w:after="0" w:line="449" w:lineRule="auto"/>
        <w:rPr>
          <w:sz w:val="20"/>
          <w:szCs w:val="20"/>
          <w:color w:val="auto"/>
        </w:rPr>
      </w:pPr>
      <w:r>
        <w:rPr>
          <w:rFonts w:ascii="Arial" w:cs="Arial" w:eastAsia="Arial" w:hAnsi="Arial"/>
          <w:sz w:val="18"/>
          <w:szCs w:val="18"/>
          <w:color w:val="auto"/>
        </w:rPr>
        <w:t>Our current independent registered public accounting firm, McGladrey LLP, is located at 1185 Avenue of the Americas, New York, NY 10036. 140</w:t>
      </w:r>
    </w:p>
    <w:p>
      <w:pPr>
        <w:sectPr>
          <w:pgSz w:w="11900" w:h="16838" w:orient="portrait"/>
          <w:cols w:equalWidth="0" w:num="1">
            <w:col w:w="11360"/>
          </w:cols>
          <w:pgMar w:left="240" w:top="459" w:right="29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Investment Corporation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Financial Statements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80" w:type="dxa"/>
            <w:vAlign w:val="bottom"/>
            <w:gridSpan w:val="4"/>
            <w:vMerge w:val="restart"/>
          </w:tcPr>
          <w:p>
            <w:pPr>
              <w:spacing w:after="0"/>
              <w:rPr>
                <w:rFonts w:ascii="Arial" w:cs="Arial" w:eastAsia="Arial" w:hAnsi="Arial"/>
                <w:sz w:val="18"/>
                <w:szCs w:val="18"/>
                <w:color w:val="0000EE"/>
                <w:w w:val="91"/>
              </w:rPr>
            </w:pPr>
            <w:hyperlink w:anchor="page218">
              <w:r>
                <w:rPr>
                  <w:rFonts w:ascii="Arial" w:cs="Arial" w:eastAsia="Arial" w:hAnsi="Arial"/>
                  <w:sz w:val="18"/>
                  <w:szCs w:val="18"/>
                  <w:color w:val="0000EE"/>
                  <w:w w:val="91"/>
                </w:rPr>
                <w:t>Management’s Report on Internal Control over Financial Reporting</w:t>
              </w:r>
            </w:hyperlink>
          </w:p>
        </w:tc>
        <w:tc>
          <w:tcPr>
            <w:tcW w:w="6040" w:type="dxa"/>
            <w:vAlign w:val="bottom"/>
            <w:gridSpan w:val="6"/>
            <w:vMerge w:val="restart"/>
          </w:tcPr>
          <w:p>
            <w:pPr>
              <w:spacing w:after="0"/>
              <w:rPr>
                <w:sz w:val="14"/>
                <w:szCs w:val="14"/>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4880" w:type="dxa"/>
            <w:vAlign w:val="bottom"/>
            <w:tcBorders>
              <w:bottom w:val="single" w:sz="8" w:color="0000EE"/>
            </w:tcBorders>
            <w:gridSpan w:val="4"/>
            <w:vMerge w:val="continue"/>
          </w:tcPr>
          <w:p>
            <w:pPr>
              <w:spacing w:after="0"/>
              <w:rPr>
                <w:sz w:val="13"/>
                <w:szCs w:val="13"/>
                <w:color w:val="auto"/>
              </w:rPr>
            </w:pPr>
          </w:p>
        </w:tc>
        <w:tc>
          <w:tcPr>
            <w:tcW w:w="6040" w:type="dxa"/>
            <w:vAlign w:val="bottom"/>
            <w:gridSpan w:val="6"/>
            <w:vMerge w:val="continue"/>
          </w:tcPr>
          <w:p>
            <w:pPr>
              <w:spacing w:after="0"/>
              <w:rPr>
                <w:sz w:val="13"/>
                <w:szCs w:val="13"/>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F-2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0920" w:type="dxa"/>
            <w:vAlign w:val="bottom"/>
            <w:gridSpan w:val="10"/>
          </w:tcPr>
          <w:p>
            <w:pPr>
              <w:spacing w:after="0"/>
              <w:rPr>
                <w:rFonts w:ascii="Arial" w:cs="Arial" w:eastAsia="Arial" w:hAnsi="Arial"/>
                <w:sz w:val="18"/>
                <w:szCs w:val="18"/>
                <w:color w:val="0000EE"/>
              </w:rPr>
            </w:pPr>
            <w:hyperlink w:anchor="page219">
              <w:r>
                <w:rPr>
                  <w:rFonts w:ascii="Arial" w:cs="Arial" w:eastAsia="Arial" w:hAnsi="Arial"/>
                  <w:sz w:val="18"/>
                  <w:szCs w:val="18"/>
                  <w:color w:val="0000EE"/>
                </w:rPr>
                <w:t>Report of Independent Registered Public Accounting Firm</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0"/>
        </w:trPr>
        <w:tc>
          <w:tcPr>
            <w:tcW w:w="27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580" w:type="dxa"/>
            <w:vAlign w:val="bottom"/>
            <w:tcBorders>
              <w:bottom w:val="single" w:sz="8" w:color="0000EE"/>
            </w:tcBorders>
            <w:gridSpan w:val="8"/>
          </w:tcPr>
          <w:p>
            <w:pPr>
              <w:spacing w:after="0"/>
              <w:rPr>
                <w:rFonts w:ascii="Arial" w:cs="Arial" w:eastAsia="Arial" w:hAnsi="Arial"/>
                <w:sz w:val="18"/>
                <w:szCs w:val="18"/>
                <w:color w:val="0000EE"/>
                <w:w w:val="92"/>
              </w:rPr>
            </w:pPr>
            <w:hyperlink w:anchor="page220">
              <w:r>
                <w:rPr>
                  <w:rFonts w:ascii="Arial" w:cs="Arial" w:eastAsia="Arial" w:hAnsi="Arial"/>
                  <w:sz w:val="18"/>
                  <w:szCs w:val="18"/>
                  <w:color w:val="0000EE"/>
                  <w:w w:val="92"/>
                </w:rPr>
                <w:t>Report of Independent Registered Public Accounting Firm On Internal Control Over Financial Reporting</w:t>
              </w:r>
            </w:hyperlink>
          </w:p>
        </w:tc>
        <w:tc>
          <w:tcPr>
            <w:tcW w:w="3340" w:type="dxa"/>
            <w:vAlign w:val="bottom"/>
            <w:gridSpan w:val="2"/>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304"/>
        </w:trPr>
        <w:tc>
          <w:tcPr>
            <w:tcW w:w="618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221">
              <w:r>
                <w:rPr>
                  <w:rFonts w:ascii="Arial" w:cs="Arial" w:eastAsia="Arial" w:hAnsi="Arial"/>
                  <w:sz w:val="18"/>
                  <w:szCs w:val="18"/>
                  <w:color w:val="0000EE"/>
                  <w:w w:val="89"/>
                </w:rPr>
                <w:t>Consolidated Statements of Assets and Liabilities as of September 30, 2013 and 2012</w:t>
              </w:r>
            </w:hyperlink>
          </w:p>
        </w:tc>
        <w:tc>
          <w:tcPr>
            <w:tcW w:w="4740" w:type="dxa"/>
            <w:vAlign w:val="bottom"/>
            <w:gridSpan w:val="5"/>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304"/>
        </w:trPr>
        <w:tc>
          <w:tcPr>
            <w:tcW w:w="10920" w:type="dxa"/>
            <w:vAlign w:val="bottom"/>
            <w:gridSpan w:val="10"/>
          </w:tcPr>
          <w:p>
            <w:pPr>
              <w:spacing w:after="0"/>
              <w:rPr>
                <w:rFonts w:ascii="Arial" w:cs="Arial" w:eastAsia="Arial" w:hAnsi="Arial"/>
                <w:sz w:val="18"/>
                <w:szCs w:val="18"/>
                <w:color w:val="0000EE"/>
              </w:rPr>
            </w:pPr>
            <w:hyperlink w:anchor="page222">
              <w:r>
                <w:rPr>
                  <w:rFonts w:ascii="Arial" w:cs="Arial" w:eastAsia="Arial" w:hAnsi="Arial"/>
                  <w:sz w:val="18"/>
                  <w:szCs w:val="18"/>
                  <w:color w:val="0000EE"/>
                </w:rPr>
                <w:t>Consolidated Statements of Operations for the years ended September 30, 2013, 2012 and 2011</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20"/>
        </w:trPr>
        <w:tc>
          <w:tcPr>
            <w:tcW w:w="27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6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72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223">
              <w:r>
                <w:rPr>
                  <w:rFonts w:ascii="Arial" w:cs="Arial" w:eastAsia="Arial" w:hAnsi="Arial"/>
                  <w:sz w:val="18"/>
                  <w:szCs w:val="18"/>
                  <w:color w:val="0000EE"/>
                  <w:w w:val="88"/>
                </w:rPr>
                <w:t>Consolidated Statements of Changes in Net Assets for the years ended September 30, 2013, 2012 and 2011</w:t>
              </w:r>
            </w:hyperlink>
          </w:p>
        </w:tc>
        <w:tc>
          <w:tcPr>
            <w:tcW w:w="3200" w:type="dxa"/>
            <w:vAlign w:val="bottom"/>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304"/>
        </w:trPr>
        <w:tc>
          <w:tcPr>
            <w:tcW w:w="10920" w:type="dxa"/>
            <w:vAlign w:val="bottom"/>
            <w:gridSpan w:val="10"/>
          </w:tcPr>
          <w:p>
            <w:pPr>
              <w:spacing w:after="0"/>
              <w:rPr>
                <w:rFonts w:ascii="Arial" w:cs="Arial" w:eastAsia="Arial" w:hAnsi="Arial"/>
                <w:sz w:val="18"/>
                <w:szCs w:val="18"/>
                <w:color w:val="0000EE"/>
              </w:rPr>
            </w:pPr>
            <w:hyperlink w:anchor="page224">
              <w:r>
                <w:rPr>
                  <w:rFonts w:ascii="Arial" w:cs="Arial" w:eastAsia="Arial" w:hAnsi="Arial"/>
                  <w:sz w:val="18"/>
                  <w:szCs w:val="18"/>
                  <w:color w:val="0000EE"/>
                </w:rPr>
                <w:t>Consolidated Statements of Cash Flows for the years ended September 30, 2013, 2012 and 2011</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304"/>
        </w:trPr>
        <w:tc>
          <w:tcPr>
            <w:tcW w:w="2780" w:type="dxa"/>
            <w:vAlign w:val="bottom"/>
            <w:tcBorders>
              <w:top w:val="single" w:sz="8" w:color="0000EE"/>
              <w:bottom w:val="single" w:sz="8" w:color="0000EE"/>
            </w:tcBorders>
          </w:tcPr>
          <w:p>
            <w:pPr>
              <w:spacing w:after="0"/>
              <w:rPr>
                <w:rFonts w:ascii="Arial" w:cs="Arial" w:eastAsia="Arial" w:hAnsi="Arial"/>
                <w:sz w:val="18"/>
                <w:szCs w:val="18"/>
                <w:color w:val="0000EE"/>
                <w:w w:val="89"/>
              </w:rPr>
            </w:pPr>
            <w:hyperlink w:anchor="page225">
              <w:r>
                <w:rPr>
                  <w:rFonts w:ascii="Arial" w:cs="Arial" w:eastAsia="Arial" w:hAnsi="Arial"/>
                  <w:sz w:val="18"/>
                  <w:szCs w:val="18"/>
                  <w:color w:val="0000EE"/>
                  <w:w w:val="89"/>
                </w:rPr>
                <w:t>Consolidated Schedule of Investments</w:t>
              </w:r>
            </w:hyperlink>
          </w:p>
        </w:tc>
        <w:tc>
          <w:tcPr>
            <w:tcW w:w="4160" w:type="dxa"/>
            <w:vAlign w:val="bottom"/>
            <w:tcBorders>
              <w:top w:val="single" w:sz="8" w:color="0000EE"/>
            </w:tcBorders>
            <w:gridSpan w:val="6"/>
          </w:tcPr>
          <w:p>
            <w:pPr>
              <w:spacing w:after="0"/>
              <w:rPr>
                <w:sz w:val="24"/>
                <w:szCs w:val="24"/>
                <w:color w:val="auto"/>
              </w:rPr>
            </w:pPr>
          </w:p>
        </w:tc>
        <w:tc>
          <w:tcPr>
            <w:tcW w:w="3980" w:type="dxa"/>
            <w:vAlign w:val="bottom"/>
            <w:gridSpan w:val="3"/>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F-9</w:t>
            </w:r>
          </w:p>
        </w:tc>
        <w:tc>
          <w:tcPr>
            <w:tcW w:w="0" w:type="dxa"/>
            <w:vAlign w:val="bottom"/>
          </w:tcPr>
          <w:p>
            <w:pPr>
              <w:spacing w:after="0"/>
              <w:rPr>
                <w:sz w:val="1"/>
                <w:szCs w:val="1"/>
                <w:color w:val="auto"/>
              </w:rPr>
            </w:pPr>
          </w:p>
        </w:tc>
      </w:tr>
      <w:tr>
        <w:trPr>
          <w:trHeight w:val="304"/>
        </w:trPr>
        <w:tc>
          <w:tcPr>
            <w:tcW w:w="10920" w:type="dxa"/>
            <w:vAlign w:val="bottom"/>
            <w:gridSpan w:val="10"/>
          </w:tcPr>
          <w:p>
            <w:pPr>
              <w:spacing w:after="0"/>
              <w:rPr>
                <w:rFonts w:ascii="Arial" w:cs="Arial" w:eastAsia="Arial" w:hAnsi="Arial"/>
                <w:sz w:val="18"/>
                <w:szCs w:val="18"/>
                <w:color w:val="0000EE"/>
              </w:rPr>
            </w:pPr>
            <w:hyperlink w:anchor="page234">
              <w:r>
                <w:rPr>
                  <w:rFonts w:ascii="Arial" w:cs="Arial" w:eastAsia="Arial" w:hAnsi="Arial"/>
                  <w:sz w:val="18"/>
                  <w:szCs w:val="18"/>
                  <w:color w:val="0000EE"/>
                </w:rPr>
                <w:t>Notes to the Consolidated Financial Statements</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F-18</w:t>
            </w:r>
          </w:p>
        </w:tc>
        <w:tc>
          <w:tcPr>
            <w:tcW w:w="0" w:type="dxa"/>
            <w:vAlign w:val="bottom"/>
          </w:tcPr>
          <w:p>
            <w:pPr>
              <w:spacing w:after="0"/>
              <w:rPr>
                <w:sz w:val="1"/>
                <w:szCs w:val="1"/>
                <w:color w:val="auto"/>
              </w:rPr>
            </w:pPr>
          </w:p>
        </w:tc>
      </w:tr>
      <w:tr>
        <w:trPr>
          <w:trHeight w:val="385"/>
        </w:trPr>
        <w:tc>
          <w:tcPr>
            <w:tcW w:w="278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40" w:type="dxa"/>
            <w:vAlign w:val="bottom"/>
            <w:gridSpan w:val="6"/>
          </w:tcPr>
          <w:p>
            <w:pPr>
              <w:ind w:left="700"/>
              <w:spacing w:after="0"/>
              <w:rPr>
                <w:sz w:val="20"/>
                <w:szCs w:val="20"/>
                <w:color w:val="auto"/>
              </w:rPr>
            </w:pPr>
            <w:r>
              <w:rPr>
                <w:rFonts w:ascii="Arial" w:cs="Arial" w:eastAsia="Arial" w:hAnsi="Arial"/>
                <w:sz w:val="18"/>
                <w:szCs w:val="18"/>
                <w:color w:val="auto"/>
              </w:rPr>
              <w:t>F-1</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60" w:right="3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management of PennantPark Investment Corporation (except where the context suggests otherwise, the terms “we,” “us,” “our” and “PennantPark Investment” refer to PennantPark Investment Corporation and its Subsidiaries) is responsible for establishing and maintaining adequate internal control over financial reporting. Our internal control system is a process designed to provide reasonable assurance to our management and board of directors regarding the preparation and fair presentation of published financial statements.</w:t>
      </w:r>
    </w:p>
    <w:p>
      <w:pPr>
        <w:spacing w:after="0" w:line="187"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PennantPark Investment’s internal control over financial reporting includes policies and procedures that pertain to the maintenance of records that, in reasonable detail, accurately and fairly reflect transactions recorded necessary to permit the preparation of financial statements in accordance with U.S. generally accepted accounting principles. Our policies and procedures also provide reasonable assurance that receipts and expenditures are being made only in accordance with authorizations of management and the directors of PennantPark Investment, and provide reasonable assurance regarding prevention or timely detection of unauthorized acquisition, use or disposition of our assets that could have a material effect on our financial statements.</w:t>
      </w:r>
    </w:p>
    <w:p>
      <w:pPr>
        <w:spacing w:after="0" w:line="15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All internal control systems, no matter how well designed, have inherent limitations. Therefore, even those systems determined to be effective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 xml:space="preserve">Management assessed the effectiveness of PennantPark Investment’s internal control over financial reporting as of September 30, 2013. In making this assessment, we used the criteria set forth by the Committee of Sponsoring Organizations of the Treadway Commission in </w:t>
      </w:r>
      <w:r>
        <w:rPr>
          <w:rFonts w:ascii="Arial" w:cs="Arial" w:eastAsia="Arial" w:hAnsi="Arial"/>
          <w:sz w:val="18"/>
          <w:szCs w:val="18"/>
          <w:i w:val="1"/>
          <w:iCs w:val="1"/>
          <w:color w:val="auto"/>
        </w:rPr>
        <w:t>Internal Control—Integrated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Framework</w:t>
      </w:r>
      <w:r>
        <w:rPr>
          <w:rFonts w:ascii="Arial" w:cs="Arial" w:eastAsia="Arial" w:hAnsi="Arial"/>
          <w:sz w:val="18"/>
          <w:szCs w:val="18"/>
          <w:color w:val="auto"/>
        </w:rPr>
        <w:t>. Based on the assessment management believes that, as of September 30, 2013, our internal control over financial reporting is effective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those criteria.</w:t>
      </w:r>
    </w:p>
    <w:p>
      <w:pPr>
        <w:spacing w:after="0" w:line="187" w:lineRule="exact"/>
        <w:rPr>
          <w:sz w:val="20"/>
          <w:szCs w:val="20"/>
          <w:color w:val="auto"/>
        </w:rPr>
      </w:pPr>
    </w:p>
    <w:p>
      <w:pPr>
        <w:ind w:right="680" w:firstLine="456"/>
        <w:spacing w:after="0" w:line="308" w:lineRule="auto"/>
        <w:rPr>
          <w:sz w:val="20"/>
          <w:szCs w:val="20"/>
          <w:color w:val="auto"/>
        </w:rPr>
      </w:pPr>
      <w:r>
        <w:rPr>
          <w:rFonts w:ascii="Arial" w:cs="Arial" w:eastAsia="Arial" w:hAnsi="Arial"/>
          <w:sz w:val="17"/>
          <w:szCs w:val="17"/>
          <w:color w:val="auto"/>
        </w:rPr>
        <w:t>PennantPark Investment’s independent registered public accounting firm that audited the financial statements has issued an audit report on the effectiveness of our internal control over financial reporting as of September 30, 2013. This report appears on page F-4.</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80"/>
          </w:cols>
          <w:pgMar w:left="240" w:top="460" w:right="27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 and its Subsidiaries:</w:t>
      </w:r>
    </w:p>
    <w:p>
      <w:pPr>
        <w:spacing w:after="0" w:line="211"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We have audited the accompanying consolidated statements of assets and liabilities of PennantPark Investment Corporation and its Subsidiaries (the “Company”), including the consolidated schedules of investments as of September 30, 2013 and 2012, and the related consolidated statements of operations, changes in net assets, and cash flows for the years ended September 30, 2013, 2012 and 2011. These consolidated financial statements are the responsibility of the Company’s management. Our responsibility is to express an opinion on these consolidated financial statements based on our audits.</w:t>
      </w:r>
    </w:p>
    <w:p>
      <w:pPr>
        <w:spacing w:after="0" w:line="154"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Our procedures included confirmation of investments owned as of September 30, 2013 by correspondence with the custodians and portfolio companies or by other appropriate auditing procedures.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8" w:lineRule="exact"/>
        <w:rPr>
          <w:sz w:val="20"/>
          <w:szCs w:val="20"/>
          <w:color w:val="auto"/>
        </w:rPr>
      </w:pPr>
    </w:p>
    <w:p>
      <w:pPr>
        <w:ind w:right="440" w:firstLine="456"/>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PennantPark Investment Corporation and its Subsidiaries as of September 30, 2013 and 2012, and the results of operations and cash flows for the years ended September 30, 2013, 2012 and 2011, in conformity with U.S. generally accepted accounting principles.</w:t>
      </w:r>
    </w:p>
    <w:p>
      <w:pPr>
        <w:spacing w:after="0" w:line="181"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 xml:space="preserve">We also have audited, in accordance with the standards of the Public Company Accounting Oversight Board (United States), PennantPark Investment Corporation’s internal control over financial reporting as of September 30, 2013, based on criteria established in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issued by the Committee of Sponsoring Organizations of the Treadway Commission (COSO), and our report dated November 13, 2013 expressed an unqualified opinion on the effectiveness of the Company’s internal control over financial reporting.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13, 2013</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On Internal Control Over Financial Reporting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 and its Subsidiaries:</w:t>
      </w:r>
    </w:p>
    <w:p>
      <w:pPr>
        <w:spacing w:after="0" w:line="21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 xml:space="preserve">We have audited PennantPark Investment Corporation and its Subsidiaries’ (the “Company”) internal control over financial reporting as of September 30, 2013, based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issued by the Committee of Sponsoring Organizations of the Treadway Commission (COSO). Management of the Company is responsible for maintaining effective internal control over financial reporting and for its assessment of the effectiveness of internal control over financial reporting, included on page 42 of the Annual Report on Form 10-K, and Item 9A., Controls and Procedures—Management’s Report on Internal Control Over Financial Reporting. Our responsibility is to express an opinion on the Company’s internal control over financial reporting based on our audit.</w:t>
      </w:r>
    </w:p>
    <w:p>
      <w:pPr>
        <w:spacing w:after="0" w:line="193"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5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right="200" w:firstLine="456"/>
        <w:spacing w:after="0" w:line="308" w:lineRule="auto"/>
        <w:rPr>
          <w:sz w:val="20"/>
          <w:szCs w:val="20"/>
          <w:color w:val="auto"/>
        </w:rPr>
      </w:pPr>
      <w:r>
        <w:rPr>
          <w:rFonts w:ascii="Arial" w:cs="Arial" w:eastAsia="Arial" w:hAnsi="Arial"/>
          <w:sz w:val="17"/>
          <w:szCs w:val="17"/>
          <w:color w:val="auto"/>
        </w:rPr>
        <w:t xml:space="preserve">In our opinion, PennantPark Investment Corporation and its Subsidiaries maintained, in all material respects, effective internal control over financial reporting as of September 30, 2013, based on criteria established in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xml:space="preserve"> issued by COSO.</w:t>
      </w:r>
    </w:p>
    <w:p>
      <w:pPr>
        <w:spacing w:after="0" w:line="147"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the statements of assets and liabilities of PennantPark Investment Corporation and its Subsidiaries, including the schedules of investments as of September 30, 2013 and 2012, and the related statements of operations, changes in net assets, and cash flows for the years ended September 30, 2013, 2012 and 2011, and our report dated November 13, 2013 expressed an unqualified opinion on those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13, 2013</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360"/>
          </w:cols>
          <w:pgMar w:left="240" w:top="460" w:right="29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ASSETS AND LIABILITIES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156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93"/>
              </w:rPr>
              <w:t>September 30, 2013</w:t>
            </w:r>
          </w:p>
        </w:tc>
        <w:tc>
          <w:tcPr>
            <w:tcW w:w="260" w:type="dxa"/>
            <w:vAlign w:val="bottom"/>
          </w:tcPr>
          <w:p>
            <w:pPr>
              <w:spacing w:after="0"/>
              <w:rPr>
                <w:sz w:val="14"/>
                <w:szCs w:val="14"/>
                <w:color w:val="auto"/>
              </w:rPr>
            </w:pPr>
          </w:p>
        </w:tc>
        <w:tc>
          <w:tcPr>
            <w:tcW w:w="14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3"/>
              </w:rPr>
              <w:t>September 30, 2012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Non-controlled, non-affiliated investments, at fair value</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(cost—$928,078,589 and $871,867,953, respectively)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968,471,042</w:t>
            </w:r>
          </w:p>
        </w:tc>
        <w:tc>
          <w:tcPr>
            <w:tcW w:w="28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871,892,745</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80" w:type="dxa"/>
            <w:vAlign w:val="bottom"/>
          </w:tcPr>
          <w:p>
            <w:pPr>
              <w:ind w:left="340"/>
              <w:spacing w:after="0" w:line="201" w:lineRule="exact"/>
              <w:rPr>
                <w:sz w:val="20"/>
                <w:szCs w:val="20"/>
                <w:color w:val="auto"/>
              </w:rPr>
            </w:pPr>
            <w:r>
              <w:rPr>
                <w:rFonts w:ascii="Arial" w:cs="Arial" w:eastAsia="Arial" w:hAnsi="Arial"/>
                <w:sz w:val="18"/>
                <w:szCs w:val="18"/>
                <w:color w:val="auto"/>
              </w:rPr>
              <w:t>Non-controlled, affiliated investments, at fair value</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80" w:type="dxa"/>
            <w:vAlign w:val="bottom"/>
          </w:tcPr>
          <w:p>
            <w:pPr>
              <w:ind w:left="520"/>
              <w:spacing w:after="0"/>
              <w:rPr>
                <w:sz w:val="20"/>
                <w:szCs w:val="20"/>
                <w:color w:val="auto"/>
              </w:rPr>
            </w:pPr>
            <w:r>
              <w:rPr>
                <w:rFonts w:ascii="Arial" w:cs="Arial" w:eastAsia="Arial" w:hAnsi="Arial"/>
                <w:sz w:val="18"/>
                <w:szCs w:val="18"/>
                <w:color w:val="auto"/>
              </w:rPr>
              <w:t>(cost—$99,021,141 and $72,576,858, respectively)</w:t>
            </w:r>
          </w:p>
        </w:tc>
        <w:tc>
          <w:tcPr>
            <w:tcW w:w="16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76,735,800</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80,955,257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Controlled, affiliated investments, at fair value</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(cost—$64,418,155 and $64,167,051, respectively)</w:t>
            </w: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32,968,711</w:t>
            </w: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37,631,708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180" w:type="dxa"/>
            <w:vAlign w:val="bottom"/>
          </w:tcPr>
          <w:p>
            <w:pPr>
              <w:ind w:left="340"/>
              <w:spacing w:after="0"/>
              <w:rPr>
                <w:sz w:val="20"/>
                <w:szCs w:val="20"/>
                <w:color w:val="auto"/>
              </w:rPr>
            </w:pPr>
            <w:r>
              <w:rPr>
                <w:rFonts w:ascii="Arial" w:cs="Arial" w:eastAsia="Arial" w:hAnsi="Arial"/>
                <w:sz w:val="18"/>
                <w:szCs w:val="18"/>
                <w:color w:val="auto"/>
              </w:rPr>
              <w:t>Total of investments, at fair value</w:t>
            </w: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80" w:type="dxa"/>
            <w:vAlign w:val="bottom"/>
          </w:tcPr>
          <w:p>
            <w:pPr>
              <w:ind w:left="520"/>
              <w:spacing w:after="0"/>
              <w:rPr>
                <w:sz w:val="20"/>
                <w:szCs w:val="20"/>
                <w:color w:val="auto"/>
              </w:rPr>
            </w:pPr>
            <w:r>
              <w:rPr>
                <w:rFonts w:ascii="Arial" w:cs="Arial" w:eastAsia="Arial" w:hAnsi="Arial"/>
                <w:sz w:val="18"/>
                <w:szCs w:val="18"/>
                <w:color w:val="auto"/>
              </w:rPr>
              <w:t>(cost—$1,091,517,885 and $1,008,611,862, respectively)</w:t>
            </w:r>
          </w:p>
        </w:tc>
        <w:tc>
          <w:tcPr>
            <w:tcW w:w="16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1,078,175,553</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990,479,710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(See Note 9)</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58,440,829</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7,559,453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Interest receivable</w:t>
            </w:r>
          </w:p>
        </w:tc>
        <w:tc>
          <w:tcPr>
            <w:tcW w:w="1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10,894,893</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14,928,862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5,815,817</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5,999,506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80" w:type="dxa"/>
            <w:vAlign w:val="bottom"/>
          </w:tcPr>
          <w:p>
            <w:pPr>
              <w:ind w:left="70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1,153,327,092</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1,018,967,531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Distributions payable</w:t>
            </w:r>
          </w:p>
        </w:tc>
        <w:tc>
          <w:tcPr>
            <w:tcW w:w="1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18,619,812</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15,824,061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Payable for investments purchased</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52,544,704</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Unfunded investments</w:t>
            </w:r>
          </w:p>
        </w:tc>
        <w:tc>
          <w:tcPr>
            <w:tcW w:w="1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7,241,667</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26,935,270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Credit Facility payable</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(cost—$145,500,000 and $145,000,000, respectively) (See Notes 5 and 11)</w:t>
            </w: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145,500,000</w:t>
            </w: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144,452,500</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SBA debentures payable (cost—$150,000,000) (See Notes 5 and 11)</w:t>
            </w:r>
          </w:p>
        </w:tc>
        <w:tc>
          <w:tcPr>
            <w:tcW w:w="1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150,000,000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150,000,000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2025 Notes payable (cost—$71,250,000) (See Notes 5 and 11)</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68,400,000</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Management fee payable (See Note 3)</w:t>
            </w:r>
          </w:p>
        </w:tc>
        <w:tc>
          <w:tcPr>
            <w:tcW w:w="1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5,419,557</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4,791,913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Performance-based incentive fee payable (See Note 3)</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4,274,881</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4,206,989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Interest payable on debt</w:t>
            </w:r>
          </w:p>
        </w:tc>
        <w:tc>
          <w:tcPr>
            <w:tcW w:w="1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1,810,466</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854,725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Accrued other expenses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2,009,806</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2,185,026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80" w:type="dxa"/>
            <w:vAlign w:val="bottom"/>
          </w:tcPr>
          <w:p>
            <w:pPr>
              <w:ind w:left="700"/>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455,820,893</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349,250,484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80" w:type="dxa"/>
            <w:vAlign w:val="bottom"/>
          </w:tcPr>
          <w:p>
            <w:pPr>
              <w:spacing w:after="0" w:line="201" w:lineRule="exact"/>
              <w:rPr>
                <w:sz w:val="20"/>
                <w:szCs w:val="20"/>
                <w:color w:val="auto"/>
              </w:rPr>
            </w:pPr>
            <w:r>
              <w:rPr>
                <w:rFonts w:ascii="Arial" w:cs="Arial" w:eastAsia="Arial" w:hAnsi="Arial"/>
                <w:sz w:val="18"/>
                <w:szCs w:val="18"/>
                <w:color w:val="auto"/>
                <w:w w:val="95"/>
              </w:rPr>
              <w:t>Common stock, 66,499,327 and 65,514,503 shares issued and outstanding, respectively. Par value $0.001</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80" w:type="dxa"/>
            <w:vAlign w:val="bottom"/>
          </w:tcPr>
          <w:p>
            <w:pPr>
              <w:ind w:left="160"/>
              <w:spacing w:after="0"/>
              <w:rPr>
                <w:sz w:val="20"/>
                <w:szCs w:val="20"/>
                <w:color w:val="auto"/>
              </w:rPr>
            </w:pPr>
            <w:r>
              <w:rPr>
                <w:rFonts w:ascii="Arial" w:cs="Arial" w:eastAsia="Arial" w:hAnsi="Arial"/>
                <w:sz w:val="18"/>
                <w:szCs w:val="18"/>
                <w:color w:val="auto"/>
              </w:rPr>
              <w:t>per share and 100,000,000 shares authorized.</w:t>
            </w:r>
          </w:p>
        </w:tc>
        <w:tc>
          <w:tcPr>
            <w:tcW w:w="16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66,499</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65,514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Paid-in capital in excess of par value</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756,017,096</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744,704,825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(Distributions in excess of) Undistributed net investment income</w:t>
            </w:r>
          </w:p>
        </w:tc>
        <w:tc>
          <w:tcPr>
            <w:tcW w:w="160" w:type="dxa"/>
            <w:vAlign w:val="bottom"/>
          </w:tcPr>
          <w:p>
            <w:pPr>
              <w:spacing w:after="0"/>
              <w:rPr>
                <w:sz w:val="18"/>
                <w:szCs w:val="18"/>
                <w:color w:val="auto"/>
              </w:rPr>
            </w:pPr>
          </w:p>
        </w:tc>
        <w:tc>
          <w:tcPr>
            <w:tcW w:w="1400" w:type="dxa"/>
            <w:vAlign w:val="bottom"/>
            <w:gridSpan w:val="3"/>
          </w:tcPr>
          <w:p>
            <w:pPr>
              <w:jc w:val="right"/>
              <w:ind w:right="240"/>
              <w:spacing w:after="0"/>
              <w:rPr>
                <w:sz w:val="20"/>
                <w:szCs w:val="20"/>
                <w:color w:val="auto"/>
              </w:rPr>
            </w:pPr>
            <w:r>
              <w:rPr>
                <w:rFonts w:ascii="Arial" w:cs="Arial" w:eastAsia="Arial" w:hAnsi="Arial"/>
                <w:sz w:val="18"/>
                <w:szCs w:val="18"/>
                <w:color w:val="auto"/>
              </w:rPr>
              <w:t>(4,675,217)</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2,804,397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Accumulated net realized loss on investments</w:t>
            </w:r>
          </w:p>
        </w:tc>
        <w:tc>
          <w:tcPr>
            <w:tcW w:w="1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(43,409,847)</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(60,273,037)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Net unrealized depreciation on investments</w:t>
            </w:r>
          </w:p>
        </w:tc>
        <w:tc>
          <w:tcPr>
            <w:tcW w:w="160" w:type="dxa"/>
            <w:vAlign w:val="bottom"/>
          </w:tcPr>
          <w:p>
            <w:pPr>
              <w:spacing w:after="0"/>
              <w:rPr>
                <w:sz w:val="18"/>
                <w:szCs w:val="18"/>
                <w:color w:val="auto"/>
              </w:rPr>
            </w:pPr>
          </w:p>
        </w:tc>
        <w:tc>
          <w:tcPr>
            <w:tcW w:w="1400" w:type="dxa"/>
            <w:vAlign w:val="bottom"/>
            <w:gridSpan w:val="3"/>
          </w:tcPr>
          <w:p>
            <w:pPr>
              <w:jc w:val="right"/>
              <w:ind w:right="240"/>
              <w:spacing w:after="0"/>
              <w:rPr>
                <w:sz w:val="20"/>
                <w:szCs w:val="20"/>
                <w:color w:val="auto"/>
              </w:rPr>
            </w:pPr>
            <w:r>
              <w:rPr>
                <w:rFonts w:ascii="Arial" w:cs="Arial" w:eastAsia="Arial" w:hAnsi="Arial"/>
                <w:sz w:val="18"/>
                <w:szCs w:val="18"/>
                <w:color w:val="auto"/>
              </w:rPr>
              <w:t>(13,342,332)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(18,132,152)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depreciation on debt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2,850,000</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547,500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80" w:type="dxa"/>
            <w:vAlign w:val="bottom"/>
          </w:tcPr>
          <w:p>
            <w:pPr>
              <w:ind w:left="700"/>
              <w:spacing w:after="0"/>
              <w:rPr>
                <w:sz w:val="20"/>
                <w:szCs w:val="20"/>
                <w:color w:val="auto"/>
              </w:rPr>
            </w:pPr>
            <w:r>
              <w:rPr>
                <w:rFonts w:ascii="Arial" w:cs="Arial" w:eastAsia="Arial" w:hAnsi="Arial"/>
                <w:sz w:val="18"/>
                <w:szCs w:val="18"/>
                <w:b w:val="1"/>
                <w:bCs w:val="1"/>
                <w:color w:val="auto"/>
              </w:rPr>
              <w:t>Total net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697,506,199</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669,717,047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liabilities and net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1,153,327,092</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1,018,967,531</w:t>
            </w:r>
          </w:p>
        </w:tc>
        <w:tc>
          <w:tcPr>
            <w:tcW w:w="0" w:type="dxa"/>
            <w:vAlign w:val="bottom"/>
          </w:tcPr>
          <w:p>
            <w:pPr>
              <w:spacing w:after="0"/>
              <w:rPr>
                <w:sz w:val="1"/>
                <w:szCs w:val="1"/>
                <w:color w:val="auto"/>
              </w:rPr>
            </w:pPr>
          </w:p>
        </w:tc>
      </w:tr>
      <w:tr>
        <w:trPr>
          <w:trHeight w:val="20"/>
        </w:trPr>
        <w:tc>
          <w:tcPr>
            <w:tcW w:w="8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asset value per share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00" w:type="dxa"/>
            <w:vAlign w:val="bottom"/>
            <w:gridSpan w:val="2"/>
            <w:vMerge w:val="continue"/>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10.49</w:t>
            </w:r>
          </w:p>
        </w:tc>
        <w:tc>
          <w:tcPr>
            <w:tcW w:w="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w w:val="94"/>
              </w:rPr>
              <w:t>Years Ended September 30,</w:t>
            </w: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2012</w:t>
            </w:r>
          </w:p>
        </w:tc>
        <w:tc>
          <w:tcPr>
            <w:tcW w:w="5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72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Investment income:</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From non-controlled, non-affiliated investments:</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107,058,958</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7"/>
              </w:rPr>
              <w:t>99,663,198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83,632,455</w:t>
            </w:r>
          </w:p>
        </w:tc>
      </w:tr>
      <w:tr>
        <w:trPr>
          <w:trHeight w:val="216"/>
        </w:trPr>
        <w:tc>
          <w:tcPr>
            <w:tcW w:w="20" w:type="dxa"/>
            <w:vAlign w:val="bottom"/>
          </w:tcPr>
          <w:p>
            <w:pPr>
              <w:spacing w:after="0"/>
              <w:rPr>
                <w:sz w:val="18"/>
                <w:szCs w:val="18"/>
                <w:color w:val="auto"/>
              </w:rPr>
            </w:pPr>
          </w:p>
        </w:tc>
        <w:tc>
          <w:tcPr>
            <w:tcW w:w="7220" w:type="dxa"/>
            <w:vAlign w:val="bottom"/>
          </w:tcPr>
          <w:p>
            <w:pPr>
              <w:ind w:left="340"/>
              <w:spacing w:after="0"/>
              <w:rPr>
                <w:sz w:val="20"/>
                <w:szCs w:val="20"/>
                <w:color w:val="auto"/>
              </w:rPr>
            </w:pPr>
            <w:r>
              <w:rPr>
                <w:rFonts w:ascii="Arial" w:cs="Arial" w:eastAsia="Arial" w:hAnsi="Arial"/>
                <w:sz w:val="18"/>
                <w:szCs w:val="18"/>
                <w:color w:val="auto"/>
              </w:rPr>
              <w:t>Other income</w:t>
            </w: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10,883,261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8,486,387</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4,726,387</w:t>
            </w: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From non-controlled, affiliated investments:</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40"/>
              <w:spacing w:after="0"/>
              <w:rPr>
                <w:sz w:val="20"/>
                <w:szCs w:val="20"/>
                <w:color w:val="auto"/>
              </w:rPr>
            </w:pPr>
            <w:r>
              <w:rPr>
                <w:rFonts w:ascii="Arial" w:cs="Arial" w:eastAsia="Arial" w:hAnsi="Arial"/>
                <w:sz w:val="18"/>
                <w:szCs w:val="18"/>
                <w:color w:val="auto"/>
              </w:rPr>
              <w:t>Interest</w:t>
            </w: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5,841,127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3,542,583</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2,217,320</w:t>
            </w: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597,400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From controlled, affiliated investments:</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4,806,329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1,700,222</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1,162,333</w:t>
            </w:r>
          </w:p>
        </w:tc>
      </w:tr>
      <w:tr>
        <w:trPr>
          <w:trHeight w:val="230"/>
        </w:trPr>
        <w:tc>
          <w:tcPr>
            <w:tcW w:w="20" w:type="dxa"/>
            <w:vAlign w:val="bottom"/>
          </w:tcPr>
          <w:p>
            <w:pPr>
              <w:spacing w:after="0"/>
              <w:rPr>
                <w:sz w:val="20"/>
                <w:szCs w:val="20"/>
                <w:color w:val="auto"/>
              </w:rPr>
            </w:pPr>
          </w:p>
        </w:tc>
        <w:tc>
          <w:tcPr>
            <w:tcW w:w="7220" w:type="dxa"/>
            <w:vAlign w:val="bottom"/>
          </w:tcPr>
          <w:p>
            <w:pPr>
              <w:ind w:left="520"/>
              <w:spacing w:after="0"/>
              <w:rPr>
                <w:sz w:val="20"/>
                <w:szCs w:val="20"/>
                <w:color w:val="auto"/>
              </w:rPr>
            </w:pPr>
            <w:r>
              <w:rPr>
                <w:rFonts w:ascii="Arial" w:cs="Arial" w:eastAsia="Arial" w:hAnsi="Arial"/>
                <w:sz w:val="18"/>
                <w:szCs w:val="18"/>
                <w:b w:val="1"/>
                <w:bCs w:val="1"/>
                <w:color w:val="auto"/>
              </w:rPr>
              <w:t>Total investment income</w:t>
            </w:r>
          </w:p>
        </w:tc>
        <w:tc>
          <w:tcPr>
            <w:tcW w:w="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129,187,075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113,392,390</w:t>
            </w:r>
          </w:p>
        </w:tc>
        <w:tc>
          <w:tcPr>
            <w:tcW w:w="5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91,738,495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40"/>
              <w:spacing w:after="0"/>
              <w:rPr>
                <w:sz w:val="20"/>
                <w:szCs w:val="20"/>
                <w:color w:val="auto"/>
              </w:rPr>
            </w:pPr>
            <w:r>
              <w:rPr>
                <w:rFonts w:ascii="Arial" w:cs="Arial" w:eastAsia="Arial" w:hAnsi="Arial"/>
                <w:sz w:val="18"/>
                <w:szCs w:val="18"/>
                <w:color w:val="auto"/>
              </w:rPr>
              <w:t>Base management fee (See Note 3)</w:t>
            </w: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21,288,728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8"/>
                <w:szCs w:val="18"/>
                <w:color w:val="auto"/>
                <w:w w:val="97"/>
              </w:rPr>
              <w:t>17,507,262</w:t>
            </w: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14,899,983</w:t>
            </w: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Performance-based incentive fee (See Note 3)</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16,793,089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7"/>
              </w:rPr>
              <w:t>14,223,777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13,161,597</w:t>
            </w:r>
          </w:p>
        </w:tc>
      </w:tr>
      <w:tr>
        <w:trPr>
          <w:trHeight w:val="216"/>
        </w:trPr>
        <w:tc>
          <w:tcPr>
            <w:tcW w:w="20" w:type="dxa"/>
            <w:vAlign w:val="bottom"/>
          </w:tcPr>
          <w:p>
            <w:pPr>
              <w:spacing w:after="0"/>
              <w:rPr>
                <w:sz w:val="18"/>
                <w:szCs w:val="18"/>
                <w:color w:val="auto"/>
              </w:rPr>
            </w:pPr>
          </w:p>
        </w:tc>
        <w:tc>
          <w:tcPr>
            <w:tcW w:w="7220" w:type="dxa"/>
            <w:vAlign w:val="bottom"/>
          </w:tcPr>
          <w:p>
            <w:pPr>
              <w:ind w:left="340"/>
              <w:spacing w:after="0"/>
              <w:rPr>
                <w:sz w:val="20"/>
                <w:szCs w:val="20"/>
                <w:color w:val="auto"/>
              </w:rPr>
            </w:pPr>
            <w:r>
              <w:rPr>
                <w:rFonts w:ascii="Arial" w:cs="Arial" w:eastAsia="Arial" w:hAnsi="Arial"/>
                <w:sz w:val="18"/>
                <w:szCs w:val="18"/>
                <w:color w:val="auto"/>
              </w:rPr>
              <w:t>Interest and expenses on debt (See Note 11)</w:t>
            </w: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15,384,208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8"/>
                <w:szCs w:val="18"/>
                <w:color w:val="auto"/>
                <w:w w:val="97"/>
              </w:rPr>
              <w:t>11,680,634</w:t>
            </w: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5,322,231</w:t>
            </w: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Administrative services expenses (See Note 3)</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3,161,158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3,745,741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2,596,756</w:t>
            </w:r>
          </w:p>
        </w:tc>
      </w:tr>
      <w:tr>
        <w:trPr>
          <w:trHeight w:val="223"/>
        </w:trPr>
        <w:tc>
          <w:tcPr>
            <w:tcW w:w="20" w:type="dxa"/>
            <w:vAlign w:val="bottom"/>
          </w:tcPr>
          <w:p>
            <w:pPr>
              <w:spacing w:after="0"/>
              <w:rPr>
                <w:sz w:val="19"/>
                <w:szCs w:val="19"/>
                <w:color w:val="auto"/>
              </w:rPr>
            </w:pPr>
          </w:p>
        </w:tc>
        <w:tc>
          <w:tcPr>
            <w:tcW w:w="7220" w:type="dxa"/>
            <w:vAlign w:val="bottom"/>
          </w:tcPr>
          <w:p>
            <w:pPr>
              <w:ind w:left="340"/>
              <w:spacing w:after="0"/>
              <w:rPr>
                <w:sz w:val="20"/>
                <w:szCs w:val="20"/>
                <w:color w:val="auto"/>
              </w:rPr>
            </w:pPr>
            <w:r>
              <w:rPr>
                <w:rFonts w:ascii="Arial" w:cs="Arial" w:eastAsia="Arial" w:hAnsi="Arial"/>
                <w:sz w:val="18"/>
                <w:szCs w:val="18"/>
                <w:color w:val="auto"/>
              </w:rPr>
              <w:t>Other general and administrative expenses</w:t>
            </w: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2,857,739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3,496,326</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2,884,029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Expenses before taxes and debt issuance costs</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59,484,922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7"/>
              </w:rPr>
              <w:t>50,653,740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38,864,596</w:t>
            </w:r>
          </w:p>
        </w:tc>
      </w:tr>
      <w:tr>
        <w:trPr>
          <w:trHeight w:val="216"/>
        </w:trPr>
        <w:tc>
          <w:tcPr>
            <w:tcW w:w="20" w:type="dxa"/>
            <w:vAlign w:val="bottom"/>
          </w:tcPr>
          <w:p>
            <w:pPr>
              <w:spacing w:after="0"/>
              <w:rPr>
                <w:sz w:val="18"/>
                <w:szCs w:val="18"/>
                <w:color w:val="auto"/>
              </w:rPr>
            </w:pPr>
          </w:p>
        </w:tc>
        <w:tc>
          <w:tcPr>
            <w:tcW w:w="7220" w:type="dxa"/>
            <w:vAlign w:val="bottom"/>
          </w:tcPr>
          <w:p>
            <w:pPr>
              <w:ind w:left="340"/>
              <w:spacing w:after="0"/>
              <w:rPr>
                <w:sz w:val="20"/>
                <w:szCs w:val="20"/>
                <w:color w:val="auto"/>
              </w:rPr>
            </w:pPr>
            <w:r>
              <w:rPr>
                <w:rFonts w:ascii="Arial" w:cs="Arial" w:eastAsia="Arial" w:hAnsi="Arial"/>
                <w:sz w:val="18"/>
                <w:szCs w:val="18"/>
                <w:color w:val="auto"/>
              </w:rPr>
              <w:t>Tax expense</w:t>
            </w:r>
          </w:p>
        </w:tc>
        <w:tc>
          <w:tcPr>
            <w:tcW w:w="80" w:type="dxa"/>
            <w:vAlign w:val="bottom"/>
          </w:tcPr>
          <w:p>
            <w:pPr>
              <w:spacing w:after="0"/>
              <w:rPr>
                <w:sz w:val="18"/>
                <w:szCs w:val="18"/>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(53,468)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307,990</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228,824</w:t>
            </w: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Debt issuance costs (See Note 5)</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2,757,500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5,361,319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7220" w:type="dxa"/>
            <w:vAlign w:val="bottom"/>
          </w:tcPr>
          <w:p>
            <w:pPr>
              <w:ind w:left="340"/>
              <w:spacing w:after="0"/>
              <w:rPr>
                <w:sz w:val="20"/>
                <w:szCs w:val="20"/>
                <w:color w:val="auto"/>
              </w:rPr>
            </w:pPr>
            <w:r>
              <w:rPr>
                <w:rFonts w:ascii="Arial" w:cs="Arial" w:eastAsia="Arial" w:hAnsi="Arial"/>
                <w:sz w:val="18"/>
                <w:szCs w:val="18"/>
                <w:b w:val="1"/>
                <w:bCs w:val="1"/>
                <w:color w:val="auto"/>
              </w:rPr>
              <w:t>Total expenses</w:t>
            </w:r>
          </w:p>
        </w:tc>
        <w:tc>
          <w:tcPr>
            <w:tcW w:w="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62,188,954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56,323,049</w:t>
            </w:r>
          </w:p>
        </w:tc>
        <w:tc>
          <w:tcPr>
            <w:tcW w:w="5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39,093,420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Net investment income</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66,998,121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7"/>
              </w:rPr>
              <w:t>57,069,341</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52,645,075</w:t>
            </w:r>
          </w:p>
        </w:tc>
      </w:tr>
      <w:tr>
        <w:trPr>
          <w:trHeight w:val="223"/>
        </w:trPr>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Realized and unrealized gain (loss) on investments and debt:</w:t>
            </w:r>
          </w:p>
        </w:tc>
        <w:tc>
          <w:tcPr>
            <w:tcW w:w="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 (loss) on investments</w:t>
            </w: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9"/>
              </w:rPr>
              <w:t>17,687,211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2"/>
              </w:rPr>
              <w:t>(12,798,035)</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16,259,622</w:t>
            </w: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Net change in unrealized appreciation (depreciation) on:</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Non-controlled, non-affiliated investments</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17,932,839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7"/>
              </w:rPr>
              <w:t>42,727,722</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(45,350,345)</w:t>
            </w:r>
          </w:p>
        </w:tc>
      </w:tr>
      <w:tr>
        <w:trPr>
          <w:trHeight w:val="216"/>
        </w:trPr>
        <w:tc>
          <w:tcPr>
            <w:tcW w:w="20" w:type="dxa"/>
            <w:vAlign w:val="bottom"/>
          </w:tcPr>
          <w:p>
            <w:pPr>
              <w:spacing w:after="0"/>
              <w:rPr>
                <w:sz w:val="18"/>
                <w:szCs w:val="18"/>
                <w:color w:val="auto"/>
              </w:rPr>
            </w:pPr>
          </w:p>
        </w:tc>
        <w:tc>
          <w:tcPr>
            <w:tcW w:w="7220" w:type="dxa"/>
            <w:vAlign w:val="bottom"/>
          </w:tcPr>
          <w:p>
            <w:pPr>
              <w:ind w:left="340"/>
              <w:spacing w:after="0"/>
              <w:rPr>
                <w:sz w:val="20"/>
                <w:szCs w:val="20"/>
                <w:color w:val="auto"/>
              </w:rPr>
            </w:pPr>
            <w:r>
              <w:rPr>
                <w:rFonts w:ascii="Arial" w:cs="Arial" w:eastAsia="Arial" w:hAnsi="Arial"/>
                <w:sz w:val="18"/>
                <w:szCs w:val="18"/>
                <w:color w:val="auto"/>
              </w:rPr>
              <w:t>Non-controlled and controlled, affiliated investments</w:t>
            </w:r>
          </w:p>
        </w:tc>
        <w:tc>
          <w:tcPr>
            <w:tcW w:w="80" w:type="dxa"/>
            <w:vAlign w:val="bottom"/>
          </w:tcPr>
          <w:p>
            <w:pPr>
              <w:spacing w:after="0"/>
              <w:rPr>
                <w:sz w:val="18"/>
                <w:szCs w:val="18"/>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w w:val="94"/>
              </w:rPr>
              <w:t>(13,143,019)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00"/>
              <w:spacing w:after="0"/>
              <w:rPr>
                <w:sz w:val="20"/>
                <w:szCs w:val="20"/>
                <w:color w:val="auto"/>
              </w:rPr>
            </w:pPr>
            <w:r>
              <w:rPr>
                <w:rFonts w:ascii="Arial" w:cs="Arial" w:eastAsia="Arial" w:hAnsi="Arial"/>
                <w:sz w:val="18"/>
                <w:szCs w:val="18"/>
                <w:color w:val="auto"/>
                <w:w w:val="92"/>
              </w:rPr>
              <w:t>(22,085,553)</w:t>
            </w:r>
          </w:p>
        </w:tc>
        <w:tc>
          <w:tcPr>
            <w:tcW w:w="1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w w:val="99"/>
              </w:rPr>
              <w:t>(1,439,878)</w:t>
            </w: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Debt depreciation (appreciation) (See Notes 5 and 11)</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2,302,500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(1,560,375)</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(11,851,000)</w:t>
            </w:r>
          </w:p>
        </w:tc>
      </w:tr>
      <w:tr>
        <w:trPr>
          <w:trHeight w:val="230"/>
        </w:trPr>
        <w:tc>
          <w:tcPr>
            <w:tcW w:w="20" w:type="dxa"/>
            <w:vAlign w:val="bottom"/>
          </w:tcPr>
          <w:p>
            <w:pPr>
              <w:spacing w:after="0"/>
              <w:rPr>
                <w:sz w:val="20"/>
                <w:szCs w:val="20"/>
                <w:color w:val="auto"/>
              </w:rPr>
            </w:pPr>
          </w:p>
        </w:tc>
        <w:tc>
          <w:tcPr>
            <w:tcW w:w="7220" w:type="dxa"/>
            <w:vAlign w:val="bottom"/>
          </w:tcPr>
          <w:p>
            <w:pPr>
              <w:ind w:left="340"/>
              <w:spacing w:after="0"/>
              <w:rPr>
                <w:sz w:val="20"/>
                <w:szCs w:val="20"/>
                <w:color w:val="auto"/>
              </w:rPr>
            </w:pPr>
            <w:r>
              <w:rPr>
                <w:rFonts w:ascii="Arial" w:cs="Arial" w:eastAsia="Arial" w:hAnsi="Arial"/>
                <w:sz w:val="18"/>
                <w:szCs w:val="18"/>
                <w:b w:val="1"/>
                <w:bCs w:val="1"/>
                <w:color w:val="auto"/>
              </w:rPr>
              <w:t>Net change in unrealized appreciation (depreciation)</w:t>
            </w:r>
          </w:p>
        </w:tc>
        <w:tc>
          <w:tcPr>
            <w:tcW w:w="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7,092,320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19,081,794</w:t>
            </w:r>
          </w:p>
        </w:tc>
        <w:tc>
          <w:tcPr>
            <w:tcW w:w="5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(58,641,223</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realized and unrealized gain (loss) from investments and debt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24,779,531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6,283,759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(42,381,601)</w:t>
            </w:r>
          </w:p>
        </w:tc>
      </w:tr>
      <w:tr>
        <w:trPr>
          <w:trHeight w:val="223"/>
        </w:trPr>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91,777,652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63,353,100</w:t>
            </w: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10,263,474</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2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6"/>
              </w:rPr>
              <w:t>Net increase in net assets resulting from operations per common share basic and diluted (See</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7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Note 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0.24</w:t>
            </w:r>
          </w:p>
        </w:tc>
      </w:tr>
      <w:tr>
        <w:trPr>
          <w:trHeight w:val="223"/>
        </w:trPr>
        <w:tc>
          <w:tcPr>
            <w:tcW w:w="7240" w:type="dxa"/>
            <w:vAlign w:val="bottom"/>
            <w:gridSpan w:val="2"/>
          </w:tcPr>
          <w:p>
            <w:pPr>
              <w:spacing w:after="0"/>
              <w:rPr>
                <w:sz w:val="20"/>
                <w:szCs w:val="20"/>
                <w:color w:val="auto"/>
              </w:rPr>
            </w:pPr>
            <w:r>
              <w:rPr>
                <w:rFonts w:ascii="Arial" w:cs="Arial" w:eastAsia="Arial" w:hAnsi="Arial"/>
                <w:sz w:val="18"/>
                <w:szCs w:val="18"/>
                <w:color w:val="auto"/>
              </w:rPr>
              <w:t>Net investment income per common share</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9"/>
                <w:szCs w:val="19"/>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60" w:right="23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2"/>
              </w:rPr>
              <w:t>Years Ended September 30,</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8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2012</w:t>
            </w:r>
          </w:p>
        </w:tc>
        <w:tc>
          <w:tcPr>
            <w:tcW w:w="4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increase in net assets from operations:</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700"/>
              <w:spacing w:after="0"/>
              <w:rPr>
                <w:sz w:val="20"/>
                <w:szCs w:val="20"/>
                <w:color w:val="auto"/>
              </w:rPr>
            </w:pPr>
            <w:r>
              <w:rPr>
                <w:rFonts w:ascii="Arial" w:cs="Arial" w:eastAsia="Arial" w:hAnsi="Arial"/>
                <w:sz w:val="18"/>
                <w:szCs w:val="18"/>
                <w:color w:val="auto"/>
              </w:rPr>
              <w:t>Net investment income</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66,998,121</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w w:val="99"/>
              </w:rPr>
              <w:t>57,069,341</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52,645,075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realized gain (loss) on investments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17,687,211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(12,798,035)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16,259,622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700"/>
              <w:spacing w:after="0"/>
              <w:rPr>
                <w:sz w:val="20"/>
                <w:szCs w:val="20"/>
                <w:color w:val="auto"/>
              </w:rPr>
            </w:pPr>
            <w:r>
              <w:rPr>
                <w:rFonts w:ascii="Arial" w:cs="Arial" w:eastAsia="Arial" w:hAnsi="Arial"/>
                <w:sz w:val="18"/>
                <w:szCs w:val="18"/>
                <w:color w:val="auto"/>
              </w:rPr>
              <w:t>Net change in unrealized appreciation (depreciation) on investments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4,789,820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w w:val="99"/>
              </w:rPr>
              <w:t>20,642,169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(46,790,223)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change in debt depreciation (appreciation)</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2,302,500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(1,560,375)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(11,851,000)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80" w:type="dxa"/>
            <w:vAlign w:val="bottom"/>
          </w:tcPr>
          <w:p>
            <w:pPr>
              <w:ind w:left="700"/>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7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91,777,652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63,353,100</w:t>
            </w: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10,263,474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Distributions to stockholders: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tcPr>
          <w:p>
            <w:pPr>
              <w:ind w:left="700"/>
              <w:spacing w:after="0"/>
              <w:rPr>
                <w:sz w:val="20"/>
                <w:szCs w:val="20"/>
                <w:color w:val="auto"/>
              </w:rPr>
            </w:pPr>
            <w:r>
              <w:rPr>
                <w:rFonts w:ascii="Arial" w:cs="Arial" w:eastAsia="Arial" w:hAnsi="Arial"/>
                <w:sz w:val="18"/>
                <w:szCs w:val="18"/>
                <w:color w:val="auto"/>
              </w:rPr>
              <w:t>Distributions</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w w:val="94"/>
              </w:rPr>
              <w:t>(74,398,129)</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(60,137,978)</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(46,347,691)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transactions:</w:t>
            </w:r>
          </w:p>
        </w:tc>
        <w:tc>
          <w:tcPr>
            <w:tcW w:w="7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700"/>
              <w:spacing w:after="0"/>
              <w:rPr>
                <w:sz w:val="20"/>
                <w:szCs w:val="20"/>
                <w:color w:val="auto"/>
              </w:rPr>
            </w:pPr>
            <w:r>
              <w:rPr>
                <w:rFonts w:ascii="Arial" w:cs="Arial" w:eastAsia="Arial" w:hAnsi="Arial"/>
                <w:sz w:val="18"/>
                <w:szCs w:val="18"/>
                <w:color w:val="auto"/>
              </w:rPr>
              <w:t>Public offerings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7,574,000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206,572,500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114,080,000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Offerings costs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(265,090)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(7,717,300)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(5,743,800)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tcPr>
          <w:p>
            <w:pPr>
              <w:ind w:left="700"/>
              <w:spacing w:after="0"/>
              <w:rPr>
                <w:sz w:val="20"/>
                <w:szCs w:val="20"/>
                <w:color w:val="auto"/>
              </w:rPr>
            </w:pPr>
            <w:r>
              <w:rPr>
                <w:rFonts w:ascii="Arial" w:cs="Arial" w:eastAsia="Arial" w:hAnsi="Arial"/>
                <w:sz w:val="18"/>
                <w:szCs w:val="18"/>
                <w:color w:val="auto"/>
              </w:rPr>
              <w:t>Reinvestment of distributions</w:t>
            </w:r>
          </w:p>
        </w:tc>
        <w:tc>
          <w:tcPr>
            <w:tcW w:w="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3,100,719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4,989,529</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3,829,990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Net increase in net assets resulting from capital transactions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10,409,629</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203,844,729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112,166,190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600" w:type="dxa"/>
            <w:vAlign w:val="bottom"/>
            <w:gridSpan w:val="2"/>
          </w:tcPr>
          <w:p>
            <w:pPr>
              <w:spacing w:after="0"/>
              <w:rPr>
                <w:sz w:val="20"/>
                <w:szCs w:val="20"/>
                <w:color w:val="auto"/>
              </w:rPr>
            </w:pPr>
            <w:r>
              <w:rPr>
                <w:rFonts w:ascii="Arial" w:cs="Arial" w:eastAsia="Arial" w:hAnsi="Arial"/>
                <w:sz w:val="18"/>
                <w:szCs w:val="18"/>
                <w:b w:val="1"/>
                <w:bCs w:val="1"/>
                <w:color w:val="auto"/>
              </w:rPr>
              <w:t>Net increase in net assets</w:t>
            </w:r>
          </w:p>
        </w:tc>
        <w:tc>
          <w:tcPr>
            <w:tcW w:w="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27,789,152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207,059,851</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76,081,973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6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tcPr>
          <w:p>
            <w:pPr>
              <w:ind w:left="340"/>
              <w:spacing w:after="0"/>
              <w:rPr>
                <w:sz w:val="20"/>
                <w:szCs w:val="20"/>
                <w:color w:val="auto"/>
              </w:rPr>
            </w:pPr>
            <w:r>
              <w:rPr>
                <w:rFonts w:ascii="Arial" w:cs="Arial" w:eastAsia="Arial" w:hAnsi="Arial"/>
                <w:sz w:val="18"/>
                <w:szCs w:val="18"/>
                <w:color w:val="auto"/>
              </w:rPr>
              <w:t>Beginning of year</w:t>
            </w:r>
          </w:p>
        </w:tc>
        <w:tc>
          <w:tcPr>
            <w:tcW w:w="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669,717,047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462,657,196</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386,575,223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End of year</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697,506,199</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669,717,047</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462,657,196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vMerge w:val="restart"/>
          </w:tcPr>
          <w:p>
            <w:pPr>
              <w:ind w:left="340"/>
              <w:spacing w:after="0"/>
              <w:rPr>
                <w:sz w:val="20"/>
                <w:szCs w:val="20"/>
                <w:color w:val="auto"/>
              </w:rPr>
            </w:pPr>
            <w:r>
              <w:rPr>
                <w:rFonts w:ascii="Arial" w:cs="Arial" w:eastAsia="Arial" w:hAnsi="Arial"/>
                <w:sz w:val="18"/>
                <w:szCs w:val="18"/>
                <w:color w:val="auto"/>
              </w:rPr>
              <w:t>(Distributions in excess of) Undistributed net investment income, at year end</w:t>
            </w: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(4,675,217</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3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2,804,397</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8,326,854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6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share activity:</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700"/>
              <w:spacing w:after="0"/>
              <w:rPr>
                <w:sz w:val="20"/>
                <w:szCs w:val="20"/>
                <w:color w:val="auto"/>
              </w:rPr>
            </w:pPr>
            <w:r>
              <w:rPr>
                <w:rFonts w:ascii="Arial" w:cs="Arial" w:eastAsia="Arial" w:hAnsi="Arial"/>
                <w:sz w:val="18"/>
                <w:szCs w:val="18"/>
                <w:color w:val="auto"/>
              </w:rPr>
              <w:t>Shares issued from public offerings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700,000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w w:val="99"/>
              </w:rPr>
              <w:t>19,350,000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9,200,000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Shares issued from reinvestment of distributions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284,824</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474,722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331,011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60" w:right="23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w w:val="96"/>
              </w:rPr>
              <w:t>Years Ended September 30,</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35"/>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35"/>
              <w:spacing w:after="0" w:line="142" w:lineRule="exact"/>
              <w:rPr>
                <w:sz w:val="20"/>
                <w:szCs w:val="20"/>
                <w:color w:val="auto"/>
              </w:rPr>
            </w:pPr>
            <w:r>
              <w:rPr>
                <w:rFonts w:ascii="Arial" w:cs="Arial" w:eastAsia="Arial" w:hAnsi="Arial"/>
                <w:sz w:val="14"/>
                <w:szCs w:val="14"/>
                <w:b w:val="1"/>
                <w:bCs w:val="1"/>
                <w:color w:val="auto"/>
              </w:rPr>
              <w:t>2012</w:t>
            </w:r>
          </w:p>
        </w:tc>
        <w:tc>
          <w:tcPr>
            <w:tcW w:w="4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740" w:type="dxa"/>
            <w:vAlign w:val="bottom"/>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Cash flows from operating activities:</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ind w:left="340"/>
              <w:spacing w:after="0"/>
              <w:rPr>
                <w:sz w:val="20"/>
                <w:szCs w:val="20"/>
                <w:color w:val="auto"/>
              </w:rPr>
            </w:pPr>
            <w:r>
              <w:rPr>
                <w:rFonts w:ascii="Arial" w:cs="Arial" w:eastAsia="Arial" w:hAnsi="Arial"/>
                <w:sz w:val="17"/>
                <w:szCs w:val="17"/>
                <w:color w:val="auto"/>
              </w:rPr>
              <w:t>Net increase in net assets resulting from operations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rPr>
              <w:t>91,777,652</w:t>
            </w:r>
          </w:p>
        </w:tc>
        <w:tc>
          <w:tcPr>
            <w:tcW w:w="16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80" w:type="dxa"/>
            <w:vAlign w:val="bottom"/>
            <w:gridSpan w:val="2"/>
          </w:tcPr>
          <w:p>
            <w:pPr>
              <w:jc w:val="right"/>
              <w:ind w:right="440"/>
              <w:spacing w:after="0"/>
              <w:rPr>
                <w:sz w:val="20"/>
                <w:szCs w:val="20"/>
                <w:color w:val="auto"/>
              </w:rPr>
            </w:pPr>
            <w:r>
              <w:rPr>
                <w:rFonts w:ascii="Arial" w:cs="Arial" w:eastAsia="Arial" w:hAnsi="Arial"/>
                <w:sz w:val="17"/>
                <w:szCs w:val="17"/>
                <w:color w:val="auto"/>
              </w:rPr>
              <w:t>63,353,100</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63"/>
              <w:spacing w:after="0"/>
              <w:rPr>
                <w:sz w:val="20"/>
                <w:szCs w:val="20"/>
                <w:color w:val="auto"/>
              </w:rPr>
            </w:pPr>
            <w:r>
              <w:rPr>
                <w:rFonts w:ascii="Arial" w:cs="Arial" w:eastAsia="Arial" w:hAnsi="Arial"/>
                <w:sz w:val="17"/>
                <w:szCs w:val="17"/>
                <w:color w:val="auto"/>
              </w:rPr>
              <w:t>10,263,474</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740" w:type="dxa"/>
            <w:vAlign w:val="bottom"/>
            <w:shd w:val="clear" w:color="auto" w:fill="CCEEFF"/>
          </w:tcPr>
          <w:p>
            <w:pPr>
              <w:ind w:left="340"/>
              <w:spacing w:after="0" w:line="185" w:lineRule="exact"/>
              <w:rPr>
                <w:sz w:val="20"/>
                <w:szCs w:val="20"/>
                <w:color w:val="auto"/>
              </w:rPr>
            </w:pPr>
            <w:r>
              <w:rPr>
                <w:rFonts w:ascii="Arial" w:cs="Arial" w:eastAsia="Arial" w:hAnsi="Arial"/>
                <w:sz w:val="17"/>
                <w:szCs w:val="17"/>
                <w:color w:val="auto"/>
              </w:rPr>
              <w:t>Adjustments to reconcile net increase in net assets resulting from operations to net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740" w:type="dxa"/>
            <w:vAlign w:val="bottom"/>
            <w:shd w:val="clear" w:color="auto" w:fill="CCEEFF"/>
          </w:tcPr>
          <w:p>
            <w:pPr>
              <w:ind w:left="520"/>
              <w:spacing w:after="0"/>
              <w:rPr>
                <w:sz w:val="20"/>
                <w:szCs w:val="20"/>
                <w:color w:val="auto"/>
              </w:rPr>
            </w:pPr>
            <w:r>
              <w:rPr>
                <w:rFonts w:ascii="Arial" w:cs="Arial" w:eastAsia="Arial" w:hAnsi="Arial"/>
                <w:sz w:val="17"/>
                <w:szCs w:val="17"/>
                <w:color w:val="auto"/>
              </w:rPr>
              <w:t>cash provided by (used for) operating activities:</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ind w:left="700"/>
              <w:spacing w:after="0"/>
              <w:rPr>
                <w:sz w:val="20"/>
                <w:szCs w:val="20"/>
                <w:color w:val="auto"/>
              </w:rPr>
            </w:pPr>
            <w:r>
              <w:rPr>
                <w:rFonts w:ascii="Arial" w:cs="Arial" w:eastAsia="Arial" w:hAnsi="Arial"/>
                <w:sz w:val="17"/>
                <w:szCs w:val="17"/>
                <w:color w:val="auto"/>
              </w:rPr>
              <w:t>Net change in net unrealized appreciation (depreciation) on investments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3"/>
          </w:tcPr>
          <w:p>
            <w:pPr>
              <w:jc w:val="right"/>
              <w:ind w:right="120"/>
              <w:spacing w:after="0"/>
              <w:rPr>
                <w:sz w:val="20"/>
                <w:szCs w:val="20"/>
                <w:color w:val="auto"/>
              </w:rPr>
            </w:pPr>
            <w:r>
              <w:rPr>
                <w:rFonts w:ascii="Arial" w:cs="Arial" w:eastAsia="Arial" w:hAnsi="Arial"/>
                <w:sz w:val="17"/>
                <w:szCs w:val="17"/>
                <w:color w:val="auto"/>
              </w:rPr>
              <w:t>(4,789,820)</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right"/>
              <w:ind w:right="380"/>
              <w:spacing w:after="0"/>
              <w:rPr>
                <w:sz w:val="20"/>
                <w:szCs w:val="20"/>
                <w:color w:val="auto"/>
              </w:rPr>
            </w:pPr>
            <w:r>
              <w:rPr>
                <w:rFonts w:ascii="Arial" w:cs="Arial" w:eastAsia="Arial" w:hAnsi="Arial"/>
                <w:sz w:val="17"/>
                <w:szCs w:val="17"/>
                <w:color w:val="auto"/>
              </w:rPr>
              <w:t>(20,642,169)</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63"/>
              <w:spacing w:after="0"/>
              <w:rPr>
                <w:sz w:val="20"/>
                <w:szCs w:val="20"/>
                <w:color w:val="auto"/>
              </w:rPr>
            </w:pPr>
            <w:r>
              <w:rPr>
                <w:rFonts w:ascii="Arial" w:cs="Arial" w:eastAsia="Arial" w:hAnsi="Arial"/>
                <w:sz w:val="17"/>
                <w:szCs w:val="17"/>
                <w:color w:val="auto"/>
              </w:rPr>
              <w:t>46,790,223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ind w:left="700"/>
              <w:spacing w:after="0"/>
              <w:rPr>
                <w:sz w:val="20"/>
                <w:szCs w:val="20"/>
                <w:color w:val="auto"/>
              </w:rPr>
            </w:pPr>
            <w:r>
              <w:rPr>
                <w:rFonts w:ascii="Arial" w:cs="Arial" w:eastAsia="Arial" w:hAnsi="Arial"/>
                <w:sz w:val="17"/>
                <w:szCs w:val="17"/>
                <w:color w:val="auto"/>
              </w:rPr>
              <w:t>Net change in debt depreciation (appreciation)</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(2,302,500)</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1,560,375</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3"/>
              <w:spacing w:after="0"/>
              <w:rPr>
                <w:sz w:val="20"/>
                <w:szCs w:val="20"/>
                <w:color w:val="auto"/>
              </w:rPr>
            </w:pPr>
            <w:r>
              <w:rPr>
                <w:rFonts w:ascii="Arial" w:cs="Arial" w:eastAsia="Arial" w:hAnsi="Arial"/>
                <w:sz w:val="17"/>
                <w:szCs w:val="17"/>
                <w:color w:val="auto"/>
              </w:rPr>
              <w:t>11,851,000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ind w:left="700"/>
              <w:spacing w:after="0"/>
              <w:rPr>
                <w:sz w:val="20"/>
                <w:szCs w:val="20"/>
                <w:color w:val="auto"/>
              </w:rPr>
            </w:pPr>
            <w:r>
              <w:rPr>
                <w:rFonts w:ascii="Arial" w:cs="Arial" w:eastAsia="Arial" w:hAnsi="Arial"/>
                <w:sz w:val="17"/>
                <w:szCs w:val="17"/>
                <w:color w:val="auto"/>
              </w:rPr>
              <w:t>Net realized loss on investments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3"/>
          </w:tcPr>
          <w:p>
            <w:pPr>
              <w:jc w:val="right"/>
              <w:ind w:right="120"/>
              <w:spacing w:after="0"/>
              <w:rPr>
                <w:sz w:val="20"/>
                <w:szCs w:val="20"/>
                <w:color w:val="auto"/>
              </w:rPr>
            </w:pPr>
            <w:r>
              <w:rPr>
                <w:rFonts w:ascii="Arial" w:cs="Arial" w:eastAsia="Arial" w:hAnsi="Arial"/>
                <w:sz w:val="17"/>
                <w:szCs w:val="17"/>
                <w:color w:val="auto"/>
              </w:rPr>
              <w:t>(17,687,211)</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7"/>
                <w:szCs w:val="17"/>
                <w:color w:val="auto"/>
              </w:rPr>
              <w:t>12,798,035</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3"/>
              <w:spacing w:after="0"/>
              <w:rPr>
                <w:sz w:val="20"/>
                <w:szCs w:val="20"/>
                <w:color w:val="auto"/>
              </w:rPr>
            </w:pPr>
            <w:r>
              <w:rPr>
                <w:rFonts w:ascii="Arial" w:cs="Arial" w:eastAsia="Arial" w:hAnsi="Arial"/>
                <w:sz w:val="17"/>
                <w:szCs w:val="17"/>
                <w:color w:val="auto"/>
                <w:w w:val="97"/>
              </w:rPr>
              <w:t>(16,259,622)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ind w:left="700"/>
              <w:spacing w:after="0"/>
              <w:rPr>
                <w:sz w:val="20"/>
                <w:szCs w:val="20"/>
                <w:color w:val="auto"/>
              </w:rPr>
            </w:pPr>
            <w:r>
              <w:rPr>
                <w:rFonts w:ascii="Arial" w:cs="Arial" w:eastAsia="Arial" w:hAnsi="Arial"/>
                <w:sz w:val="17"/>
                <w:szCs w:val="17"/>
                <w:color w:val="auto"/>
              </w:rPr>
              <w:t>Net accretion of discount and amortization of premium</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(5,856,654)</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(10,357,608)</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3"/>
              <w:spacing w:after="0"/>
              <w:rPr>
                <w:sz w:val="20"/>
                <w:szCs w:val="20"/>
                <w:color w:val="auto"/>
              </w:rPr>
            </w:pPr>
            <w:r>
              <w:rPr>
                <w:rFonts w:ascii="Arial" w:cs="Arial" w:eastAsia="Arial" w:hAnsi="Arial"/>
                <w:sz w:val="17"/>
                <w:szCs w:val="17"/>
                <w:color w:val="auto"/>
              </w:rPr>
              <w:t>(6,745,834)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ind w:left="700"/>
              <w:spacing w:after="0"/>
              <w:rPr>
                <w:sz w:val="20"/>
                <w:szCs w:val="20"/>
                <w:color w:val="auto"/>
              </w:rPr>
            </w:pPr>
            <w:r>
              <w:rPr>
                <w:rFonts w:ascii="Arial" w:cs="Arial" w:eastAsia="Arial" w:hAnsi="Arial"/>
                <w:sz w:val="17"/>
                <w:szCs w:val="17"/>
                <w:color w:val="auto"/>
              </w:rPr>
              <w:t>Purchase of investments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3"/>
          </w:tcPr>
          <w:p>
            <w:pPr>
              <w:jc w:val="right"/>
              <w:ind w:right="120"/>
              <w:spacing w:after="0"/>
              <w:rPr>
                <w:sz w:val="20"/>
                <w:szCs w:val="20"/>
                <w:color w:val="auto"/>
              </w:rPr>
            </w:pPr>
            <w:r>
              <w:rPr>
                <w:rFonts w:ascii="Arial" w:cs="Arial" w:eastAsia="Arial" w:hAnsi="Arial"/>
                <w:sz w:val="17"/>
                <w:szCs w:val="17"/>
                <w:color w:val="auto"/>
              </w:rPr>
              <w:t>(504,373,719)</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right"/>
              <w:ind w:right="380"/>
              <w:spacing w:after="0"/>
              <w:rPr>
                <w:sz w:val="20"/>
                <w:szCs w:val="20"/>
                <w:color w:val="auto"/>
              </w:rPr>
            </w:pPr>
            <w:r>
              <w:rPr>
                <w:rFonts w:ascii="Arial" w:cs="Arial" w:eastAsia="Arial" w:hAnsi="Arial"/>
                <w:sz w:val="17"/>
                <w:szCs w:val="17"/>
                <w:color w:val="auto"/>
              </w:rPr>
              <w:t>(328,275,329)</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3"/>
              <w:spacing w:after="0"/>
              <w:rPr>
                <w:sz w:val="20"/>
                <w:szCs w:val="20"/>
                <w:color w:val="auto"/>
              </w:rPr>
            </w:pPr>
            <w:r>
              <w:rPr>
                <w:rFonts w:ascii="Arial" w:cs="Arial" w:eastAsia="Arial" w:hAnsi="Arial"/>
                <w:sz w:val="17"/>
                <w:szCs w:val="17"/>
                <w:color w:val="auto"/>
                <w:w w:val="88"/>
              </w:rPr>
              <w:t>(479,733,669)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ind w:left="700"/>
              <w:spacing w:after="0"/>
              <w:rPr>
                <w:sz w:val="20"/>
                <w:szCs w:val="20"/>
                <w:color w:val="auto"/>
              </w:rPr>
            </w:pPr>
            <w:r>
              <w:rPr>
                <w:rFonts w:ascii="Arial" w:cs="Arial" w:eastAsia="Arial" w:hAnsi="Arial"/>
                <w:sz w:val="17"/>
                <w:szCs w:val="17"/>
                <w:color w:val="auto"/>
              </w:rPr>
              <w:t>Payment-in-kind interest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(11,814,084)</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(9,065,502)</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3"/>
              <w:spacing w:after="0"/>
              <w:rPr>
                <w:sz w:val="20"/>
                <w:szCs w:val="20"/>
                <w:color w:val="auto"/>
              </w:rPr>
            </w:pPr>
            <w:r>
              <w:rPr>
                <w:rFonts w:ascii="Arial" w:cs="Arial" w:eastAsia="Arial" w:hAnsi="Arial"/>
                <w:sz w:val="17"/>
                <w:szCs w:val="17"/>
                <w:color w:val="auto"/>
                <w:w w:val="97"/>
              </w:rPr>
              <w:t>(10,883,750)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ind w:left="700"/>
              <w:spacing w:after="0"/>
              <w:rPr>
                <w:sz w:val="20"/>
                <w:szCs w:val="20"/>
                <w:color w:val="auto"/>
              </w:rPr>
            </w:pPr>
            <w:r>
              <w:rPr>
                <w:rFonts w:ascii="Arial" w:cs="Arial" w:eastAsia="Arial" w:hAnsi="Arial"/>
                <w:sz w:val="17"/>
                <w:szCs w:val="17"/>
                <w:color w:val="auto"/>
              </w:rPr>
              <w:t>Proceeds from disposition of investments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rPr>
              <w:t>437,147,602</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7"/>
                <w:szCs w:val="17"/>
                <w:color w:val="auto"/>
              </w:rPr>
              <w:t>201,656,926</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63"/>
              <w:spacing w:after="0"/>
              <w:rPr>
                <w:sz w:val="20"/>
                <w:szCs w:val="20"/>
                <w:color w:val="auto"/>
              </w:rPr>
            </w:pPr>
            <w:r>
              <w:rPr>
                <w:rFonts w:ascii="Arial" w:cs="Arial" w:eastAsia="Arial" w:hAnsi="Arial"/>
                <w:sz w:val="17"/>
                <w:szCs w:val="17"/>
                <w:color w:val="auto"/>
                <w:w w:val="95"/>
              </w:rPr>
              <w:t>304,008,543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ind w:left="700"/>
              <w:spacing w:after="0"/>
              <w:rPr>
                <w:sz w:val="20"/>
                <w:szCs w:val="20"/>
                <w:color w:val="auto"/>
              </w:rPr>
            </w:pPr>
            <w:r>
              <w:rPr>
                <w:rFonts w:ascii="Arial" w:cs="Arial" w:eastAsia="Arial" w:hAnsi="Arial"/>
                <w:sz w:val="17"/>
                <w:szCs w:val="17"/>
                <w:color w:val="auto"/>
              </w:rPr>
              <w:t>Decrease (Increase) in interest receivable</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4,033,969</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(4,050,626)</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3"/>
              <w:spacing w:after="0"/>
              <w:rPr>
                <w:sz w:val="20"/>
                <w:szCs w:val="20"/>
                <w:color w:val="auto"/>
              </w:rPr>
            </w:pPr>
            <w:r>
              <w:rPr>
                <w:rFonts w:ascii="Arial" w:cs="Arial" w:eastAsia="Arial" w:hAnsi="Arial"/>
                <w:sz w:val="17"/>
                <w:szCs w:val="17"/>
                <w:color w:val="auto"/>
              </w:rPr>
              <w:t>1,935,860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ind w:left="700"/>
              <w:spacing w:after="0"/>
              <w:rPr>
                <w:sz w:val="20"/>
                <w:szCs w:val="20"/>
                <w:color w:val="auto"/>
              </w:rPr>
            </w:pPr>
            <w:r>
              <w:rPr>
                <w:rFonts w:ascii="Arial" w:cs="Arial" w:eastAsia="Arial" w:hAnsi="Arial"/>
                <w:sz w:val="17"/>
                <w:szCs w:val="17"/>
                <w:color w:val="auto"/>
              </w:rPr>
              <w:t>Decrease in receivables for investments sold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3"/>
          </w:tcPr>
          <w:p>
            <w:pPr>
              <w:jc w:val="right"/>
              <w:ind w:right="28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7"/>
                <w:szCs w:val="17"/>
                <w:color w:val="auto"/>
              </w:rPr>
              <w:t>12,240,763</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63"/>
              <w:spacing w:after="0"/>
              <w:rPr>
                <w:sz w:val="20"/>
                <w:szCs w:val="20"/>
                <w:color w:val="auto"/>
              </w:rPr>
            </w:pPr>
            <w:r>
              <w:rPr>
                <w:rFonts w:ascii="Arial" w:cs="Arial" w:eastAsia="Arial" w:hAnsi="Arial"/>
                <w:sz w:val="17"/>
                <w:szCs w:val="17"/>
                <w:color w:val="auto"/>
              </w:rPr>
              <w:t>17,135,807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ind w:left="700"/>
              <w:spacing w:after="0"/>
              <w:rPr>
                <w:sz w:val="20"/>
                <w:szCs w:val="20"/>
                <w:color w:val="auto"/>
              </w:rPr>
            </w:pPr>
            <w:r>
              <w:rPr>
                <w:rFonts w:ascii="Arial" w:cs="Arial" w:eastAsia="Arial" w:hAnsi="Arial"/>
                <w:sz w:val="17"/>
                <w:szCs w:val="17"/>
                <w:color w:val="auto"/>
              </w:rPr>
              <w:t>Increase (Decrease) in payables for investments purchased</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52,544,704</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(18,572,499)</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3"/>
              <w:spacing w:after="0"/>
              <w:rPr>
                <w:sz w:val="20"/>
                <w:szCs w:val="20"/>
                <w:color w:val="auto"/>
              </w:rPr>
            </w:pPr>
            <w:r>
              <w:rPr>
                <w:rFonts w:ascii="Arial" w:cs="Arial" w:eastAsia="Arial" w:hAnsi="Arial"/>
                <w:sz w:val="17"/>
                <w:szCs w:val="17"/>
                <w:color w:val="auto"/>
                <w:w w:val="97"/>
              </w:rPr>
              <w:t>(34,212,501)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ind w:left="700"/>
              <w:spacing w:after="0"/>
              <w:rPr>
                <w:sz w:val="20"/>
                <w:szCs w:val="20"/>
                <w:color w:val="auto"/>
              </w:rPr>
            </w:pPr>
            <w:r>
              <w:rPr>
                <w:rFonts w:ascii="Arial" w:cs="Arial" w:eastAsia="Arial" w:hAnsi="Arial"/>
                <w:sz w:val="17"/>
                <w:szCs w:val="17"/>
                <w:color w:val="auto"/>
              </w:rPr>
              <w:t>(Decrease) Increase in unfunded investments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3"/>
          </w:tcPr>
          <w:p>
            <w:pPr>
              <w:jc w:val="right"/>
              <w:ind w:right="28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right"/>
              <w:ind w:right="380"/>
              <w:spacing w:after="0"/>
              <w:rPr>
                <w:sz w:val="20"/>
                <w:szCs w:val="20"/>
                <w:color w:val="auto"/>
              </w:rPr>
            </w:pPr>
            <w:r>
              <w:rPr>
                <w:rFonts w:ascii="Arial" w:cs="Arial" w:eastAsia="Arial" w:hAnsi="Arial"/>
                <w:sz w:val="17"/>
                <w:szCs w:val="17"/>
                <w:color w:val="auto"/>
              </w:rPr>
              <w:t>(19,242,446)</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63"/>
              <w:spacing w:after="0"/>
              <w:rPr>
                <w:sz w:val="20"/>
                <w:szCs w:val="20"/>
                <w:color w:val="auto"/>
              </w:rPr>
            </w:pPr>
            <w:r>
              <w:rPr>
                <w:rFonts w:ascii="Arial" w:cs="Arial" w:eastAsia="Arial" w:hAnsi="Arial"/>
                <w:sz w:val="17"/>
                <w:szCs w:val="17"/>
                <w:color w:val="auto"/>
              </w:rPr>
              <w:t>14,928,717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ind w:left="700"/>
              <w:spacing w:after="0"/>
              <w:rPr>
                <w:sz w:val="20"/>
                <w:szCs w:val="20"/>
                <w:color w:val="auto"/>
              </w:rPr>
            </w:pPr>
            <w:r>
              <w:rPr>
                <w:rFonts w:ascii="Arial" w:cs="Arial" w:eastAsia="Arial" w:hAnsi="Arial"/>
                <w:sz w:val="17"/>
                <w:szCs w:val="17"/>
                <w:color w:val="auto"/>
              </w:rPr>
              <w:t>Increase in interest payable on debt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955,741</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167,363</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3"/>
              <w:spacing w:after="0"/>
              <w:rPr>
                <w:sz w:val="20"/>
                <w:szCs w:val="20"/>
                <w:color w:val="auto"/>
              </w:rPr>
            </w:pPr>
            <w:r>
              <w:rPr>
                <w:rFonts w:ascii="Arial" w:cs="Arial" w:eastAsia="Arial" w:hAnsi="Arial"/>
                <w:sz w:val="17"/>
                <w:szCs w:val="17"/>
                <w:color w:val="auto"/>
              </w:rPr>
              <w:t>472,227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ind w:left="700"/>
              <w:spacing w:after="0"/>
              <w:rPr>
                <w:sz w:val="20"/>
                <w:szCs w:val="20"/>
                <w:color w:val="auto"/>
              </w:rPr>
            </w:pPr>
            <w:r>
              <w:rPr>
                <w:rFonts w:ascii="Arial" w:cs="Arial" w:eastAsia="Arial" w:hAnsi="Arial"/>
                <w:sz w:val="17"/>
                <w:szCs w:val="17"/>
                <w:color w:val="auto"/>
              </w:rPr>
              <w:t>Decrease (Increase) in prepaid expenses and other assets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rPr>
              <w:t>168,130</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7"/>
                <w:szCs w:val="17"/>
                <w:color w:val="auto"/>
              </w:rPr>
              <w:t>466,675</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63"/>
              <w:spacing w:after="0"/>
              <w:rPr>
                <w:sz w:val="20"/>
                <w:szCs w:val="20"/>
                <w:color w:val="auto"/>
              </w:rPr>
            </w:pPr>
            <w:r>
              <w:rPr>
                <w:rFonts w:ascii="Arial" w:cs="Arial" w:eastAsia="Arial" w:hAnsi="Arial"/>
                <w:sz w:val="17"/>
                <w:szCs w:val="17"/>
                <w:color w:val="auto"/>
              </w:rPr>
              <w:t>749,017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ind w:left="700"/>
              <w:spacing w:after="0"/>
              <w:rPr>
                <w:sz w:val="20"/>
                <w:szCs w:val="20"/>
                <w:color w:val="auto"/>
              </w:rPr>
            </w:pPr>
            <w:r>
              <w:rPr>
                <w:rFonts w:ascii="Arial" w:cs="Arial" w:eastAsia="Arial" w:hAnsi="Arial"/>
                <w:sz w:val="17"/>
                <w:szCs w:val="17"/>
                <w:color w:val="auto"/>
              </w:rPr>
              <w:t>Increase in management fees payable</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627,644</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783,859</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3"/>
              <w:spacing w:after="0"/>
              <w:rPr>
                <w:sz w:val="20"/>
                <w:szCs w:val="20"/>
                <w:color w:val="auto"/>
              </w:rPr>
            </w:pPr>
            <w:r>
              <w:rPr>
                <w:rFonts w:ascii="Arial" w:cs="Arial" w:eastAsia="Arial" w:hAnsi="Arial"/>
                <w:sz w:val="17"/>
                <w:szCs w:val="17"/>
                <w:color w:val="auto"/>
              </w:rPr>
              <w:t>721,238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ind w:left="700"/>
              <w:spacing w:after="0"/>
              <w:rPr>
                <w:sz w:val="20"/>
                <w:szCs w:val="20"/>
                <w:color w:val="auto"/>
              </w:rPr>
            </w:pPr>
            <w:r>
              <w:rPr>
                <w:rFonts w:ascii="Arial" w:cs="Arial" w:eastAsia="Arial" w:hAnsi="Arial"/>
                <w:sz w:val="17"/>
                <w:szCs w:val="17"/>
                <w:color w:val="auto"/>
              </w:rPr>
              <w:t>Increase in performance-based incentive fees payable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rPr>
              <w:t>67,892</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7"/>
                <w:szCs w:val="17"/>
                <w:color w:val="auto"/>
              </w:rPr>
              <w:t>433,160</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63"/>
              <w:spacing w:after="0"/>
              <w:rPr>
                <w:sz w:val="20"/>
                <w:szCs w:val="20"/>
                <w:color w:val="auto"/>
              </w:rPr>
            </w:pPr>
            <w:r>
              <w:rPr>
                <w:rFonts w:ascii="Arial" w:cs="Arial" w:eastAsia="Arial" w:hAnsi="Arial"/>
                <w:sz w:val="17"/>
                <w:szCs w:val="17"/>
                <w:color w:val="auto"/>
              </w:rPr>
              <w:t>1,534,818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ind w:left="700"/>
              <w:spacing w:after="0"/>
              <w:rPr>
                <w:sz w:val="20"/>
                <w:szCs w:val="20"/>
                <w:color w:val="auto"/>
              </w:rPr>
            </w:pPr>
            <w:r>
              <w:rPr>
                <w:rFonts w:ascii="Arial" w:cs="Arial" w:eastAsia="Arial" w:hAnsi="Arial"/>
                <w:sz w:val="17"/>
                <w:szCs w:val="17"/>
                <w:color w:val="auto"/>
              </w:rPr>
              <w:t>(Decrease) Increase in accrued other expenses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(175,220)</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1,406,285</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3"/>
              <w:spacing w:after="0"/>
              <w:rPr>
                <w:sz w:val="20"/>
                <w:szCs w:val="20"/>
                <w:color w:val="auto"/>
              </w:rPr>
            </w:pPr>
            <w:r>
              <w:rPr>
                <w:rFonts w:ascii="Arial" w:cs="Arial" w:eastAsia="Arial" w:hAnsi="Arial"/>
                <w:sz w:val="17"/>
                <w:szCs w:val="17"/>
                <w:color w:val="auto"/>
              </w:rPr>
              <w:t>(368,064)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40" w:type="dxa"/>
            <w:vAlign w:val="bottom"/>
          </w:tcPr>
          <w:p>
            <w:pPr>
              <w:ind w:left="1060"/>
              <w:spacing w:after="0"/>
              <w:rPr>
                <w:sz w:val="20"/>
                <w:szCs w:val="20"/>
                <w:color w:val="auto"/>
              </w:rPr>
            </w:pPr>
            <w:r>
              <w:rPr>
                <w:rFonts w:ascii="Arial" w:cs="Arial" w:eastAsia="Arial" w:hAnsi="Arial"/>
                <w:sz w:val="17"/>
                <w:szCs w:val="17"/>
                <w:color w:val="auto"/>
              </w:rPr>
              <w:t>Net cash provided by (used for) operating activities</w:t>
            </w:r>
          </w:p>
        </w:tc>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40,324,126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6"/>
              </w:rPr>
              <w:t>(115,339,638)</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9"/>
              </w:rPr>
              <w:t>(137,812,516</w:t>
            </w:r>
          </w:p>
        </w:tc>
        <w:tc>
          <w:tcPr>
            <w:tcW w:w="100" w:type="dxa"/>
            <w:vAlign w:val="bottom"/>
          </w:tcPr>
          <w:p>
            <w:pPr>
              <w:jc w:val="right"/>
              <w:ind w:right="23"/>
              <w:spacing w:after="0"/>
              <w:rPr>
                <w:sz w:val="20"/>
                <w:szCs w:val="20"/>
                <w:color w:val="auto"/>
              </w:rPr>
            </w:pPr>
            <w:r>
              <w:rPr>
                <w:rFonts w:ascii="Arial" w:cs="Arial" w:eastAsia="Arial" w:hAnsi="Arial"/>
                <w:sz w:val="7"/>
                <w:szCs w:val="7"/>
                <w:color w:val="auto"/>
                <w:w w:val="83"/>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ind w:left="700"/>
              <w:spacing w:after="0"/>
              <w:rPr>
                <w:sz w:val="20"/>
                <w:szCs w:val="20"/>
                <w:color w:val="auto"/>
              </w:rPr>
            </w:pPr>
            <w:r>
              <w:rPr>
                <w:rFonts w:ascii="Arial" w:cs="Arial" w:eastAsia="Arial" w:hAnsi="Arial"/>
                <w:sz w:val="17"/>
                <w:szCs w:val="17"/>
                <w:color w:val="auto"/>
              </w:rPr>
              <w:t>Public offerings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rPr>
              <w:t>7,574,000</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7"/>
                <w:szCs w:val="17"/>
                <w:color w:val="auto"/>
              </w:rPr>
              <w:t>206,572,500</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63"/>
              <w:spacing w:after="0"/>
              <w:rPr>
                <w:sz w:val="20"/>
                <w:szCs w:val="20"/>
                <w:color w:val="auto"/>
              </w:rPr>
            </w:pPr>
            <w:r>
              <w:rPr>
                <w:rFonts w:ascii="Arial" w:cs="Arial" w:eastAsia="Arial" w:hAnsi="Arial"/>
                <w:sz w:val="17"/>
                <w:szCs w:val="17"/>
                <w:color w:val="auto"/>
                <w:w w:val="95"/>
              </w:rPr>
              <w:t>114,080,000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ind w:left="700"/>
              <w:spacing w:after="0"/>
              <w:rPr>
                <w:sz w:val="20"/>
                <w:szCs w:val="20"/>
                <w:color w:val="auto"/>
              </w:rPr>
            </w:pPr>
            <w:r>
              <w:rPr>
                <w:rFonts w:ascii="Arial" w:cs="Arial" w:eastAsia="Arial" w:hAnsi="Arial"/>
                <w:sz w:val="17"/>
                <w:szCs w:val="17"/>
                <w:color w:val="auto"/>
              </w:rPr>
              <w:t>Offerings costs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(265,090)</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(7,717,300)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3"/>
              <w:spacing w:after="0"/>
              <w:rPr>
                <w:sz w:val="20"/>
                <w:szCs w:val="20"/>
                <w:color w:val="auto"/>
              </w:rPr>
            </w:pPr>
            <w:r>
              <w:rPr>
                <w:rFonts w:ascii="Arial" w:cs="Arial" w:eastAsia="Arial" w:hAnsi="Arial"/>
                <w:sz w:val="17"/>
                <w:szCs w:val="17"/>
                <w:color w:val="auto"/>
              </w:rPr>
              <w:t>(5,743,800)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ind w:left="700"/>
              <w:spacing w:after="0"/>
              <w:rPr>
                <w:sz w:val="20"/>
                <w:szCs w:val="20"/>
                <w:color w:val="auto"/>
              </w:rPr>
            </w:pPr>
            <w:r>
              <w:rPr>
                <w:rFonts w:ascii="Arial" w:cs="Arial" w:eastAsia="Arial" w:hAnsi="Arial"/>
                <w:sz w:val="17"/>
                <w:szCs w:val="17"/>
                <w:color w:val="auto"/>
              </w:rPr>
              <w:t>Distributions paid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3"/>
          </w:tcPr>
          <w:p>
            <w:pPr>
              <w:jc w:val="right"/>
              <w:ind w:right="120"/>
              <w:spacing w:after="0"/>
              <w:rPr>
                <w:sz w:val="20"/>
                <w:szCs w:val="20"/>
                <w:color w:val="auto"/>
              </w:rPr>
            </w:pPr>
            <w:r>
              <w:rPr>
                <w:rFonts w:ascii="Arial" w:cs="Arial" w:eastAsia="Arial" w:hAnsi="Arial"/>
                <w:sz w:val="17"/>
                <w:szCs w:val="17"/>
                <w:color w:val="auto"/>
              </w:rPr>
              <w:t>(68,501,660)</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right"/>
              <w:ind w:right="380"/>
              <w:spacing w:after="0"/>
              <w:rPr>
                <w:sz w:val="20"/>
                <w:szCs w:val="20"/>
                <w:color w:val="auto"/>
              </w:rPr>
            </w:pPr>
            <w:r>
              <w:rPr>
                <w:rFonts w:ascii="Arial" w:cs="Arial" w:eastAsia="Arial" w:hAnsi="Arial"/>
                <w:sz w:val="17"/>
                <w:szCs w:val="17"/>
                <w:color w:val="auto"/>
              </w:rPr>
              <w:t>(51,660,628)</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3"/>
              <w:spacing w:after="0"/>
              <w:rPr>
                <w:sz w:val="20"/>
                <w:szCs w:val="20"/>
                <w:color w:val="auto"/>
              </w:rPr>
            </w:pPr>
            <w:r>
              <w:rPr>
                <w:rFonts w:ascii="Arial" w:cs="Arial" w:eastAsia="Arial" w:hAnsi="Arial"/>
                <w:sz w:val="17"/>
                <w:szCs w:val="17"/>
                <w:color w:val="auto"/>
                <w:w w:val="97"/>
              </w:rPr>
              <w:t>(39,582,741)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ind w:left="700"/>
              <w:spacing w:after="0"/>
              <w:rPr>
                <w:sz w:val="20"/>
                <w:szCs w:val="20"/>
                <w:color w:val="auto"/>
              </w:rPr>
            </w:pPr>
            <w:r>
              <w:rPr>
                <w:rFonts w:ascii="Arial" w:cs="Arial" w:eastAsia="Arial" w:hAnsi="Arial"/>
                <w:sz w:val="17"/>
                <w:szCs w:val="17"/>
                <w:color w:val="auto"/>
              </w:rPr>
              <w:t>Borrowings under SBA debentures (See Note 11)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3"/>
              <w:spacing w:after="0"/>
              <w:rPr>
                <w:sz w:val="20"/>
                <w:szCs w:val="20"/>
                <w:color w:val="auto"/>
              </w:rPr>
            </w:pPr>
            <w:r>
              <w:rPr>
                <w:rFonts w:ascii="Arial" w:cs="Arial" w:eastAsia="Arial" w:hAnsi="Arial"/>
                <w:sz w:val="17"/>
                <w:szCs w:val="17"/>
                <w:color w:val="auto"/>
                <w:w w:val="95"/>
              </w:rPr>
              <w:t>135,500,000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ind w:left="700"/>
              <w:spacing w:after="0"/>
              <w:rPr>
                <w:sz w:val="20"/>
                <w:szCs w:val="20"/>
                <w:color w:val="auto"/>
              </w:rPr>
            </w:pPr>
            <w:r>
              <w:rPr>
                <w:rFonts w:ascii="Arial" w:cs="Arial" w:eastAsia="Arial" w:hAnsi="Arial"/>
                <w:sz w:val="17"/>
                <w:szCs w:val="17"/>
                <w:color w:val="auto"/>
              </w:rPr>
              <w:t>Borrowings under 2025 Notes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rPr>
              <w:t>71,250,000</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16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ind w:left="700"/>
              <w:spacing w:after="0"/>
              <w:rPr>
                <w:sz w:val="20"/>
                <w:szCs w:val="20"/>
                <w:color w:val="auto"/>
              </w:rPr>
            </w:pPr>
            <w:r>
              <w:rPr>
                <w:rFonts w:ascii="Arial" w:cs="Arial" w:eastAsia="Arial" w:hAnsi="Arial"/>
                <w:sz w:val="17"/>
                <w:szCs w:val="17"/>
                <w:color w:val="auto"/>
              </w:rPr>
              <w:t>Capitalized borrowing costs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3"/>
              <w:spacing w:after="0"/>
              <w:rPr>
                <w:sz w:val="20"/>
                <w:szCs w:val="20"/>
                <w:color w:val="auto"/>
              </w:rPr>
            </w:pPr>
            <w:r>
              <w:rPr>
                <w:rFonts w:ascii="Arial" w:cs="Arial" w:eastAsia="Arial" w:hAnsi="Arial"/>
                <w:sz w:val="17"/>
                <w:szCs w:val="17"/>
                <w:color w:val="auto"/>
              </w:rPr>
              <w:t>(4,450,875)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ind w:left="700"/>
              <w:spacing w:after="0"/>
              <w:rPr>
                <w:sz w:val="20"/>
                <w:szCs w:val="20"/>
                <w:color w:val="auto"/>
              </w:rPr>
            </w:pPr>
            <w:r>
              <w:rPr>
                <w:rFonts w:ascii="Arial" w:cs="Arial" w:eastAsia="Arial" w:hAnsi="Arial"/>
                <w:sz w:val="17"/>
                <w:szCs w:val="17"/>
                <w:color w:val="auto"/>
              </w:rPr>
              <w:t>Borrowings under Credit Facility (See Note 11)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w w:val="93"/>
              </w:rPr>
              <w:t>1,099,800,000</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7"/>
                <w:szCs w:val="17"/>
                <w:color w:val="auto"/>
              </w:rPr>
              <w:t>927,900,000</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63"/>
              <w:spacing w:after="0"/>
              <w:rPr>
                <w:sz w:val="20"/>
                <w:szCs w:val="20"/>
                <w:color w:val="auto"/>
              </w:rPr>
            </w:pPr>
            <w:r>
              <w:rPr>
                <w:rFonts w:ascii="Arial" w:cs="Arial" w:eastAsia="Arial" w:hAnsi="Arial"/>
                <w:sz w:val="17"/>
                <w:szCs w:val="17"/>
                <w:color w:val="auto"/>
                <w:w w:val="95"/>
              </w:rPr>
              <w:t>701,900,000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ind w:left="700"/>
              <w:spacing w:after="0"/>
              <w:rPr>
                <w:sz w:val="20"/>
                <w:szCs w:val="20"/>
                <w:color w:val="auto"/>
              </w:rPr>
            </w:pPr>
            <w:r>
              <w:rPr>
                <w:rFonts w:ascii="Arial" w:cs="Arial" w:eastAsia="Arial" w:hAnsi="Arial"/>
                <w:sz w:val="17"/>
                <w:szCs w:val="17"/>
                <w:color w:val="auto"/>
              </w:rPr>
              <w:t>Repayments under Credit Facility (See Note 11)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w w:val="89"/>
              </w:rPr>
              <w:t>(1,099,300,000)</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w w:val="89"/>
              </w:rPr>
              <w:t>(1,023,800,000)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3"/>
              <w:spacing w:after="0"/>
              <w:rPr>
                <w:sz w:val="20"/>
                <w:szCs w:val="20"/>
                <w:color w:val="auto"/>
              </w:rPr>
            </w:pPr>
            <w:r>
              <w:rPr>
                <w:rFonts w:ascii="Arial" w:cs="Arial" w:eastAsia="Arial" w:hAnsi="Arial"/>
                <w:sz w:val="17"/>
                <w:szCs w:val="17"/>
                <w:color w:val="auto"/>
                <w:w w:val="88"/>
              </w:rPr>
              <w:t>(694,100,000)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40" w:type="dxa"/>
            <w:vAlign w:val="bottom"/>
          </w:tcPr>
          <w:p>
            <w:pPr>
              <w:ind w:left="1060"/>
              <w:spacing w:after="0"/>
              <w:rPr>
                <w:sz w:val="20"/>
                <w:szCs w:val="20"/>
                <w:color w:val="auto"/>
              </w:rPr>
            </w:pPr>
            <w:r>
              <w:rPr>
                <w:rFonts w:ascii="Arial" w:cs="Arial" w:eastAsia="Arial" w:hAnsi="Arial"/>
                <w:sz w:val="16"/>
                <w:szCs w:val="16"/>
                <w:color w:val="auto"/>
              </w:rPr>
              <w:t>Net cash provided by financing activities</w:t>
            </w:r>
          </w:p>
        </w:tc>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10,557,250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51,294,572</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207,602,584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increase (decrease) in cash and cash equivalents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50,881,376</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(64,045,066)</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3"/>
              <w:spacing w:after="0"/>
              <w:rPr>
                <w:sz w:val="20"/>
                <w:szCs w:val="20"/>
                <w:color w:val="auto"/>
              </w:rPr>
            </w:pPr>
            <w:r>
              <w:rPr>
                <w:rFonts w:ascii="Arial" w:cs="Arial" w:eastAsia="Arial" w:hAnsi="Arial"/>
                <w:sz w:val="17"/>
                <w:szCs w:val="17"/>
                <w:color w:val="auto"/>
              </w:rPr>
              <w:t>69,790,068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spacing w:after="0"/>
              <w:rPr>
                <w:sz w:val="20"/>
                <w:szCs w:val="20"/>
                <w:color w:val="auto"/>
              </w:rPr>
            </w:pPr>
            <w:r>
              <w:rPr>
                <w:rFonts w:ascii="Arial" w:cs="Arial" w:eastAsia="Arial" w:hAnsi="Arial"/>
                <w:sz w:val="17"/>
                <w:szCs w:val="17"/>
                <w:b w:val="1"/>
                <w:bCs w:val="1"/>
                <w:color w:val="auto"/>
              </w:rPr>
              <w:t>Cash and cash equivalents, beginning of year</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7,559,453</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7"/>
                <w:szCs w:val="17"/>
                <w:color w:val="auto"/>
              </w:rPr>
              <w:t>71,604,519</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63"/>
              <w:spacing w:after="0"/>
              <w:rPr>
                <w:sz w:val="20"/>
                <w:szCs w:val="20"/>
                <w:color w:val="auto"/>
              </w:rPr>
            </w:pPr>
            <w:r>
              <w:rPr>
                <w:rFonts w:ascii="Arial" w:cs="Arial" w:eastAsia="Arial" w:hAnsi="Arial"/>
                <w:sz w:val="17"/>
                <w:szCs w:val="17"/>
                <w:color w:val="auto"/>
              </w:rPr>
              <w:t>1,814,451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and cash equivalents, end of year</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58,440,829</w:t>
            </w:r>
          </w:p>
        </w:tc>
        <w:tc>
          <w:tcPr>
            <w:tcW w:w="1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7,559,453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63"/>
              <w:spacing w:after="0"/>
              <w:rPr>
                <w:sz w:val="20"/>
                <w:szCs w:val="20"/>
                <w:color w:val="auto"/>
              </w:rPr>
            </w:pPr>
            <w:r>
              <w:rPr>
                <w:rFonts w:ascii="Arial" w:cs="Arial" w:eastAsia="Arial" w:hAnsi="Arial"/>
                <w:sz w:val="17"/>
                <w:szCs w:val="17"/>
                <w:color w:val="auto"/>
              </w:rPr>
              <w:t>71,604,519</w:t>
            </w:r>
          </w:p>
        </w:tc>
        <w:tc>
          <w:tcPr>
            <w:tcW w:w="0" w:type="dxa"/>
            <w:vAlign w:val="bottom"/>
          </w:tcPr>
          <w:p>
            <w:pPr>
              <w:spacing w:after="0"/>
              <w:rPr>
                <w:sz w:val="1"/>
                <w:szCs w:val="1"/>
                <w:color w:val="auto"/>
              </w:rPr>
            </w:pPr>
          </w:p>
        </w:tc>
      </w:tr>
      <w:tr>
        <w:trPr>
          <w:trHeight w:val="20"/>
        </w:trPr>
        <w:tc>
          <w:tcPr>
            <w:tcW w:w="6760" w:type="dxa"/>
            <w:vAlign w:val="bottom"/>
            <w:gridSpan w:val="2"/>
            <w:vMerge w:val="restart"/>
          </w:tcPr>
          <w:p>
            <w:pPr>
              <w:spacing w:after="0"/>
              <w:rPr>
                <w:sz w:val="20"/>
                <w:szCs w:val="20"/>
                <w:color w:val="auto"/>
              </w:rPr>
            </w:pPr>
            <w:r>
              <w:rPr>
                <w:rFonts w:ascii="Arial" w:cs="Arial" w:eastAsia="Arial" w:hAnsi="Arial"/>
                <w:sz w:val="17"/>
                <w:szCs w:val="17"/>
                <w:b w:val="1"/>
                <w:bCs w:val="1"/>
                <w:color w:val="auto"/>
                <w:w w:val="97"/>
              </w:rPr>
              <w:t>Supplemental disclosure of cash flow information and non-cash activity (See Note 5):</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76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7"/>
                <w:szCs w:val="17"/>
                <w:color w:val="auto"/>
              </w:rPr>
              <w:t>Interest paid</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12,765,891</w:t>
            </w:r>
          </w:p>
        </w:tc>
        <w:tc>
          <w:tcPr>
            <w:tcW w:w="1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10,643,840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63"/>
              <w:spacing w:after="0"/>
              <w:rPr>
                <w:sz w:val="20"/>
                <w:szCs w:val="20"/>
                <w:color w:val="auto"/>
              </w:rPr>
            </w:pPr>
            <w:r>
              <w:rPr>
                <w:rFonts w:ascii="Arial" w:cs="Arial" w:eastAsia="Arial" w:hAnsi="Arial"/>
                <w:sz w:val="17"/>
                <w:szCs w:val="17"/>
                <w:color w:val="auto"/>
              </w:rPr>
              <w:t>4,149,149</w:t>
            </w:r>
          </w:p>
        </w:tc>
        <w:tc>
          <w:tcPr>
            <w:tcW w:w="0" w:type="dxa"/>
            <w:vAlign w:val="bottom"/>
          </w:tcPr>
          <w:p>
            <w:pPr>
              <w:spacing w:after="0"/>
              <w:rPr>
                <w:sz w:val="1"/>
                <w:szCs w:val="1"/>
                <w:color w:val="auto"/>
              </w:rPr>
            </w:pPr>
          </w:p>
        </w:tc>
      </w:tr>
      <w:tr>
        <w:trPr>
          <w:trHeight w:val="217"/>
        </w:trPr>
        <w:tc>
          <w:tcPr>
            <w:tcW w:w="6760" w:type="dxa"/>
            <w:vAlign w:val="bottom"/>
            <w:gridSpan w:val="2"/>
          </w:tcPr>
          <w:p>
            <w:pPr>
              <w:spacing w:after="0"/>
              <w:rPr>
                <w:sz w:val="20"/>
                <w:szCs w:val="20"/>
                <w:color w:val="auto"/>
              </w:rPr>
            </w:pPr>
            <w:r>
              <w:rPr>
                <w:rFonts w:ascii="Arial" w:cs="Arial" w:eastAsia="Arial" w:hAnsi="Arial"/>
                <w:sz w:val="17"/>
                <w:szCs w:val="17"/>
                <w:color w:val="auto"/>
              </w:rPr>
              <w:t>Taxes paid</w:t>
            </w:r>
          </w:p>
        </w:tc>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94,210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258,550</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123,824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7"/>
                <w:szCs w:val="17"/>
                <w:color w:val="auto"/>
              </w:rPr>
              <w:t>Dividend reinvested</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3,100,719</w:t>
            </w:r>
          </w:p>
        </w:tc>
        <w:tc>
          <w:tcPr>
            <w:tcW w:w="1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4,989,529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63"/>
              <w:spacing w:after="0"/>
              <w:rPr>
                <w:sz w:val="20"/>
                <w:szCs w:val="20"/>
                <w:color w:val="auto"/>
              </w:rPr>
            </w:pPr>
            <w:r>
              <w:rPr>
                <w:rFonts w:ascii="Arial" w:cs="Arial" w:eastAsia="Arial" w:hAnsi="Arial"/>
                <w:sz w:val="17"/>
                <w:szCs w:val="17"/>
                <w:color w:val="auto"/>
              </w:rPr>
              <w:t>3,829,990</w:t>
            </w:r>
          </w:p>
        </w:tc>
        <w:tc>
          <w:tcPr>
            <w:tcW w:w="0" w:type="dxa"/>
            <w:vAlign w:val="bottom"/>
          </w:tcPr>
          <w:p>
            <w:pPr>
              <w:spacing w:after="0"/>
              <w:rPr>
                <w:sz w:val="1"/>
                <w:szCs w:val="1"/>
                <w:color w:val="auto"/>
              </w:rPr>
            </w:pPr>
          </w:p>
        </w:tc>
      </w:tr>
      <w:tr>
        <w:trPr>
          <w:trHeight w:val="210"/>
        </w:trPr>
        <w:tc>
          <w:tcPr>
            <w:tcW w:w="6760" w:type="dxa"/>
            <w:vAlign w:val="bottom"/>
            <w:gridSpan w:val="2"/>
          </w:tcPr>
          <w:p>
            <w:pPr>
              <w:spacing w:after="0"/>
              <w:rPr>
                <w:sz w:val="20"/>
                <w:szCs w:val="20"/>
                <w:color w:val="auto"/>
              </w:rPr>
            </w:pPr>
            <w:r>
              <w:rPr>
                <w:rFonts w:ascii="Arial" w:cs="Arial" w:eastAsia="Arial" w:hAnsi="Arial"/>
                <w:sz w:val="17"/>
                <w:szCs w:val="17"/>
                <w:color w:val="auto"/>
              </w:rPr>
              <w:t>Conversions and non-cash exchanges</w:t>
            </w: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58,478,391</w:t>
            </w:r>
          </w:p>
        </w:tc>
        <w:tc>
          <w:tcPr>
            <w:tcW w:w="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43,596,371</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12,537,081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60" w:right="23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PENNANTPARK INVESTMENT CORPORATION AND SUBSIDIARIES CONSOLIDATED SCHEDULE OF INVESTMENTS SEPTEMBER 30, 2013</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Basis Point</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Current</w:t>
            </w: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Spread</w:t>
            </w:r>
          </w:p>
        </w:tc>
        <w:tc>
          <w:tcPr>
            <w:tcW w:w="8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Par/</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Issuer Name</w:t>
            </w:r>
          </w:p>
        </w:tc>
        <w:tc>
          <w:tcPr>
            <w:tcW w:w="8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Maturity</w:t>
            </w:r>
          </w:p>
        </w:tc>
        <w:tc>
          <w:tcPr>
            <w:tcW w:w="14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Industry</w:t>
            </w:r>
          </w:p>
        </w:tc>
        <w:tc>
          <w:tcPr>
            <w:tcW w:w="980" w:type="dxa"/>
            <w:vAlign w:val="bottom"/>
            <w:gridSpan w:val="2"/>
            <w:vMerge w:val="continue"/>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Above</w:t>
            </w:r>
          </w:p>
        </w:tc>
        <w:tc>
          <w:tcPr>
            <w:tcW w:w="8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Cost</w:t>
            </w:r>
          </w:p>
        </w:tc>
        <w:tc>
          <w:tcPr>
            <w:tcW w:w="10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2"/>
                <w:szCs w:val="12"/>
                <w:b w:val="1"/>
                <w:bCs w:val="1"/>
                <w:color w:val="auto"/>
              </w:rPr>
              <w:t>(3)</w:t>
            </w:r>
          </w:p>
        </w:tc>
        <w:tc>
          <w:tcPr>
            <w:tcW w:w="0" w:type="dxa"/>
            <w:vAlign w:val="bottom"/>
          </w:tcPr>
          <w:p>
            <w:pPr>
              <w:spacing w:after="0"/>
              <w:rPr>
                <w:sz w:val="1"/>
                <w:szCs w:val="1"/>
                <w:color w:val="auto"/>
              </w:rPr>
            </w:pPr>
          </w:p>
        </w:tc>
      </w:tr>
      <w:tr>
        <w:trPr>
          <w:trHeight w:val="171"/>
        </w:trPr>
        <w:tc>
          <w:tcPr>
            <w:tcW w:w="4100" w:type="dxa"/>
            <w:vAlign w:val="bottom"/>
            <w:gridSpan w:val="3"/>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Coupon</w:t>
            </w: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 xml:space="preserve">Index </w:t>
            </w:r>
            <w:r>
              <w:rPr>
                <w:rFonts w:ascii="Arial" w:cs="Arial" w:eastAsia="Arial" w:hAnsi="Arial"/>
                <w:sz w:val="12"/>
                <w:szCs w:val="12"/>
                <w:b w:val="1"/>
                <w:bCs w:val="1"/>
                <w:color w:val="auto"/>
                <w:w w:val="94"/>
              </w:rPr>
              <w:t>(4)</w:t>
            </w:r>
          </w:p>
        </w:tc>
        <w:tc>
          <w:tcPr>
            <w:tcW w:w="8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3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76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90"/>
              </w:rPr>
              <w:t>Investments</w:t>
            </w:r>
          </w:p>
        </w:tc>
        <w:tc>
          <w:tcPr>
            <w:tcW w:w="5560" w:type="dxa"/>
            <w:vAlign w:val="bottom"/>
            <w:gridSpan w:val="4"/>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 xml:space="preserve">in Non-Controlled, Non-Affiliated Portfolio Companies—138.9% </w:t>
            </w:r>
            <w:r>
              <w:rPr>
                <w:rFonts w:ascii="Arial" w:cs="Arial" w:eastAsia="Arial" w:hAnsi="Arial"/>
                <w:sz w:val="12"/>
                <w:szCs w:val="12"/>
                <w:b w:val="1"/>
                <w:bCs w:val="1"/>
                <w:color w:val="auto"/>
              </w:rPr>
              <w:t>(1),(2)</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First Lien Secured Debt—41.3%</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Aircell Business Aviation Services LLC</w:t>
            </w:r>
          </w:p>
        </w:tc>
        <w:tc>
          <w:tcPr>
            <w:tcW w:w="8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06/21/2017</w:t>
            </w:r>
          </w:p>
        </w:tc>
        <w:tc>
          <w:tcPr>
            <w:tcW w:w="146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5"/>
              </w:rPr>
              <w:t>Communications</w:t>
            </w: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11.25%</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L+975</w:t>
            </w:r>
            <w:r>
              <w:rPr>
                <w:rFonts w:ascii="Arial" w:cs="Arial" w:eastAsia="Arial" w:hAnsi="Arial"/>
                <w:sz w:val="12"/>
                <w:szCs w:val="12"/>
                <w:color w:val="auto"/>
              </w:rPr>
              <w:t>(8)</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4"/>
              </w:rPr>
              <w:t>23,912,894</w:t>
            </w:r>
          </w:p>
        </w:tc>
        <w:tc>
          <w:tcPr>
            <w:tcW w:w="12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   23,012,057</w:t>
            </w: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   25,347,668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080" w:type="dxa"/>
            <w:vAlign w:val="bottom"/>
            <w:gridSpan w:val="2"/>
          </w:tcPr>
          <w:p>
            <w:pPr>
              <w:spacing w:after="0" w:line="130" w:lineRule="exact"/>
              <w:rPr>
                <w:sz w:val="20"/>
                <w:szCs w:val="20"/>
                <w:color w:val="auto"/>
              </w:rPr>
            </w:pPr>
            <w:r>
              <w:rPr>
                <w:rFonts w:ascii="Arial" w:cs="Arial" w:eastAsia="Arial" w:hAnsi="Arial"/>
                <w:sz w:val="14"/>
                <w:szCs w:val="14"/>
                <w:color w:val="auto"/>
              </w:rPr>
              <w:t>AKA Diversified Holdings, Inc.</w:t>
            </w:r>
          </w:p>
        </w:tc>
        <w:tc>
          <w:tcPr>
            <w:tcW w:w="88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12/21/2016</w:t>
            </w:r>
          </w:p>
        </w:tc>
        <w:tc>
          <w:tcPr>
            <w:tcW w:w="1460" w:type="dxa"/>
            <w:vAlign w:val="bottom"/>
            <w:gridSpan w:val="2"/>
          </w:tcPr>
          <w:p>
            <w:pPr>
              <w:jc w:val="center"/>
              <w:ind w:right="100"/>
              <w:spacing w:after="0" w:line="130" w:lineRule="exact"/>
              <w:rPr>
                <w:sz w:val="20"/>
                <w:szCs w:val="20"/>
                <w:color w:val="auto"/>
              </w:rPr>
            </w:pPr>
            <w:r>
              <w:rPr>
                <w:rFonts w:ascii="Arial" w:cs="Arial" w:eastAsia="Arial" w:hAnsi="Arial"/>
                <w:sz w:val="14"/>
                <w:szCs w:val="14"/>
                <w:color w:val="auto"/>
              </w:rPr>
              <w:t>Retail</w:t>
            </w:r>
          </w:p>
        </w:tc>
        <w:tc>
          <w:tcPr>
            <w:tcW w:w="980" w:type="dxa"/>
            <w:vAlign w:val="bottom"/>
            <w:gridSpan w:val="2"/>
          </w:tcPr>
          <w:p>
            <w:pPr>
              <w:jc w:val="right"/>
              <w:ind w:right="180"/>
              <w:spacing w:after="0" w:line="130" w:lineRule="exact"/>
              <w:rPr>
                <w:sz w:val="20"/>
                <w:szCs w:val="20"/>
                <w:color w:val="auto"/>
              </w:rPr>
            </w:pPr>
            <w:r>
              <w:rPr>
                <w:rFonts w:ascii="Arial" w:cs="Arial" w:eastAsia="Arial" w:hAnsi="Arial"/>
                <w:sz w:val="14"/>
                <w:szCs w:val="14"/>
                <w:color w:val="auto"/>
              </w:rPr>
              <w:t>12.50%</w:t>
            </w:r>
          </w:p>
        </w:tc>
        <w:tc>
          <w:tcPr>
            <w:tcW w:w="980" w:type="dxa"/>
            <w:vAlign w:val="bottom"/>
            <w:gridSpan w:val="2"/>
          </w:tcPr>
          <w:p>
            <w:pPr>
              <w:jc w:val="right"/>
              <w:ind w:right="280"/>
              <w:spacing w:after="0" w:line="130" w:lineRule="exact"/>
              <w:rPr>
                <w:sz w:val="20"/>
                <w:szCs w:val="20"/>
                <w:color w:val="auto"/>
              </w:rPr>
            </w:pPr>
            <w:r>
              <w:rPr>
                <w:rFonts w:ascii="Arial" w:cs="Arial" w:eastAsia="Arial" w:hAnsi="Arial"/>
                <w:sz w:val="14"/>
                <w:szCs w:val="14"/>
                <w:color w:val="auto"/>
              </w:rPr>
              <w:t>L+1,225</w:t>
            </w:r>
          </w:p>
        </w:tc>
        <w:tc>
          <w:tcPr>
            <w:tcW w:w="800" w:type="dxa"/>
            <w:vAlign w:val="bottom"/>
            <w:gridSpan w:val="2"/>
          </w:tcPr>
          <w:p>
            <w:pPr>
              <w:jc w:val="right"/>
              <w:ind w:right="120"/>
              <w:spacing w:after="0" w:line="130" w:lineRule="exact"/>
              <w:rPr>
                <w:sz w:val="20"/>
                <w:szCs w:val="20"/>
                <w:color w:val="auto"/>
              </w:rPr>
            </w:pPr>
            <w:r>
              <w:rPr>
                <w:rFonts w:ascii="Arial" w:cs="Arial" w:eastAsia="Arial" w:hAnsi="Arial"/>
                <w:sz w:val="14"/>
                <w:szCs w:val="14"/>
                <w:color w:val="auto"/>
                <w:w w:val="94"/>
              </w:rPr>
              <w:t>14,550,084</w:t>
            </w:r>
          </w:p>
        </w:tc>
        <w:tc>
          <w:tcPr>
            <w:tcW w:w="104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14,310,552</w:t>
            </w:r>
          </w:p>
        </w:tc>
        <w:tc>
          <w:tcPr>
            <w:tcW w:w="180" w:type="dxa"/>
            <w:vAlign w:val="bottom"/>
          </w:tcPr>
          <w:p>
            <w:pPr>
              <w:spacing w:after="0"/>
              <w:rPr>
                <w:sz w:val="11"/>
                <w:szCs w:val="11"/>
                <w:color w:val="auto"/>
              </w:rPr>
            </w:pPr>
          </w:p>
        </w:tc>
        <w:tc>
          <w:tcPr>
            <w:tcW w:w="100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14,694,828</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(PIK 1.50%)</w:t>
            </w: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CEVA Group PLC </w:t>
            </w:r>
            <w:r>
              <w:rPr>
                <w:rFonts w:ascii="Arial" w:cs="Arial" w:eastAsia="Arial" w:hAnsi="Arial"/>
                <w:sz w:val="12"/>
                <w:szCs w:val="12"/>
                <w:color w:val="auto"/>
              </w:rPr>
              <w:t>(5), (10)</w:t>
            </w:r>
          </w:p>
        </w:tc>
        <w:tc>
          <w:tcPr>
            <w:tcW w:w="8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10/01/2016</w:t>
            </w:r>
          </w:p>
        </w:tc>
        <w:tc>
          <w:tcPr>
            <w:tcW w:w="146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0"/>
              </w:rPr>
              <w:t>Cargo Transport</w:t>
            </w: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11.63%</w:t>
            </w:r>
          </w:p>
        </w:tc>
        <w:tc>
          <w:tcPr>
            <w:tcW w:w="9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7,500,000</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7,385,251</w:t>
            </w:r>
          </w:p>
        </w:tc>
        <w:tc>
          <w:tcPr>
            <w:tcW w:w="1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7,725,000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Columbus International, Inc. </w:t>
            </w:r>
            <w:r>
              <w:rPr>
                <w:rFonts w:ascii="Arial" w:cs="Arial" w:eastAsia="Arial" w:hAnsi="Arial"/>
                <w:sz w:val="12"/>
                <w:szCs w:val="12"/>
                <w:color w:val="auto"/>
              </w:rPr>
              <w:t>(5), (10)</w:t>
            </w:r>
          </w:p>
        </w:tc>
        <w:tc>
          <w:tcPr>
            <w:tcW w:w="88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11/20/2014</w:t>
            </w: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5"/>
              </w:rPr>
              <w:t>Communications</w:t>
            </w: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11.50%</w:t>
            </w:r>
          </w:p>
        </w:tc>
        <w:tc>
          <w:tcPr>
            <w:tcW w:w="9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4"/>
              </w:rPr>
              <w:t>10,000,000</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10,000,000</w:t>
            </w:r>
          </w:p>
        </w:tc>
        <w:tc>
          <w:tcPr>
            <w:tcW w:w="18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10,750,000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Cydcor LLC</w:t>
            </w:r>
          </w:p>
        </w:tc>
        <w:tc>
          <w:tcPr>
            <w:tcW w:w="8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06/12/2017</w:t>
            </w:r>
          </w:p>
        </w:tc>
        <w:tc>
          <w:tcPr>
            <w:tcW w:w="146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0"/>
              </w:rPr>
              <w:t>Business Services</w:t>
            </w: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9.75%</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L+725</w:t>
            </w:r>
            <w:r>
              <w:rPr>
                <w:rFonts w:ascii="Arial" w:cs="Arial" w:eastAsia="Arial" w:hAnsi="Arial"/>
                <w:sz w:val="12"/>
                <w:szCs w:val="12"/>
                <w:color w:val="auto"/>
              </w:rPr>
              <w:t>(8)</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7,342,967</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7,342,967</w:t>
            </w:r>
          </w:p>
        </w:tc>
        <w:tc>
          <w:tcPr>
            <w:tcW w:w="1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7,342,967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Good Sam Enterprises, LLC </w:t>
            </w:r>
            <w:r>
              <w:rPr>
                <w:rFonts w:ascii="Arial" w:cs="Arial" w:eastAsia="Arial" w:hAnsi="Arial"/>
                <w:sz w:val="12"/>
                <w:szCs w:val="12"/>
                <w:color w:val="auto"/>
              </w:rPr>
              <w:t>(5)</w:t>
            </w:r>
          </w:p>
        </w:tc>
        <w:tc>
          <w:tcPr>
            <w:tcW w:w="8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12/01/2016</w:t>
            </w: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0"/>
              </w:rPr>
              <w:t>Consumer Products</w:t>
            </w: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11.50%</w:t>
            </w:r>
          </w:p>
        </w:tc>
        <w:tc>
          <w:tcPr>
            <w:tcW w:w="9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4"/>
              </w:rPr>
              <w:t>12,000,000</w:t>
            </w:r>
          </w:p>
        </w:tc>
        <w:tc>
          <w:tcPr>
            <w:tcW w:w="122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11,835,907</w:t>
            </w: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12,900,000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IDQ Holdings, Inc. </w:t>
            </w:r>
            <w:r>
              <w:rPr>
                <w:rFonts w:ascii="Arial" w:cs="Arial" w:eastAsia="Arial" w:hAnsi="Arial"/>
                <w:sz w:val="12"/>
                <w:szCs w:val="12"/>
                <w:color w:val="auto"/>
              </w:rPr>
              <w:t>(5)</w:t>
            </w:r>
          </w:p>
        </w:tc>
        <w:tc>
          <w:tcPr>
            <w:tcW w:w="8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03/30/2017</w:t>
            </w:r>
          </w:p>
        </w:tc>
        <w:tc>
          <w:tcPr>
            <w:tcW w:w="146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2"/>
              </w:rPr>
              <w:t>Auto Sector</w:t>
            </w: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11.50%</w:t>
            </w:r>
          </w:p>
        </w:tc>
        <w:tc>
          <w:tcPr>
            <w:tcW w:w="9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4"/>
              </w:rPr>
              <w:t>11,500,000</w:t>
            </w:r>
          </w:p>
        </w:tc>
        <w:tc>
          <w:tcPr>
            <w:tcW w:w="12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11,326,110</w:t>
            </w: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12,391,250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080" w:type="dxa"/>
            <w:vAlign w:val="bottom"/>
            <w:gridSpan w:val="2"/>
          </w:tcPr>
          <w:p>
            <w:pPr>
              <w:spacing w:after="0" w:line="130" w:lineRule="exact"/>
              <w:rPr>
                <w:sz w:val="20"/>
                <w:szCs w:val="20"/>
                <w:color w:val="auto"/>
              </w:rPr>
            </w:pPr>
            <w:r>
              <w:rPr>
                <w:rFonts w:ascii="Arial" w:cs="Arial" w:eastAsia="Arial" w:hAnsi="Arial"/>
                <w:sz w:val="14"/>
                <w:szCs w:val="14"/>
                <w:color w:val="auto"/>
              </w:rPr>
              <w:t>InfuSystem Holdings, Inc.</w:t>
            </w:r>
          </w:p>
        </w:tc>
        <w:tc>
          <w:tcPr>
            <w:tcW w:w="880" w:type="dxa"/>
            <w:vAlign w:val="bottom"/>
            <w:gridSpan w:val="2"/>
          </w:tcPr>
          <w:p>
            <w:pPr>
              <w:ind w:left="60"/>
              <w:spacing w:after="0" w:line="130" w:lineRule="exact"/>
              <w:rPr>
                <w:sz w:val="20"/>
                <w:szCs w:val="20"/>
                <w:color w:val="auto"/>
              </w:rPr>
            </w:pPr>
            <w:r>
              <w:rPr>
                <w:rFonts w:ascii="Arial" w:cs="Arial" w:eastAsia="Arial" w:hAnsi="Arial"/>
                <w:sz w:val="14"/>
                <w:szCs w:val="14"/>
                <w:color w:val="auto"/>
              </w:rPr>
              <w:t>11/30/2016</w:t>
            </w:r>
          </w:p>
        </w:tc>
        <w:tc>
          <w:tcPr>
            <w:tcW w:w="1460" w:type="dxa"/>
            <w:vAlign w:val="bottom"/>
            <w:gridSpan w:val="2"/>
          </w:tcPr>
          <w:p>
            <w:pPr>
              <w:jc w:val="center"/>
              <w:ind w:right="100"/>
              <w:spacing w:after="0" w:line="130" w:lineRule="exact"/>
              <w:rPr>
                <w:sz w:val="20"/>
                <w:szCs w:val="20"/>
                <w:color w:val="auto"/>
              </w:rPr>
            </w:pPr>
            <w:r>
              <w:rPr>
                <w:rFonts w:ascii="Arial" w:cs="Arial" w:eastAsia="Arial" w:hAnsi="Arial"/>
                <w:sz w:val="14"/>
                <w:szCs w:val="14"/>
                <w:color w:val="auto"/>
                <w:w w:val="92"/>
              </w:rPr>
              <w:t>Healthcare, Education</w:t>
            </w:r>
          </w:p>
        </w:tc>
        <w:tc>
          <w:tcPr>
            <w:tcW w:w="980" w:type="dxa"/>
            <w:vAlign w:val="bottom"/>
            <w:gridSpan w:val="2"/>
          </w:tcPr>
          <w:p>
            <w:pPr>
              <w:jc w:val="right"/>
              <w:ind w:right="180"/>
              <w:spacing w:after="0" w:line="130" w:lineRule="exact"/>
              <w:rPr>
                <w:sz w:val="20"/>
                <w:szCs w:val="20"/>
                <w:color w:val="auto"/>
              </w:rPr>
            </w:pPr>
            <w:r>
              <w:rPr>
                <w:rFonts w:ascii="Arial" w:cs="Arial" w:eastAsia="Arial" w:hAnsi="Arial"/>
                <w:sz w:val="14"/>
                <w:szCs w:val="14"/>
                <w:color w:val="auto"/>
              </w:rPr>
              <w:t>11.95%</w:t>
            </w: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P+625</w:t>
            </w:r>
            <w:r>
              <w:rPr>
                <w:rFonts w:ascii="Arial" w:cs="Arial" w:eastAsia="Arial" w:hAnsi="Arial"/>
                <w:sz w:val="12"/>
                <w:szCs w:val="12"/>
                <w:color w:val="auto"/>
              </w:rPr>
              <w:t>(8)</w:t>
            </w:r>
          </w:p>
        </w:tc>
        <w:tc>
          <w:tcPr>
            <w:tcW w:w="800" w:type="dxa"/>
            <w:vAlign w:val="bottom"/>
            <w:gridSpan w:val="2"/>
          </w:tcPr>
          <w:p>
            <w:pPr>
              <w:jc w:val="right"/>
              <w:ind w:right="120"/>
              <w:spacing w:after="0" w:line="130" w:lineRule="exact"/>
              <w:rPr>
                <w:sz w:val="20"/>
                <w:szCs w:val="20"/>
                <w:color w:val="auto"/>
              </w:rPr>
            </w:pPr>
            <w:r>
              <w:rPr>
                <w:rFonts w:ascii="Arial" w:cs="Arial" w:eastAsia="Arial" w:hAnsi="Arial"/>
                <w:sz w:val="14"/>
                <w:szCs w:val="14"/>
                <w:color w:val="auto"/>
                <w:w w:val="94"/>
              </w:rPr>
              <w:t>11,600,000</w:t>
            </w:r>
          </w:p>
        </w:tc>
        <w:tc>
          <w:tcPr>
            <w:tcW w:w="1220" w:type="dxa"/>
            <w:vAlign w:val="bottom"/>
            <w:gridSpan w:val="3"/>
          </w:tcPr>
          <w:p>
            <w:pPr>
              <w:jc w:val="right"/>
              <w:ind w:right="180"/>
              <w:spacing w:after="0" w:line="130" w:lineRule="exact"/>
              <w:rPr>
                <w:sz w:val="20"/>
                <w:szCs w:val="20"/>
                <w:color w:val="auto"/>
              </w:rPr>
            </w:pPr>
            <w:r>
              <w:rPr>
                <w:rFonts w:ascii="Arial" w:cs="Arial" w:eastAsia="Arial" w:hAnsi="Arial"/>
                <w:sz w:val="14"/>
                <w:szCs w:val="14"/>
                <w:color w:val="auto"/>
              </w:rPr>
              <w:t>11,600,000</w:t>
            </w:r>
          </w:p>
        </w:tc>
        <w:tc>
          <w:tcPr>
            <w:tcW w:w="100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11,708,430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and Childcare</w:t>
            </w: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Instant Web, Inc.</w:t>
            </w:r>
          </w:p>
        </w:tc>
        <w:tc>
          <w:tcPr>
            <w:tcW w:w="8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08/07/2014</w:t>
            </w:r>
          </w:p>
        </w:tc>
        <w:tc>
          <w:tcPr>
            <w:tcW w:w="146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4"/>
              </w:rPr>
              <w:t>Printing and Publishing</w:t>
            </w: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14.50%</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L+950</w:t>
            </w:r>
            <w:r>
              <w:rPr>
                <w:rFonts w:ascii="Arial" w:cs="Arial" w:eastAsia="Arial" w:hAnsi="Arial"/>
                <w:sz w:val="12"/>
                <w:szCs w:val="12"/>
                <w:color w:val="auto"/>
              </w:rPr>
              <w:t>(8)</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4"/>
              </w:rPr>
              <w:t>23,934,268</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23,788,980</w:t>
            </w:r>
          </w:p>
        </w:tc>
        <w:tc>
          <w:tcPr>
            <w:tcW w:w="1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22,976,897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tcPr>
          <w:p>
            <w:pPr>
              <w:spacing w:after="0" w:line="149" w:lineRule="exact"/>
              <w:rPr>
                <w:sz w:val="20"/>
                <w:szCs w:val="20"/>
                <w:color w:val="auto"/>
              </w:rPr>
            </w:pPr>
            <w:r>
              <w:rPr>
                <w:rFonts w:ascii="Arial" w:cs="Arial" w:eastAsia="Arial" w:hAnsi="Arial"/>
                <w:sz w:val="14"/>
                <w:szCs w:val="14"/>
                <w:color w:val="auto"/>
              </w:rPr>
              <w:t>Instant Web, Inc.</w:t>
            </w:r>
          </w:p>
        </w:tc>
        <w:tc>
          <w:tcPr>
            <w:tcW w:w="8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08/07/2014</w:t>
            </w: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4"/>
              </w:rPr>
              <w:t>Printing and Publishing</w:t>
            </w: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3.55%</w:t>
            </w: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L+338</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4"/>
              </w:rPr>
              <w:t>18,199,679</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13,917,288</w:t>
            </w:r>
          </w:p>
        </w:tc>
        <w:tc>
          <w:tcPr>
            <w:tcW w:w="18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14,559,743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0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Interactive Health Solutions, Inc.</w:t>
            </w:r>
          </w:p>
        </w:tc>
        <w:tc>
          <w:tcPr>
            <w:tcW w:w="88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10/04/2016</w:t>
            </w:r>
          </w:p>
        </w:tc>
        <w:tc>
          <w:tcPr>
            <w:tcW w:w="146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2"/>
              </w:rPr>
              <w:t>Healthcare, Education</w:t>
            </w:r>
          </w:p>
        </w:tc>
        <w:tc>
          <w:tcPr>
            <w:tcW w:w="98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11.50%</w:t>
            </w: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L+950</w:t>
            </w:r>
            <w:r>
              <w:rPr>
                <w:rFonts w:ascii="Arial" w:cs="Arial" w:eastAsia="Arial" w:hAnsi="Arial"/>
                <w:sz w:val="12"/>
                <w:szCs w:val="12"/>
                <w:color w:val="auto"/>
              </w:rPr>
              <w:t>(8)</w:t>
            </w:r>
          </w:p>
        </w:tc>
        <w:tc>
          <w:tcPr>
            <w:tcW w:w="80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w w:val="94"/>
              </w:rPr>
              <w:t>18,050,000</w:t>
            </w:r>
          </w:p>
        </w:tc>
        <w:tc>
          <w:tcPr>
            <w:tcW w:w="104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17,770,705</w:t>
            </w:r>
          </w:p>
        </w:tc>
        <w:tc>
          <w:tcPr>
            <w:tcW w:w="1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18,050,000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3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and Childcare</w:t>
            </w:r>
          </w:p>
        </w:tc>
        <w:tc>
          <w:tcPr>
            <w:tcW w:w="6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080" w:type="dxa"/>
            <w:vAlign w:val="bottom"/>
            <w:gridSpan w:val="2"/>
          </w:tcPr>
          <w:p>
            <w:pPr>
              <w:spacing w:after="0" w:line="130" w:lineRule="exact"/>
              <w:rPr>
                <w:sz w:val="20"/>
                <w:szCs w:val="20"/>
                <w:color w:val="auto"/>
              </w:rPr>
            </w:pPr>
            <w:r>
              <w:rPr>
                <w:rFonts w:ascii="Arial" w:cs="Arial" w:eastAsia="Arial" w:hAnsi="Arial"/>
                <w:sz w:val="14"/>
                <w:szCs w:val="14"/>
                <w:color w:val="auto"/>
              </w:rPr>
              <w:t>Jackson Hewitt Tax Service Inc.</w:t>
            </w:r>
          </w:p>
        </w:tc>
        <w:tc>
          <w:tcPr>
            <w:tcW w:w="88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10/16/2017</w:t>
            </w:r>
          </w:p>
        </w:tc>
        <w:tc>
          <w:tcPr>
            <w:tcW w:w="1460" w:type="dxa"/>
            <w:vAlign w:val="bottom"/>
            <w:gridSpan w:val="2"/>
          </w:tcPr>
          <w:p>
            <w:pPr>
              <w:jc w:val="center"/>
              <w:ind w:right="100"/>
              <w:spacing w:after="0" w:line="130" w:lineRule="exact"/>
              <w:rPr>
                <w:sz w:val="20"/>
                <w:szCs w:val="20"/>
                <w:color w:val="auto"/>
              </w:rPr>
            </w:pPr>
            <w:r>
              <w:rPr>
                <w:rFonts w:ascii="Arial" w:cs="Arial" w:eastAsia="Arial" w:hAnsi="Arial"/>
                <w:sz w:val="14"/>
                <w:szCs w:val="14"/>
                <w:color w:val="auto"/>
                <w:w w:val="91"/>
              </w:rPr>
              <w:t>Personal, Food and</w:t>
            </w:r>
          </w:p>
        </w:tc>
        <w:tc>
          <w:tcPr>
            <w:tcW w:w="980" w:type="dxa"/>
            <w:vAlign w:val="bottom"/>
            <w:gridSpan w:val="2"/>
          </w:tcPr>
          <w:p>
            <w:pPr>
              <w:jc w:val="right"/>
              <w:ind w:right="180"/>
              <w:spacing w:after="0" w:line="130" w:lineRule="exact"/>
              <w:rPr>
                <w:sz w:val="20"/>
                <w:szCs w:val="20"/>
                <w:color w:val="auto"/>
              </w:rPr>
            </w:pPr>
            <w:r>
              <w:rPr>
                <w:rFonts w:ascii="Arial" w:cs="Arial" w:eastAsia="Arial" w:hAnsi="Arial"/>
                <w:sz w:val="14"/>
                <w:szCs w:val="14"/>
                <w:color w:val="auto"/>
              </w:rPr>
              <w:t>10.00%</w:t>
            </w: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L+850</w:t>
            </w:r>
            <w:r>
              <w:rPr>
                <w:rFonts w:ascii="Arial" w:cs="Arial" w:eastAsia="Arial" w:hAnsi="Arial"/>
                <w:sz w:val="12"/>
                <w:szCs w:val="12"/>
                <w:color w:val="auto"/>
              </w:rPr>
              <w:t>(8)</w:t>
            </w:r>
          </w:p>
        </w:tc>
        <w:tc>
          <w:tcPr>
            <w:tcW w:w="800" w:type="dxa"/>
            <w:vAlign w:val="bottom"/>
            <w:gridSpan w:val="2"/>
          </w:tcPr>
          <w:p>
            <w:pPr>
              <w:jc w:val="right"/>
              <w:ind w:right="120"/>
              <w:spacing w:after="0" w:line="130" w:lineRule="exact"/>
              <w:rPr>
                <w:sz w:val="20"/>
                <w:szCs w:val="20"/>
                <w:color w:val="auto"/>
              </w:rPr>
            </w:pPr>
            <w:r>
              <w:rPr>
                <w:rFonts w:ascii="Arial" w:cs="Arial" w:eastAsia="Arial" w:hAnsi="Arial"/>
                <w:sz w:val="14"/>
                <w:szCs w:val="14"/>
                <w:color w:val="auto"/>
              </w:rPr>
              <w:t>8,355,469</w:t>
            </w:r>
          </w:p>
        </w:tc>
        <w:tc>
          <w:tcPr>
            <w:tcW w:w="104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8,349,704</w:t>
            </w:r>
          </w:p>
        </w:tc>
        <w:tc>
          <w:tcPr>
            <w:tcW w:w="180" w:type="dxa"/>
            <w:vAlign w:val="bottom"/>
          </w:tcPr>
          <w:p>
            <w:pPr>
              <w:spacing w:after="0"/>
              <w:rPr>
                <w:sz w:val="11"/>
                <w:szCs w:val="11"/>
                <w:color w:val="auto"/>
              </w:rPr>
            </w:pPr>
          </w:p>
        </w:tc>
        <w:tc>
          <w:tcPr>
            <w:tcW w:w="100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8,230,137</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Miscellaneous Services</w:t>
            </w: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0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K2 Pure Solutions NoCal, L.P.</w:t>
            </w:r>
          </w:p>
        </w:tc>
        <w:tc>
          <w:tcPr>
            <w:tcW w:w="88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08/19/2019</w:t>
            </w:r>
          </w:p>
        </w:tc>
        <w:tc>
          <w:tcPr>
            <w:tcW w:w="146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2"/>
              </w:rPr>
              <w:t>Chemicals, Plastics</w:t>
            </w:r>
          </w:p>
        </w:tc>
        <w:tc>
          <w:tcPr>
            <w:tcW w:w="98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10.00%</w:t>
            </w: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L+900</w:t>
            </w:r>
            <w:r>
              <w:rPr>
                <w:rFonts w:ascii="Arial" w:cs="Arial" w:eastAsia="Arial" w:hAnsi="Arial"/>
                <w:sz w:val="12"/>
                <w:szCs w:val="12"/>
                <w:color w:val="auto"/>
              </w:rPr>
              <w:t>(8)</w:t>
            </w:r>
          </w:p>
        </w:tc>
        <w:tc>
          <w:tcPr>
            <w:tcW w:w="80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w w:val="94"/>
              </w:rPr>
              <w:t>22,342,352</w:t>
            </w:r>
          </w:p>
        </w:tc>
        <w:tc>
          <w:tcPr>
            <w:tcW w:w="104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21,899,258</w:t>
            </w:r>
          </w:p>
        </w:tc>
        <w:tc>
          <w:tcPr>
            <w:tcW w:w="1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22,007,217</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3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and Rubber</w:t>
            </w:r>
          </w:p>
        </w:tc>
        <w:tc>
          <w:tcPr>
            <w:tcW w:w="6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080" w:type="dxa"/>
            <w:vAlign w:val="bottom"/>
            <w:gridSpan w:val="2"/>
          </w:tcPr>
          <w:p>
            <w:pPr>
              <w:spacing w:after="0" w:line="130" w:lineRule="exact"/>
              <w:rPr>
                <w:sz w:val="20"/>
                <w:szCs w:val="20"/>
                <w:color w:val="auto"/>
              </w:rPr>
            </w:pPr>
            <w:r>
              <w:rPr>
                <w:rFonts w:ascii="Arial" w:cs="Arial" w:eastAsia="Arial" w:hAnsi="Arial"/>
                <w:sz w:val="14"/>
                <w:szCs w:val="14"/>
                <w:color w:val="auto"/>
              </w:rPr>
              <w:t>Penton Media, Inc.</w:t>
            </w:r>
          </w:p>
        </w:tc>
        <w:tc>
          <w:tcPr>
            <w:tcW w:w="88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08/01/2014</w:t>
            </w:r>
          </w:p>
        </w:tc>
        <w:tc>
          <w:tcPr>
            <w:tcW w:w="1460" w:type="dxa"/>
            <w:vAlign w:val="bottom"/>
            <w:gridSpan w:val="2"/>
          </w:tcPr>
          <w:p>
            <w:pPr>
              <w:jc w:val="center"/>
              <w:ind w:right="100"/>
              <w:spacing w:after="0" w:line="130" w:lineRule="exact"/>
              <w:rPr>
                <w:sz w:val="20"/>
                <w:szCs w:val="20"/>
                <w:color w:val="auto"/>
              </w:rPr>
            </w:pPr>
            <w:r>
              <w:rPr>
                <w:rFonts w:ascii="Arial" w:cs="Arial" w:eastAsia="Arial" w:hAnsi="Arial"/>
                <w:sz w:val="14"/>
                <w:szCs w:val="14"/>
                <w:color w:val="auto"/>
                <w:w w:val="93"/>
              </w:rPr>
              <w:t>Other Media</w:t>
            </w:r>
          </w:p>
        </w:tc>
        <w:tc>
          <w:tcPr>
            <w:tcW w:w="980" w:type="dxa"/>
            <w:vAlign w:val="bottom"/>
            <w:gridSpan w:val="2"/>
          </w:tcPr>
          <w:p>
            <w:pPr>
              <w:jc w:val="right"/>
              <w:ind w:right="180"/>
              <w:spacing w:after="0" w:line="130" w:lineRule="exact"/>
              <w:rPr>
                <w:sz w:val="20"/>
                <w:szCs w:val="20"/>
                <w:color w:val="auto"/>
              </w:rPr>
            </w:pPr>
            <w:r>
              <w:rPr>
                <w:rFonts w:ascii="Arial" w:cs="Arial" w:eastAsia="Arial" w:hAnsi="Arial"/>
                <w:sz w:val="14"/>
                <w:szCs w:val="14"/>
                <w:color w:val="auto"/>
              </w:rPr>
              <w:t>6.00%</w:t>
            </w: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L+500</w:t>
            </w:r>
            <w:r>
              <w:rPr>
                <w:rFonts w:ascii="Arial" w:cs="Arial" w:eastAsia="Arial" w:hAnsi="Arial"/>
                <w:sz w:val="12"/>
                <w:szCs w:val="12"/>
                <w:color w:val="auto"/>
              </w:rPr>
              <w:t>(8)</w:t>
            </w:r>
          </w:p>
        </w:tc>
        <w:tc>
          <w:tcPr>
            <w:tcW w:w="800" w:type="dxa"/>
            <w:vAlign w:val="bottom"/>
            <w:gridSpan w:val="2"/>
          </w:tcPr>
          <w:p>
            <w:pPr>
              <w:jc w:val="right"/>
              <w:ind w:right="120"/>
              <w:spacing w:after="0" w:line="130" w:lineRule="exact"/>
              <w:rPr>
                <w:sz w:val="20"/>
                <w:szCs w:val="20"/>
                <w:color w:val="auto"/>
              </w:rPr>
            </w:pPr>
            <w:r>
              <w:rPr>
                <w:rFonts w:ascii="Arial" w:cs="Arial" w:eastAsia="Arial" w:hAnsi="Arial"/>
                <w:sz w:val="14"/>
                <w:szCs w:val="14"/>
                <w:color w:val="auto"/>
                <w:w w:val="94"/>
              </w:rPr>
              <w:t>37,950,152</w:t>
            </w:r>
          </w:p>
        </w:tc>
        <w:tc>
          <w:tcPr>
            <w:tcW w:w="1220" w:type="dxa"/>
            <w:vAlign w:val="bottom"/>
            <w:gridSpan w:val="3"/>
          </w:tcPr>
          <w:p>
            <w:pPr>
              <w:jc w:val="right"/>
              <w:ind w:right="180"/>
              <w:spacing w:after="0" w:line="130" w:lineRule="exact"/>
              <w:rPr>
                <w:sz w:val="20"/>
                <w:szCs w:val="20"/>
                <w:color w:val="auto"/>
              </w:rPr>
            </w:pPr>
            <w:r>
              <w:rPr>
                <w:rFonts w:ascii="Arial" w:cs="Arial" w:eastAsia="Arial" w:hAnsi="Arial"/>
                <w:sz w:val="14"/>
                <w:szCs w:val="14"/>
                <w:color w:val="auto"/>
              </w:rPr>
              <w:t>36,110,124</w:t>
            </w:r>
          </w:p>
        </w:tc>
        <w:tc>
          <w:tcPr>
            <w:tcW w:w="100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37,523,212</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(PIK 2.00%)</w:t>
            </w: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0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 xml:space="preserve">Prince Mineral Holding Corp. </w:t>
            </w:r>
            <w:r>
              <w:rPr>
                <w:rFonts w:ascii="Arial" w:cs="Arial" w:eastAsia="Arial" w:hAnsi="Arial"/>
                <w:sz w:val="12"/>
                <w:szCs w:val="12"/>
                <w:color w:val="auto"/>
              </w:rPr>
              <w:t>(5)</w:t>
            </w:r>
          </w:p>
        </w:tc>
        <w:tc>
          <w:tcPr>
            <w:tcW w:w="2340" w:type="dxa"/>
            <w:vAlign w:val="bottom"/>
            <w:gridSpan w:val="4"/>
            <w:shd w:val="clear" w:color="auto" w:fill="CCEEFF"/>
          </w:tcPr>
          <w:p>
            <w:pPr>
              <w:ind w:left="40"/>
              <w:spacing w:after="0" w:line="130" w:lineRule="exact"/>
              <w:rPr>
                <w:sz w:val="20"/>
                <w:szCs w:val="20"/>
                <w:color w:val="auto"/>
              </w:rPr>
            </w:pPr>
            <w:r>
              <w:rPr>
                <w:rFonts w:ascii="Arial" w:cs="Arial" w:eastAsia="Arial" w:hAnsi="Arial"/>
                <w:sz w:val="14"/>
                <w:szCs w:val="14"/>
                <w:color w:val="auto"/>
              </w:rPr>
              <w:t>12/16/2019   Mining, Steel, Iron and</w:t>
            </w:r>
          </w:p>
        </w:tc>
        <w:tc>
          <w:tcPr>
            <w:tcW w:w="98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11.50%</w:t>
            </w:r>
          </w:p>
        </w:tc>
        <w:tc>
          <w:tcPr>
            <w:tcW w:w="980" w:type="dxa"/>
            <w:vAlign w:val="bottom"/>
            <w:gridSpan w:val="2"/>
            <w:shd w:val="clear" w:color="auto" w:fill="CCEEFF"/>
          </w:tcPr>
          <w:p>
            <w:pPr>
              <w:jc w:val="right"/>
              <w:ind w:right="360"/>
              <w:spacing w:after="0" w:line="130"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w w:val="94"/>
              </w:rPr>
              <w:t>14,250,000</w:t>
            </w:r>
          </w:p>
        </w:tc>
        <w:tc>
          <w:tcPr>
            <w:tcW w:w="104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14,096,169</w:t>
            </w:r>
          </w:p>
        </w:tc>
        <w:tc>
          <w:tcPr>
            <w:tcW w:w="1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15,176,250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Non-Precious Metals</w:t>
            </w:r>
          </w:p>
        </w:tc>
        <w:tc>
          <w:tcPr>
            <w:tcW w:w="6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tcPr>
          <w:p>
            <w:pPr>
              <w:spacing w:after="0" w:line="149" w:lineRule="exact"/>
              <w:rPr>
                <w:sz w:val="20"/>
                <w:szCs w:val="20"/>
                <w:color w:val="auto"/>
              </w:rPr>
            </w:pPr>
            <w:r>
              <w:rPr>
                <w:rFonts w:ascii="Arial" w:cs="Arial" w:eastAsia="Arial" w:hAnsi="Arial"/>
                <w:sz w:val="14"/>
                <w:szCs w:val="14"/>
                <w:color w:val="auto"/>
              </w:rPr>
              <w:t>TRAK Acquisition Corp.</w:t>
            </w:r>
          </w:p>
        </w:tc>
        <w:tc>
          <w:tcPr>
            <w:tcW w:w="8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04/30/2018</w:t>
            </w: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0"/>
              </w:rPr>
              <w:t>Business Services</w:t>
            </w: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12.00%</w:t>
            </w: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L+1,050</w:t>
            </w:r>
            <w:r>
              <w:rPr>
                <w:rFonts w:ascii="Arial" w:cs="Arial" w:eastAsia="Arial" w:hAnsi="Arial"/>
                <w:sz w:val="12"/>
                <w:szCs w:val="12"/>
                <w:color w:val="auto"/>
              </w:rPr>
              <w:t>(8)</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4"/>
              </w:rPr>
              <w:t>34,270,800</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33,766,321</w:t>
            </w:r>
          </w:p>
        </w:tc>
        <w:tc>
          <w:tcPr>
            <w:tcW w:w="18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34,270,800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Worley Claims Services LLC</w:t>
            </w:r>
          </w:p>
        </w:tc>
        <w:tc>
          <w:tcPr>
            <w:tcW w:w="8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07/06/2017</w:t>
            </w:r>
          </w:p>
        </w:tc>
        <w:tc>
          <w:tcPr>
            <w:tcW w:w="146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1"/>
              </w:rPr>
              <w:t>Insurance</w:t>
            </w: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12.50%</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L+1,100</w:t>
            </w:r>
            <w:r>
              <w:rPr>
                <w:rFonts w:ascii="Arial" w:cs="Arial" w:eastAsia="Arial" w:hAnsi="Arial"/>
                <w:sz w:val="12"/>
                <w:szCs w:val="12"/>
                <w:color w:val="auto"/>
              </w:rPr>
              <w:t>(8)</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4"/>
              </w:rPr>
              <w:t>12,451,096</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12,451,096</w:t>
            </w:r>
          </w:p>
        </w:tc>
        <w:tc>
          <w:tcPr>
            <w:tcW w:w="1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12,388,840</w:t>
            </w:r>
          </w:p>
        </w:tc>
        <w:tc>
          <w:tcPr>
            <w:tcW w:w="0" w:type="dxa"/>
            <w:vAlign w:val="bottom"/>
          </w:tcPr>
          <w:p>
            <w:pPr>
              <w:spacing w:after="0"/>
              <w:rPr>
                <w:sz w:val="1"/>
                <w:szCs w:val="1"/>
                <w:color w:val="auto"/>
              </w:rPr>
            </w:pPr>
          </w:p>
        </w:tc>
      </w:tr>
      <w:tr>
        <w:trPr>
          <w:trHeight w:val="163"/>
        </w:trPr>
        <w:tc>
          <w:tcPr>
            <w:tcW w:w="41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First Lien Secured Debt</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278,962,489</w:t>
            </w:r>
          </w:p>
        </w:tc>
        <w:tc>
          <w:tcPr>
            <w:tcW w:w="180" w:type="dxa"/>
            <w:vAlign w:val="bottom"/>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288,043,239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Second Lien Secured Debt—48.9%</w:t>
            </w: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080" w:type="dxa"/>
            <w:vAlign w:val="bottom"/>
            <w:gridSpan w:val="2"/>
          </w:tcPr>
          <w:p>
            <w:pPr>
              <w:spacing w:after="0" w:line="130" w:lineRule="exact"/>
              <w:rPr>
                <w:sz w:val="20"/>
                <w:szCs w:val="20"/>
                <w:color w:val="auto"/>
              </w:rPr>
            </w:pPr>
            <w:r>
              <w:rPr>
                <w:rFonts w:ascii="Arial" w:cs="Arial" w:eastAsia="Arial" w:hAnsi="Arial"/>
                <w:sz w:val="14"/>
                <w:szCs w:val="14"/>
                <w:color w:val="auto"/>
              </w:rPr>
              <w:t xml:space="preserve">American Gilsonite Company </w:t>
            </w:r>
            <w:r>
              <w:rPr>
                <w:rFonts w:ascii="Arial" w:cs="Arial" w:eastAsia="Arial" w:hAnsi="Arial"/>
                <w:sz w:val="12"/>
                <w:szCs w:val="12"/>
                <w:color w:val="auto"/>
              </w:rPr>
              <w:t>(5)</w:t>
            </w:r>
          </w:p>
        </w:tc>
        <w:tc>
          <w:tcPr>
            <w:tcW w:w="88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09/01/2017</w:t>
            </w:r>
          </w:p>
        </w:tc>
        <w:tc>
          <w:tcPr>
            <w:tcW w:w="1460" w:type="dxa"/>
            <w:vAlign w:val="bottom"/>
            <w:gridSpan w:val="2"/>
          </w:tcPr>
          <w:p>
            <w:pPr>
              <w:jc w:val="center"/>
              <w:ind w:right="100"/>
              <w:spacing w:after="0" w:line="130" w:lineRule="exact"/>
              <w:rPr>
                <w:sz w:val="20"/>
                <w:szCs w:val="20"/>
                <w:color w:val="auto"/>
              </w:rPr>
            </w:pPr>
            <w:r>
              <w:rPr>
                <w:rFonts w:ascii="Arial" w:cs="Arial" w:eastAsia="Arial" w:hAnsi="Arial"/>
                <w:sz w:val="14"/>
                <w:szCs w:val="14"/>
                <w:color w:val="auto"/>
                <w:w w:val="97"/>
              </w:rPr>
              <w:t>Diversified Natural</w:t>
            </w:r>
          </w:p>
        </w:tc>
        <w:tc>
          <w:tcPr>
            <w:tcW w:w="980" w:type="dxa"/>
            <w:vAlign w:val="bottom"/>
            <w:gridSpan w:val="2"/>
          </w:tcPr>
          <w:p>
            <w:pPr>
              <w:jc w:val="right"/>
              <w:ind w:right="180"/>
              <w:spacing w:after="0" w:line="130" w:lineRule="exact"/>
              <w:rPr>
                <w:sz w:val="20"/>
                <w:szCs w:val="20"/>
                <w:color w:val="auto"/>
              </w:rPr>
            </w:pPr>
            <w:r>
              <w:rPr>
                <w:rFonts w:ascii="Arial" w:cs="Arial" w:eastAsia="Arial" w:hAnsi="Arial"/>
                <w:sz w:val="14"/>
                <w:szCs w:val="14"/>
                <w:color w:val="auto"/>
              </w:rPr>
              <w:t>11.50%</w:t>
            </w:r>
          </w:p>
        </w:tc>
        <w:tc>
          <w:tcPr>
            <w:tcW w:w="980" w:type="dxa"/>
            <w:vAlign w:val="bottom"/>
            <w:gridSpan w:val="2"/>
          </w:tcPr>
          <w:p>
            <w:pPr>
              <w:jc w:val="right"/>
              <w:ind w:right="360"/>
              <w:spacing w:after="0" w:line="130"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20"/>
              <w:spacing w:after="0" w:line="130" w:lineRule="exact"/>
              <w:rPr>
                <w:sz w:val="20"/>
                <w:szCs w:val="20"/>
                <w:color w:val="auto"/>
              </w:rPr>
            </w:pPr>
            <w:r>
              <w:rPr>
                <w:rFonts w:ascii="Arial" w:cs="Arial" w:eastAsia="Arial" w:hAnsi="Arial"/>
                <w:sz w:val="14"/>
                <w:szCs w:val="14"/>
                <w:color w:val="auto"/>
                <w:w w:val="94"/>
              </w:rPr>
              <w:t>25,400,000</w:t>
            </w:r>
          </w:p>
        </w:tc>
        <w:tc>
          <w:tcPr>
            <w:tcW w:w="104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25,400,000</w:t>
            </w:r>
          </w:p>
        </w:tc>
        <w:tc>
          <w:tcPr>
            <w:tcW w:w="180" w:type="dxa"/>
            <w:vAlign w:val="bottom"/>
          </w:tcPr>
          <w:p>
            <w:pPr>
              <w:spacing w:after="0"/>
              <w:rPr>
                <w:sz w:val="11"/>
                <w:szCs w:val="11"/>
                <w:color w:val="auto"/>
              </w:rPr>
            </w:pPr>
          </w:p>
        </w:tc>
        <w:tc>
          <w:tcPr>
            <w:tcW w:w="100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25,971,500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9"/>
              </w:rPr>
              <w:t>Resources, Precious</w:t>
            </w: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Metals and Minerals</w:t>
            </w: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Arsloane Acquisition, LLC</w:t>
            </w:r>
          </w:p>
        </w:tc>
        <w:tc>
          <w:tcPr>
            <w:tcW w:w="8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10/01/2020</w:t>
            </w:r>
          </w:p>
        </w:tc>
        <w:tc>
          <w:tcPr>
            <w:tcW w:w="146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0"/>
              </w:rPr>
              <w:t>Business Services</w:t>
            </w: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11.75%</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L+1,050</w:t>
            </w:r>
            <w:r>
              <w:rPr>
                <w:rFonts w:ascii="Arial" w:cs="Arial" w:eastAsia="Arial" w:hAnsi="Arial"/>
                <w:sz w:val="12"/>
                <w:szCs w:val="12"/>
                <w:color w:val="auto"/>
              </w:rPr>
              <w:t>(8)</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4"/>
              </w:rPr>
              <w:t>18,750,000</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18,375,000</w:t>
            </w:r>
          </w:p>
        </w:tc>
        <w:tc>
          <w:tcPr>
            <w:tcW w:w="1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18,687,563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tcPr>
          <w:p>
            <w:pPr>
              <w:spacing w:after="0" w:line="149" w:lineRule="exact"/>
              <w:rPr>
                <w:sz w:val="20"/>
                <w:szCs w:val="20"/>
                <w:color w:val="auto"/>
              </w:rPr>
            </w:pPr>
            <w:r>
              <w:rPr>
                <w:rFonts w:ascii="Arial" w:cs="Arial" w:eastAsia="Arial" w:hAnsi="Arial"/>
                <w:sz w:val="14"/>
                <w:szCs w:val="14"/>
                <w:color w:val="auto"/>
              </w:rPr>
              <w:t>Brand Energy and Infrastructure Services, Inc.</w:t>
            </w:r>
          </w:p>
        </w:tc>
        <w:tc>
          <w:tcPr>
            <w:tcW w:w="8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10/23/2019</w:t>
            </w: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8"/>
              </w:rPr>
              <w:t>Energy / Utilities</w:t>
            </w: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11.00%</w:t>
            </w: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L+975</w:t>
            </w:r>
            <w:r>
              <w:rPr>
                <w:rFonts w:ascii="Arial" w:cs="Arial" w:eastAsia="Arial" w:hAnsi="Arial"/>
                <w:sz w:val="12"/>
                <w:szCs w:val="12"/>
                <w:color w:val="auto"/>
              </w:rPr>
              <w:t>(8)</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4"/>
              </w:rPr>
              <w:t>42,278,570</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41,471,524</w:t>
            </w:r>
          </w:p>
        </w:tc>
        <w:tc>
          <w:tcPr>
            <w:tcW w:w="18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43,159,233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0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Carolina Beverage Group, LLC</w:t>
            </w:r>
          </w:p>
        </w:tc>
        <w:tc>
          <w:tcPr>
            <w:tcW w:w="88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08/01/2018</w:t>
            </w:r>
          </w:p>
        </w:tc>
        <w:tc>
          <w:tcPr>
            <w:tcW w:w="146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1"/>
              </w:rPr>
              <w:t>Beverage, Food and</w:t>
            </w:r>
          </w:p>
        </w:tc>
        <w:tc>
          <w:tcPr>
            <w:tcW w:w="98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10.63%</w:t>
            </w:r>
          </w:p>
        </w:tc>
        <w:tc>
          <w:tcPr>
            <w:tcW w:w="980" w:type="dxa"/>
            <w:vAlign w:val="bottom"/>
            <w:gridSpan w:val="2"/>
            <w:shd w:val="clear" w:color="auto" w:fill="CCEEFF"/>
          </w:tcPr>
          <w:p>
            <w:pPr>
              <w:jc w:val="right"/>
              <w:ind w:right="360"/>
              <w:spacing w:after="0" w:line="130"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w w:val="94"/>
              </w:rPr>
              <w:t>13,125,000</w:t>
            </w:r>
          </w:p>
        </w:tc>
        <w:tc>
          <w:tcPr>
            <w:tcW w:w="104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13,125,000</w:t>
            </w:r>
          </w:p>
        </w:tc>
        <w:tc>
          <w:tcPr>
            <w:tcW w:w="1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13,420,313</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3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89"/>
              </w:rPr>
              <w:t>Tobacco</w:t>
            </w:r>
          </w:p>
        </w:tc>
        <w:tc>
          <w:tcPr>
            <w:tcW w:w="6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080" w:type="dxa"/>
            <w:vAlign w:val="bottom"/>
            <w:gridSpan w:val="2"/>
          </w:tcPr>
          <w:p>
            <w:pPr>
              <w:spacing w:after="0" w:line="130" w:lineRule="exact"/>
              <w:rPr>
                <w:sz w:val="20"/>
                <w:szCs w:val="20"/>
                <w:color w:val="auto"/>
              </w:rPr>
            </w:pPr>
            <w:r>
              <w:rPr>
                <w:rFonts w:ascii="Arial" w:cs="Arial" w:eastAsia="Arial" w:hAnsi="Arial"/>
                <w:sz w:val="14"/>
                <w:szCs w:val="14"/>
                <w:color w:val="auto"/>
              </w:rPr>
              <w:t>Envision Acquisition Company, LLC</w:t>
            </w:r>
          </w:p>
        </w:tc>
        <w:tc>
          <w:tcPr>
            <w:tcW w:w="880" w:type="dxa"/>
            <w:vAlign w:val="bottom"/>
            <w:gridSpan w:val="2"/>
          </w:tcPr>
          <w:p>
            <w:pPr>
              <w:ind w:left="60"/>
              <w:spacing w:after="0" w:line="130" w:lineRule="exact"/>
              <w:rPr>
                <w:sz w:val="20"/>
                <w:szCs w:val="20"/>
                <w:color w:val="auto"/>
              </w:rPr>
            </w:pPr>
            <w:r>
              <w:rPr>
                <w:rFonts w:ascii="Arial" w:cs="Arial" w:eastAsia="Arial" w:hAnsi="Arial"/>
                <w:sz w:val="14"/>
                <w:szCs w:val="14"/>
                <w:color w:val="auto"/>
              </w:rPr>
              <w:t>11/04/2021</w:t>
            </w:r>
          </w:p>
        </w:tc>
        <w:tc>
          <w:tcPr>
            <w:tcW w:w="1460" w:type="dxa"/>
            <w:vAlign w:val="bottom"/>
            <w:gridSpan w:val="2"/>
          </w:tcPr>
          <w:p>
            <w:pPr>
              <w:jc w:val="center"/>
              <w:ind w:right="100"/>
              <w:spacing w:after="0" w:line="130" w:lineRule="exact"/>
              <w:rPr>
                <w:sz w:val="20"/>
                <w:szCs w:val="20"/>
                <w:color w:val="auto"/>
              </w:rPr>
            </w:pPr>
            <w:r>
              <w:rPr>
                <w:rFonts w:ascii="Arial" w:cs="Arial" w:eastAsia="Arial" w:hAnsi="Arial"/>
                <w:sz w:val="14"/>
                <w:szCs w:val="14"/>
                <w:color w:val="auto"/>
                <w:w w:val="92"/>
              </w:rPr>
              <w:t>Healthcare, Education</w:t>
            </w:r>
          </w:p>
        </w:tc>
        <w:tc>
          <w:tcPr>
            <w:tcW w:w="980" w:type="dxa"/>
            <w:vAlign w:val="bottom"/>
            <w:gridSpan w:val="2"/>
          </w:tcPr>
          <w:p>
            <w:pPr>
              <w:jc w:val="right"/>
              <w:ind w:right="180"/>
              <w:spacing w:after="0" w:line="130" w:lineRule="exact"/>
              <w:rPr>
                <w:sz w:val="20"/>
                <w:szCs w:val="20"/>
                <w:color w:val="auto"/>
              </w:rPr>
            </w:pPr>
            <w:r>
              <w:rPr>
                <w:rFonts w:ascii="Arial" w:cs="Arial" w:eastAsia="Arial" w:hAnsi="Arial"/>
                <w:sz w:val="14"/>
                <w:szCs w:val="14"/>
                <w:color w:val="auto"/>
              </w:rPr>
              <w:t>9.75%</w:t>
            </w: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L+875</w:t>
            </w:r>
            <w:r>
              <w:rPr>
                <w:rFonts w:ascii="Arial" w:cs="Arial" w:eastAsia="Arial" w:hAnsi="Arial"/>
                <w:sz w:val="12"/>
                <w:szCs w:val="12"/>
                <w:color w:val="auto"/>
              </w:rPr>
              <w:t>(8)</w:t>
            </w:r>
          </w:p>
        </w:tc>
        <w:tc>
          <w:tcPr>
            <w:tcW w:w="800" w:type="dxa"/>
            <w:vAlign w:val="bottom"/>
            <w:gridSpan w:val="2"/>
          </w:tcPr>
          <w:p>
            <w:pPr>
              <w:jc w:val="right"/>
              <w:ind w:right="120"/>
              <w:spacing w:after="0" w:line="130" w:lineRule="exact"/>
              <w:rPr>
                <w:sz w:val="20"/>
                <w:szCs w:val="20"/>
                <w:color w:val="auto"/>
              </w:rPr>
            </w:pPr>
            <w:r>
              <w:rPr>
                <w:rFonts w:ascii="Arial" w:cs="Arial" w:eastAsia="Arial" w:hAnsi="Arial"/>
                <w:sz w:val="14"/>
                <w:szCs w:val="14"/>
                <w:color w:val="auto"/>
                <w:w w:val="94"/>
              </w:rPr>
              <w:t>19,000,000</w:t>
            </w:r>
          </w:p>
        </w:tc>
        <w:tc>
          <w:tcPr>
            <w:tcW w:w="104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18,620,000</w:t>
            </w:r>
          </w:p>
        </w:tc>
        <w:tc>
          <w:tcPr>
            <w:tcW w:w="180" w:type="dxa"/>
            <w:vAlign w:val="bottom"/>
          </w:tcPr>
          <w:p>
            <w:pPr>
              <w:spacing w:after="0"/>
              <w:rPr>
                <w:sz w:val="11"/>
                <w:szCs w:val="11"/>
                <w:color w:val="auto"/>
              </w:rPr>
            </w:pPr>
          </w:p>
        </w:tc>
        <w:tc>
          <w:tcPr>
            <w:tcW w:w="100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18,905,000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and Childcare</w:t>
            </w: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Eureka Hunter Pipeline, LLC</w:t>
            </w:r>
          </w:p>
        </w:tc>
        <w:tc>
          <w:tcPr>
            <w:tcW w:w="8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08/16/2018</w:t>
            </w:r>
          </w:p>
        </w:tc>
        <w:tc>
          <w:tcPr>
            <w:tcW w:w="146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8"/>
              </w:rPr>
              <w:t>Energy / Utilities</w:t>
            </w: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12.50%</w:t>
            </w:r>
          </w:p>
        </w:tc>
        <w:tc>
          <w:tcPr>
            <w:tcW w:w="9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4"/>
              </w:rPr>
              <w:t>45,000,000</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44,599,796</w:t>
            </w:r>
          </w:p>
        </w:tc>
        <w:tc>
          <w:tcPr>
            <w:tcW w:w="1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46,575,000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tcPr>
          <w:p>
            <w:pPr>
              <w:spacing w:after="0" w:line="149" w:lineRule="exact"/>
              <w:rPr>
                <w:sz w:val="20"/>
                <w:szCs w:val="20"/>
                <w:color w:val="auto"/>
              </w:rPr>
            </w:pPr>
            <w:r>
              <w:rPr>
                <w:rFonts w:ascii="Arial" w:cs="Arial" w:eastAsia="Arial" w:hAnsi="Arial"/>
                <w:sz w:val="14"/>
                <w:szCs w:val="14"/>
                <w:color w:val="auto"/>
              </w:rPr>
              <w:t>ILC Industries, LLC</w:t>
            </w:r>
          </w:p>
        </w:tc>
        <w:tc>
          <w:tcPr>
            <w:tcW w:w="8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06/14/2019</w:t>
            </w: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3"/>
              </w:rPr>
              <w:t>Electronics</w:t>
            </w: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11.50%</w:t>
            </w: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L+1,000</w:t>
            </w:r>
            <w:r>
              <w:rPr>
                <w:rFonts w:ascii="Arial" w:cs="Arial" w:eastAsia="Arial" w:hAnsi="Arial"/>
                <w:sz w:val="12"/>
                <w:szCs w:val="12"/>
                <w:color w:val="auto"/>
              </w:rPr>
              <w:t>(8)</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7,500,000</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7,200,000</w:t>
            </w:r>
          </w:p>
        </w:tc>
        <w:tc>
          <w:tcPr>
            <w:tcW w:w="18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6,900,000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0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Intermediate Transportation 100, L.L.C.</w:t>
            </w:r>
          </w:p>
        </w:tc>
        <w:tc>
          <w:tcPr>
            <w:tcW w:w="88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03/01/2017</w:t>
            </w:r>
          </w:p>
        </w:tc>
        <w:tc>
          <w:tcPr>
            <w:tcW w:w="146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0"/>
              </w:rPr>
              <w:t>Cargo Transport</w:t>
            </w:r>
          </w:p>
        </w:tc>
        <w:tc>
          <w:tcPr>
            <w:tcW w:w="98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11.00%</w:t>
            </w: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L+700</w:t>
            </w:r>
            <w:r>
              <w:rPr>
                <w:rFonts w:ascii="Arial" w:cs="Arial" w:eastAsia="Arial" w:hAnsi="Arial"/>
                <w:sz w:val="12"/>
                <w:szCs w:val="12"/>
                <w:color w:val="auto"/>
              </w:rPr>
              <w:t>(8)</w:t>
            </w:r>
          </w:p>
        </w:tc>
        <w:tc>
          <w:tcPr>
            <w:tcW w:w="80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3,544,833</w:t>
            </w:r>
          </w:p>
        </w:tc>
        <w:tc>
          <w:tcPr>
            <w:tcW w:w="104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3,544,836</w:t>
            </w:r>
          </w:p>
        </w:tc>
        <w:tc>
          <w:tcPr>
            <w:tcW w:w="1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3,544,833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8"/>
              </w:rPr>
              <w:t>(PIK 11.00%)</w:t>
            </w:r>
          </w:p>
        </w:tc>
        <w:tc>
          <w:tcPr>
            <w:tcW w:w="7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080" w:type="dxa"/>
            <w:vAlign w:val="bottom"/>
            <w:gridSpan w:val="2"/>
          </w:tcPr>
          <w:p>
            <w:pPr>
              <w:spacing w:after="0" w:line="130" w:lineRule="exact"/>
              <w:rPr>
                <w:sz w:val="20"/>
                <w:szCs w:val="20"/>
                <w:color w:val="auto"/>
              </w:rPr>
            </w:pPr>
            <w:r>
              <w:rPr>
                <w:rFonts w:ascii="Arial" w:cs="Arial" w:eastAsia="Arial" w:hAnsi="Arial"/>
                <w:sz w:val="14"/>
                <w:szCs w:val="14"/>
                <w:color w:val="auto"/>
              </w:rPr>
              <w:t>Jacobs Entertainment, Inc.</w:t>
            </w:r>
          </w:p>
        </w:tc>
        <w:tc>
          <w:tcPr>
            <w:tcW w:w="88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10/29/2019</w:t>
            </w:r>
          </w:p>
        </w:tc>
        <w:tc>
          <w:tcPr>
            <w:tcW w:w="1460" w:type="dxa"/>
            <w:vAlign w:val="bottom"/>
            <w:gridSpan w:val="2"/>
          </w:tcPr>
          <w:p>
            <w:pPr>
              <w:jc w:val="center"/>
              <w:ind w:right="100"/>
              <w:spacing w:after="0" w:line="130" w:lineRule="exact"/>
              <w:rPr>
                <w:sz w:val="20"/>
                <w:szCs w:val="20"/>
                <w:color w:val="auto"/>
              </w:rPr>
            </w:pPr>
            <w:r>
              <w:rPr>
                <w:rFonts w:ascii="Arial" w:cs="Arial" w:eastAsia="Arial" w:hAnsi="Arial"/>
                <w:sz w:val="14"/>
                <w:szCs w:val="14"/>
                <w:color w:val="auto"/>
                <w:w w:val="94"/>
              </w:rPr>
              <w:t>Hotels, Motels, Inns</w:t>
            </w:r>
          </w:p>
        </w:tc>
        <w:tc>
          <w:tcPr>
            <w:tcW w:w="980" w:type="dxa"/>
            <w:vAlign w:val="bottom"/>
            <w:gridSpan w:val="2"/>
          </w:tcPr>
          <w:p>
            <w:pPr>
              <w:jc w:val="right"/>
              <w:ind w:right="180"/>
              <w:spacing w:after="0" w:line="130" w:lineRule="exact"/>
              <w:rPr>
                <w:sz w:val="20"/>
                <w:szCs w:val="20"/>
                <w:color w:val="auto"/>
              </w:rPr>
            </w:pPr>
            <w:r>
              <w:rPr>
                <w:rFonts w:ascii="Arial" w:cs="Arial" w:eastAsia="Arial" w:hAnsi="Arial"/>
                <w:sz w:val="14"/>
                <w:szCs w:val="14"/>
                <w:color w:val="auto"/>
              </w:rPr>
              <w:t>13.00%</w:t>
            </w: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L+1,175</w:t>
            </w:r>
            <w:r>
              <w:rPr>
                <w:rFonts w:ascii="Arial" w:cs="Arial" w:eastAsia="Arial" w:hAnsi="Arial"/>
                <w:sz w:val="12"/>
                <w:szCs w:val="12"/>
                <w:color w:val="auto"/>
              </w:rPr>
              <w:t>(8)</w:t>
            </w:r>
          </w:p>
        </w:tc>
        <w:tc>
          <w:tcPr>
            <w:tcW w:w="800" w:type="dxa"/>
            <w:vAlign w:val="bottom"/>
            <w:gridSpan w:val="2"/>
          </w:tcPr>
          <w:p>
            <w:pPr>
              <w:jc w:val="right"/>
              <w:ind w:right="120"/>
              <w:spacing w:after="0" w:line="130" w:lineRule="exact"/>
              <w:rPr>
                <w:sz w:val="20"/>
                <w:szCs w:val="20"/>
                <w:color w:val="auto"/>
              </w:rPr>
            </w:pPr>
            <w:r>
              <w:rPr>
                <w:rFonts w:ascii="Arial" w:cs="Arial" w:eastAsia="Arial" w:hAnsi="Arial"/>
                <w:sz w:val="14"/>
                <w:szCs w:val="14"/>
                <w:color w:val="auto"/>
                <w:w w:val="94"/>
              </w:rPr>
              <w:t>38,950,000</w:t>
            </w:r>
          </w:p>
        </w:tc>
        <w:tc>
          <w:tcPr>
            <w:tcW w:w="104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38,287,499</w:t>
            </w:r>
          </w:p>
        </w:tc>
        <w:tc>
          <w:tcPr>
            <w:tcW w:w="180" w:type="dxa"/>
            <w:vAlign w:val="bottom"/>
          </w:tcPr>
          <w:p>
            <w:pPr>
              <w:spacing w:after="0"/>
              <w:rPr>
                <w:sz w:val="11"/>
                <w:szCs w:val="11"/>
                <w:color w:val="auto"/>
              </w:rPr>
            </w:pPr>
          </w:p>
        </w:tc>
        <w:tc>
          <w:tcPr>
            <w:tcW w:w="100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39,096,063</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and Gaming</w:t>
            </w: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0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Language Line, LLC</w:t>
            </w:r>
          </w:p>
        </w:tc>
        <w:tc>
          <w:tcPr>
            <w:tcW w:w="88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12/20/2016</w:t>
            </w:r>
          </w:p>
        </w:tc>
        <w:tc>
          <w:tcPr>
            <w:tcW w:w="146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1"/>
              </w:rPr>
              <w:t>Personal, Food and</w:t>
            </w:r>
          </w:p>
        </w:tc>
        <w:tc>
          <w:tcPr>
            <w:tcW w:w="98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10.50%</w:t>
            </w: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L+875</w:t>
            </w:r>
            <w:r>
              <w:rPr>
                <w:rFonts w:ascii="Arial" w:cs="Arial" w:eastAsia="Arial" w:hAnsi="Arial"/>
                <w:sz w:val="12"/>
                <w:szCs w:val="12"/>
                <w:color w:val="auto"/>
              </w:rPr>
              <w:t>(8)</w:t>
            </w:r>
          </w:p>
        </w:tc>
        <w:tc>
          <w:tcPr>
            <w:tcW w:w="80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w w:val="94"/>
              </w:rPr>
              <w:t>33,750,000</w:t>
            </w:r>
          </w:p>
        </w:tc>
        <w:tc>
          <w:tcPr>
            <w:tcW w:w="104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33,265,829</w:t>
            </w:r>
          </w:p>
        </w:tc>
        <w:tc>
          <w:tcPr>
            <w:tcW w:w="1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33,187,388</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3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Miscellaneous Services</w:t>
            </w:r>
          </w:p>
        </w:tc>
        <w:tc>
          <w:tcPr>
            <w:tcW w:w="6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Linc USA GP and Linc Energy Finance (USA), Inc. </w:t>
            </w:r>
            <w:r>
              <w:rPr>
                <w:rFonts w:ascii="Arial" w:cs="Arial" w:eastAsia="Arial" w:hAnsi="Arial"/>
                <w:sz w:val="12"/>
                <w:szCs w:val="12"/>
                <w:color w:val="auto"/>
              </w:rPr>
              <w:t>(5)</w:t>
            </w:r>
          </w:p>
        </w:tc>
        <w:tc>
          <w:tcPr>
            <w:tcW w:w="8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10/31/2017</w:t>
            </w: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1"/>
              </w:rPr>
              <w:t>Oil and Gas</w:t>
            </w: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12.50%</w:t>
            </w:r>
          </w:p>
        </w:tc>
        <w:tc>
          <w:tcPr>
            <w:tcW w:w="9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4"/>
              </w:rPr>
              <w:t>11,875,000</w:t>
            </w:r>
          </w:p>
        </w:tc>
        <w:tc>
          <w:tcPr>
            <w:tcW w:w="122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11,511,878</w:t>
            </w: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13,062,500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0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Pre-Paid Legal Services, Inc.</w:t>
            </w:r>
          </w:p>
        </w:tc>
        <w:tc>
          <w:tcPr>
            <w:tcW w:w="88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07/01/2020</w:t>
            </w:r>
          </w:p>
        </w:tc>
        <w:tc>
          <w:tcPr>
            <w:tcW w:w="146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1"/>
              </w:rPr>
              <w:t>Personal, Food and</w:t>
            </w:r>
          </w:p>
        </w:tc>
        <w:tc>
          <w:tcPr>
            <w:tcW w:w="98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9.75%</w:t>
            </w: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L+850</w:t>
            </w:r>
            <w:r>
              <w:rPr>
                <w:rFonts w:ascii="Arial" w:cs="Arial" w:eastAsia="Arial" w:hAnsi="Arial"/>
                <w:sz w:val="12"/>
                <w:szCs w:val="12"/>
                <w:color w:val="auto"/>
              </w:rPr>
              <w:t>(8)</w:t>
            </w:r>
          </w:p>
        </w:tc>
        <w:tc>
          <w:tcPr>
            <w:tcW w:w="80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w w:val="94"/>
              </w:rPr>
              <w:t>56,750,000</w:t>
            </w:r>
          </w:p>
        </w:tc>
        <w:tc>
          <w:tcPr>
            <w:tcW w:w="104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55,923,621</w:t>
            </w:r>
          </w:p>
        </w:tc>
        <w:tc>
          <w:tcPr>
            <w:tcW w:w="1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56,040,625</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3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Miscellaneous Services</w:t>
            </w:r>
          </w:p>
        </w:tc>
        <w:tc>
          <w:tcPr>
            <w:tcW w:w="6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tcPr>
          <w:p>
            <w:pPr>
              <w:spacing w:after="0" w:line="149" w:lineRule="exact"/>
              <w:rPr>
                <w:sz w:val="20"/>
                <w:szCs w:val="20"/>
                <w:color w:val="auto"/>
              </w:rPr>
            </w:pPr>
            <w:r>
              <w:rPr>
                <w:rFonts w:ascii="Arial" w:cs="Arial" w:eastAsia="Arial" w:hAnsi="Arial"/>
                <w:sz w:val="14"/>
                <w:szCs w:val="14"/>
                <w:color w:val="auto"/>
              </w:rPr>
              <w:t>Questex Media Group LLC, Term Loan A</w:t>
            </w:r>
          </w:p>
        </w:tc>
        <w:tc>
          <w:tcPr>
            <w:tcW w:w="8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12/15/2014</w:t>
            </w: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3"/>
              </w:rPr>
              <w:t>Other Media</w:t>
            </w: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9.50%</w:t>
            </w: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L+550</w:t>
            </w:r>
            <w:r>
              <w:rPr>
                <w:rFonts w:ascii="Arial" w:cs="Arial" w:eastAsia="Arial" w:hAnsi="Arial"/>
                <w:sz w:val="12"/>
                <w:szCs w:val="12"/>
                <w:color w:val="auto"/>
              </w:rPr>
              <w:t>(8)</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2,395,378</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2,395,378</w:t>
            </w:r>
          </w:p>
        </w:tc>
        <w:tc>
          <w:tcPr>
            <w:tcW w:w="18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2,371,424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0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Questex Media Group LLC, Term Loan B</w:t>
            </w:r>
          </w:p>
        </w:tc>
        <w:tc>
          <w:tcPr>
            <w:tcW w:w="88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12/15/2015</w:t>
            </w:r>
          </w:p>
        </w:tc>
        <w:tc>
          <w:tcPr>
            <w:tcW w:w="146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3"/>
              </w:rPr>
              <w:t>Other Media</w:t>
            </w:r>
          </w:p>
        </w:tc>
        <w:tc>
          <w:tcPr>
            <w:tcW w:w="98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11.50%</w:t>
            </w: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P+750</w:t>
            </w:r>
            <w:r>
              <w:rPr>
                <w:rFonts w:ascii="Arial" w:cs="Arial" w:eastAsia="Arial" w:hAnsi="Arial"/>
                <w:sz w:val="12"/>
                <w:szCs w:val="12"/>
                <w:color w:val="auto"/>
              </w:rPr>
              <w:t>(8)</w:t>
            </w:r>
          </w:p>
        </w:tc>
        <w:tc>
          <w:tcPr>
            <w:tcW w:w="80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2,502,333</w:t>
            </w:r>
          </w:p>
        </w:tc>
        <w:tc>
          <w:tcPr>
            <w:tcW w:w="104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2,502,333</w:t>
            </w:r>
          </w:p>
        </w:tc>
        <w:tc>
          <w:tcPr>
            <w:tcW w:w="1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2,452,286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8"/>
              </w:rPr>
              <w:t>(PIK 11.50%)</w:t>
            </w:r>
          </w:p>
        </w:tc>
        <w:tc>
          <w:tcPr>
            <w:tcW w:w="7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080" w:type="dxa"/>
            <w:vAlign w:val="bottom"/>
            <w:gridSpan w:val="2"/>
          </w:tcPr>
          <w:p>
            <w:pPr>
              <w:spacing w:after="0" w:line="130" w:lineRule="exact"/>
              <w:rPr>
                <w:sz w:val="20"/>
                <w:szCs w:val="20"/>
                <w:color w:val="auto"/>
              </w:rPr>
            </w:pPr>
            <w:r>
              <w:rPr>
                <w:rFonts w:ascii="Arial" w:cs="Arial" w:eastAsia="Arial" w:hAnsi="Arial"/>
                <w:sz w:val="14"/>
                <w:szCs w:val="14"/>
                <w:color w:val="auto"/>
              </w:rPr>
              <w:t>ROC Finance LLC and ROC Finance 1 Corp.</w:t>
            </w:r>
          </w:p>
        </w:tc>
        <w:tc>
          <w:tcPr>
            <w:tcW w:w="2340" w:type="dxa"/>
            <w:vAlign w:val="bottom"/>
            <w:gridSpan w:val="4"/>
          </w:tcPr>
          <w:p>
            <w:pPr>
              <w:ind w:left="40"/>
              <w:spacing w:after="0" w:line="130" w:lineRule="exact"/>
              <w:rPr>
                <w:sz w:val="20"/>
                <w:szCs w:val="20"/>
                <w:color w:val="auto"/>
              </w:rPr>
            </w:pPr>
            <w:r>
              <w:rPr>
                <w:rFonts w:ascii="Arial" w:cs="Arial" w:eastAsia="Arial" w:hAnsi="Arial"/>
                <w:sz w:val="14"/>
                <w:szCs w:val="14"/>
                <w:color w:val="auto"/>
              </w:rPr>
              <w:t>08/31/2018   Hotels, Motels, Ins and</w:t>
            </w:r>
          </w:p>
        </w:tc>
        <w:tc>
          <w:tcPr>
            <w:tcW w:w="980" w:type="dxa"/>
            <w:vAlign w:val="bottom"/>
            <w:gridSpan w:val="2"/>
          </w:tcPr>
          <w:p>
            <w:pPr>
              <w:jc w:val="right"/>
              <w:ind w:right="180"/>
              <w:spacing w:after="0" w:line="130" w:lineRule="exact"/>
              <w:rPr>
                <w:sz w:val="20"/>
                <w:szCs w:val="20"/>
                <w:color w:val="auto"/>
              </w:rPr>
            </w:pPr>
            <w:r>
              <w:rPr>
                <w:rFonts w:ascii="Arial" w:cs="Arial" w:eastAsia="Arial" w:hAnsi="Arial"/>
                <w:sz w:val="14"/>
                <w:szCs w:val="14"/>
                <w:color w:val="auto"/>
              </w:rPr>
              <w:t>12.13%</w:t>
            </w:r>
          </w:p>
        </w:tc>
        <w:tc>
          <w:tcPr>
            <w:tcW w:w="980" w:type="dxa"/>
            <w:vAlign w:val="bottom"/>
            <w:gridSpan w:val="2"/>
          </w:tcPr>
          <w:p>
            <w:pPr>
              <w:jc w:val="right"/>
              <w:ind w:right="360"/>
              <w:spacing w:after="0" w:line="130"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20"/>
              <w:spacing w:after="0" w:line="130" w:lineRule="exact"/>
              <w:rPr>
                <w:sz w:val="20"/>
                <w:szCs w:val="20"/>
                <w:color w:val="auto"/>
              </w:rPr>
            </w:pPr>
            <w:r>
              <w:rPr>
                <w:rFonts w:ascii="Arial" w:cs="Arial" w:eastAsia="Arial" w:hAnsi="Arial"/>
                <w:sz w:val="14"/>
                <w:szCs w:val="14"/>
                <w:color w:val="auto"/>
                <w:w w:val="94"/>
              </w:rPr>
              <w:t>16,000,000</w:t>
            </w:r>
          </w:p>
        </w:tc>
        <w:tc>
          <w:tcPr>
            <w:tcW w:w="104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15,785,252</w:t>
            </w:r>
          </w:p>
        </w:tc>
        <w:tc>
          <w:tcPr>
            <w:tcW w:w="180" w:type="dxa"/>
            <w:vAlign w:val="bottom"/>
          </w:tcPr>
          <w:p>
            <w:pPr>
              <w:spacing w:after="0"/>
              <w:rPr>
                <w:sz w:val="11"/>
                <w:szCs w:val="11"/>
                <w:color w:val="auto"/>
              </w:rPr>
            </w:pPr>
          </w:p>
        </w:tc>
        <w:tc>
          <w:tcPr>
            <w:tcW w:w="100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17,720,000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color w:val="auto"/>
                <w:w w:val="97"/>
              </w:rPr>
              <w:t>Gaming</w:t>
            </w: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Second Lien Secured Debt</w:t>
            </w: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332,007,946</w:t>
            </w:r>
          </w:p>
        </w:tc>
        <w:tc>
          <w:tcPr>
            <w:tcW w:w="180" w:type="dxa"/>
            <w:vAlign w:val="bottom"/>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341,093,728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60" w:right="23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PENNANTPARK INVESTMENT CORPORATION AND SUBSIDIARIES CONSOLIDATED SCHEDULE OF INVESTMENTS (CONTINUED) SEPTEMBER 30, 2013</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Basis Point</w:t>
            </w: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Current</w:t>
            </w: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Spread</w:t>
            </w:r>
          </w:p>
        </w:tc>
        <w:tc>
          <w:tcPr>
            <w:tcW w:w="100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Par/</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Issuer Name</w:t>
            </w:r>
          </w:p>
        </w:tc>
        <w:tc>
          <w:tcPr>
            <w:tcW w:w="9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Maturity</w:t>
            </w:r>
          </w:p>
        </w:tc>
        <w:tc>
          <w:tcPr>
            <w:tcW w:w="16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7"/>
              </w:rPr>
              <w:t>Industry</w:t>
            </w:r>
          </w:p>
        </w:tc>
        <w:tc>
          <w:tcPr>
            <w:tcW w:w="1160" w:type="dxa"/>
            <w:vAlign w:val="bottom"/>
            <w:gridSpan w:val="2"/>
            <w:vMerge w:val="continue"/>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Above</w:t>
            </w:r>
          </w:p>
        </w:tc>
        <w:tc>
          <w:tcPr>
            <w:tcW w:w="10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Cost</w:t>
            </w:r>
          </w:p>
        </w:tc>
        <w:tc>
          <w:tcPr>
            <w:tcW w:w="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2"/>
                <w:szCs w:val="12"/>
                <w:b w:val="1"/>
                <w:bCs w:val="1"/>
                <w:color w:val="auto"/>
              </w:rPr>
              <w:t>(3)</w:t>
            </w:r>
          </w:p>
        </w:tc>
        <w:tc>
          <w:tcPr>
            <w:tcW w:w="0" w:type="dxa"/>
            <w:vAlign w:val="bottom"/>
          </w:tcPr>
          <w:p>
            <w:pPr>
              <w:spacing w:after="0"/>
              <w:rPr>
                <w:sz w:val="1"/>
                <w:szCs w:val="1"/>
                <w:color w:val="auto"/>
              </w:rPr>
            </w:pPr>
          </w:p>
        </w:tc>
      </w:tr>
      <w:tr>
        <w:trPr>
          <w:trHeight w:val="171"/>
        </w:trPr>
        <w:tc>
          <w:tcPr>
            <w:tcW w:w="3700" w:type="dxa"/>
            <w:vAlign w:val="bottom"/>
            <w:gridSpan w:val="4"/>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Coupon</w:t>
            </w: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 xml:space="preserve">Index </w:t>
            </w:r>
            <w:r>
              <w:rPr>
                <w:rFonts w:ascii="Arial" w:cs="Arial" w:eastAsia="Arial" w:hAnsi="Arial"/>
                <w:sz w:val="12"/>
                <w:szCs w:val="12"/>
                <w:b w:val="1"/>
                <w:bCs w:val="1"/>
                <w:color w:val="auto"/>
                <w:w w:val="94"/>
              </w:rPr>
              <w:t>(4)</w:t>
            </w:r>
          </w:p>
        </w:tc>
        <w:tc>
          <w:tcPr>
            <w:tcW w:w="10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6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81"/>
              </w:rPr>
              <w:t>Subordinated</w:t>
            </w:r>
          </w:p>
        </w:tc>
        <w:tc>
          <w:tcPr>
            <w:tcW w:w="2880" w:type="dxa"/>
            <w:vAlign w:val="bottom"/>
            <w:tcBorders>
              <w:top w:val="single" w:sz="8" w:color="CCEEFF"/>
            </w:tcBorders>
            <w:shd w:val="clear" w:color="auto" w:fill="CCEEFF"/>
          </w:tcPr>
          <w:p>
            <w:pPr>
              <w:ind w:left="100"/>
              <w:spacing w:after="0" w:line="129" w:lineRule="exact"/>
              <w:rPr>
                <w:sz w:val="20"/>
                <w:szCs w:val="20"/>
                <w:color w:val="auto"/>
              </w:rPr>
            </w:pPr>
            <w:r>
              <w:rPr>
                <w:rFonts w:ascii="Arial" w:cs="Arial" w:eastAsia="Arial" w:hAnsi="Arial"/>
                <w:sz w:val="14"/>
                <w:szCs w:val="14"/>
                <w:b w:val="1"/>
                <w:bCs w:val="1"/>
                <w:color w:val="auto"/>
              </w:rPr>
              <w:t>Debt/Corporate Notes—37.4%</w:t>
            </w:r>
          </w:p>
        </w:tc>
        <w:tc>
          <w:tcPr>
            <w:tcW w:w="4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5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3"/>
          </w:tcPr>
          <w:p>
            <w:pPr>
              <w:spacing w:after="0" w:line="149" w:lineRule="exact"/>
              <w:rPr>
                <w:sz w:val="20"/>
                <w:szCs w:val="20"/>
                <w:color w:val="auto"/>
              </w:rPr>
            </w:pPr>
            <w:r>
              <w:rPr>
                <w:rFonts w:ascii="Arial" w:cs="Arial" w:eastAsia="Arial" w:hAnsi="Arial"/>
                <w:sz w:val="14"/>
                <w:szCs w:val="14"/>
                <w:color w:val="auto"/>
              </w:rPr>
              <w:t>Acentia, LLC</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4"/>
              </w:rPr>
              <w:t>10/02/2017</w:t>
            </w:r>
          </w:p>
        </w:tc>
        <w:tc>
          <w:tcPr>
            <w:tcW w:w="168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3"/>
              </w:rPr>
              <w:t>Electronics</w:t>
            </w:r>
          </w:p>
        </w:tc>
        <w:tc>
          <w:tcPr>
            <w:tcW w:w="11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13.75%</w:t>
            </w:r>
          </w:p>
        </w:tc>
        <w:tc>
          <w:tcPr>
            <w:tcW w:w="9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4"/>
              </w:rPr>
              <w:t>19,000,000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9"/>
              </w:rPr>
              <w:t>18,629,082</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18,879,139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Affinion Group Holdings, Inc.</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4"/>
              </w:rPr>
              <w:t>11/15/2015</w:t>
            </w:r>
          </w:p>
        </w:tc>
        <w:tc>
          <w:tcPr>
            <w:tcW w:w="168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0"/>
              </w:rPr>
              <w:t>Consumer Products</w:t>
            </w:r>
          </w:p>
        </w:tc>
        <w:tc>
          <w:tcPr>
            <w:tcW w:w="11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11.63%</w:t>
            </w:r>
          </w:p>
        </w:tc>
        <w:tc>
          <w:tcPr>
            <w:tcW w:w="9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4"/>
              </w:rPr>
              <w:t>35,552,000</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9"/>
              </w:rPr>
              <w:t>34,570,664</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20,442,400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3"/>
          </w:tcPr>
          <w:p>
            <w:pPr>
              <w:spacing w:after="0" w:line="149" w:lineRule="exact"/>
              <w:rPr>
                <w:sz w:val="20"/>
                <w:szCs w:val="20"/>
                <w:color w:val="auto"/>
              </w:rPr>
            </w:pPr>
            <w:r>
              <w:rPr>
                <w:rFonts w:ascii="Arial" w:cs="Arial" w:eastAsia="Arial" w:hAnsi="Arial"/>
                <w:sz w:val="14"/>
                <w:szCs w:val="14"/>
                <w:color w:val="auto"/>
              </w:rPr>
              <w:t>Alegeus Technologies, LLC</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4"/>
              </w:rPr>
              <w:t>02/15/2019</w:t>
            </w:r>
          </w:p>
        </w:tc>
        <w:tc>
          <w:tcPr>
            <w:tcW w:w="16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3"/>
              </w:rPr>
              <w:t>Financial Services</w:t>
            </w:r>
          </w:p>
        </w:tc>
        <w:tc>
          <w:tcPr>
            <w:tcW w:w="11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12.00%</w:t>
            </w:r>
          </w:p>
        </w:tc>
        <w:tc>
          <w:tcPr>
            <w:tcW w:w="9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8,930,000</w:t>
            </w:r>
          </w:p>
        </w:tc>
        <w:tc>
          <w:tcPr>
            <w:tcW w:w="8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8,773,751</w:t>
            </w:r>
          </w:p>
        </w:tc>
        <w:tc>
          <w:tcPr>
            <w:tcW w:w="10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8,888,617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8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Convergint Technologies LLC</w:t>
            </w:r>
          </w:p>
        </w:tc>
        <w:tc>
          <w:tcPr>
            <w:tcW w:w="92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w w:val="94"/>
              </w:rPr>
              <w:t>03/26/2018</w:t>
            </w:r>
          </w:p>
        </w:tc>
        <w:tc>
          <w:tcPr>
            <w:tcW w:w="168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93"/>
              </w:rPr>
              <w:t>Electronics</w:t>
            </w:r>
          </w:p>
        </w:tc>
        <w:tc>
          <w:tcPr>
            <w:tcW w:w="1160" w:type="dxa"/>
            <w:vAlign w:val="bottom"/>
            <w:gridSpan w:val="2"/>
            <w:shd w:val="clear" w:color="auto" w:fill="CCEEFF"/>
          </w:tcPr>
          <w:p>
            <w:pPr>
              <w:jc w:val="right"/>
              <w:ind w:right="340"/>
              <w:spacing w:after="0" w:line="130" w:lineRule="exact"/>
              <w:rPr>
                <w:sz w:val="20"/>
                <w:szCs w:val="20"/>
                <w:color w:val="auto"/>
              </w:rPr>
            </w:pPr>
            <w:r>
              <w:rPr>
                <w:rFonts w:ascii="Arial" w:cs="Arial" w:eastAsia="Arial" w:hAnsi="Arial"/>
                <w:sz w:val="14"/>
                <w:szCs w:val="14"/>
                <w:color w:val="auto"/>
              </w:rPr>
              <w:t>12.00%</w:t>
            </w:r>
          </w:p>
        </w:tc>
        <w:tc>
          <w:tcPr>
            <w:tcW w:w="94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w w:val="94"/>
              </w:rPr>
              <w:t>23,514,494</w:t>
            </w: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w w:val="99"/>
              </w:rPr>
              <w:t>23,114,286</w:t>
            </w: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23,867,211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(PIK 1.00%)</w:t>
            </w: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80" w:type="dxa"/>
            <w:vAlign w:val="bottom"/>
            <w:gridSpan w:val="3"/>
          </w:tcPr>
          <w:p>
            <w:pPr>
              <w:spacing w:after="0" w:line="130" w:lineRule="exact"/>
              <w:rPr>
                <w:sz w:val="20"/>
                <w:szCs w:val="20"/>
                <w:color w:val="auto"/>
              </w:rPr>
            </w:pPr>
            <w:r>
              <w:rPr>
                <w:rFonts w:ascii="Arial" w:cs="Arial" w:eastAsia="Arial" w:hAnsi="Arial"/>
                <w:sz w:val="14"/>
                <w:szCs w:val="14"/>
                <w:color w:val="auto"/>
              </w:rPr>
              <w:t>Credit Infonet, Inc.</w:t>
            </w:r>
          </w:p>
        </w:tc>
        <w:tc>
          <w:tcPr>
            <w:tcW w:w="92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w w:val="94"/>
              </w:rPr>
              <w:t>10/26/2018</w:t>
            </w:r>
          </w:p>
        </w:tc>
        <w:tc>
          <w:tcPr>
            <w:tcW w:w="168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91"/>
              </w:rPr>
              <w:t>Personal, Food and</w:t>
            </w:r>
          </w:p>
        </w:tc>
        <w:tc>
          <w:tcPr>
            <w:tcW w:w="1160" w:type="dxa"/>
            <w:vAlign w:val="bottom"/>
            <w:gridSpan w:val="2"/>
          </w:tcPr>
          <w:p>
            <w:pPr>
              <w:jc w:val="right"/>
              <w:ind w:right="340"/>
              <w:spacing w:after="0" w:line="130" w:lineRule="exact"/>
              <w:rPr>
                <w:sz w:val="20"/>
                <w:szCs w:val="20"/>
                <w:color w:val="auto"/>
              </w:rPr>
            </w:pPr>
            <w:r>
              <w:rPr>
                <w:rFonts w:ascii="Arial" w:cs="Arial" w:eastAsia="Arial" w:hAnsi="Arial"/>
                <w:sz w:val="14"/>
                <w:szCs w:val="14"/>
                <w:color w:val="auto"/>
              </w:rPr>
              <w:t>12.25%</w:t>
            </w:r>
          </w:p>
        </w:tc>
        <w:tc>
          <w:tcPr>
            <w:tcW w:w="94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w w:val="94"/>
              </w:rPr>
              <w:t>10,600,000</w:t>
            </w:r>
          </w:p>
        </w:tc>
        <w:tc>
          <w:tcPr>
            <w:tcW w:w="80" w:type="dxa"/>
            <w:vAlign w:val="bottom"/>
          </w:tcPr>
          <w:p>
            <w:pPr>
              <w:spacing w:after="0"/>
              <w:rPr>
                <w:sz w:val="11"/>
                <w:szCs w:val="11"/>
                <w:color w:val="auto"/>
              </w:rPr>
            </w:pPr>
          </w:p>
        </w:tc>
        <w:tc>
          <w:tcPr>
            <w:tcW w:w="96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w w:val="99"/>
              </w:rPr>
              <w:t>10,399,101</w:t>
            </w:r>
          </w:p>
        </w:tc>
        <w:tc>
          <w:tcPr>
            <w:tcW w:w="100" w:type="dxa"/>
            <w:vAlign w:val="bottom"/>
          </w:tcPr>
          <w:p>
            <w:pPr>
              <w:spacing w:after="0"/>
              <w:rPr>
                <w:sz w:val="11"/>
                <w:szCs w:val="11"/>
                <w:color w:val="auto"/>
              </w:rPr>
            </w:pPr>
          </w:p>
        </w:tc>
        <w:tc>
          <w:tcPr>
            <w:tcW w:w="8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10,653,423</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gridSpan w:val="2"/>
          </w:tcPr>
          <w:p>
            <w:pPr>
              <w:jc w:val="center"/>
              <w:ind w:right="160"/>
              <w:spacing w:after="0"/>
              <w:rPr>
                <w:sz w:val="20"/>
                <w:szCs w:val="20"/>
                <w:color w:val="auto"/>
              </w:rPr>
            </w:pPr>
            <w:r>
              <w:rPr>
                <w:rFonts w:ascii="Arial" w:cs="Arial" w:eastAsia="Arial" w:hAnsi="Arial"/>
                <w:sz w:val="14"/>
                <w:szCs w:val="14"/>
                <w:color w:val="auto"/>
                <w:w w:val="92"/>
              </w:rPr>
              <w:t>Miscellaneous Services</w:t>
            </w: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8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Escort, Inc.</w:t>
            </w:r>
          </w:p>
        </w:tc>
        <w:tc>
          <w:tcPr>
            <w:tcW w:w="92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w w:val="94"/>
              </w:rPr>
              <w:t>06/01/2016</w:t>
            </w:r>
          </w:p>
        </w:tc>
        <w:tc>
          <w:tcPr>
            <w:tcW w:w="168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93"/>
              </w:rPr>
              <w:t>Electronics</w:t>
            </w:r>
          </w:p>
        </w:tc>
        <w:tc>
          <w:tcPr>
            <w:tcW w:w="1160" w:type="dxa"/>
            <w:vAlign w:val="bottom"/>
            <w:gridSpan w:val="2"/>
            <w:shd w:val="clear" w:color="auto" w:fill="CCEEFF"/>
          </w:tcPr>
          <w:p>
            <w:pPr>
              <w:jc w:val="right"/>
              <w:ind w:right="340"/>
              <w:spacing w:after="0" w:line="130" w:lineRule="exact"/>
              <w:rPr>
                <w:sz w:val="20"/>
                <w:szCs w:val="20"/>
                <w:color w:val="auto"/>
              </w:rPr>
            </w:pPr>
            <w:r>
              <w:rPr>
                <w:rFonts w:ascii="Arial" w:cs="Arial" w:eastAsia="Arial" w:hAnsi="Arial"/>
                <w:sz w:val="14"/>
                <w:szCs w:val="14"/>
                <w:color w:val="auto"/>
              </w:rPr>
              <w:t>14.75%</w:t>
            </w:r>
          </w:p>
        </w:tc>
        <w:tc>
          <w:tcPr>
            <w:tcW w:w="94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w w:val="94"/>
              </w:rPr>
              <w:t>25,965,563</w:t>
            </w: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w w:val="99"/>
              </w:rPr>
              <w:t>25,579,621</w:t>
            </w: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26,484,875</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(PIK 2.75%)</w:t>
            </w: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80" w:type="dxa"/>
            <w:vAlign w:val="bottom"/>
            <w:gridSpan w:val="3"/>
          </w:tcPr>
          <w:p>
            <w:pPr>
              <w:spacing w:after="0" w:line="130" w:lineRule="exact"/>
              <w:rPr>
                <w:sz w:val="20"/>
                <w:szCs w:val="20"/>
                <w:color w:val="auto"/>
              </w:rPr>
            </w:pPr>
            <w:r>
              <w:rPr>
                <w:rFonts w:ascii="Arial" w:cs="Arial" w:eastAsia="Arial" w:hAnsi="Arial"/>
                <w:sz w:val="14"/>
                <w:szCs w:val="14"/>
                <w:color w:val="auto"/>
              </w:rPr>
              <w:t>JF Acquisition, LLC</w:t>
            </w:r>
          </w:p>
        </w:tc>
        <w:tc>
          <w:tcPr>
            <w:tcW w:w="92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w w:val="94"/>
              </w:rPr>
              <w:t>06/30/2017</w:t>
            </w:r>
          </w:p>
        </w:tc>
        <w:tc>
          <w:tcPr>
            <w:tcW w:w="1680" w:type="dxa"/>
            <w:vAlign w:val="bottom"/>
            <w:gridSpan w:val="2"/>
          </w:tcPr>
          <w:p>
            <w:pPr>
              <w:jc w:val="center"/>
              <w:ind w:right="180"/>
              <w:spacing w:after="0" w:line="130" w:lineRule="exact"/>
              <w:rPr>
                <w:sz w:val="20"/>
                <w:szCs w:val="20"/>
                <w:color w:val="auto"/>
              </w:rPr>
            </w:pPr>
            <w:r>
              <w:rPr>
                <w:rFonts w:ascii="Arial" w:cs="Arial" w:eastAsia="Arial" w:hAnsi="Arial"/>
                <w:sz w:val="14"/>
                <w:szCs w:val="14"/>
                <w:color w:val="auto"/>
                <w:w w:val="99"/>
              </w:rPr>
              <w:t>Distribution</w:t>
            </w:r>
          </w:p>
        </w:tc>
        <w:tc>
          <w:tcPr>
            <w:tcW w:w="1160" w:type="dxa"/>
            <w:vAlign w:val="bottom"/>
            <w:gridSpan w:val="2"/>
          </w:tcPr>
          <w:p>
            <w:pPr>
              <w:jc w:val="right"/>
              <w:ind w:right="340"/>
              <w:spacing w:after="0" w:line="130" w:lineRule="exact"/>
              <w:rPr>
                <w:sz w:val="20"/>
                <w:szCs w:val="20"/>
                <w:color w:val="auto"/>
              </w:rPr>
            </w:pPr>
            <w:r>
              <w:rPr>
                <w:rFonts w:ascii="Arial" w:cs="Arial" w:eastAsia="Arial" w:hAnsi="Arial"/>
                <w:sz w:val="14"/>
                <w:szCs w:val="14"/>
                <w:color w:val="auto"/>
              </w:rPr>
              <w:t>14.00%</w:t>
            </w:r>
          </w:p>
        </w:tc>
        <w:tc>
          <w:tcPr>
            <w:tcW w:w="94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w w:val="94"/>
              </w:rPr>
              <w:t>17,517,386</w:t>
            </w:r>
          </w:p>
        </w:tc>
        <w:tc>
          <w:tcPr>
            <w:tcW w:w="80" w:type="dxa"/>
            <w:vAlign w:val="bottom"/>
          </w:tcPr>
          <w:p>
            <w:pPr>
              <w:spacing w:after="0"/>
              <w:rPr>
                <w:sz w:val="11"/>
                <w:szCs w:val="11"/>
                <w:color w:val="auto"/>
              </w:rPr>
            </w:pPr>
          </w:p>
        </w:tc>
        <w:tc>
          <w:tcPr>
            <w:tcW w:w="96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w w:val="99"/>
              </w:rPr>
              <w:t>17,160,955</w:t>
            </w:r>
          </w:p>
        </w:tc>
        <w:tc>
          <w:tcPr>
            <w:tcW w:w="100" w:type="dxa"/>
            <w:vAlign w:val="bottom"/>
          </w:tcPr>
          <w:p>
            <w:pPr>
              <w:spacing w:after="0"/>
              <w:rPr>
                <w:sz w:val="11"/>
                <w:szCs w:val="11"/>
                <w:color w:val="auto"/>
              </w:rPr>
            </w:pPr>
          </w:p>
        </w:tc>
        <w:tc>
          <w:tcPr>
            <w:tcW w:w="8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17,517,386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4"/>
                <w:szCs w:val="14"/>
                <w:color w:val="auto"/>
              </w:rPr>
              <w:t>(PIK 2.00%)</w:t>
            </w: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8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Learning Care Group (US) Inc.</w:t>
            </w:r>
          </w:p>
        </w:tc>
        <w:tc>
          <w:tcPr>
            <w:tcW w:w="92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w w:val="94"/>
              </w:rPr>
              <w:t>05/08/2020</w:t>
            </w:r>
          </w:p>
        </w:tc>
        <w:tc>
          <w:tcPr>
            <w:tcW w:w="168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3"/>
              </w:rPr>
              <w:t>Education</w:t>
            </w:r>
          </w:p>
        </w:tc>
        <w:tc>
          <w:tcPr>
            <w:tcW w:w="1160" w:type="dxa"/>
            <w:vAlign w:val="bottom"/>
            <w:gridSpan w:val="2"/>
            <w:shd w:val="clear" w:color="auto" w:fill="CCEEFF"/>
          </w:tcPr>
          <w:p>
            <w:pPr>
              <w:jc w:val="right"/>
              <w:ind w:right="340"/>
              <w:spacing w:after="0" w:line="130" w:lineRule="exact"/>
              <w:rPr>
                <w:sz w:val="20"/>
                <w:szCs w:val="20"/>
                <w:color w:val="auto"/>
              </w:rPr>
            </w:pPr>
            <w:r>
              <w:rPr>
                <w:rFonts w:ascii="Arial" w:cs="Arial" w:eastAsia="Arial" w:hAnsi="Arial"/>
                <w:sz w:val="14"/>
                <w:szCs w:val="14"/>
                <w:color w:val="auto"/>
              </w:rPr>
              <w:t>15.00%</w:t>
            </w:r>
          </w:p>
        </w:tc>
        <w:tc>
          <w:tcPr>
            <w:tcW w:w="94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7,215,989</w:t>
            </w: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6,754,246</w:t>
            </w: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7,215,989</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(PIK 15.00%)</w:t>
            </w: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80" w:type="dxa"/>
            <w:vAlign w:val="bottom"/>
            <w:gridSpan w:val="3"/>
          </w:tcPr>
          <w:p>
            <w:pPr>
              <w:spacing w:after="0" w:line="130" w:lineRule="exact"/>
              <w:rPr>
                <w:sz w:val="20"/>
                <w:szCs w:val="20"/>
                <w:color w:val="auto"/>
              </w:rPr>
            </w:pPr>
            <w:r>
              <w:rPr>
                <w:rFonts w:ascii="Arial" w:cs="Arial" w:eastAsia="Arial" w:hAnsi="Arial"/>
                <w:sz w:val="14"/>
                <w:szCs w:val="14"/>
                <w:color w:val="auto"/>
              </w:rPr>
              <w:t>LTI Flexible Products, Inc.</w:t>
            </w:r>
          </w:p>
        </w:tc>
        <w:tc>
          <w:tcPr>
            <w:tcW w:w="92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w w:val="94"/>
              </w:rPr>
              <w:t>01/19/2019</w:t>
            </w:r>
          </w:p>
        </w:tc>
        <w:tc>
          <w:tcPr>
            <w:tcW w:w="168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91"/>
              </w:rPr>
              <w:t>Chemicals, Plastics and</w:t>
            </w:r>
          </w:p>
        </w:tc>
        <w:tc>
          <w:tcPr>
            <w:tcW w:w="1160" w:type="dxa"/>
            <w:vAlign w:val="bottom"/>
            <w:gridSpan w:val="2"/>
          </w:tcPr>
          <w:p>
            <w:pPr>
              <w:jc w:val="right"/>
              <w:ind w:right="340"/>
              <w:spacing w:after="0" w:line="130" w:lineRule="exact"/>
              <w:rPr>
                <w:sz w:val="20"/>
                <w:szCs w:val="20"/>
                <w:color w:val="auto"/>
              </w:rPr>
            </w:pPr>
            <w:r>
              <w:rPr>
                <w:rFonts w:ascii="Arial" w:cs="Arial" w:eastAsia="Arial" w:hAnsi="Arial"/>
                <w:sz w:val="14"/>
                <w:szCs w:val="14"/>
                <w:color w:val="auto"/>
              </w:rPr>
              <w:t>12.50%</w:t>
            </w:r>
          </w:p>
        </w:tc>
        <w:tc>
          <w:tcPr>
            <w:tcW w:w="94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w w:val="94"/>
              </w:rPr>
              <w:t>30,000,000</w:t>
            </w:r>
          </w:p>
        </w:tc>
        <w:tc>
          <w:tcPr>
            <w:tcW w:w="80" w:type="dxa"/>
            <w:vAlign w:val="bottom"/>
          </w:tcPr>
          <w:p>
            <w:pPr>
              <w:spacing w:after="0"/>
              <w:rPr>
                <w:sz w:val="11"/>
                <w:szCs w:val="11"/>
                <w:color w:val="auto"/>
              </w:rPr>
            </w:pPr>
          </w:p>
        </w:tc>
        <w:tc>
          <w:tcPr>
            <w:tcW w:w="96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w w:val="99"/>
              </w:rPr>
              <w:t>30,000,000</w:t>
            </w:r>
          </w:p>
        </w:tc>
        <w:tc>
          <w:tcPr>
            <w:tcW w:w="100" w:type="dxa"/>
            <w:vAlign w:val="bottom"/>
          </w:tcPr>
          <w:p>
            <w:pPr>
              <w:spacing w:after="0"/>
              <w:rPr>
                <w:sz w:val="11"/>
                <w:szCs w:val="11"/>
                <w:color w:val="auto"/>
              </w:rPr>
            </w:pPr>
          </w:p>
        </w:tc>
        <w:tc>
          <w:tcPr>
            <w:tcW w:w="8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30,525,000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gridSpan w:val="2"/>
          </w:tcPr>
          <w:p>
            <w:pPr>
              <w:jc w:val="center"/>
              <w:ind w:right="180"/>
              <w:spacing w:after="0"/>
              <w:rPr>
                <w:sz w:val="20"/>
                <w:szCs w:val="20"/>
                <w:color w:val="auto"/>
              </w:rPr>
            </w:pPr>
            <w:r>
              <w:rPr>
                <w:rFonts w:ascii="Arial" w:cs="Arial" w:eastAsia="Arial" w:hAnsi="Arial"/>
                <w:sz w:val="14"/>
                <w:szCs w:val="14"/>
                <w:color w:val="auto"/>
                <w:w w:val="91"/>
              </w:rPr>
              <w:t>Rubber</w:t>
            </w: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8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 xml:space="preserve">LTI Flexible Products, Inc. </w:t>
            </w:r>
            <w:r>
              <w:rPr>
                <w:rFonts w:ascii="Arial" w:cs="Arial" w:eastAsia="Arial" w:hAnsi="Arial"/>
                <w:sz w:val="12"/>
                <w:szCs w:val="12"/>
                <w:color w:val="auto"/>
              </w:rPr>
              <w:t>(9)</w:t>
            </w:r>
          </w:p>
        </w:tc>
        <w:tc>
          <w:tcPr>
            <w:tcW w:w="92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w w:val="94"/>
              </w:rPr>
              <w:t>01/11/2014</w:t>
            </w:r>
          </w:p>
        </w:tc>
        <w:tc>
          <w:tcPr>
            <w:tcW w:w="168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91"/>
              </w:rPr>
              <w:t>Chemicals, Plastics and</w:t>
            </w:r>
          </w:p>
        </w:tc>
        <w:tc>
          <w:tcPr>
            <w:tcW w:w="1160" w:type="dxa"/>
            <w:vAlign w:val="bottom"/>
            <w:gridSpan w:val="2"/>
            <w:shd w:val="clear" w:color="auto" w:fill="CCEEFF"/>
          </w:tcPr>
          <w:p>
            <w:pPr>
              <w:jc w:val="right"/>
              <w:ind w:right="540"/>
              <w:spacing w:after="0" w:line="130"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5,000,000</w:t>
            </w: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4,825,000</w:t>
            </w: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5,087,500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8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8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91"/>
              </w:rPr>
              <w:t>Rubber</w:t>
            </w:r>
          </w:p>
        </w:tc>
        <w:tc>
          <w:tcPr>
            <w:tcW w:w="7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3"/>
          </w:tcPr>
          <w:p>
            <w:pPr>
              <w:spacing w:after="0" w:line="149" w:lineRule="exact"/>
              <w:rPr>
                <w:sz w:val="20"/>
                <w:szCs w:val="20"/>
                <w:color w:val="auto"/>
              </w:rPr>
            </w:pPr>
            <w:r>
              <w:rPr>
                <w:rFonts w:ascii="Arial" w:cs="Arial" w:eastAsia="Arial" w:hAnsi="Arial"/>
                <w:sz w:val="14"/>
                <w:szCs w:val="14"/>
                <w:color w:val="auto"/>
              </w:rPr>
              <w:t>MSPark, Inc.</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4"/>
              </w:rPr>
              <w:t>06/15/2017</w:t>
            </w:r>
          </w:p>
        </w:tc>
        <w:tc>
          <w:tcPr>
            <w:tcW w:w="168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4"/>
              </w:rPr>
              <w:t>Printing and Publishing</w:t>
            </w:r>
          </w:p>
        </w:tc>
        <w:tc>
          <w:tcPr>
            <w:tcW w:w="11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14.50%</w:t>
            </w:r>
            <w:r>
              <w:rPr>
                <w:rFonts w:ascii="Arial" w:cs="Arial" w:eastAsia="Arial" w:hAnsi="Arial"/>
                <w:sz w:val="12"/>
                <w:szCs w:val="12"/>
                <w:color w:val="auto"/>
              </w:rPr>
              <w:t>(7)</w:t>
            </w:r>
          </w:p>
        </w:tc>
        <w:tc>
          <w:tcPr>
            <w:tcW w:w="9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4"/>
              </w:rPr>
              <w:t>15,000,000</w:t>
            </w:r>
          </w:p>
        </w:tc>
        <w:tc>
          <w:tcPr>
            <w:tcW w:w="8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9"/>
              </w:rPr>
              <w:t>14,691,342</w:t>
            </w:r>
          </w:p>
        </w:tc>
        <w:tc>
          <w:tcPr>
            <w:tcW w:w="10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14,700,000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8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Varel International Energy Mezzanine Funding Corp.</w:t>
            </w:r>
          </w:p>
        </w:tc>
        <w:tc>
          <w:tcPr>
            <w:tcW w:w="92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w w:val="94"/>
              </w:rPr>
              <w:t>01/15/2018</w:t>
            </w:r>
          </w:p>
        </w:tc>
        <w:tc>
          <w:tcPr>
            <w:tcW w:w="168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91"/>
              </w:rPr>
              <w:t>Oil and Gas</w:t>
            </w:r>
          </w:p>
        </w:tc>
        <w:tc>
          <w:tcPr>
            <w:tcW w:w="1160" w:type="dxa"/>
            <w:vAlign w:val="bottom"/>
            <w:gridSpan w:val="2"/>
            <w:shd w:val="clear" w:color="auto" w:fill="CCEEFF"/>
          </w:tcPr>
          <w:p>
            <w:pPr>
              <w:jc w:val="right"/>
              <w:ind w:right="340"/>
              <w:spacing w:after="0" w:line="130" w:lineRule="exact"/>
              <w:rPr>
                <w:sz w:val="20"/>
                <w:szCs w:val="20"/>
                <w:color w:val="auto"/>
              </w:rPr>
            </w:pPr>
            <w:r>
              <w:rPr>
                <w:rFonts w:ascii="Arial" w:cs="Arial" w:eastAsia="Arial" w:hAnsi="Arial"/>
                <w:sz w:val="14"/>
                <w:szCs w:val="14"/>
                <w:color w:val="auto"/>
              </w:rPr>
              <w:t>14.00%</w:t>
            </w:r>
          </w:p>
        </w:tc>
        <w:tc>
          <w:tcPr>
            <w:tcW w:w="94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w w:val="94"/>
              </w:rPr>
              <w:t>37,070,637</w:t>
            </w: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w w:val="99"/>
              </w:rPr>
              <w:t>36,441,726</w:t>
            </w: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36,720,586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(PIK 4.00%)</w:t>
            </w: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3"/>
          </w:tcPr>
          <w:p>
            <w:pPr>
              <w:spacing w:after="0" w:line="149" w:lineRule="exact"/>
              <w:rPr>
                <w:sz w:val="20"/>
                <w:szCs w:val="20"/>
                <w:color w:val="auto"/>
              </w:rPr>
            </w:pPr>
            <w:r>
              <w:rPr>
                <w:rFonts w:ascii="Arial" w:cs="Arial" w:eastAsia="Arial" w:hAnsi="Arial"/>
                <w:sz w:val="14"/>
                <w:szCs w:val="14"/>
                <w:color w:val="auto"/>
              </w:rPr>
              <w:t>Vestcom International, Inc.</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4"/>
              </w:rPr>
              <w:t>06/27/2019</w:t>
            </w:r>
          </w:p>
        </w:tc>
        <w:tc>
          <w:tcPr>
            <w:tcW w:w="168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4"/>
              </w:rPr>
              <w:t>Printing and Publishing</w:t>
            </w:r>
          </w:p>
        </w:tc>
        <w:tc>
          <w:tcPr>
            <w:tcW w:w="11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12.00%</w:t>
            </w:r>
          </w:p>
        </w:tc>
        <w:tc>
          <w:tcPr>
            <w:tcW w:w="9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4"/>
              </w:rPr>
              <w:t>39,892,933</w:t>
            </w:r>
          </w:p>
        </w:tc>
        <w:tc>
          <w:tcPr>
            <w:tcW w:w="8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9"/>
              </w:rPr>
              <w:t>39,147,926</w:t>
            </w:r>
          </w:p>
        </w:tc>
        <w:tc>
          <w:tcPr>
            <w:tcW w:w="10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39,827,248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Subordinated Debt/Corporate Notes</w:t>
            </w: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89"/>
              </w:rPr>
              <w:t>270,087,700</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2"/>
              </w:rPr>
              <w:t>260,809,374</w:t>
            </w:r>
          </w:p>
        </w:tc>
        <w:tc>
          <w:tcPr>
            <w:tcW w:w="0" w:type="dxa"/>
            <w:vAlign w:val="bottom"/>
          </w:tcPr>
          <w:p>
            <w:pPr>
              <w:spacing w:after="0"/>
              <w:rPr>
                <w:sz w:val="1"/>
                <w:szCs w:val="1"/>
                <w:color w:val="auto"/>
              </w:rPr>
            </w:pPr>
          </w:p>
        </w:tc>
      </w:tr>
      <w:tr>
        <w:trPr>
          <w:trHeight w:val="156"/>
        </w:trPr>
        <w:tc>
          <w:tcPr>
            <w:tcW w:w="3700" w:type="dxa"/>
            <w:vAlign w:val="bottom"/>
            <w:gridSpan w:val="4"/>
          </w:tcPr>
          <w:p>
            <w:pPr>
              <w:spacing w:after="0" w:line="155" w:lineRule="exact"/>
              <w:rPr>
                <w:sz w:val="20"/>
                <w:szCs w:val="20"/>
                <w:color w:val="auto"/>
              </w:rPr>
            </w:pPr>
            <w:r>
              <w:rPr>
                <w:rFonts w:ascii="Arial" w:cs="Arial" w:eastAsia="Arial" w:hAnsi="Arial"/>
                <w:sz w:val="14"/>
                <w:szCs w:val="14"/>
                <w:b w:val="1"/>
                <w:bCs w:val="1"/>
                <w:color w:val="auto"/>
              </w:rPr>
              <w:t xml:space="preserve">Preferred Equity/Partnership Interests—1.2% </w:t>
            </w:r>
            <w:r>
              <w:rPr>
                <w:rFonts w:ascii="Arial" w:cs="Arial" w:eastAsia="Arial" w:hAnsi="Arial"/>
                <w:sz w:val="12"/>
                <w:szCs w:val="12"/>
                <w:b w:val="1"/>
                <w:bCs w:val="1"/>
                <w:color w:val="auto"/>
              </w:rPr>
              <w:t>(6)</w:t>
            </w: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8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AH Holdings, Inc.</w:t>
            </w:r>
          </w:p>
        </w:tc>
        <w:tc>
          <w:tcPr>
            <w:tcW w:w="92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9"/>
              </w:rPr>
              <w:t>—</w:t>
            </w:r>
          </w:p>
        </w:tc>
        <w:tc>
          <w:tcPr>
            <w:tcW w:w="168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92"/>
              </w:rPr>
              <w:t>Healthcare, Education and</w:t>
            </w:r>
          </w:p>
        </w:tc>
        <w:tc>
          <w:tcPr>
            <w:tcW w:w="1160" w:type="dxa"/>
            <w:vAlign w:val="bottom"/>
            <w:gridSpan w:val="2"/>
            <w:shd w:val="clear" w:color="auto" w:fill="CCEEFF"/>
          </w:tcPr>
          <w:p>
            <w:pPr>
              <w:jc w:val="right"/>
              <w:ind w:right="340"/>
              <w:spacing w:after="0" w:line="130" w:lineRule="exact"/>
              <w:rPr>
                <w:sz w:val="20"/>
                <w:szCs w:val="20"/>
                <w:color w:val="auto"/>
              </w:rPr>
            </w:pPr>
            <w:r>
              <w:rPr>
                <w:rFonts w:ascii="Arial" w:cs="Arial" w:eastAsia="Arial" w:hAnsi="Arial"/>
                <w:sz w:val="14"/>
                <w:szCs w:val="14"/>
                <w:color w:val="auto"/>
              </w:rPr>
              <w:t>6.00%</w:t>
            </w:r>
          </w:p>
        </w:tc>
        <w:tc>
          <w:tcPr>
            <w:tcW w:w="94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211</w:t>
            </w: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500,000</w:t>
            </w: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815,133</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8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8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4"/>
              </w:rPr>
              <w:t>Childcare</w:t>
            </w:r>
          </w:p>
        </w:tc>
        <w:tc>
          <w:tcPr>
            <w:tcW w:w="7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3"/>
          </w:tcPr>
          <w:p>
            <w:pPr>
              <w:spacing w:after="0" w:line="149" w:lineRule="exact"/>
              <w:rPr>
                <w:sz w:val="20"/>
                <w:szCs w:val="20"/>
                <w:color w:val="auto"/>
              </w:rPr>
            </w:pPr>
            <w:r>
              <w:rPr>
                <w:rFonts w:ascii="Arial" w:cs="Arial" w:eastAsia="Arial" w:hAnsi="Arial"/>
                <w:sz w:val="14"/>
                <w:szCs w:val="14"/>
                <w:color w:val="auto"/>
              </w:rPr>
              <w:t>AHC Mezzanine, LLC</w:t>
            </w: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9"/>
              </w:rPr>
              <w:t>—</w:t>
            </w:r>
          </w:p>
        </w:tc>
        <w:tc>
          <w:tcPr>
            <w:tcW w:w="168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3"/>
              </w:rPr>
              <w:t>Other Media</w:t>
            </w:r>
          </w:p>
        </w:tc>
        <w:tc>
          <w:tcPr>
            <w:tcW w:w="11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7,505</w:t>
            </w:r>
          </w:p>
        </w:tc>
        <w:tc>
          <w:tcPr>
            <w:tcW w:w="8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318,896</w:t>
            </w:r>
          </w:p>
        </w:tc>
        <w:tc>
          <w:tcPr>
            <w:tcW w:w="100" w:type="dxa"/>
            <w:vAlign w:val="bottom"/>
          </w:tcPr>
          <w:p>
            <w:pPr>
              <w:spacing w:after="0"/>
              <w:rPr>
                <w:sz w:val="12"/>
                <w:szCs w:val="12"/>
                <w:color w:val="auto"/>
              </w:rPr>
            </w:pPr>
          </w:p>
        </w:tc>
        <w:tc>
          <w:tcPr>
            <w:tcW w:w="88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8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Alegeus Technologies Holdings Corp., Series A (Alegeus</w:t>
            </w:r>
          </w:p>
        </w:tc>
        <w:tc>
          <w:tcPr>
            <w:tcW w:w="92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9"/>
              </w:rPr>
              <w:t>—</w:t>
            </w:r>
          </w:p>
        </w:tc>
        <w:tc>
          <w:tcPr>
            <w:tcW w:w="168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3"/>
              </w:rPr>
              <w:t>Financial Services</w:t>
            </w:r>
          </w:p>
        </w:tc>
        <w:tc>
          <w:tcPr>
            <w:tcW w:w="1160" w:type="dxa"/>
            <w:vAlign w:val="bottom"/>
            <w:gridSpan w:val="2"/>
            <w:shd w:val="clear" w:color="auto" w:fill="CCEEFF"/>
          </w:tcPr>
          <w:p>
            <w:pPr>
              <w:jc w:val="right"/>
              <w:ind w:right="540"/>
              <w:spacing w:after="0" w:line="130"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949</w:t>
            </w: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949,050</w:t>
            </w: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805,697</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8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Technologies, LLC)</w:t>
            </w:r>
          </w:p>
        </w:tc>
        <w:tc>
          <w:tcPr>
            <w:tcW w:w="6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80" w:type="dxa"/>
            <w:vAlign w:val="bottom"/>
            <w:gridSpan w:val="3"/>
          </w:tcPr>
          <w:p>
            <w:pPr>
              <w:spacing w:after="0" w:line="130" w:lineRule="exact"/>
              <w:rPr>
                <w:sz w:val="20"/>
                <w:szCs w:val="20"/>
                <w:color w:val="auto"/>
              </w:rPr>
            </w:pPr>
            <w:r>
              <w:rPr>
                <w:rFonts w:ascii="Arial" w:cs="Arial" w:eastAsia="Arial" w:hAnsi="Arial"/>
                <w:sz w:val="14"/>
                <w:szCs w:val="14"/>
                <w:color w:val="auto"/>
              </w:rPr>
              <w:t>CI (IHS) Investment Holdings, LLC</w:t>
            </w:r>
          </w:p>
        </w:tc>
        <w:tc>
          <w:tcPr>
            <w:tcW w:w="920" w:type="dxa"/>
            <w:vAlign w:val="bottom"/>
            <w:gridSpan w:val="2"/>
          </w:tcPr>
          <w:p>
            <w:pPr>
              <w:jc w:val="center"/>
              <w:ind w:right="300"/>
              <w:spacing w:after="0" w:line="130" w:lineRule="exact"/>
              <w:rPr>
                <w:sz w:val="20"/>
                <w:szCs w:val="20"/>
                <w:color w:val="auto"/>
              </w:rPr>
            </w:pPr>
            <w:r>
              <w:rPr>
                <w:rFonts w:ascii="Arial" w:cs="Arial" w:eastAsia="Arial" w:hAnsi="Arial"/>
                <w:sz w:val="14"/>
                <w:szCs w:val="14"/>
                <w:color w:val="auto"/>
                <w:w w:val="99"/>
              </w:rPr>
              <w:t>—</w:t>
            </w:r>
          </w:p>
        </w:tc>
        <w:tc>
          <w:tcPr>
            <w:tcW w:w="168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92"/>
              </w:rPr>
              <w:t>Healthcare, Education</w:t>
            </w:r>
          </w:p>
        </w:tc>
        <w:tc>
          <w:tcPr>
            <w:tcW w:w="1160" w:type="dxa"/>
            <w:vAlign w:val="bottom"/>
            <w:gridSpan w:val="2"/>
          </w:tcPr>
          <w:p>
            <w:pPr>
              <w:jc w:val="right"/>
              <w:ind w:right="340"/>
              <w:spacing w:after="0" w:line="130" w:lineRule="exact"/>
              <w:rPr>
                <w:sz w:val="20"/>
                <w:szCs w:val="20"/>
                <w:color w:val="auto"/>
              </w:rPr>
            </w:pPr>
            <w:r>
              <w:rPr>
                <w:rFonts w:ascii="Arial" w:cs="Arial" w:eastAsia="Arial" w:hAnsi="Arial"/>
                <w:sz w:val="14"/>
                <w:szCs w:val="14"/>
                <w:color w:val="auto"/>
              </w:rPr>
              <w:t>8.00%</w:t>
            </w:r>
          </w:p>
        </w:tc>
        <w:tc>
          <w:tcPr>
            <w:tcW w:w="94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rPr>
              <w:t>76,357</w:t>
            </w:r>
          </w:p>
        </w:tc>
        <w:tc>
          <w:tcPr>
            <w:tcW w:w="80" w:type="dxa"/>
            <w:vAlign w:val="bottom"/>
          </w:tcPr>
          <w:p>
            <w:pPr>
              <w:spacing w:after="0"/>
              <w:rPr>
                <w:sz w:val="11"/>
                <w:szCs w:val="11"/>
                <w:color w:val="auto"/>
              </w:rPr>
            </w:pPr>
          </w:p>
        </w:tc>
        <w:tc>
          <w:tcPr>
            <w:tcW w:w="96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rPr>
              <w:t>765,307</w:t>
            </w:r>
          </w:p>
        </w:tc>
        <w:tc>
          <w:tcPr>
            <w:tcW w:w="100" w:type="dxa"/>
            <w:vAlign w:val="bottom"/>
          </w:tcPr>
          <w:p>
            <w:pPr>
              <w:spacing w:after="0"/>
              <w:rPr>
                <w:sz w:val="11"/>
                <w:szCs w:val="11"/>
                <w:color w:val="auto"/>
              </w:rPr>
            </w:pPr>
          </w:p>
        </w:tc>
        <w:tc>
          <w:tcPr>
            <w:tcW w:w="8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1,187,410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80" w:type="dxa"/>
            <w:vAlign w:val="bottom"/>
            <w:gridSpan w:val="3"/>
          </w:tcPr>
          <w:p>
            <w:pPr>
              <w:ind w:left="140"/>
              <w:spacing w:after="0"/>
              <w:rPr>
                <w:sz w:val="20"/>
                <w:szCs w:val="20"/>
                <w:color w:val="auto"/>
              </w:rPr>
            </w:pPr>
            <w:r>
              <w:rPr>
                <w:rFonts w:ascii="Arial" w:cs="Arial" w:eastAsia="Arial" w:hAnsi="Arial"/>
                <w:sz w:val="14"/>
                <w:szCs w:val="14"/>
                <w:color w:val="auto"/>
              </w:rPr>
              <w:t>(Interactive Health Solutions, Inc.)</w:t>
            </w: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gridSpan w:val="2"/>
          </w:tcPr>
          <w:p>
            <w:pPr>
              <w:jc w:val="center"/>
              <w:ind w:right="160"/>
              <w:spacing w:after="0"/>
              <w:rPr>
                <w:sz w:val="20"/>
                <w:szCs w:val="20"/>
                <w:color w:val="auto"/>
              </w:rPr>
            </w:pPr>
            <w:r>
              <w:rPr>
                <w:rFonts w:ascii="Arial" w:cs="Arial" w:eastAsia="Arial" w:hAnsi="Arial"/>
                <w:sz w:val="14"/>
                <w:szCs w:val="14"/>
                <w:color w:val="auto"/>
                <w:w w:val="92"/>
              </w:rPr>
              <w:t>and Childcare</w:t>
            </w: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8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 xml:space="preserve">CI (IHS) Investment Holdings, LLC </w:t>
            </w:r>
            <w:r>
              <w:rPr>
                <w:rFonts w:ascii="Arial" w:cs="Arial" w:eastAsia="Arial" w:hAnsi="Arial"/>
                <w:sz w:val="12"/>
                <w:szCs w:val="12"/>
                <w:color w:val="auto"/>
              </w:rPr>
              <w:t>(9)</w:t>
            </w:r>
            <w:r>
              <w:rPr>
                <w:rFonts w:ascii="Arial" w:cs="Arial" w:eastAsia="Arial" w:hAnsi="Arial"/>
                <w:sz w:val="14"/>
                <w:szCs w:val="14"/>
                <w:color w:val="auto"/>
              </w:rPr>
              <w:t xml:space="preserve"> (Interactive Health</w:t>
            </w:r>
          </w:p>
        </w:tc>
        <w:tc>
          <w:tcPr>
            <w:tcW w:w="92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9"/>
              </w:rPr>
              <w:t>—</w:t>
            </w:r>
          </w:p>
        </w:tc>
        <w:tc>
          <w:tcPr>
            <w:tcW w:w="168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92"/>
              </w:rPr>
              <w:t>Healthcare, Education</w:t>
            </w:r>
          </w:p>
        </w:tc>
        <w:tc>
          <w:tcPr>
            <w:tcW w:w="1160" w:type="dxa"/>
            <w:vAlign w:val="bottom"/>
            <w:gridSpan w:val="2"/>
            <w:shd w:val="clear" w:color="auto" w:fill="CCEEFF"/>
          </w:tcPr>
          <w:p>
            <w:pPr>
              <w:jc w:val="right"/>
              <w:ind w:right="540"/>
              <w:spacing w:after="0" w:line="130"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38,179</w:t>
            </w: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382,654</w:t>
            </w: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593,705</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8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Solutions, Inc.)</w:t>
            </w:r>
          </w:p>
        </w:tc>
        <w:tc>
          <w:tcPr>
            <w:tcW w:w="6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8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2"/>
              </w:rPr>
              <w:t>and Childcare</w:t>
            </w:r>
          </w:p>
        </w:tc>
        <w:tc>
          <w:tcPr>
            <w:tcW w:w="7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80" w:type="dxa"/>
            <w:vAlign w:val="bottom"/>
            <w:gridSpan w:val="3"/>
          </w:tcPr>
          <w:p>
            <w:pPr>
              <w:spacing w:after="0" w:line="130" w:lineRule="exact"/>
              <w:rPr>
                <w:sz w:val="20"/>
                <w:szCs w:val="20"/>
                <w:color w:val="auto"/>
              </w:rPr>
            </w:pPr>
            <w:r>
              <w:rPr>
                <w:rFonts w:ascii="Arial" w:cs="Arial" w:eastAsia="Arial" w:hAnsi="Arial"/>
                <w:sz w:val="14"/>
                <w:szCs w:val="14"/>
                <w:color w:val="auto"/>
              </w:rPr>
              <w:t>Convergint Technologies Holdings, LLC (Convergint</w:t>
            </w:r>
          </w:p>
        </w:tc>
        <w:tc>
          <w:tcPr>
            <w:tcW w:w="920" w:type="dxa"/>
            <w:vAlign w:val="bottom"/>
            <w:gridSpan w:val="2"/>
          </w:tcPr>
          <w:p>
            <w:pPr>
              <w:jc w:val="center"/>
              <w:ind w:right="300"/>
              <w:spacing w:after="0" w:line="130" w:lineRule="exact"/>
              <w:rPr>
                <w:sz w:val="20"/>
                <w:szCs w:val="20"/>
                <w:color w:val="auto"/>
              </w:rPr>
            </w:pPr>
            <w:r>
              <w:rPr>
                <w:rFonts w:ascii="Arial" w:cs="Arial" w:eastAsia="Arial" w:hAnsi="Arial"/>
                <w:sz w:val="14"/>
                <w:szCs w:val="14"/>
                <w:color w:val="auto"/>
                <w:w w:val="99"/>
              </w:rPr>
              <w:t>—</w:t>
            </w:r>
          </w:p>
        </w:tc>
        <w:tc>
          <w:tcPr>
            <w:tcW w:w="168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93"/>
              </w:rPr>
              <w:t>Electronics</w:t>
            </w:r>
          </w:p>
        </w:tc>
        <w:tc>
          <w:tcPr>
            <w:tcW w:w="1160" w:type="dxa"/>
            <w:vAlign w:val="bottom"/>
            <w:gridSpan w:val="2"/>
          </w:tcPr>
          <w:p>
            <w:pPr>
              <w:jc w:val="right"/>
              <w:ind w:right="340"/>
              <w:spacing w:after="0" w:line="130" w:lineRule="exact"/>
              <w:rPr>
                <w:sz w:val="20"/>
                <w:szCs w:val="20"/>
                <w:color w:val="auto"/>
              </w:rPr>
            </w:pPr>
            <w:r>
              <w:rPr>
                <w:rFonts w:ascii="Arial" w:cs="Arial" w:eastAsia="Arial" w:hAnsi="Arial"/>
                <w:sz w:val="14"/>
                <w:szCs w:val="14"/>
                <w:color w:val="auto"/>
              </w:rPr>
              <w:t>8.00%</w:t>
            </w:r>
          </w:p>
        </w:tc>
        <w:tc>
          <w:tcPr>
            <w:tcW w:w="94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rPr>
              <w:t>2,375</w:t>
            </w:r>
          </w:p>
        </w:tc>
        <w:tc>
          <w:tcPr>
            <w:tcW w:w="80" w:type="dxa"/>
            <w:vAlign w:val="bottom"/>
          </w:tcPr>
          <w:p>
            <w:pPr>
              <w:spacing w:after="0"/>
              <w:rPr>
                <w:sz w:val="11"/>
                <w:szCs w:val="11"/>
                <w:color w:val="auto"/>
              </w:rPr>
            </w:pPr>
          </w:p>
        </w:tc>
        <w:tc>
          <w:tcPr>
            <w:tcW w:w="96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rPr>
              <w:t>2,375,000</w:t>
            </w:r>
          </w:p>
        </w:tc>
        <w:tc>
          <w:tcPr>
            <w:tcW w:w="100" w:type="dxa"/>
            <w:vAlign w:val="bottom"/>
          </w:tcPr>
          <w:p>
            <w:pPr>
              <w:spacing w:after="0"/>
              <w:rPr>
                <w:sz w:val="11"/>
                <w:szCs w:val="11"/>
                <w:color w:val="auto"/>
              </w:rPr>
            </w:pPr>
          </w:p>
        </w:tc>
        <w:tc>
          <w:tcPr>
            <w:tcW w:w="8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2,584,106</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80" w:type="dxa"/>
            <w:vAlign w:val="bottom"/>
            <w:gridSpan w:val="3"/>
          </w:tcPr>
          <w:p>
            <w:pPr>
              <w:ind w:left="140"/>
              <w:spacing w:after="0"/>
              <w:rPr>
                <w:sz w:val="20"/>
                <w:szCs w:val="20"/>
                <w:color w:val="auto"/>
              </w:rPr>
            </w:pPr>
            <w:r>
              <w:rPr>
                <w:rFonts w:ascii="Arial" w:cs="Arial" w:eastAsia="Arial" w:hAnsi="Arial"/>
                <w:sz w:val="14"/>
                <w:szCs w:val="14"/>
                <w:color w:val="auto"/>
              </w:rPr>
              <w:t>Technologies LLC)</w:t>
            </w: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CT Technologies Holdings, LLC</w:t>
            </w:r>
          </w:p>
        </w:tc>
        <w:tc>
          <w:tcPr>
            <w:tcW w:w="920" w:type="dxa"/>
            <w:vAlign w:val="bottom"/>
            <w:gridSpan w:val="2"/>
            <w:shd w:val="clear" w:color="auto" w:fill="CCEEFF"/>
          </w:tcPr>
          <w:p>
            <w:pPr>
              <w:jc w:val="center"/>
              <w:ind w:right="300"/>
              <w:spacing w:after="0" w:line="149" w:lineRule="exact"/>
              <w:rPr>
                <w:sz w:val="20"/>
                <w:szCs w:val="20"/>
                <w:color w:val="auto"/>
              </w:rPr>
            </w:pPr>
            <w:r>
              <w:rPr>
                <w:rFonts w:ascii="Arial" w:cs="Arial" w:eastAsia="Arial" w:hAnsi="Arial"/>
                <w:sz w:val="14"/>
                <w:szCs w:val="14"/>
                <w:color w:val="auto"/>
                <w:w w:val="99"/>
              </w:rPr>
              <w:t>—</w:t>
            </w:r>
          </w:p>
        </w:tc>
        <w:tc>
          <w:tcPr>
            <w:tcW w:w="168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0"/>
              </w:rPr>
              <w:t>Business Services</w:t>
            </w:r>
          </w:p>
        </w:tc>
        <w:tc>
          <w:tcPr>
            <w:tcW w:w="11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9.00%</w:t>
            </w:r>
          </w:p>
        </w:tc>
        <w:tc>
          <w:tcPr>
            <w:tcW w:w="9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326,215</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326,215</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326,215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3"/>
          </w:tcPr>
          <w:p>
            <w:pPr>
              <w:spacing w:after="0" w:line="149" w:lineRule="exact"/>
              <w:rPr>
                <w:sz w:val="20"/>
                <w:szCs w:val="20"/>
                <w:color w:val="auto"/>
              </w:rPr>
            </w:pPr>
            <w:r>
              <w:rPr>
                <w:rFonts w:ascii="Arial" w:cs="Arial" w:eastAsia="Arial" w:hAnsi="Arial"/>
                <w:sz w:val="14"/>
                <w:szCs w:val="14"/>
                <w:color w:val="auto"/>
              </w:rPr>
              <w:t>HW Topco, Inc.</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8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3"/>
              </w:rPr>
              <w:t>Other Media</w:t>
            </w:r>
          </w:p>
        </w:tc>
        <w:tc>
          <w:tcPr>
            <w:tcW w:w="11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8.00%</w:t>
            </w:r>
          </w:p>
        </w:tc>
        <w:tc>
          <w:tcPr>
            <w:tcW w:w="9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3,591</w:t>
            </w:r>
          </w:p>
        </w:tc>
        <w:tc>
          <w:tcPr>
            <w:tcW w:w="8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24,177</w:t>
            </w:r>
          </w:p>
        </w:tc>
        <w:tc>
          <w:tcPr>
            <w:tcW w:w="10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35,091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TZ Holdings, L.P., Series A</w:t>
            </w: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1"/>
              </w:rPr>
              <w:t>Insurance</w:t>
            </w:r>
          </w:p>
        </w:tc>
        <w:tc>
          <w:tcPr>
            <w:tcW w:w="11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686</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685,820</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685,820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3"/>
          </w:tcPr>
          <w:p>
            <w:pPr>
              <w:spacing w:after="0" w:line="149" w:lineRule="exact"/>
              <w:rPr>
                <w:sz w:val="20"/>
                <w:szCs w:val="20"/>
                <w:color w:val="auto"/>
              </w:rPr>
            </w:pPr>
            <w:r>
              <w:rPr>
                <w:rFonts w:ascii="Arial" w:cs="Arial" w:eastAsia="Arial" w:hAnsi="Arial"/>
                <w:sz w:val="14"/>
                <w:szCs w:val="14"/>
                <w:color w:val="auto"/>
              </w:rPr>
              <w:t>TZ Holdings, L.P., Series B</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8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1"/>
              </w:rPr>
              <w:t>Insurance</w:t>
            </w:r>
          </w:p>
        </w:tc>
        <w:tc>
          <w:tcPr>
            <w:tcW w:w="11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6.50%</w:t>
            </w:r>
          </w:p>
        </w:tc>
        <w:tc>
          <w:tcPr>
            <w:tcW w:w="9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1,312</w:t>
            </w:r>
          </w:p>
        </w:tc>
        <w:tc>
          <w:tcPr>
            <w:tcW w:w="8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1,312,006</w:t>
            </w:r>
          </w:p>
        </w:tc>
        <w:tc>
          <w:tcPr>
            <w:tcW w:w="10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862,664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VRide Holdings, Inc.</w:t>
            </w: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1"/>
              </w:rPr>
              <w:t>Personal Transportation</w:t>
            </w:r>
          </w:p>
        </w:tc>
        <w:tc>
          <w:tcPr>
            <w:tcW w:w="11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8.00%</w:t>
            </w:r>
          </w:p>
        </w:tc>
        <w:tc>
          <w:tcPr>
            <w:tcW w:w="9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1,824,167</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1,824,167</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156,029</w:t>
            </w:r>
          </w:p>
        </w:tc>
        <w:tc>
          <w:tcPr>
            <w:tcW w:w="0" w:type="dxa"/>
            <w:vAlign w:val="bottom"/>
          </w:tcPr>
          <w:p>
            <w:pPr>
              <w:spacing w:after="0"/>
              <w:rPr>
                <w:sz w:val="1"/>
                <w:szCs w:val="1"/>
                <w:color w:val="auto"/>
              </w:rPr>
            </w:pPr>
          </w:p>
        </w:tc>
      </w:tr>
      <w:tr>
        <w:trPr>
          <w:trHeight w:val="163"/>
        </w:trPr>
        <w:tc>
          <w:tcPr>
            <w:tcW w:w="3700" w:type="dxa"/>
            <w:vAlign w:val="bottom"/>
            <w:gridSpan w:val="4"/>
          </w:tcPr>
          <w:p>
            <w:pPr>
              <w:spacing w:after="0" w:line="155" w:lineRule="exact"/>
              <w:rPr>
                <w:sz w:val="20"/>
                <w:szCs w:val="20"/>
                <w:color w:val="auto"/>
              </w:rPr>
            </w:pPr>
            <w:r>
              <w:rPr>
                <w:rFonts w:ascii="Arial" w:cs="Arial" w:eastAsia="Arial" w:hAnsi="Arial"/>
                <w:sz w:val="14"/>
                <w:szCs w:val="14"/>
                <w:b w:val="1"/>
                <w:bCs w:val="1"/>
                <w:color w:val="auto"/>
              </w:rPr>
              <w:t>Total Preferred Equity/Partnership Interests</w:t>
            </w: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9,463,292</w:t>
            </w:r>
          </w:p>
        </w:tc>
        <w:tc>
          <w:tcPr>
            <w:tcW w:w="24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8,051,870</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5"/>
              </w:rPr>
              <w:t>Common Equity/Warrants/Partnership Interests—10.1%</w:t>
            </w:r>
            <w:r>
              <w:rPr>
                <w:rFonts w:ascii="Arial" w:cs="Arial" w:eastAsia="Arial" w:hAnsi="Arial"/>
                <w:sz w:val="12"/>
                <w:szCs w:val="12"/>
                <w:b w:val="1"/>
                <w:bCs w:val="1"/>
                <w:color w:val="auto"/>
                <w:w w:val="95"/>
              </w:rPr>
              <w:t>(6)</w:t>
            </w: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3"/>
          </w:tcPr>
          <w:p>
            <w:pPr>
              <w:spacing w:after="0" w:line="149" w:lineRule="exact"/>
              <w:rPr>
                <w:sz w:val="20"/>
                <w:szCs w:val="20"/>
                <w:color w:val="auto"/>
              </w:rPr>
            </w:pPr>
            <w:r>
              <w:rPr>
                <w:rFonts w:ascii="Arial" w:cs="Arial" w:eastAsia="Arial" w:hAnsi="Arial"/>
                <w:sz w:val="14"/>
                <w:szCs w:val="14"/>
                <w:color w:val="auto"/>
              </w:rPr>
              <w:t xml:space="preserve">Acentia, LLC, Class A Units </w:t>
            </w:r>
            <w:r>
              <w:rPr>
                <w:rFonts w:ascii="Arial" w:cs="Arial" w:eastAsia="Arial" w:hAnsi="Arial"/>
                <w:sz w:val="12"/>
                <w:szCs w:val="12"/>
                <w:color w:val="auto"/>
              </w:rPr>
              <w:t>(12)</w:t>
            </w: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9"/>
              </w:rPr>
              <w:t>—</w:t>
            </w:r>
          </w:p>
        </w:tc>
        <w:tc>
          <w:tcPr>
            <w:tcW w:w="168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3"/>
              </w:rPr>
              <w:t>Electronics</w:t>
            </w:r>
          </w:p>
        </w:tc>
        <w:tc>
          <w:tcPr>
            <w:tcW w:w="11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1,998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2,000,000</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1,572,603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8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AH Holdings, Inc. (Warrants)</w:t>
            </w:r>
          </w:p>
        </w:tc>
        <w:tc>
          <w:tcPr>
            <w:tcW w:w="68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91"/>
              </w:rPr>
              <w:t>03/23/2021</w:t>
            </w:r>
          </w:p>
        </w:tc>
        <w:tc>
          <w:tcPr>
            <w:tcW w:w="240" w:type="dxa"/>
            <w:vAlign w:val="bottom"/>
            <w:shd w:val="clear" w:color="auto" w:fill="CCEEFF"/>
          </w:tcPr>
          <w:p>
            <w:pPr>
              <w:spacing w:after="0"/>
              <w:rPr>
                <w:sz w:val="11"/>
                <w:szCs w:val="11"/>
                <w:color w:val="auto"/>
              </w:rPr>
            </w:pPr>
          </w:p>
        </w:tc>
        <w:tc>
          <w:tcPr>
            <w:tcW w:w="168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92"/>
              </w:rPr>
              <w:t>Healthcare, Education</w:t>
            </w:r>
          </w:p>
        </w:tc>
        <w:tc>
          <w:tcPr>
            <w:tcW w:w="1160" w:type="dxa"/>
            <w:vAlign w:val="bottom"/>
            <w:gridSpan w:val="2"/>
            <w:shd w:val="clear" w:color="auto" w:fill="CCEEFF"/>
          </w:tcPr>
          <w:p>
            <w:pPr>
              <w:jc w:val="right"/>
              <w:ind w:right="540"/>
              <w:spacing w:after="0" w:line="130"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753</w:t>
            </w: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300"/>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2,499,319</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8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8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2"/>
              </w:rPr>
              <w:t>and Childcare</w:t>
            </w:r>
          </w:p>
        </w:tc>
        <w:tc>
          <w:tcPr>
            <w:tcW w:w="7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80" w:type="dxa"/>
            <w:vAlign w:val="bottom"/>
            <w:gridSpan w:val="3"/>
          </w:tcPr>
          <w:p>
            <w:pPr>
              <w:spacing w:after="0" w:line="130" w:lineRule="exact"/>
              <w:rPr>
                <w:sz w:val="20"/>
                <w:szCs w:val="20"/>
                <w:color w:val="auto"/>
              </w:rPr>
            </w:pPr>
            <w:r>
              <w:rPr>
                <w:rFonts w:ascii="Arial" w:cs="Arial" w:eastAsia="Arial" w:hAnsi="Arial"/>
                <w:sz w:val="14"/>
                <w:szCs w:val="14"/>
                <w:color w:val="auto"/>
              </w:rPr>
              <w:t>Alegeus Technologies Holding Corp., Class A (Alegeus</w:t>
            </w:r>
          </w:p>
        </w:tc>
        <w:tc>
          <w:tcPr>
            <w:tcW w:w="920" w:type="dxa"/>
            <w:vAlign w:val="bottom"/>
            <w:gridSpan w:val="2"/>
          </w:tcPr>
          <w:p>
            <w:pPr>
              <w:jc w:val="center"/>
              <w:ind w:right="300"/>
              <w:spacing w:after="0" w:line="130" w:lineRule="exact"/>
              <w:rPr>
                <w:sz w:val="20"/>
                <w:szCs w:val="20"/>
                <w:color w:val="auto"/>
              </w:rPr>
            </w:pPr>
            <w:r>
              <w:rPr>
                <w:rFonts w:ascii="Arial" w:cs="Arial" w:eastAsia="Arial" w:hAnsi="Arial"/>
                <w:sz w:val="14"/>
                <w:szCs w:val="14"/>
                <w:color w:val="auto"/>
                <w:w w:val="99"/>
              </w:rPr>
              <w:t>—</w:t>
            </w:r>
          </w:p>
        </w:tc>
        <w:tc>
          <w:tcPr>
            <w:tcW w:w="1680" w:type="dxa"/>
            <w:vAlign w:val="bottom"/>
            <w:gridSpan w:val="2"/>
          </w:tcPr>
          <w:p>
            <w:pPr>
              <w:jc w:val="center"/>
              <w:ind w:right="180"/>
              <w:spacing w:after="0" w:line="130" w:lineRule="exact"/>
              <w:rPr>
                <w:sz w:val="20"/>
                <w:szCs w:val="20"/>
                <w:color w:val="auto"/>
              </w:rPr>
            </w:pPr>
            <w:r>
              <w:rPr>
                <w:rFonts w:ascii="Arial" w:cs="Arial" w:eastAsia="Arial" w:hAnsi="Arial"/>
                <w:sz w:val="14"/>
                <w:szCs w:val="14"/>
                <w:color w:val="auto"/>
                <w:w w:val="93"/>
              </w:rPr>
              <w:t>Financial Services</w:t>
            </w:r>
          </w:p>
        </w:tc>
        <w:tc>
          <w:tcPr>
            <w:tcW w:w="1160" w:type="dxa"/>
            <w:vAlign w:val="bottom"/>
            <w:gridSpan w:val="2"/>
          </w:tcPr>
          <w:p>
            <w:pPr>
              <w:jc w:val="right"/>
              <w:ind w:right="540"/>
              <w:spacing w:after="0" w:line="130"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rPr>
              <w:t>1</w:t>
            </w:r>
          </w:p>
        </w:tc>
        <w:tc>
          <w:tcPr>
            <w:tcW w:w="80" w:type="dxa"/>
            <w:vAlign w:val="bottom"/>
          </w:tcPr>
          <w:p>
            <w:pPr>
              <w:spacing w:after="0"/>
              <w:rPr>
                <w:sz w:val="11"/>
                <w:szCs w:val="11"/>
                <w:color w:val="auto"/>
              </w:rPr>
            </w:pPr>
          </w:p>
        </w:tc>
        <w:tc>
          <w:tcPr>
            <w:tcW w:w="96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rPr>
              <w:t>950</w:t>
            </w:r>
          </w:p>
        </w:tc>
        <w:tc>
          <w:tcPr>
            <w:tcW w:w="100" w:type="dxa"/>
            <w:vAlign w:val="bottom"/>
          </w:tcPr>
          <w:p>
            <w:pPr>
              <w:spacing w:after="0"/>
              <w:rPr>
                <w:sz w:val="11"/>
                <w:szCs w:val="11"/>
                <w:color w:val="auto"/>
              </w:rPr>
            </w:pPr>
          </w:p>
        </w:tc>
        <w:tc>
          <w:tcPr>
            <w:tcW w:w="8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807</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80" w:type="dxa"/>
            <w:vAlign w:val="bottom"/>
            <w:gridSpan w:val="3"/>
          </w:tcPr>
          <w:p>
            <w:pPr>
              <w:ind w:left="140"/>
              <w:spacing w:after="0"/>
              <w:rPr>
                <w:sz w:val="20"/>
                <w:szCs w:val="20"/>
                <w:color w:val="auto"/>
              </w:rPr>
            </w:pPr>
            <w:r>
              <w:rPr>
                <w:rFonts w:ascii="Arial" w:cs="Arial" w:eastAsia="Arial" w:hAnsi="Arial"/>
                <w:sz w:val="14"/>
                <w:szCs w:val="14"/>
                <w:color w:val="auto"/>
              </w:rPr>
              <w:t>Technologies, LLC)</w:t>
            </w: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8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Autumn Games, LLC</w:t>
            </w:r>
          </w:p>
        </w:tc>
        <w:tc>
          <w:tcPr>
            <w:tcW w:w="92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9"/>
              </w:rPr>
              <w:t>—</w:t>
            </w:r>
          </w:p>
        </w:tc>
        <w:tc>
          <w:tcPr>
            <w:tcW w:w="168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91"/>
              </w:rPr>
              <w:t>Broadcasting and</w:t>
            </w:r>
          </w:p>
        </w:tc>
        <w:tc>
          <w:tcPr>
            <w:tcW w:w="1160" w:type="dxa"/>
            <w:vAlign w:val="bottom"/>
            <w:gridSpan w:val="2"/>
            <w:shd w:val="clear" w:color="auto" w:fill="CCEEFF"/>
          </w:tcPr>
          <w:p>
            <w:pPr>
              <w:jc w:val="right"/>
              <w:ind w:right="540"/>
              <w:spacing w:after="0" w:line="130"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1,333,330</w:t>
            </w: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3,000,000</w:t>
            </w: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ind w:left="520"/>
              <w:spacing w:after="0" w:line="13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8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8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94"/>
              </w:rPr>
              <w:t>Entertainment</w:t>
            </w:r>
          </w:p>
        </w:tc>
        <w:tc>
          <w:tcPr>
            <w:tcW w:w="7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3"/>
          </w:tcPr>
          <w:p>
            <w:pPr>
              <w:spacing w:after="0" w:line="149" w:lineRule="exact"/>
              <w:rPr>
                <w:sz w:val="20"/>
                <w:szCs w:val="20"/>
                <w:color w:val="auto"/>
              </w:rPr>
            </w:pPr>
            <w:r>
              <w:rPr>
                <w:rFonts w:ascii="Arial" w:cs="Arial" w:eastAsia="Arial" w:hAnsi="Arial"/>
                <w:sz w:val="14"/>
                <w:szCs w:val="14"/>
                <w:color w:val="auto"/>
              </w:rPr>
              <w:t xml:space="preserve">CI (Galls) Prime Investment Holdings, LLC </w:t>
            </w:r>
            <w:r>
              <w:rPr>
                <w:rFonts w:ascii="Arial" w:cs="Arial" w:eastAsia="Arial" w:hAnsi="Arial"/>
                <w:sz w:val="12"/>
                <w:szCs w:val="12"/>
                <w:color w:val="auto"/>
              </w:rPr>
              <w:t>(11)</w:t>
            </w: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9"/>
              </w:rPr>
              <w:t>—</w:t>
            </w:r>
          </w:p>
        </w:tc>
        <w:tc>
          <w:tcPr>
            <w:tcW w:w="16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9"/>
              </w:rPr>
              <w:t>Distribution</w:t>
            </w:r>
          </w:p>
        </w:tc>
        <w:tc>
          <w:tcPr>
            <w:tcW w:w="11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1,505,000</w:t>
            </w:r>
          </w:p>
        </w:tc>
        <w:tc>
          <w:tcPr>
            <w:tcW w:w="8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1,505,000</w:t>
            </w:r>
          </w:p>
        </w:tc>
        <w:tc>
          <w:tcPr>
            <w:tcW w:w="10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2,308,777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8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CI (IHS) Investment Holdings, LLC (Interactive Health</w:t>
            </w:r>
          </w:p>
        </w:tc>
        <w:tc>
          <w:tcPr>
            <w:tcW w:w="92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9"/>
              </w:rPr>
              <w:t>—</w:t>
            </w:r>
          </w:p>
        </w:tc>
        <w:tc>
          <w:tcPr>
            <w:tcW w:w="168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92"/>
              </w:rPr>
              <w:t>Healthcare, Education</w:t>
            </w:r>
          </w:p>
        </w:tc>
        <w:tc>
          <w:tcPr>
            <w:tcW w:w="1160" w:type="dxa"/>
            <w:vAlign w:val="bottom"/>
            <w:gridSpan w:val="2"/>
            <w:shd w:val="clear" w:color="auto" w:fill="CCEEFF"/>
          </w:tcPr>
          <w:p>
            <w:pPr>
              <w:jc w:val="right"/>
              <w:ind w:right="540"/>
              <w:spacing w:after="0" w:line="130"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23,416</w:t>
            </w: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234,693</w:t>
            </w: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364,156</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8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Solutions, Inc.)</w:t>
            </w:r>
          </w:p>
        </w:tc>
        <w:tc>
          <w:tcPr>
            <w:tcW w:w="6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8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2"/>
              </w:rPr>
              <w:t>and Childcare</w:t>
            </w:r>
          </w:p>
        </w:tc>
        <w:tc>
          <w:tcPr>
            <w:tcW w:w="7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80" w:type="dxa"/>
            <w:vAlign w:val="bottom"/>
            <w:gridSpan w:val="3"/>
          </w:tcPr>
          <w:p>
            <w:pPr>
              <w:spacing w:after="0" w:line="130" w:lineRule="exact"/>
              <w:rPr>
                <w:sz w:val="20"/>
                <w:szCs w:val="20"/>
                <w:color w:val="auto"/>
              </w:rPr>
            </w:pPr>
            <w:r>
              <w:rPr>
                <w:rFonts w:ascii="Arial" w:cs="Arial" w:eastAsia="Arial" w:hAnsi="Arial"/>
                <w:sz w:val="14"/>
                <w:szCs w:val="14"/>
                <w:color w:val="auto"/>
              </w:rPr>
              <w:t xml:space="preserve">CI (IHS) Investment Holdings, LLC </w:t>
            </w:r>
            <w:r>
              <w:rPr>
                <w:rFonts w:ascii="Arial" w:cs="Arial" w:eastAsia="Arial" w:hAnsi="Arial"/>
                <w:sz w:val="12"/>
                <w:szCs w:val="12"/>
                <w:color w:val="auto"/>
              </w:rPr>
              <w:t>(9)</w:t>
            </w:r>
            <w:r>
              <w:rPr>
                <w:rFonts w:ascii="Arial" w:cs="Arial" w:eastAsia="Arial" w:hAnsi="Arial"/>
                <w:sz w:val="14"/>
                <w:szCs w:val="14"/>
                <w:color w:val="auto"/>
              </w:rPr>
              <w:t xml:space="preserve"> (Interactive Health</w:t>
            </w:r>
          </w:p>
        </w:tc>
        <w:tc>
          <w:tcPr>
            <w:tcW w:w="920" w:type="dxa"/>
            <w:vAlign w:val="bottom"/>
            <w:gridSpan w:val="2"/>
          </w:tcPr>
          <w:p>
            <w:pPr>
              <w:jc w:val="center"/>
              <w:ind w:right="300"/>
              <w:spacing w:after="0" w:line="130" w:lineRule="exact"/>
              <w:rPr>
                <w:sz w:val="20"/>
                <w:szCs w:val="20"/>
                <w:color w:val="auto"/>
              </w:rPr>
            </w:pPr>
            <w:r>
              <w:rPr>
                <w:rFonts w:ascii="Arial" w:cs="Arial" w:eastAsia="Arial" w:hAnsi="Arial"/>
                <w:sz w:val="14"/>
                <w:szCs w:val="14"/>
                <w:color w:val="auto"/>
                <w:w w:val="99"/>
              </w:rPr>
              <w:t>—</w:t>
            </w:r>
          </w:p>
        </w:tc>
        <w:tc>
          <w:tcPr>
            <w:tcW w:w="168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92"/>
              </w:rPr>
              <w:t>Healthcare, Education</w:t>
            </w:r>
          </w:p>
        </w:tc>
        <w:tc>
          <w:tcPr>
            <w:tcW w:w="1160" w:type="dxa"/>
            <w:vAlign w:val="bottom"/>
            <w:gridSpan w:val="2"/>
          </w:tcPr>
          <w:p>
            <w:pPr>
              <w:jc w:val="right"/>
              <w:ind w:right="540"/>
              <w:spacing w:after="0" w:line="130"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rPr>
              <w:t>11,708</w:t>
            </w:r>
          </w:p>
        </w:tc>
        <w:tc>
          <w:tcPr>
            <w:tcW w:w="80" w:type="dxa"/>
            <w:vAlign w:val="bottom"/>
          </w:tcPr>
          <w:p>
            <w:pPr>
              <w:spacing w:after="0"/>
              <w:rPr>
                <w:sz w:val="11"/>
                <w:szCs w:val="11"/>
                <w:color w:val="auto"/>
              </w:rPr>
            </w:pPr>
          </w:p>
        </w:tc>
        <w:tc>
          <w:tcPr>
            <w:tcW w:w="96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rPr>
              <w:t>117,346</w:t>
            </w:r>
          </w:p>
        </w:tc>
        <w:tc>
          <w:tcPr>
            <w:tcW w:w="100" w:type="dxa"/>
            <w:vAlign w:val="bottom"/>
          </w:tcPr>
          <w:p>
            <w:pPr>
              <w:spacing w:after="0"/>
              <w:rPr>
                <w:sz w:val="11"/>
                <w:szCs w:val="11"/>
                <w:color w:val="auto"/>
              </w:rPr>
            </w:pPr>
          </w:p>
        </w:tc>
        <w:tc>
          <w:tcPr>
            <w:tcW w:w="8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182,078</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80" w:type="dxa"/>
            <w:vAlign w:val="bottom"/>
            <w:gridSpan w:val="3"/>
          </w:tcPr>
          <w:p>
            <w:pPr>
              <w:ind w:left="140"/>
              <w:spacing w:after="0"/>
              <w:rPr>
                <w:sz w:val="20"/>
                <w:szCs w:val="20"/>
                <w:color w:val="auto"/>
              </w:rPr>
            </w:pPr>
            <w:r>
              <w:rPr>
                <w:rFonts w:ascii="Arial" w:cs="Arial" w:eastAsia="Arial" w:hAnsi="Arial"/>
                <w:sz w:val="14"/>
                <w:szCs w:val="14"/>
                <w:color w:val="auto"/>
              </w:rPr>
              <w:t>Solutions, Inc.)</w:t>
            </w: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gridSpan w:val="2"/>
          </w:tcPr>
          <w:p>
            <w:pPr>
              <w:jc w:val="center"/>
              <w:ind w:right="160"/>
              <w:spacing w:after="0"/>
              <w:rPr>
                <w:sz w:val="20"/>
                <w:szCs w:val="20"/>
                <w:color w:val="auto"/>
              </w:rPr>
            </w:pPr>
            <w:r>
              <w:rPr>
                <w:rFonts w:ascii="Arial" w:cs="Arial" w:eastAsia="Arial" w:hAnsi="Arial"/>
                <w:sz w:val="14"/>
                <w:szCs w:val="14"/>
                <w:color w:val="auto"/>
                <w:w w:val="92"/>
              </w:rPr>
              <w:t>and Childcare</w:t>
            </w: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8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Convergint Technologies Holdings, LLC (Convergint</w:t>
            </w:r>
          </w:p>
        </w:tc>
        <w:tc>
          <w:tcPr>
            <w:tcW w:w="92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9"/>
              </w:rPr>
              <w:t>—</w:t>
            </w:r>
          </w:p>
        </w:tc>
        <w:tc>
          <w:tcPr>
            <w:tcW w:w="168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93"/>
              </w:rPr>
              <w:t>Electronics</w:t>
            </w:r>
          </w:p>
        </w:tc>
        <w:tc>
          <w:tcPr>
            <w:tcW w:w="1160" w:type="dxa"/>
            <w:vAlign w:val="bottom"/>
            <w:gridSpan w:val="2"/>
            <w:shd w:val="clear" w:color="auto" w:fill="CCEEFF"/>
          </w:tcPr>
          <w:p>
            <w:pPr>
              <w:jc w:val="right"/>
              <w:ind w:right="540"/>
              <w:spacing w:after="0" w:line="130"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2,375</w:t>
            </w: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300"/>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212,881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8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Technologies LLC)</w:t>
            </w:r>
          </w:p>
        </w:tc>
        <w:tc>
          <w:tcPr>
            <w:tcW w:w="6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3"/>
          </w:tcPr>
          <w:p>
            <w:pPr>
              <w:spacing w:after="0" w:line="149" w:lineRule="exact"/>
              <w:rPr>
                <w:sz w:val="20"/>
                <w:szCs w:val="20"/>
                <w:color w:val="auto"/>
              </w:rPr>
            </w:pPr>
            <w:r>
              <w:rPr>
                <w:rFonts w:ascii="Arial" w:cs="Arial" w:eastAsia="Arial" w:hAnsi="Arial"/>
                <w:sz w:val="14"/>
                <w:szCs w:val="14"/>
                <w:color w:val="auto"/>
              </w:rPr>
              <w:t>CT Technologies Holdings, LLC</w:t>
            </w: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9"/>
              </w:rPr>
              <w:t>—</w:t>
            </w:r>
          </w:p>
        </w:tc>
        <w:tc>
          <w:tcPr>
            <w:tcW w:w="168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0"/>
              </w:rPr>
              <w:t>Business Services</w:t>
            </w:r>
          </w:p>
        </w:tc>
        <w:tc>
          <w:tcPr>
            <w:tcW w:w="11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5,556</w:t>
            </w:r>
          </w:p>
        </w:tc>
        <w:tc>
          <w:tcPr>
            <w:tcW w:w="8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1,918,346</w:t>
            </w:r>
          </w:p>
        </w:tc>
        <w:tc>
          <w:tcPr>
            <w:tcW w:w="10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7,285,399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HW Topco, Inc.</w:t>
            </w:r>
          </w:p>
        </w:tc>
        <w:tc>
          <w:tcPr>
            <w:tcW w:w="920" w:type="dxa"/>
            <w:vAlign w:val="bottom"/>
            <w:gridSpan w:val="2"/>
            <w:shd w:val="clear" w:color="auto" w:fill="CCEEFF"/>
          </w:tcPr>
          <w:p>
            <w:pPr>
              <w:jc w:val="center"/>
              <w:ind w:right="300"/>
              <w:spacing w:after="0" w:line="149" w:lineRule="exact"/>
              <w:rPr>
                <w:sz w:val="20"/>
                <w:szCs w:val="20"/>
                <w:color w:val="auto"/>
              </w:rPr>
            </w:pPr>
            <w:r>
              <w:rPr>
                <w:rFonts w:ascii="Arial" w:cs="Arial" w:eastAsia="Arial" w:hAnsi="Arial"/>
                <w:sz w:val="14"/>
                <w:szCs w:val="14"/>
                <w:color w:val="auto"/>
                <w:w w:val="99"/>
              </w:rPr>
              <w:t>—</w:t>
            </w:r>
          </w:p>
        </w:tc>
        <w:tc>
          <w:tcPr>
            <w:tcW w:w="168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3"/>
              </w:rPr>
              <w:t>Other Media</w:t>
            </w:r>
          </w:p>
        </w:tc>
        <w:tc>
          <w:tcPr>
            <w:tcW w:w="11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386,770</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2,697,835</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3,400,855</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59" w:right="23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PENNANTPARK INVESTMENT CORPORATION AND SUBSIDIARIES CONSOLIDATED SCHEDULE OF INVESTMENTS (CONTINUED) SEPTEMBER 30, 2013</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Basis Point</w:t>
            </w: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Current</w:t>
            </w: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Spread</w:t>
            </w:r>
          </w:p>
        </w:tc>
        <w:tc>
          <w:tcPr>
            <w:tcW w:w="100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Par/</w:t>
            </w: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Issuer Name</w:t>
            </w:r>
          </w:p>
        </w:tc>
        <w:tc>
          <w:tcPr>
            <w:tcW w:w="8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Maturity</w:t>
            </w:r>
          </w:p>
        </w:tc>
        <w:tc>
          <w:tcPr>
            <w:tcW w:w="15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Industry</w:t>
            </w:r>
          </w:p>
        </w:tc>
        <w:tc>
          <w:tcPr>
            <w:tcW w:w="1080" w:type="dxa"/>
            <w:vAlign w:val="bottom"/>
            <w:gridSpan w:val="2"/>
            <w:vMerge w:val="continue"/>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Above</w:t>
            </w:r>
          </w:p>
        </w:tc>
        <w:tc>
          <w:tcPr>
            <w:tcW w:w="1000" w:type="dxa"/>
            <w:vAlign w:val="bottom"/>
            <w:gridSpan w:val="2"/>
            <w:vMerge w:val="continue"/>
          </w:tcPr>
          <w:p>
            <w:pPr>
              <w:spacing w:after="0"/>
              <w:rPr>
                <w:sz w:val="12"/>
                <w:szCs w:val="12"/>
                <w:color w:val="auto"/>
              </w:rPr>
            </w:pPr>
          </w:p>
        </w:tc>
        <w:tc>
          <w:tcPr>
            <w:tcW w:w="108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Cost</w:t>
            </w: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2"/>
                <w:szCs w:val="12"/>
                <w:b w:val="1"/>
                <w:bCs w:val="1"/>
                <w:color w:val="auto"/>
              </w:rPr>
              <w:t>(3)</w:t>
            </w:r>
          </w:p>
        </w:tc>
        <w:tc>
          <w:tcPr>
            <w:tcW w:w="0" w:type="dxa"/>
            <w:vAlign w:val="bottom"/>
          </w:tcPr>
          <w:p>
            <w:pPr>
              <w:spacing w:after="0"/>
              <w:rPr>
                <w:sz w:val="1"/>
                <w:szCs w:val="1"/>
                <w:color w:val="auto"/>
              </w:rPr>
            </w:pPr>
          </w:p>
        </w:tc>
      </w:tr>
      <w:tr>
        <w:trPr>
          <w:trHeight w:val="171"/>
        </w:trPr>
        <w:tc>
          <w:tcPr>
            <w:tcW w:w="4000" w:type="dxa"/>
            <w:vAlign w:val="bottom"/>
            <w:gridSpan w:val="3"/>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080" w:type="dxa"/>
            <w:vAlign w:val="bottom"/>
            <w:gridSpan w:val="2"/>
          </w:tcPr>
          <w:p>
            <w:pPr>
              <w:ind w:left="120"/>
              <w:spacing w:after="0"/>
              <w:rPr>
                <w:sz w:val="20"/>
                <w:szCs w:val="20"/>
                <w:color w:val="auto"/>
              </w:rPr>
            </w:pPr>
            <w:r>
              <w:rPr>
                <w:rFonts w:ascii="Arial" w:cs="Arial" w:eastAsia="Arial" w:hAnsi="Arial"/>
                <w:sz w:val="14"/>
                <w:szCs w:val="14"/>
                <w:b w:val="1"/>
                <w:bCs w:val="1"/>
                <w:color w:val="auto"/>
              </w:rPr>
              <w:t>Coupon</w:t>
            </w: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 xml:space="preserve">Index </w:t>
            </w:r>
            <w:r>
              <w:rPr>
                <w:rFonts w:ascii="Arial" w:cs="Arial" w:eastAsia="Arial" w:hAnsi="Arial"/>
                <w:sz w:val="12"/>
                <w:szCs w:val="12"/>
                <w:b w:val="1"/>
                <w:bCs w:val="1"/>
                <w:color w:val="auto"/>
                <w:w w:val="94"/>
              </w:rPr>
              <w:t>(4)</w:t>
            </w:r>
          </w:p>
        </w:tc>
        <w:tc>
          <w:tcPr>
            <w:tcW w:w="10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Shares</w:t>
            </w:r>
          </w:p>
        </w:tc>
        <w:tc>
          <w:tcPr>
            <w:tcW w:w="108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3980" w:type="dxa"/>
            <w:vAlign w:val="bottom"/>
            <w:gridSpan w:val="2"/>
            <w:shd w:val="clear" w:color="auto" w:fill="CCEEFF"/>
          </w:tcPr>
          <w:p>
            <w:pPr>
              <w:spacing w:after="0" w:line="123" w:lineRule="exact"/>
              <w:rPr>
                <w:sz w:val="20"/>
                <w:szCs w:val="20"/>
                <w:color w:val="auto"/>
              </w:rPr>
            </w:pPr>
            <w:r>
              <w:rPr>
                <w:rFonts w:ascii="Arial" w:cs="Arial" w:eastAsia="Arial" w:hAnsi="Arial"/>
                <w:sz w:val="14"/>
                <w:szCs w:val="14"/>
                <w:color w:val="auto"/>
              </w:rPr>
              <w:t>Kadmon Holdings, LLC, Class A</w:t>
            </w:r>
          </w:p>
        </w:tc>
        <w:tc>
          <w:tcPr>
            <w:tcW w:w="660" w:type="dxa"/>
            <w:vAlign w:val="bottom"/>
            <w:shd w:val="clear" w:color="auto" w:fill="CCEEFF"/>
          </w:tcPr>
          <w:p>
            <w:pPr>
              <w:ind w:left="220"/>
              <w:spacing w:after="0" w:line="123" w:lineRule="exact"/>
              <w:rPr>
                <w:sz w:val="20"/>
                <w:szCs w:val="20"/>
                <w:color w:val="auto"/>
              </w:rPr>
            </w:pPr>
            <w:r>
              <w:rPr>
                <w:rFonts w:ascii="Arial" w:cs="Arial" w:eastAsia="Arial" w:hAnsi="Arial"/>
                <w:sz w:val="14"/>
                <w:szCs w:val="14"/>
                <w:color w:val="auto"/>
              </w:rPr>
              <w:t>—</w:t>
            </w:r>
          </w:p>
        </w:tc>
        <w:tc>
          <w:tcPr>
            <w:tcW w:w="180" w:type="dxa"/>
            <w:vAlign w:val="bottom"/>
            <w:vMerge w:val="continue"/>
            <w:shd w:val="clear" w:color="auto" w:fill="CCEEFF"/>
          </w:tcPr>
          <w:p>
            <w:pPr>
              <w:spacing w:after="0"/>
              <w:rPr>
                <w:sz w:val="10"/>
                <w:szCs w:val="10"/>
                <w:color w:val="auto"/>
              </w:rPr>
            </w:pPr>
          </w:p>
        </w:tc>
        <w:tc>
          <w:tcPr>
            <w:tcW w:w="1400" w:type="dxa"/>
            <w:vAlign w:val="bottom"/>
            <w:shd w:val="clear" w:color="auto" w:fill="CCEEFF"/>
          </w:tcPr>
          <w:p>
            <w:pPr>
              <w:jc w:val="center"/>
              <w:spacing w:after="0" w:line="123" w:lineRule="exact"/>
              <w:rPr>
                <w:sz w:val="20"/>
                <w:szCs w:val="20"/>
                <w:color w:val="auto"/>
              </w:rPr>
            </w:pPr>
            <w:r>
              <w:rPr>
                <w:rFonts w:ascii="Arial" w:cs="Arial" w:eastAsia="Arial" w:hAnsi="Arial"/>
                <w:sz w:val="14"/>
                <w:szCs w:val="14"/>
                <w:color w:val="auto"/>
                <w:w w:val="92"/>
              </w:rPr>
              <w:t>Healthcare, Education</w:t>
            </w:r>
          </w:p>
        </w:tc>
        <w:tc>
          <w:tcPr>
            <w:tcW w:w="160" w:type="dxa"/>
            <w:vAlign w:val="bottom"/>
            <w:vMerge w:val="continue"/>
            <w:shd w:val="clear" w:color="auto" w:fill="CCEEFF"/>
          </w:tcPr>
          <w:p>
            <w:pPr>
              <w:spacing w:after="0"/>
              <w:rPr>
                <w:sz w:val="10"/>
                <w:szCs w:val="10"/>
                <w:color w:val="auto"/>
              </w:rPr>
            </w:pPr>
          </w:p>
        </w:tc>
        <w:tc>
          <w:tcPr>
            <w:tcW w:w="700" w:type="dxa"/>
            <w:vAlign w:val="bottom"/>
            <w:shd w:val="clear" w:color="auto" w:fill="CCEEFF"/>
          </w:tcPr>
          <w:p>
            <w:pPr>
              <w:ind w:left="480"/>
              <w:spacing w:after="0" w:line="123" w:lineRule="exact"/>
              <w:rPr>
                <w:sz w:val="20"/>
                <w:szCs w:val="20"/>
                <w:color w:val="auto"/>
              </w:rPr>
            </w:pPr>
            <w:r>
              <w:rPr>
                <w:rFonts w:ascii="Arial" w:cs="Arial" w:eastAsia="Arial" w:hAnsi="Arial"/>
                <w:sz w:val="14"/>
                <w:szCs w:val="14"/>
                <w:color w:val="auto"/>
              </w:rPr>
              <w:t>—</w:t>
            </w:r>
          </w:p>
        </w:tc>
        <w:tc>
          <w:tcPr>
            <w:tcW w:w="380" w:type="dxa"/>
            <w:vAlign w:val="bottom"/>
            <w:vMerge w:val="continue"/>
            <w:shd w:val="clear" w:color="auto" w:fill="CCEEFF"/>
          </w:tcPr>
          <w:p>
            <w:pPr>
              <w:spacing w:after="0"/>
              <w:rPr>
                <w:sz w:val="10"/>
                <w:szCs w:val="10"/>
                <w:color w:val="auto"/>
              </w:rPr>
            </w:pPr>
          </w:p>
        </w:tc>
        <w:tc>
          <w:tcPr>
            <w:tcW w:w="700" w:type="dxa"/>
            <w:vAlign w:val="bottom"/>
            <w:shd w:val="clear" w:color="auto" w:fill="CCEEFF"/>
          </w:tcPr>
          <w:p>
            <w:pPr>
              <w:ind w:left="480"/>
              <w:spacing w:after="0" w:line="123" w:lineRule="exact"/>
              <w:rPr>
                <w:sz w:val="20"/>
                <w:szCs w:val="20"/>
                <w:color w:val="auto"/>
              </w:rPr>
            </w:pPr>
            <w:r>
              <w:rPr>
                <w:rFonts w:ascii="Arial" w:cs="Arial" w:eastAsia="Arial" w:hAnsi="Arial"/>
                <w:sz w:val="14"/>
                <w:szCs w:val="14"/>
                <w:color w:val="auto"/>
              </w:rPr>
              <w:t>—</w:t>
            </w:r>
          </w:p>
        </w:tc>
        <w:tc>
          <w:tcPr>
            <w:tcW w:w="260" w:type="dxa"/>
            <w:vAlign w:val="bottom"/>
            <w:vMerge w:val="continue"/>
            <w:shd w:val="clear" w:color="auto" w:fill="CCEEFF"/>
          </w:tcPr>
          <w:p>
            <w:pPr>
              <w:spacing w:after="0"/>
              <w:rPr>
                <w:sz w:val="10"/>
                <w:szCs w:val="10"/>
                <w:color w:val="auto"/>
              </w:rPr>
            </w:pPr>
          </w:p>
        </w:tc>
        <w:tc>
          <w:tcPr>
            <w:tcW w:w="680" w:type="dxa"/>
            <w:vAlign w:val="bottom"/>
            <w:shd w:val="clear" w:color="auto" w:fill="CCEEFF"/>
          </w:tcPr>
          <w:p>
            <w:pPr>
              <w:jc w:val="right"/>
              <w:spacing w:after="0" w:line="123" w:lineRule="exact"/>
              <w:rPr>
                <w:sz w:val="20"/>
                <w:szCs w:val="20"/>
                <w:color w:val="auto"/>
              </w:rPr>
            </w:pPr>
            <w:r>
              <w:rPr>
                <w:rFonts w:ascii="Arial" w:cs="Arial" w:eastAsia="Arial" w:hAnsi="Arial"/>
                <w:sz w:val="14"/>
                <w:szCs w:val="14"/>
                <w:color w:val="auto"/>
              </w:rPr>
              <w:t>1,079,920</w:t>
            </w:r>
          </w:p>
        </w:tc>
        <w:tc>
          <w:tcPr>
            <w:tcW w:w="320" w:type="dxa"/>
            <w:vAlign w:val="bottom"/>
            <w:vMerge w:val="continue"/>
            <w:shd w:val="clear" w:color="auto" w:fill="CCEEFF"/>
          </w:tcPr>
          <w:p>
            <w:pPr>
              <w:spacing w:after="0"/>
              <w:rPr>
                <w:sz w:val="10"/>
                <w:szCs w:val="10"/>
                <w:color w:val="auto"/>
              </w:rPr>
            </w:pPr>
          </w:p>
        </w:tc>
        <w:tc>
          <w:tcPr>
            <w:tcW w:w="840" w:type="dxa"/>
            <w:vAlign w:val="bottom"/>
            <w:tcBorders>
              <w:right w:val="single" w:sz="8" w:color="CCEEFF"/>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1,236,832</w:t>
            </w:r>
          </w:p>
        </w:tc>
        <w:tc>
          <w:tcPr>
            <w:tcW w:w="240" w:type="dxa"/>
            <w:vAlign w:val="bottom"/>
            <w:vMerge w:val="continue"/>
            <w:shd w:val="clear" w:color="auto" w:fill="CCEEFF"/>
          </w:tcPr>
          <w:p>
            <w:pPr>
              <w:spacing w:after="0"/>
              <w:rPr>
                <w:sz w:val="10"/>
                <w:szCs w:val="10"/>
                <w:color w:val="auto"/>
              </w:rPr>
            </w:pPr>
          </w:p>
        </w:tc>
        <w:tc>
          <w:tcPr>
            <w:tcW w:w="820" w:type="dxa"/>
            <w:vAlign w:val="bottom"/>
            <w:shd w:val="clear" w:color="auto" w:fill="CCEEFF"/>
          </w:tcPr>
          <w:p>
            <w:pPr>
              <w:jc w:val="right"/>
              <w:spacing w:after="0" w:line="123" w:lineRule="exact"/>
              <w:rPr>
                <w:sz w:val="20"/>
                <w:szCs w:val="20"/>
                <w:color w:val="auto"/>
              </w:rPr>
            </w:pPr>
            <w:r>
              <w:rPr>
                <w:rFonts w:ascii="Arial" w:cs="Arial" w:eastAsia="Arial" w:hAnsi="Arial"/>
                <w:sz w:val="14"/>
                <w:szCs w:val="14"/>
                <w:color w:val="auto"/>
              </w:rPr>
              <w:t>11,085,403</w:t>
            </w:r>
          </w:p>
        </w:tc>
        <w:tc>
          <w:tcPr>
            <w:tcW w:w="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2"/>
              </w:rPr>
              <w:t>and Childcare</w:t>
            </w:r>
          </w:p>
        </w:tc>
        <w:tc>
          <w:tcPr>
            <w:tcW w:w="7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4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980" w:type="dxa"/>
            <w:vAlign w:val="bottom"/>
            <w:gridSpan w:val="2"/>
          </w:tcPr>
          <w:p>
            <w:pPr>
              <w:spacing w:after="0" w:line="130" w:lineRule="exact"/>
              <w:rPr>
                <w:sz w:val="20"/>
                <w:szCs w:val="20"/>
                <w:color w:val="auto"/>
              </w:rPr>
            </w:pPr>
            <w:r>
              <w:rPr>
                <w:rFonts w:ascii="Arial" w:cs="Arial" w:eastAsia="Arial" w:hAnsi="Arial"/>
                <w:sz w:val="14"/>
                <w:szCs w:val="14"/>
                <w:color w:val="auto"/>
              </w:rPr>
              <w:t>Kadmon Holdings, LLC, Class D</w:t>
            </w:r>
          </w:p>
        </w:tc>
        <w:tc>
          <w:tcPr>
            <w:tcW w:w="840" w:type="dxa"/>
            <w:vAlign w:val="bottom"/>
            <w:gridSpan w:val="2"/>
          </w:tcPr>
          <w:p>
            <w:pPr>
              <w:ind w:left="220"/>
              <w:spacing w:after="0" w:line="130" w:lineRule="exact"/>
              <w:rPr>
                <w:sz w:val="20"/>
                <w:szCs w:val="20"/>
                <w:color w:val="auto"/>
              </w:rPr>
            </w:pPr>
            <w:r>
              <w:rPr>
                <w:rFonts w:ascii="Arial" w:cs="Arial" w:eastAsia="Arial" w:hAnsi="Arial"/>
                <w:sz w:val="14"/>
                <w:szCs w:val="14"/>
                <w:color w:val="auto"/>
              </w:rPr>
              <w:t>—</w:t>
            </w:r>
          </w:p>
        </w:tc>
        <w:tc>
          <w:tcPr>
            <w:tcW w:w="156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92"/>
              </w:rPr>
              <w:t>Healthcare, Education</w:t>
            </w:r>
          </w:p>
        </w:tc>
        <w:tc>
          <w:tcPr>
            <w:tcW w:w="108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30" w:lineRule="exact"/>
              <w:rPr>
                <w:sz w:val="20"/>
                <w:szCs w:val="20"/>
                <w:color w:val="auto"/>
              </w:rPr>
            </w:pPr>
            <w:r>
              <w:rPr>
                <w:rFonts w:ascii="Arial" w:cs="Arial" w:eastAsia="Arial" w:hAnsi="Arial"/>
                <w:sz w:val="14"/>
                <w:szCs w:val="14"/>
                <w:color w:val="auto"/>
              </w:rPr>
              <w:t>1,079,920</w:t>
            </w:r>
          </w:p>
        </w:tc>
        <w:tc>
          <w:tcPr>
            <w:tcW w:w="320" w:type="dxa"/>
            <w:vAlign w:val="bottom"/>
          </w:tcPr>
          <w:p>
            <w:pPr>
              <w:spacing w:after="0"/>
              <w:rPr>
                <w:sz w:val="11"/>
                <w:szCs w:val="11"/>
                <w:color w:val="auto"/>
              </w:rPr>
            </w:pPr>
          </w:p>
        </w:tc>
        <w:tc>
          <w:tcPr>
            <w:tcW w:w="840" w:type="dxa"/>
            <w:vAlign w:val="bottom"/>
          </w:tcPr>
          <w:p>
            <w:pPr>
              <w:jc w:val="right"/>
              <w:spacing w:after="0" w:line="130" w:lineRule="exact"/>
              <w:rPr>
                <w:sz w:val="20"/>
                <w:szCs w:val="20"/>
                <w:color w:val="auto"/>
              </w:rPr>
            </w:pPr>
            <w:r>
              <w:rPr>
                <w:rFonts w:ascii="Arial" w:cs="Arial" w:eastAsia="Arial" w:hAnsi="Arial"/>
                <w:sz w:val="14"/>
                <w:szCs w:val="14"/>
                <w:color w:val="auto"/>
              </w:rPr>
              <w:t>1,028,807</w:t>
            </w:r>
          </w:p>
        </w:tc>
        <w:tc>
          <w:tcPr>
            <w:tcW w:w="240" w:type="dxa"/>
            <w:vAlign w:val="bottom"/>
          </w:tcPr>
          <w:p>
            <w:pPr>
              <w:spacing w:after="0"/>
              <w:rPr>
                <w:sz w:val="11"/>
                <w:szCs w:val="11"/>
                <w:color w:val="auto"/>
              </w:rPr>
            </w:pPr>
          </w:p>
        </w:tc>
        <w:tc>
          <w:tcPr>
            <w:tcW w:w="90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1,028,807</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tcPr>
          <w:p>
            <w:pPr>
              <w:jc w:val="center"/>
              <w:ind w:right="160"/>
              <w:spacing w:after="0"/>
              <w:rPr>
                <w:sz w:val="20"/>
                <w:szCs w:val="20"/>
                <w:color w:val="auto"/>
              </w:rPr>
            </w:pPr>
            <w:r>
              <w:rPr>
                <w:rFonts w:ascii="Arial" w:cs="Arial" w:eastAsia="Arial" w:hAnsi="Arial"/>
                <w:sz w:val="14"/>
                <w:szCs w:val="14"/>
                <w:color w:val="auto"/>
                <w:w w:val="92"/>
              </w:rPr>
              <w:t>and Childcare</w:t>
            </w: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Learning Care Group (US) Inc. (Warrants)</w:t>
            </w:r>
          </w:p>
        </w:tc>
        <w:tc>
          <w:tcPr>
            <w:tcW w:w="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1"/>
              </w:rPr>
              <w:t>04/27/2020</w:t>
            </w:r>
          </w:p>
        </w:tc>
        <w:tc>
          <w:tcPr>
            <w:tcW w:w="18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6"/>
              </w:rPr>
              <w:t>Education</w:t>
            </w:r>
          </w:p>
        </w:tc>
        <w:tc>
          <w:tcPr>
            <w:tcW w:w="108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6,649</w:t>
            </w:r>
          </w:p>
        </w:tc>
        <w:tc>
          <w:tcPr>
            <w:tcW w:w="8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779,920</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4,300,696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980" w:type="dxa"/>
            <w:vAlign w:val="bottom"/>
            <w:gridSpan w:val="2"/>
          </w:tcPr>
          <w:p>
            <w:pPr>
              <w:spacing w:after="0" w:line="130" w:lineRule="exact"/>
              <w:rPr>
                <w:sz w:val="20"/>
                <w:szCs w:val="20"/>
                <w:color w:val="auto"/>
              </w:rPr>
            </w:pPr>
            <w:r>
              <w:rPr>
                <w:rFonts w:ascii="Arial" w:cs="Arial" w:eastAsia="Arial" w:hAnsi="Arial"/>
                <w:sz w:val="14"/>
                <w:szCs w:val="14"/>
                <w:color w:val="auto"/>
                <w:w w:val="97"/>
              </w:rPr>
              <w:t>Magnum Hunter Resources Corporation (Eureka Hunter Pipeline,</w:t>
            </w:r>
          </w:p>
        </w:tc>
        <w:tc>
          <w:tcPr>
            <w:tcW w:w="840" w:type="dxa"/>
            <w:vAlign w:val="bottom"/>
            <w:gridSpan w:val="2"/>
          </w:tcPr>
          <w:p>
            <w:pPr>
              <w:ind w:left="220"/>
              <w:spacing w:after="0" w:line="130" w:lineRule="exact"/>
              <w:rPr>
                <w:sz w:val="20"/>
                <w:szCs w:val="20"/>
                <w:color w:val="auto"/>
              </w:rPr>
            </w:pPr>
            <w:r>
              <w:rPr>
                <w:rFonts w:ascii="Arial" w:cs="Arial" w:eastAsia="Arial" w:hAnsi="Arial"/>
                <w:sz w:val="14"/>
                <w:szCs w:val="14"/>
                <w:color w:val="auto"/>
              </w:rPr>
              <w:t>—</w:t>
            </w:r>
          </w:p>
        </w:tc>
        <w:tc>
          <w:tcPr>
            <w:tcW w:w="156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91"/>
              </w:rPr>
              <w:t>Oil and Gas</w:t>
            </w:r>
          </w:p>
        </w:tc>
        <w:tc>
          <w:tcPr>
            <w:tcW w:w="108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30" w:lineRule="exact"/>
              <w:rPr>
                <w:sz w:val="20"/>
                <w:szCs w:val="20"/>
                <w:color w:val="auto"/>
              </w:rPr>
            </w:pPr>
            <w:r>
              <w:rPr>
                <w:rFonts w:ascii="Arial" w:cs="Arial" w:eastAsia="Arial" w:hAnsi="Arial"/>
                <w:sz w:val="14"/>
                <w:szCs w:val="14"/>
                <w:color w:val="auto"/>
              </w:rPr>
              <w:t>1,221,932</w:t>
            </w:r>
          </w:p>
        </w:tc>
        <w:tc>
          <w:tcPr>
            <w:tcW w:w="320" w:type="dxa"/>
            <w:vAlign w:val="bottom"/>
          </w:tcPr>
          <w:p>
            <w:pPr>
              <w:spacing w:after="0"/>
              <w:rPr>
                <w:sz w:val="11"/>
                <w:szCs w:val="11"/>
                <w:color w:val="auto"/>
              </w:rPr>
            </w:pPr>
          </w:p>
        </w:tc>
        <w:tc>
          <w:tcPr>
            <w:tcW w:w="840" w:type="dxa"/>
            <w:vAlign w:val="bottom"/>
          </w:tcPr>
          <w:p>
            <w:pPr>
              <w:jc w:val="right"/>
              <w:spacing w:after="0" w:line="130" w:lineRule="exact"/>
              <w:rPr>
                <w:sz w:val="20"/>
                <w:szCs w:val="20"/>
                <w:color w:val="auto"/>
              </w:rPr>
            </w:pPr>
            <w:r>
              <w:rPr>
                <w:rFonts w:ascii="Arial" w:cs="Arial" w:eastAsia="Arial" w:hAnsi="Arial"/>
                <w:sz w:val="14"/>
                <w:szCs w:val="14"/>
                <w:color w:val="auto"/>
              </w:rPr>
              <w:t>3,057,500</w:t>
            </w:r>
          </w:p>
        </w:tc>
        <w:tc>
          <w:tcPr>
            <w:tcW w:w="240" w:type="dxa"/>
            <w:vAlign w:val="bottom"/>
          </w:tcPr>
          <w:p>
            <w:pPr>
              <w:spacing w:after="0"/>
              <w:rPr>
                <w:sz w:val="11"/>
                <w:szCs w:val="11"/>
                <w:color w:val="auto"/>
              </w:rPr>
            </w:pPr>
          </w:p>
        </w:tc>
        <w:tc>
          <w:tcPr>
            <w:tcW w:w="90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7,539,320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80" w:type="dxa"/>
            <w:vAlign w:val="bottom"/>
            <w:gridSpan w:val="2"/>
          </w:tcPr>
          <w:p>
            <w:pPr>
              <w:ind w:left="140"/>
              <w:spacing w:after="0"/>
              <w:rPr>
                <w:sz w:val="20"/>
                <w:szCs w:val="20"/>
                <w:color w:val="auto"/>
              </w:rPr>
            </w:pPr>
            <w:r>
              <w:rPr>
                <w:rFonts w:ascii="Arial" w:cs="Arial" w:eastAsia="Arial" w:hAnsi="Arial"/>
                <w:sz w:val="14"/>
                <w:szCs w:val="14"/>
                <w:color w:val="auto"/>
              </w:rPr>
              <w:t>LLC)</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9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Magnum Hunter Resources Corporation (Warrants)(Eureka</w:t>
            </w:r>
          </w:p>
        </w:tc>
        <w:tc>
          <w:tcPr>
            <w:tcW w:w="6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1"/>
              </w:rPr>
              <w:t>10/14/2013</w:t>
            </w:r>
          </w:p>
        </w:tc>
        <w:tc>
          <w:tcPr>
            <w:tcW w:w="180" w:type="dxa"/>
            <w:vAlign w:val="bottom"/>
            <w:shd w:val="clear" w:color="auto" w:fill="CCEEFF"/>
          </w:tcPr>
          <w:p>
            <w:pPr>
              <w:spacing w:after="0"/>
              <w:rPr>
                <w:sz w:val="11"/>
                <w:szCs w:val="11"/>
                <w:color w:val="auto"/>
              </w:rPr>
            </w:pPr>
          </w:p>
        </w:tc>
        <w:tc>
          <w:tcPr>
            <w:tcW w:w="156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91"/>
              </w:rPr>
              <w:t>Oil and Gas</w:t>
            </w:r>
          </w:p>
        </w:tc>
        <w:tc>
          <w:tcPr>
            <w:tcW w:w="108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122,193</w:t>
            </w:r>
          </w:p>
        </w:tc>
        <w:tc>
          <w:tcPr>
            <w:tcW w:w="840" w:type="dxa"/>
            <w:vAlign w:val="bottom"/>
            <w:tcBorders>
              <w:right w:val="single" w:sz="8" w:color="CCEEFF"/>
            </w:tcBorders>
            <w:shd w:val="clear" w:color="auto" w:fill="CCEEFF"/>
          </w:tcPr>
          <w:p>
            <w:pPr>
              <w:jc w:val="right"/>
              <w:spacing w:after="0" w:line="130" w:lineRule="exact"/>
              <w:rPr>
                <w:sz w:val="20"/>
                <w:szCs w:val="20"/>
                <w:color w:val="auto"/>
              </w:rPr>
            </w:pPr>
            <w:r>
              <w:rPr>
                <w:rFonts w:ascii="Arial" w:cs="Arial" w:eastAsia="Arial" w:hAnsi="Arial"/>
                <w:sz w:val="14"/>
                <w:szCs w:val="14"/>
                <w:color w:val="auto"/>
              </w:rPr>
              <w:t>105,697</w:t>
            </w:r>
          </w:p>
        </w:tc>
        <w:tc>
          <w:tcPr>
            <w:tcW w:w="2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ind w:left="600"/>
              <w:spacing w:after="0" w:line="13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Hunter Pipeline, LLC)</w:t>
            </w: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4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980" w:type="dxa"/>
            <w:vAlign w:val="bottom"/>
            <w:gridSpan w:val="2"/>
          </w:tcPr>
          <w:p>
            <w:pPr>
              <w:spacing w:after="0" w:line="130" w:lineRule="exact"/>
              <w:rPr>
                <w:sz w:val="20"/>
                <w:szCs w:val="20"/>
                <w:color w:val="auto"/>
              </w:rPr>
            </w:pPr>
            <w:r>
              <w:rPr>
                <w:rFonts w:ascii="Arial" w:cs="Arial" w:eastAsia="Arial" w:hAnsi="Arial"/>
                <w:sz w:val="14"/>
                <w:szCs w:val="14"/>
                <w:color w:val="auto"/>
              </w:rPr>
              <w:t>Magnum Hunter Resources Corporation (Warrants)(Eureka</w:t>
            </w:r>
          </w:p>
        </w:tc>
        <w:tc>
          <w:tcPr>
            <w:tcW w:w="660" w:type="dxa"/>
            <w:vAlign w:val="bottom"/>
          </w:tcPr>
          <w:p>
            <w:pPr>
              <w:spacing w:after="0" w:line="130" w:lineRule="exact"/>
              <w:rPr>
                <w:sz w:val="20"/>
                <w:szCs w:val="20"/>
                <w:color w:val="auto"/>
              </w:rPr>
            </w:pPr>
            <w:r>
              <w:rPr>
                <w:rFonts w:ascii="Arial" w:cs="Arial" w:eastAsia="Arial" w:hAnsi="Arial"/>
                <w:sz w:val="14"/>
                <w:szCs w:val="14"/>
                <w:color w:val="auto"/>
                <w:w w:val="91"/>
              </w:rPr>
              <w:t>04/16/2016</w:t>
            </w:r>
          </w:p>
        </w:tc>
        <w:tc>
          <w:tcPr>
            <w:tcW w:w="180" w:type="dxa"/>
            <w:vAlign w:val="bottom"/>
          </w:tcPr>
          <w:p>
            <w:pPr>
              <w:spacing w:after="0"/>
              <w:rPr>
                <w:sz w:val="11"/>
                <w:szCs w:val="11"/>
                <w:color w:val="auto"/>
              </w:rPr>
            </w:pPr>
          </w:p>
        </w:tc>
        <w:tc>
          <w:tcPr>
            <w:tcW w:w="156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91"/>
              </w:rPr>
              <w:t>Oil and Gas</w:t>
            </w:r>
          </w:p>
        </w:tc>
        <w:tc>
          <w:tcPr>
            <w:tcW w:w="108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rPr>
              <w:t>122,193</w:t>
            </w:r>
          </w:p>
        </w:tc>
        <w:tc>
          <w:tcPr>
            <w:tcW w:w="840" w:type="dxa"/>
            <w:vAlign w:val="bottom"/>
          </w:tcPr>
          <w:p>
            <w:pPr>
              <w:jc w:val="right"/>
              <w:spacing w:after="0" w:line="130" w:lineRule="exact"/>
              <w:rPr>
                <w:sz w:val="20"/>
                <w:szCs w:val="20"/>
                <w:color w:val="auto"/>
              </w:rPr>
            </w:pPr>
            <w:r>
              <w:rPr>
                <w:rFonts w:ascii="Arial" w:cs="Arial" w:eastAsia="Arial" w:hAnsi="Arial"/>
                <w:sz w:val="14"/>
                <w:szCs w:val="14"/>
                <w:color w:val="auto"/>
              </w:rPr>
              <w:t>182,499</w:t>
            </w:r>
          </w:p>
        </w:tc>
        <w:tc>
          <w:tcPr>
            <w:tcW w:w="240" w:type="dxa"/>
            <w:vAlign w:val="bottom"/>
          </w:tcPr>
          <w:p>
            <w:pPr>
              <w:spacing w:after="0"/>
              <w:rPr>
                <w:sz w:val="11"/>
                <w:szCs w:val="11"/>
                <w:color w:val="auto"/>
              </w:rPr>
            </w:pPr>
          </w:p>
        </w:tc>
        <w:tc>
          <w:tcPr>
            <w:tcW w:w="90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205,667</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80" w:type="dxa"/>
            <w:vAlign w:val="bottom"/>
            <w:gridSpan w:val="2"/>
          </w:tcPr>
          <w:p>
            <w:pPr>
              <w:ind w:left="140"/>
              <w:spacing w:after="0"/>
              <w:rPr>
                <w:sz w:val="20"/>
                <w:szCs w:val="20"/>
                <w:color w:val="auto"/>
              </w:rPr>
            </w:pPr>
            <w:r>
              <w:rPr>
                <w:rFonts w:ascii="Arial" w:cs="Arial" w:eastAsia="Arial" w:hAnsi="Arial"/>
                <w:sz w:val="14"/>
                <w:szCs w:val="14"/>
                <w:color w:val="auto"/>
              </w:rPr>
              <w:t>Hunter Pipeline, LLC)</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9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MidOcean JF Holdings Corp.</w:t>
            </w:r>
          </w:p>
        </w:tc>
        <w:tc>
          <w:tcPr>
            <w:tcW w:w="840" w:type="dxa"/>
            <w:vAlign w:val="bottom"/>
            <w:gridSpan w:val="2"/>
            <w:shd w:val="clear" w:color="auto" w:fill="CCEEFF"/>
          </w:tcPr>
          <w:p>
            <w:pPr>
              <w:ind w:left="220"/>
              <w:spacing w:after="0" w:line="130" w:lineRule="exact"/>
              <w:rPr>
                <w:sz w:val="20"/>
                <w:szCs w:val="20"/>
                <w:color w:val="auto"/>
              </w:rPr>
            </w:pPr>
            <w:r>
              <w:rPr>
                <w:rFonts w:ascii="Arial" w:cs="Arial" w:eastAsia="Arial" w:hAnsi="Arial"/>
                <w:sz w:val="14"/>
                <w:szCs w:val="14"/>
                <w:color w:val="auto"/>
              </w:rPr>
              <w:t>—</w:t>
            </w:r>
          </w:p>
        </w:tc>
        <w:tc>
          <w:tcPr>
            <w:tcW w:w="156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97"/>
              </w:rPr>
              <w:t>Distribution</w:t>
            </w:r>
          </w:p>
        </w:tc>
        <w:tc>
          <w:tcPr>
            <w:tcW w:w="108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1,850</w:t>
            </w:r>
          </w:p>
        </w:tc>
        <w:tc>
          <w:tcPr>
            <w:tcW w:w="840" w:type="dxa"/>
            <w:vAlign w:val="bottom"/>
            <w:tcBorders>
              <w:right w:val="single" w:sz="8" w:color="CCEEFF"/>
            </w:tcBorders>
            <w:shd w:val="clear" w:color="auto" w:fill="CCEEFF"/>
          </w:tcPr>
          <w:p>
            <w:pPr>
              <w:jc w:val="right"/>
              <w:spacing w:after="0" w:line="130" w:lineRule="exact"/>
              <w:rPr>
                <w:sz w:val="20"/>
                <w:szCs w:val="20"/>
                <w:color w:val="auto"/>
              </w:rPr>
            </w:pPr>
            <w:r>
              <w:rPr>
                <w:rFonts w:ascii="Arial" w:cs="Arial" w:eastAsia="Arial" w:hAnsi="Arial"/>
                <w:sz w:val="14"/>
                <w:szCs w:val="14"/>
                <w:color w:val="auto"/>
              </w:rPr>
              <w:t>1,850,294</w:t>
            </w:r>
          </w:p>
        </w:tc>
        <w:tc>
          <w:tcPr>
            <w:tcW w:w="2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1,845,784</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9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(JF Acquisition, LLC)</w:t>
            </w: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tcBorders>
              <w:right w:val="single" w:sz="8" w:color="CCEEFF"/>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980" w:type="dxa"/>
            <w:vAlign w:val="bottom"/>
            <w:gridSpan w:val="2"/>
          </w:tcPr>
          <w:p>
            <w:pPr>
              <w:spacing w:after="0" w:line="130" w:lineRule="exact"/>
              <w:rPr>
                <w:sz w:val="20"/>
                <w:szCs w:val="20"/>
                <w:color w:val="auto"/>
              </w:rPr>
            </w:pPr>
            <w:r>
              <w:rPr>
                <w:rFonts w:ascii="Arial" w:cs="Arial" w:eastAsia="Arial" w:hAnsi="Arial"/>
                <w:sz w:val="14"/>
                <w:szCs w:val="14"/>
                <w:color w:val="auto"/>
              </w:rPr>
              <w:t>MidOcean PPL Holdings, Corp.</w:t>
            </w:r>
          </w:p>
        </w:tc>
        <w:tc>
          <w:tcPr>
            <w:tcW w:w="840" w:type="dxa"/>
            <w:vAlign w:val="bottom"/>
            <w:gridSpan w:val="2"/>
          </w:tcPr>
          <w:p>
            <w:pPr>
              <w:ind w:left="220"/>
              <w:spacing w:after="0" w:line="130" w:lineRule="exact"/>
              <w:rPr>
                <w:sz w:val="20"/>
                <w:szCs w:val="20"/>
                <w:color w:val="auto"/>
              </w:rPr>
            </w:pPr>
            <w:r>
              <w:rPr>
                <w:rFonts w:ascii="Arial" w:cs="Arial" w:eastAsia="Arial" w:hAnsi="Arial"/>
                <w:sz w:val="14"/>
                <w:szCs w:val="14"/>
                <w:color w:val="auto"/>
              </w:rPr>
              <w:t>—</w:t>
            </w:r>
          </w:p>
        </w:tc>
        <w:tc>
          <w:tcPr>
            <w:tcW w:w="156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91"/>
              </w:rPr>
              <w:t>Personal, Food and</w:t>
            </w:r>
          </w:p>
        </w:tc>
        <w:tc>
          <w:tcPr>
            <w:tcW w:w="108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rPr>
              <w:t>3,000</w:t>
            </w:r>
          </w:p>
        </w:tc>
        <w:tc>
          <w:tcPr>
            <w:tcW w:w="840" w:type="dxa"/>
            <w:vAlign w:val="bottom"/>
          </w:tcPr>
          <w:p>
            <w:pPr>
              <w:jc w:val="right"/>
              <w:spacing w:after="0" w:line="130" w:lineRule="exact"/>
              <w:rPr>
                <w:sz w:val="20"/>
                <w:szCs w:val="20"/>
                <w:color w:val="auto"/>
              </w:rPr>
            </w:pPr>
            <w:r>
              <w:rPr>
                <w:rFonts w:ascii="Arial" w:cs="Arial" w:eastAsia="Arial" w:hAnsi="Arial"/>
                <w:sz w:val="14"/>
                <w:szCs w:val="14"/>
                <w:color w:val="auto"/>
              </w:rPr>
              <w:t>3,000,000</w:t>
            </w:r>
          </w:p>
        </w:tc>
        <w:tc>
          <w:tcPr>
            <w:tcW w:w="240" w:type="dxa"/>
            <w:vAlign w:val="bottom"/>
          </w:tcPr>
          <w:p>
            <w:pPr>
              <w:spacing w:after="0"/>
              <w:rPr>
                <w:sz w:val="11"/>
                <w:szCs w:val="11"/>
                <w:color w:val="auto"/>
              </w:rPr>
            </w:pPr>
          </w:p>
        </w:tc>
        <w:tc>
          <w:tcPr>
            <w:tcW w:w="90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5,441,976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980" w:type="dxa"/>
            <w:vAlign w:val="bottom"/>
            <w:gridSpan w:val="2"/>
          </w:tcPr>
          <w:p>
            <w:pPr>
              <w:ind w:left="140"/>
              <w:spacing w:after="0"/>
              <w:rPr>
                <w:sz w:val="20"/>
                <w:szCs w:val="20"/>
                <w:color w:val="auto"/>
              </w:rPr>
            </w:pPr>
            <w:r>
              <w:rPr>
                <w:rFonts w:ascii="Arial" w:cs="Arial" w:eastAsia="Arial" w:hAnsi="Arial"/>
                <w:sz w:val="14"/>
                <w:szCs w:val="14"/>
                <w:color w:val="auto"/>
              </w:rPr>
              <w:t>(Pre-Paid Legal Services, Inc.)</w:t>
            </w: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gridSpan w:val="2"/>
          </w:tcPr>
          <w:p>
            <w:pPr>
              <w:jc w:val="center"/>
              <w:ind w:right="160"/>
              <w:spacing w:after="0"/>
              <w:rPr>
                <w:sz w:val="20"/>
                <w:szCs w:val="20"/>
                <w:color w:val="auto"/>
              </w:rPr>
            </w:pPr>
            <w:r>
              <w:rPr>
                <w:rFonts w:ascii="Arial" w:cs="Arial" w:eastAsia="Arial" w:hAnsi="Arial"/>
                <w:sz w:val="14"/>
                <w:szCs w:val="14"/>
                <w:color w:val="auto"/>
                <w:w w:val="92"/>
              </w:rPr>
              <w:t>Miscellaneous Services</w:t>
            </w:r>
          </w:p>
        </w:tc>
        <w:tc>
          <w:tcPr>
            <w:tcW w:w="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9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Paradigm Acquisition Corp.</w:t>
            </w:r>
          </w:p>
        </w:tc>
        <w:tc>
          <w:tcPr>
            <w:tcW w:w="840" w:type="dxa"/>
            <w:vAlign w:val="bottom"/>
            <w:gridSpan w:val="2"/>
            <w:shd w:val="clear" w:color="auto" w:fill="CCEEFF"/>
          </w:tcPr>
          <w:p>
            <w:pPr>
              <w:ind w:left="220"/>
              <w:spacing w:after="0" w:line="130" w:lineRule="exact"/>
              <w:rPr>
                <w:sz w:val="20"/>
                <w:szCs w:val="20"/>
                <w:color w:val="auto"/>
              </w:rPr>
            </w:pPr>
            <w:r>
              <w:rPr>
                <w:rFonts w:ascii="Arial" w:cs="Arial" w:eastAsia="Arial" w:hAnsi="Arial"/>
                <w:sz w:val="14"/>
                <w:szCs w:val="14"/>
                <w:color w:val="auto"/>
              </w:rPr>
              <w:t>—</w:t>
            </w:r>
          </w:p>
        </w:tc>
        <w:tc>
          <w:tcPr>
            <w:tcW w:w="156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92"/>
              </w:rPr>
              <w:t>Healthcare, Education</w:t>
            </w:r>
          </w:p>
        </w:tc>
        <w:tc>
          <w:tcPr>
            <w:tcW w:w="108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20,000</w:t>
            </w:r>
          </w:p>
        </w:tc>
        <w:tc>
          <w:tcPr>
            <w:tcW w:w="840" w:type="dxa"/>
            <w:vAlign w:val="bottom"/>
            <w:tcBorders>
              <w:right w:val="single" w:sz="8" w:color="CCEEFF"/>
            </w:tcBorders>
            <w:shd w:val="clear" w:color="auto" w:fill="CCEEFF"/>
          </w:tcPr>
          <w:p>
            <w:pPr>
              <w:jc w:val="right"/>
              <w:spacing w:after="0" w:line="130" w:lineRule="exact"/>
              <w:rPr>
                <w:sz w:val="20"/>
                <w:szCs w:val="20"/>
                <w:color w:val="auto"/>
              </w:rPr>
            </w:pPr>
            <w:r>
              <w:rPr>
                <w:rFonts w:ascii="Arial" w:cs="Arial" w:eastAsia="Arial" w:hAnsi="Arial"/>
                <w:sz w:val="14"/>
                <w:szCs w:val="14"/>
                <w:color w:val="auto"/>
              </w:rPr>
              <w:t>2,000,000</w:t>
            </w:r>
          </w:p>
        </w:tc>
        <w:tc>
          <w:tcPr>
            <w:tcW w:w="2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3,720,481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2"/>
              </w:rPr>
              <w:t>and Childcare</w:t>
            </w:r>
          </w:p>
        </w:tc>
        <w:tc>
          <w:tcPr>
            <w:tcW w:w="7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4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tcPr>
          <w:p>
            <w:pPr>
              <w:spacing w:after="0" w:line="149" w:lineRule="exact"/>
              <w:rPr>
                <w:sz w:val="20"/>
                <w:szCs w:val="20"/>
                <w:color w:val="auto"/>
              </w:rPr>
            </w:pPr>
            <w:r>
              <w:rPr>
                <w:rFonts w:ascii="Arial" w:cs="Arial" w:eastAsia="Arial" w:hAnsi="Arial"/>
                <w:sz w:val="14"/>
                <w:szCs w:val="14"/>
                <w:color w:val="auto"/>
              </w:rPr>
              <w:t>QMG HoldCo, LLC, Class A (Questex Media Group, LLC)</w:t>
            </w:r>
          </w:p>
        </w:tc>
        <w:tc>
          <w:tcPr>
            <w:tcW w:w="8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156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3"/>
              </w:rPr>
              <w:t>Other Media</w:t>
            </w:r>
          </w:p>
        </w:tc>
        <w:tc>
          <w:tcPr>
            <w:tcW w:w="108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4,325</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1,306,167</w:t>
            </w:r>
          </w:p>
        </w:tc>
        <w:tc>
          <w:tcPr>
            <w:tcW w:w="24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2,073,419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QMG HoldCo, LLC, Class B (Questex Media Group, LLC)</w:t>
            </w:r>
          </w:p>
        </w:tc>
        <w:tc>
          <w:tcPr>
            <w:tcW w:w="8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56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3"/>
              </w:rPr>
              <w:t>Other Media</w:t>
            </w:r>
          </w:p>
        </w:tc>
        <w:tc>
          <w:tcPr>
            <w:tcW w:w="108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531</w:t>
            </w:r>
          </w:p>
        </w:tc>
        <w:tc>
          <w:tcPr>
            <w:tcW w:w="3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254,563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980" w:type="dxa"/>
            <w:vAlign w:val="bottom"/>
            <w:gridSpan w:val="2"/>
          </w:tcPr>
          <w:p>
            <w:pPr>
              <w:spacing w:after="0" w:line="130" w:lineRule="exact"/>
              <w:rPr>
                <w:sz w:val="20"/>
                <w:szCs w:val="20"/>
                <w:color w:val="auto"/>
              </w:rPr>
            </w:pPr>
            <w:r>
              <w:rPr>
                <w:rFonts w:ascii="Arial" w:cs="Arial" w:eastAsia="Arial" w:hAnsi="Arial"/>
                <w:sz w:val="14"/>
                <w:szCs w:val="14"/>
                <w:color w:val="auto"/>
              </w:rPr>
              <w:t>SPG Boyd Holdings Corp. (LTI Flexible Products, Inc.)</w:t>
            </w:r>
          </w:p>
        </w:tc>
        <w:tc>
          <w:tcPr>
            <w:tcW w:w="840" w:type="dxa"/>
            <w:vAlign w:val="bottom"/>
            <w:gridSpan w:val="2"/>
          </w:tcPr>
          <w:p>
            <w:pPr>
              <w:ind w:left="220"/>
              <w:spacing w:after="0" w:line="130" w:lineRule="exact"/>
              <w:rPr>
                <w:sz w:val="20"/>
                <w:szCs w:val="20"/>
                <w:color w:val="auto"/>
              </w:rPr>
            </w:pPr>
            <w:r>
              <w:rPr>
                <w:rFonts w:ascii="Arial" w:cs="Arial" w:eastAsia="Arial" w:hAnsi="Arial"/>
                <w:sz w:val="14"/>
                <w:szCs w:val="14"/>
                <w:color w:val="auto"/>
              </w:rPr>
              <w:t>—</w:t>
            </w:r>
          </w:p>
        </w:tc>
        <w:tc>
          <w:tcPr>
            <w:tcW w:w="156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92"/>
              </w:rPr>
              <w:t>Chemical, Plastic and</w:t>
            </w:r>
          </w:p>
        </w:tc>
        <w:tc>
          <w:tcPr>
            <w:tcW w:w="108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rPr>
              <w:t>300,000</w:t>
            </w:r>
          </w:p>
        </w:tc>
        <w:tc>
          <w:tcPr>
            <w:tcW w:w="840" w:type="dxa"/>
            <w:vAlign w:val="bottom"/>
          </w:tcPr>
          <w:p>
            <w:pPr>
              <w:jc w:val="right"/>
              <w:spacing w:after="0" w:line="130" w:lineRule="exact"/>
              <w:rPr>
                <w:sz w:val="20"/>
                <w:szCs w:val="20"/>
                <w:color w:val="auto"/>
              </w:rPr>
            </w:pPr>
            <w:r>
              <w:rPr>
                <w:rFonts w:ascii="Arial" w:cs="Arial" w:eastAsia="Arial" w:hAnsi="Arial"/>
                <w:sz w:val="14"/>
                <w:szCs w:val="14"/>
                <w:color w:val="auto"/>
              </w:rPr>
              <w:t>3,000,000</w:t>
            </w:r>
          </w:p>
        </w:tc>
        <w:tc>
          <w:tcPr>
            <w:tcW w:w="240" w:type="dxa"/>
            <w:vAlign w:val="bottom"/>
          </w:tcPr>
          <w:p>
            <w:pPr>
              <w:spacing w:after="0"/>
              <w:rPr>
                <w:sz w:val="11"/>
                <w:szCs w:val="11"/>
                <w:color w:val="auto"/>
              </w:rPr>
            </w:pPr>
          </w:p>
        </w:tc>
        <w:tc>
          <w:tcPr>
            <w:tcW w:w="90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5,571,120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tcPr>
          <w:p>
            <w:pPr>
              <w:jc w:val="center"/>
              <w:ind w:right="160"/>
              <w:spacing w:after="0"/>
              <w:rPr>
                <w:sz w:val="20"/>
                <w:szCs w:val="20"/>
                <w:color w:val="auto"/>
              </w:rPr>
            </w:pPr>
            <w:r>
              <w:rPr>
                <w:rFonts w:ascii="Arial" w:cs="Arial" w:eastAsia="Arial" w:hAnsi="Arial"/>
                <w:sz w:val="14"/>
                <w:szCs w:val="14"/>
                <w:color w:val="auto"/>
                <w:w w:val="95"/>
              </w:rPr>
              <w:t>Rubber</w:t>
            </w: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TRAK Acquisition Corp. (Warrants)</w:t>
            </w:r>
          </w:p>
        </w:tc>
        <w:tc>
          <w:tcPr>
            <w:tcW w:w="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1"/>
              </w:rPr>
              <w:t>12/29/2019</w:t>
            </w:r>
          </w:p>
        </w:tc>
        <w:tc>
          <w:tcPr>
            <w:tcW w:w="18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0"/>
              </w:rPr>
              <w:t>Business Services</w:t>
            </w:r>
          </w:p>
        </w:tc>
        <w:tc>
          <w:tcPr>
            <w:tcW w:w="108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3,500</w:t>
            </w:r>
          </w:p>
        </w:tc>
        <w:tc>
          <w:tcPr>
            <w:tcW w:w="8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29,400</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606,681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980" w:type="dxa"/>
            <w:vAlign w:val="bottom"/>
            <w:gridSpan w:val="2"/>
          </w:tcPr>
          <w:p>
            <w:pPr>
              <w:spacing w:after="0" w:line="130" w:lineRule="exact"/>
              <w:rPr>
                <w:sz w:val="20"/>
                <w:szCs w:val="20"/>
                <w:color w:val="auto"/>
              </w:rPr>
            </w:pPr>
            <w:r>
              <w:rPr>
                <w:rFonts w:ascii="Arial" w:cs="Arial" w:eastAsia="Arial" w:hAnsi="Arial"/>
                <w:sz w:val="14"/>
                <w:szCs w:val="14"/>
                <w:color w:val="auto"/>
              </w:rPr>
              <w:t xml:space="preserve">Transportation 100 Holdco, L.L.C. </w:t>
            </w:r>
            <w:r>
              <w:rPr>
                <w:rFonts w:ascii="Arial" w:cs="Arial" w:eastAsia="Arial" w:hAnsi="Arial"/>
                <w:sz w:val="12"/>
                <w:szCs w:val="12"/>
                <w:color w:val="auto"/>
              </w:rPr>
              <w:t>(13)</w:t>
            </w:r>
            <w:r>
              <w:rPr>
                <w:rFonts w:ascii="Arial" w:cs="Arial" w:eastAsia="Arial" w:hAnsi="Arial"/>
                <w:sz w:val="14"/>
                <w:szCs w:val="14"/>
                <w:color w:val="auto"/>
              </w:rPr>
              <w:t xml:space="preserve"> (Intermediate</w:t>
            </w:r>
          </w:p>
        </w:tc>
        <w:tc>
          <w:tcPr>
            <w:tcW w:w="840" w:type="dxa"/>
            <w:vAlign w:val="bottom"/>
            <w:gridSpan w:val="2"/>
          </w:tcPr>
          <w:p>
            <w:pPr>
              <w:ind w:left="220"/>
              <w:spacing w:after="0" w:line="130" w:lineRule="exact"/>
              <w:rPr>
                <w:sz w:val="20"/>
                <w:szCs w:val="20"/>
                <w:color w:val="auto"/>
              </w:rPr>
            </w:pPr>
            <w:r>
              <w:rPr>
                <w:rFonts w:ascii="Arial" w:cs="Arial" w:eastAsia="Arial" w:hAnsi="Arial"/>
                <w:sz w:val="14"/>
                <w:szCs w:val="14"/>
                <w:color w:val="auto"/>
              </w:rPr>
              <w:t>—</w:t>
            </w:r>
          </w:p>
        </w:tc>
        <w:tc>
          <w:tcPr>
            <w:tcW w:w="1560" w:type="dxa"/>
            <w:vAlign w:val="bottom"/>
            <w:gridSpan w:val="2"/>
          </w:tcPr>
          <w:p>
            <w:pPr>
              <w:jc w:val="center"/>
              <w:ind w:right="180"/>
              <w:spacing w:after="0" w:line="130" w:lineRule="exact"/>
              <w:rPr>
                <w:sz w:val="20"/>
                <w:szCs w:val="20"/>
                <w:color w:val="auto"/>
              </w:rPr>
            </w:pPr>
            <w:r>
              <w:rPr>
                <w:rFonts w:ascii="Arial" w:cs="Arial" w:eastAsia="Arial" w:hAnsi="Arial"/>
                <w:sz w:val="14"/>
                <w:szCs w:val="14"/>
                <w:color w:val="auto"/>
                <w:w w:val="92"/>
              </w:rPr>
              <w:t>Cargo Transport</w:t>
            </w:r>
          </w:p>
        </w:tc>
        <w:tc>
          <w:tcPr>
            <w:tcW w:w="108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rPr>
              <w:t>137,923</w:t>
            </w:r>
          </w:p>
        </w:tc>
        <w:tc>
          <w:tcPr>
            <w:tcW w:w="840" w:type="dxa"/>
            <w:vAlign w:val="bottom"/>
          </w:tcPr>
          <w:p>
            <w:pPr>
              <w:jc w:val="right"/>
              <w:spacing w:after="0" w:line="130" w:lineRule="exact"/>
              <w:rPr>
                <w:sz w:val="20"/>
                <w:szCs w:val="20"/>
                <w:color w:val="auto"/>
              </w:rPr>
            </w:pPr>
            <w:r>
              <w:rPr>
                <w:rFonts w:ascii="Arial" w:cs="Arial" w:eastAsia="Arial" w:hAnsi="Arial"/>
                <w:sz w:val="14"/>
                <w:szCs w:val="14"/>
                <w:color w:val="auto"/>
              </w:rPr>
              <w:t>2,111,588</w:t>
            </w:r>
          </w:p>
        </w:tc>
        <w:tc>
          <w:tcPr>
            <w:tcW w:w="240" w:type="dxa"/>
            <w:vAlign w:val="bottom"/>
          </w:tcPr>
          <w:p>
            <w:pPr>
              <w:spacing w:after="0"/>
              <w:rPr>
                <w:sz w:val="11"/>
                <w:szCs w:val="11"/>
                <w:color w:val="auto"/>
              </w:rPr>
            </w:pPr>
          </w:p>
        </w:tc>
        <w:tc>
          <w:tcPr>
            <w:tcW w:w="90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379,453</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80" w:type="dxa"/>
            <w:vAlign w:val="bottom"/>
            <w:gridSpan w:val="2"/>
          </w:tcPr>
          <w:p>
            <w:pPr>
              <w:ind w:left="140"/>
              <w:spacing w:after="0"/>
              <w:rPr>
                <w:sz w:val="20"/>
                <w:szCs w:val="20"/>
                <w:color w:val="auto"/>
              </w:rPr>
            </w:pPr>
            <w:r>
              <w:rPr>
                <w:rFonts w:ascii="Arial" w:cs="Arial" w:eastAsia="Arial" w:hAnsi="Arial"/>
                <w:sz w:val="14"/>
                <w:szCs w:val="14"/>
                <w:color w:val="auto"/>
              </w:rPr>
              <w:t>Transportation 100, L.L.C.)</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TZ Holdings, L.P.</w:t>
            </w:r>
          </w:p>
        </w:tc>
        <w:tc>
          <w:tcPr>
            <w:tcW w:w="8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56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1"/>
              </w:rPr>
              <w:t>Insurance</w:t>
            </w:r>
          </w:p>
        </w:tc>
        <w:tc>
          <w:tcPr>
            <w:tcW w:w="108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320" w:type="dxa"/>
            <w:vAlign w:val="bottom"/>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9,567</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tcPr>
          <w:p>
            <w:pPr>
              <w:spacing w:after="0" w:line="149" w:lineRule="exact"/>
              <w:rPr>
                <w:sz w:val="20"/>
                <w:szCs w:val="20"/>
                <w:color w:val="auto"/>
              </w:rPr>
            </w:pPr>
            <w:r>
              <w:rPr>
                <w:rFonts w:ascii="Arial" w:cs="Arial" w:eastAsia="Arial" w:hAnsi="Arial"/>
                <w:sz w:val="14"/>
                <w:szCs w:val="14"/>
                <w:color w:val="auto"/>
              </w:rPr>
              <w:t>Vestcom Parent Holdings, Inc. (Vestcom International, Inc.)</w:t>
            </w:r>
          </w:p>
        </w:tc>
        <w:tc>
          <w:tcPr>
            <w:tcW w:w="8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156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4"/>
              </w:rPr>
              <w:t>Printing and Publishing</w:t>
            </w:r>
          </w:p>
        </w:tc>
        <w:tc>
          <w:tcPr>
            <w:tcW w:w="108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211,797</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2,325,555</w:t>
            </w:r>
          </w:p>
        </w:tc>
        <w:tc>
          <w:tcPr>
            <w:tcW w:w="24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2,626,512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VRide Holdings Inc.</w:t>
            </w:r>
          </w:p>
        </w:tc>
        <w:tc>
          <w:tcPr>
            <w:tcW w:w="8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56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1"/>
              </w:rPr>
              <w:t>Personal Transportation</w:t>
            </w:r>
          </w:p>
        </w:tc>
        <w:tc>
          <w:tcPr>
            <w:tcW w:w="108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9,166</w:t>
            </w:r>
          </w:p>
        </w:tc>
        <w:tc>
          <w:tcPr>
            <w:tcW w:w="8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9,166</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80" w:type="dxa"/>
            <w:vAlign w:val="bottom"/>
            <w:gridSpan w:val="2"/>
          </w:tcPr>
          <w:p>
            <w:pPr>
              <w:spacing w:after="0" w:line="149" w:lineRule="exact"/>
              <w:rPr>
                <w:sz w:val="20"/>
                <w:szCs w:val="20"/>
                <w:color w:val="auto"/>
              </w:rPr>
            </w:pPr>
            <w:r>
              <w:rPr>
                <w:rFonts w:ascii="Arial" w:cs="Arial" w:eastAsia="Arial" w:hAnsi="Arial"/>
                <w:sz w:val="14"/>
                <w:szCs w:val="14"/>
                <w:color w:val="auto"/>
              </w:rPr>
              <w:t>VText Holdings, Inc.</w:t>
            </w:r>
          </w:p>
        </w:tc>
        <w:tc>
          <w:tcPr>
            <w:tcW w:w="8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156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0"/>
              </w:rPr>
              <w:t>Business Services</w:t>
            </w:r>
          </w:p>
        </w:tc>
        <w:tc>
          <w:tcPr>
            <w:tcW w:w="108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35,526</w:t>
            </w: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4,050,000</w:t>
            </w:r>
          </w:p>
        </w:tc>
        <w:tc>
          <w:tcPr>
            <w:tcW w:w="240" w:type="dxa"/>
            <w:vAlign w:val="bottom"/>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5,966,074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Common Equity/Warrants/Partnership Interests</w:t>
            </w: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37,557,162</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70,472,831</w:t>
            </w:r>
          </w:p>
        </w:tc>
        <w:tc>
          <w:tcPr>
            <w:tcW w:w="0" w:type="dxa"/>
            <w:vAlign w:val="bottom"/>
          </w:tcPr>
          <w:p>
            <w:pPr>
              <w:spacing w:after="0"/>
              <w:rPr>
                <w:sz w:val="1"/>
                <w:szCs w:val="1"/>
                <w:color w:val="auto"/>
              </w:rPr>
            </w:pPr>
          </w:p>
        </w:tc>
      </w:tr>
      <w:tr>
        <w:trPr>
          <w:trHeight w:val="163"/>
        </w:trPr>
        <w:tc>
          <w:tcPr>
            <w:tcW w:w="4840" w:type="dxa"/>
            <w:vAlign w:val="bottom"/>
            <w:gridSpan w:val="5"/>
          </w:tcPr>
          <w:p>
            <w:pPr>
              <w:spacing w:after="0" w:line="155" w:lineRule="exact"/>
              <w:rPr>
                <w:sz w:val="20"/>
                <w:szCs w:val="20"/>
                <w:color w:val="auto"/>
              </w:rPr>
            </w:pPr>
            <w:r>
              <w:rPr>
                <w:rFonts w:ascii="Arial" w:cs="Arial" w:eastAsia="Arial" w:hAnsi="Arial"/>
                <w:sz w:val="14"/>
                <w:szCs w:val="14"/>
                <w:b w:val="1"/>
                <w:bCs w:val="1"/>
                <w:color w:val="auto"/>
              </w:rPr>
              <w:t>Total Investments in Non-Controlled, Non-Affiliated Portfolio Companies</w:t>
            </w: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928,078,589</w:t>
            </w:r>
          </w:p>
        </w:tc>
        <w:tc>
          <w:tcPr>
            <w:tcW w:w="240" w:type="dxa"/>
            <w:vAlign w:val="bottom"/>
          </w:tcPr>
          <w:p>
            <w:pPr>
              <w:spacing w:after="0"/>
              <w:rPr>
                <w:sz w:val="14"/>
                <w:szCs w:val="14"/>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968,471,042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5"/>
              </w:rPr>
              <w:t xml:space="preserve">Investments in Non-Controlled, Affiliated Portfolio Companies—11.0% </w:t>
            </w:r>
            <w:r>
              <w:rPr>
                <w:rFonts w:ascii="Arial" w:cs="Arial" w:eastAsia="Arial" w:hAnsi="Arial"/>
                <w:sz w:val="12"/>
                <w:szCs w:val="12"/>
                <w:b w:val="1"/>
                <w:bCs w:val="1"/>
                <w:color w:val="auto"/>
                <w:w w:val="95"/>
              </w:rPr>
              <w:t>(1),(2)</w:t>
            </w:r>
          </w:p>
        </w:tc>
        <w:tc>
          <w:tcPr>
            <w:tcW w:w="1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Subordinated Debt/Corporate Notes—5.7%</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9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DirectBuy Holdings, Inc.</w:t>
            </w:r>
          </w:p>
        </w:tc>
        <w:tc>
          <w:tcPr>
            <w:tcW w:w="66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w w:val="88"/>
              </w:rPr>
              <w:t>11/05/2019</w:t>
            </w:r>
          </w:p>
        </w:tc>
        <w:tc>
          <w:tcPr>
            <w:tcW w:w="180" w:type="dxa"/>
            <w:vAlign w:val="bottom"/>
            <w:shd w:val="clear" w:color="auto" w:fill="CCEEFF"/>
          </w:tcPr>
          <w:p>
            <w:pPr>
              <w:spacing w:after="0"/>
              <w:rPr>
                <w:sz w:val="11"/>
                <w:szCs w:val="11"/>
                <w:color w:val="auto"/>
              </w:rPr>
            </w:pPr>
          </w:p>
        </w:tc>
        <w:tc>
          <w:tcPr>
            <w:tcW w:w="156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90"/>
              </w:rPr>
              <w:t>Consumer Products</w:t>
            </w:r>
          </w:p>
        </w:tc>
        <w:tc>
          <w:tcPr>
            <w:tcW w:w="1080" w:type="dxa"/>
            <w:vAlign w:val="bottom"/>
            <w:gridSpan w:val="2"/>
            <w:shd w:val="clear" w:color="auto" w:fill="CCEEFF"/>
          </w:tcPr>
          <w:p>
            <w:pPr>
              <w:ind w:left="380"/>
              <w:spacing w:after="0" w:line="130" w:lineRule="exact"/>
              <w:rPr>
                <w:sz w:val="20"/>
                <w:szCs w:val="20"/>
                <w:color w:val="auto"/>
              </w:rPr>
            </w:pPr>
            <w:r>
              <w:rPr>
                <w:rFonts w:ascii="Arial" w:cs="Arial" w:eastAsia="Arial" w:hAnsi="Arial"/>
                <w:sz w:val="14"/>
                <w:szCs w:val="14"/>
                <w:color w:val="auto"/>
              </w:rPr>
              <w:t>12.00%</w:t>
            </w:r>
          </w:p>
        </w:tc>
        <w:tc>
          <w:tcPr>
            <w:tcW w:w="96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w w:val="94"/>
              </w:rPr>
              <w:t>11,428,224</w:t>
            </w:r>
          </w:p>
        </w:tc>
        <w:tc>
          <w:tcPr>
            <w:tcW w:w="840" w:type="dxa"/>
            <w:vAlign w:val="bottom"/>
            <w:tcBorders>
              <w:right w:val="single" w:sz="8" w:color="CCEEFF"/>
            </w:tcBorders>
            <w:shd w:val="clear" w:color="auto" w:fill="CCEEFF"/>
          </w:tcPr>
          <w:p>
            <w:pPr>
              <w:jc w:val="right"/>
              <w:spacing w:after="0" w:line="130" w:lineRule="exact"/>
              <w:rPr>
                <w:sz w:val="20"/>
                <w:szCs w:val="20"/>
                <w:color w:val="auto"/>
              </w:rPr>
            </w:pPr>
            <w:r>
              <w:rPr>
                <w:rFonts w:ascii="Arial" w:cs="Arial" w:eastAsia="Arial" w:hAnsi="Arial"/>
                <w:sz w:val="14"/>
                <w:szCs w:val="14"/>
                <w:color w:val="auto"/>
                <w:w w:val="93"/>
              </w:rPr>
              <w:t>$  11,428,224</w:t>
            </w:r>
          </w:p>
        </w:tc>
        <w:tc>
          <w:tcPr>
            <w:tcW w:w="2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w w:val="93"/>
              </w:rPr>
              <w:t>$  11,428,224</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(PIK 12.00%)</w:t>
            </w:r>
          </w:p>
        </w:tc>
        <w:tc>
          <w:tcPr>
            <w:tcW w:w="7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tcBorders>
              <w:right w:val="single" w:sz="8" w:color="CCEEFF"/>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80" w:type="dxa"/>
            <w:vAlign w:val="bottom"/>
            <w:gridSpan w:val="2"/>
          </w:tcPr>
          <w:p>
            <w:pPr>
              <w:spacing w:after="0" w:line="149" w:lineRule="exact"/>
              <w:rPr>
                <w:sz w:val="20"/>
                <w:szCs w:val="20"/>
                <w:color w:val="auto"/>
              </w:rPr>
            </w:pPr>
            <w:r>
              <w:rPr>
                <w:rFonts w:ascii="Arial" w:cs="Arial" w:eastAsia="Arial" w:hAnsi="Arial"/>
                <w:sz w:val="14"/>
                <w:szCs w:val="14"/>
                <w:color w:val="auto"/>
              </w:rPr>
              <w:t>Service Champ, Inc.</w:t>
            </w:r>
          </w:p>
        </w:tc>
        <w:tc>
          <w:tcPr>
            <w:tcW w:w="660" w:type="dxa"/>
            <w:vAlign w:val="bottom"/>
          </w:tcPr>
          <w:p>
            <w:pPr>
              <w:spacing w:after="0" w:line="149" w:lineRule="exact"/>
              <w:rPr>
                <w:sz w:val="20"/>
                <w:szCs w:val="20"/>
                <w:color w:val="auto"/>
              </w:rPr>
            </w:pPr>
            <w:r>
              <w:rPr>
                <w:rFonts w:ascii="Arial" w:cs="Arial" w:eastAsia="Arial" w:hAnsi="Arial"/>
                <w:sz w:val="14"/>
                <w:szCs w:val="14"/>
                <w:color w:val="auto"/>
                <w:w w:val="91"/>
              </w:rPr>
              <w:t>10/02/2017</w:t>
            </w:r>
          </w:p>
        </w:tc>
        <w:tc>
          <w:tcPr>
            <w:tcW w:w="180" w:type="dxa"/>
            <w:vAlign w:val="bottom"/>
          </w:tcPr>
          <w:p>
            <w:pPr>
              <w:spacing w:after="0"/>
              <w:rPr>
                <w:sz w:val="13"/>
                <w:szCs w:val="13"/>
                <w:color w:val="auto"/>
              </w:rPr>
            </w:pPr>
          </w:p>
        </w:tc>
        <w:tc>
          <w:tcPr>
            <w:tcW w:w="156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2"/>
              </w:rPr>
              <w:t>Auto Sector</w:t>
            </w:r>
          </w:p>
        </w:tc>
        <w:tc>
          <w:tcPr>
            <w:tcW w:w="108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12.50%</w:t>
            </w:r>
          </w:p>
        </w:tc>
        <w:tc>
          <w:tcPr>
            <w:tcW w:w="9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28,000,000</w:t>
            </w:r>
          </w:p>
        </w:tc>
        <w:tc>
          <w:tcPr>
            <w:tcW w:w="320" w:type="dxa"/>
            <w:vAlign w:val="bottom"/>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27,474,713</w:t>
            </w:r>
          </w:p>
        </w:tc>
        <w:tc>
          <w:tcPr>
            <w:tcW w:w="240" w:type="dxa"/>
            <w:vAlign w:val="bottom"/>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28,248,043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w:t>
            </w:r>
            <w:r>
              <w:rPr>
                <w:rFonts w:ascii="Arial" w:cs="Arial" w:eastAsia="Arial" w:hAnsi="Arial"/>
                <w:sz w:val="14"/>
                <w:szCs w:val="14"/>
                <w:b w:val="1"/>
                <w:bCs w:val="1"/>
                <w:color w:val="auto"/>
              </w:rPr>
              <w:t>otal Subordinated Debt/Corporate Notes</w:t>
            </w: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38,902,937</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39,676,267</w:t>
            </w:r>
          </w:p>
        </w:tc>
        <w:tc>
          <w:tcPr>
            <w:tcW w:w="0" w:type="dxa"/>
            <w:vAlign w:val="bottom"/>
          </w:tcPr>
          <w:p>
            <w:pPr>
              <w:spacing w:after="0"/>
              <w:rPr>
                <w:sz w:val="1"/>
                <w:szCs w:val="1"/>
                <w:color w:val="auto"/>
              </w:rPr>
            </w:pPr>
          </w:p>
        </w:tc>
      </w:tr>
      <w:tr>
        <w:trPr>
          <w:trHeight w:val="156"/>
        </w:trPr>
        <w:tc>
          <w:tcPr>
            <w:tcW w:w="40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Preferred Equity—0.2%</w:t>
            </w:r>
            <w:r>
              <w:rPr>
                <w:rFonts w:ascii="Arial" w:cs="Arial" w:eastAsia="Arial" w:hAnsi="Arial"/>
                <w:sz w:val="12"/>
                <w:szCs w:val="12"/>
                <w:b w:val="1"/>
                <w:bCs w:val="1"/>
                <w:color w:val="auto"/>
              </w:rPr>
              <w:t>(6)</w:t>
            </w: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PAS International Holdings, Inc.</w:t>
            </w:r>
          </w:p>
        </w:tc>
        <w:tc>
          <w:tcPr>
            <w:tcW w:w="8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56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0"/>
              </w:rPr>
              <w:t>Aerospace and Defense</w:t>
            </w:r>
          </w:p>
        </w:tc>
        <w:tc>
          <w:tcPr>
            <w:tcW w:w="108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53,071</w:t>
            </w:r>
          </w:p>
        </w:tc>
        <w:tc>
          <w:tcPr>
            <w:tcW w:w="8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20,059,340</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1,694,296</w:t>
            </w:r>
          </w:p>
        </w:tc>
        <w:tc>
          <w:tcPr>
            <w:tcW w:w="0" w:type="dxa"/>
            <w:vAlign w:val="bottom"/>
          </w:tcPr>
          <w:p>
            <w:pPr>
              <w:spacing w:after="0"/>
              <w:rPr>
                <w:sz w:val="1"/>
                <w:szCs w:val="1"/>
                <w:color w:val="auto"/>
              </w:rPr>
            </w:pPr>
          </w:p>
        </w:tc>
      </w:tr>
      <w:tr>
        <w:trPr>
          <w:trHeight w:val="156"/>
        </w:trPr>
        <w:tc>
          <w:tcPr>
            <w:tcW w:w="40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 xml:space="preserve">Common Equity/Partnership Interest—5.1% </w:t>
            </w:r>
            <w:r>
              <w:rPr>
                <w:rFonts w:ascii="Arial" w:cs="Arial" w:eastAsia="Arial" w:hAnsi="Arial"/>
                <w:sz w:val="12"/>
                <w:szCs w:val="12"/>
                <w:b w:val="1"/>
                <w:bCs w:val="1"/>
                <w:color w:val="auto"/>
              </w:rPr>
              <w:t>(6)</w:t>
            </w: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DirectBuy Holdings, Inc.</w:t>
            </w:r>
          </w:p>
        </w:tc>
        <w:tc>
          <w:tcPr>
            <w:tcW w:w="8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56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0"/>
              </w:rPr>
              <w:t>Consumer Products</w:t>
            </w:r>
          </w:p>
        </w:tc>
        <w:tc>
          <w:tcPr>
            <w:tcW w:w="108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104,719</w:t>
            </w:r>
          </w:p>
        </w:tc>
        <w:tc>
          <w:tcPr>
            <w:tcW w:w="8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21,492,822</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5,556,207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tcPr>
          <w:p>
            <w:pPr>
              <w:spacing w:after="0" w:line="149" w:lineRule="exact"/>
              <w:rPr>
                <w:sz w:val="20"/>
                <w:szCs w:val="20"/>
                <w:color w:val="auto"/>
              </w:rPr>
            </w:pPr>
            <w:r>
              <w:rPr>
                <w:rFonts w:ascii="Arial" w:cs="Arial" w:eastAsia="Arial" w:hAnsi="Arial"/>
                <w:sz w:val="14"/>
                <w:szCs w:val="14"/>
                <w:color w:val="auto"/>
              </w:rPr>
              <w:t>DirectBuy Holdings, Inc. (Warrants)</w:t>
            </w:r>
          </w:p>
        </w:tc>
        <w:tc>
          <w:tcPr>
            <w:tcW w:w="660" w:type="dxa"/>
            <w:vAlign w:val="bottom"/>
          </w:tcPr>
          <w:p>
            <w:pPr>
              <w:ind w:left="20"/>
              <w:spacing w:after="0" w:line="149" w:lineRule="exact"/>
              <w:rPr>
                <w:sz w:val="20"/>
                <w:szCs w:val="20"/>
                <w:color w:val="auto"/>
              </w:rPr>
            </w:pPr>
            <w:r>
              <w:rPr>
                <w:rFonts w:ascii="Arial" w:cs="Arial" w:eastAsia="Arial" w:hAnsi="Arial"/>
                <w:sz w:val="14"/>
                <w:szCs w:val="14"/>
                <w:color w:val="auto"/>
                <w:w w:val="88"/>
              </w:rPr>
              <w:t>11/05/2022</w:t>
            </w:r>
          </w:p>
        </w:tc>
        <w:tc>
          <w:tcPr>
            <w:tcW w:w="180" w:type="dxa"/>
            <w:vAlign w:val="bottom"/>
          </w:tcPr>
          <w:p>
            <w:pPr>
              <w:spacing w:after="0"/>
              <w:rPr>
                <w:sz w:val="12"/>
                <w:szCs w:val="12"/>
                <w:color w:val="auto"/>
              </w:rPr>
            </w:pPr>
          </w:p>
        </w:tc>
        <w:tc>
          <w:tcPr>
            <w:tcW w:w="156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0"/>
              </w:rPr>
              <w:t>Consumer Products</w:t>
            </w:r>
          </w:p>
        </w:tc>
        <w:tc>
          <w:tcPr>
            <w:tcW w:w="108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15,486</w:t>
            </w:r>
          </w:p>
        </w:tc>
        <w:tc>
          <w:tcPr>
            <w:tcW w:w="108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821,505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EnviroSolutions Holdings, Inc.</w:t>
            </w:r>
          </w:p>
        </w:tc>
        <w:tc>
          <w:tcPr>
            <w:tcW w:w="8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56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3"/>
              </w:rPr>
              <w:t>Environmental Services</w:t>
            </w:r>
          </w:p>
        </w:tc>
        <w:tc>
          <w:tcPr>
            <w:tcW w:w="108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142,684</w:t>
            </w:r>
          </w:p>
        </w:tc>
        <w:tc>
          <w:tcPr>
            <w:tcW w:w="8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11,891,822</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21,265,345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980" w:type="dxa"/>
            <w:vAlign w:val="bottom"/>
            <w:gridSpan w:val="2"/>
          </w:tcPr>
          <w:p>
            <w:pPr>
              <w:spacing w:after="0" w:line="130" w:lineRule="exact"/>
              <w:rPr>
                <w:sz w:val="20"/>
                <w:szCs w:val="20"/>
                <w:color w:val="auto"/>
              </w:rPr>
            </w:pPr>
            <w:r>
              <w:rPr>
                <w:rFonts w:ascii="Arial" w:cs="Arial" w:eastAsia="Arial" w:hAnsi="Arial"/>
                <w:sz w:val="14"/>
                <w:szCs w:val="14"/>
                <w:color w:val="auto"/>
              </w:rPr>
              <w:t>NCP-Performance</w:t>
            </w:r>
          </w:p>
        </w:tc>
        <w:tc>
          <w:tcPr>
            <w:tcW w:w="840" w:type="dxa"/>
            <w:vAlign w:val="bottom"/>
            <w:gridSpan w:val="2"/>
          </w:tcPr>
          <w:p>
            <w:pPr>
              <w:ind w:left="220"/>
              <w:spacing w:after="0" w:line="130" w:lineRule="exact"/>
              <w:rPr>
                <w:sz w:val="20"/>
                <w:szCs w:val="20"/>
                <w:color w:val="auto"/>
              </w:rPr>
            </w:pPr>
            <w:r>
              <w:rPr>
                <w:rFonts w:ascii="Arial" w:cs="Arial" w:eastAsia="Arial" w:hAnsi="Arial"/>
                <w:sz w:val="14"/>
                <w:szCs w:val="14"/>
                <w:color w:val="auto"/>
              </w:rPr>
              <w:t>—</w:t>
            </w:r>
          </w:p>
        </w:tc>
        <w:tc>
          <w:tcPr>
            <w:tcW w:w="156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93"/>
              </w:rPr>
              <w:t>Leisure, Amusement,</w:t>
            </w:r>
          </w:p>
        </w:tc>
        <w:tc>
          <w:tcPr>
            <w:tcW w:w="108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rPr>
              <w:t>375,000</w:t>
            </w:r>
          </w:p>
        </w:tc>
        <w:tc>
          <w:tcPr>
            <w:tcW w:w="840" w:type="dxa"/>
            <w:vAlign w:val="bottom"/>
          </w:tcPr>
          <w:p>
            <w:pPr>
              <w:jc w:val="right"/>
              <w:spacing w:after="0" w:line="130" w:lineRule="exact"/>
              <w:rPr>
                <w:sz w:val="20"/>
                <w:szCs w:val="20"/>
                <w:color w:val="auto"/>
              </w:rPr>
            </w:pPr>
            <w:r>
              <w:rPr>
                <w:rFonts w:ascii="Arial" w:cs="Arial" w:eastAsia="Arial" w:hAnsi="Arial"/>
                <w:sz w:val="14"/>
                <w:szCs w:val="14"/>
                <w:color w:val="auto"/>
              </w:rPr>
              <w:t>3,750,000</w:t>
            </w:r>
          </w:p>
        </w:tc>
        <w:tc>
          <w:tcPr>
            <w:tcW w:w="240" w:type="dxa"/>
            <w:vAlign w:val="bottom"/>
          </w:tcPr>
          <w:p>
            <w:pPr>
              <w:spacing w:after="0"/>
              <w:rPr>
                <w:sz w:val="11"/>
                <w:szCs w:val="11"/>
                <w:color w:val="auto"/>
              </w:rPr>
            </w:pPr>
          </w:p>
        </w:tc>
        <w:tc>
          <w:tcPr>
            <w:tcW w:w="90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2,500,165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5"/>
              </w:rPr>
              <w:t>Motion Pictures</w:t>
            </w: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gridSpan w:val="2"/>
          </w:tcPr>
          <w:p>
            <w:pPr>
              <w:jc w:val="center"/>
              <w:ind w:right="180"/>
              <w:spacing w:after="0"/>
              <w:rPr>
                <w:sz w:val="20"/>
                <w:szCs w:val="20"/>
                <w:color w:val="auto"/>
              </w:rPr>
            </w:pPr>
            <w:r>
              <w:rPr>
                <w:rFonts w:ascii="Arial" w:cs="Arial" w:eastAsia="Arial" w:hAnsi="Arial"/>
                <w:sz w:val="14"/>
                <w:szCs w:val="14"/>
                <w:color w:val="auto"/>
                <w:w w:val="92"/>
              </w:rPr>
              <w:t>and Entertainment</w:t>
            </w:r>
          </w:p>
        </w:tc>
        <w:tc>
          <w:tcPr>
            <w:tcW w:w="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New Service Champ Holdings, Inc. (Service Champ, Inc.)</w:t>
            </w:r>
          </w:p>
        </w:tc>
        <w:tc>
          <w:tcPr>
            <w:tcW w:w="8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56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2"/>
              </w:rPr>
              <w:t>Auto Sector</w:t>
            </w:r>
          </w:p>
        </w:tc>
        <w:tc>
          <w:tcPr>
            <w:tcW w:w="108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16,800</w:t>
            </w:r>
          </w:p>
        </w:tc>
        <w:tc>
          <w:tcPr>
            <w:tcW w:w="8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2,721,600</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5,222,015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80" w:type="dxa"/>
            <w:vAlign w:val="bottom"/>
            <w:gridSpan w:val="2"/>
          </w:tcPr>
          <w:p>
            <w:pPr>
              <w:spacing w:after="0" w:line="149" w:lineRule="exact"/>
              <w:rPr>
                <w:sz w:val="20"/>
                <w:szCs w:val="20"/>
                <w:color w:val="auto"/>
              </w:rPr>
            </w:pPr>
            <w:r>
              <w:rPr>
                <w:rFonts w:ascii="Arial" w:cs="Arial" w:eastAsia="Arial" w:hAnsi="Arial"/>
                <w:sz w:val="14"/>
                <w:szCs w:val="14"/>
                <w:color w:val="auto"/>
              </w:rPr>
              <w:t>PAS International Holdings, Inc.</w:t>
            </w:r>
          </w:p>
        </w:tc>
        <w:tc>
          <w:tcPr>
            <w:tcW w:w="8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156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0"/>
              </w:rPr>
              <w:t>Aerospace and Defense</w:t>
            </w:r>
          </w:p>
        </w:tc>
        <w:tc>
          <w:tcPr>
            <w:tcW w:w="108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53,071</w:t>
            </w: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202,620</w:t>
            </w:r>
          </w:p>
        </w:tc>
        <w:tc>
          <w:tcPr>
            <w:tcW w:w="240" w:type="dxa"/>
            <w:vAlign w:val="bottom"/>
          </w:tcPr>
          <w:p>
            <w:pPr>
              <w:spacing w:after="0"/>
              <w:rPr>
                <w:sz w:val="13"/>
                <w:szCs w:val="13"/>
                <w:color w:val="auto"/>
              </w:rPr>
            </w:pPr>
          </w:p>
        </w:tc>
        <w:tc>
          <w:tcPr>
            <w:tcW w:w="820" w:type="dxa"/>
            <w:vAlign w:val="bottom"/>
            <w:tcBorders>
              <w:bottom w:val="single" w:sz="8" w:color="auto"/>
            </w:tcBorders>
          </w:tcPr>
          <w:p>
            <w:pPr>
              <w:ind w:left="6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Common Equity/Partnership Interest</w:t>
            </w: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40,058,864</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35,365,237</w:t>
            </w:r>
          </w:p>
        </w:tc>
        <w:tc>
          <w:tcPr>
            <w:tcW w:w="0" w:type="dxa"/>
            <w:vAlign w:val="bottom"/>
          </w:tcPr>
          <w:p>
            <w:pPr>
              <w:spacing w:after="0"/>
              <w:rPr>
                <w:sz w:val="1"/>
                <w:szCs w:val="1"/>
                <w:color w:val="auto"/>
              </w:rPr>
            </w:pPr>
          </w:p>
        </w:tc>
      </w:tr>
      <w:tr>
        <w:trPr>
          <w:trHeight w:val="156"/>
        </w:trPr>
        <w:tc>
          <w:tcPr>
            <w:tcW w:w="4840" w:type="dxa"/>
            <w:vAlign w:val="bottom"/>
            <w:gridSpan w:val="5"/>
          </w:tcPr>
          <w:p>
            <w:pPr>
              <w:spacing w:after="0" w:line="155" w:lineRule="exact"/>
              <w:rPr>
                <w:sz w:val="20"/>
                <w:szCs w:val="20"/>
                <w:color w:val="auto"/>
              </w:rPr>
            </w:pPr>
            <w:r>
              <w:rPr>
                <w:rFonts w:ascii="Arial" w:cs="Arial" w:eastAsia="Arial" w:hAnsi="Arial"/>
                <w:sz w:val="14"/>
                <w:szCs w:val="14"/>
                <w:b w:val="1"/>
                <w:bCs w:val="1"/>
                <w:color w:val="auto"/>
              </w:rPr>
              <w:t>Total Investments in Non-Controlled, Affiliated Portfolio Companies</w:t>
            </w:r>
          </w:p>
        </w:tc>
        <w:tc>
          <w:tcPr>
            <w:tcW w:w="1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99,021,141</w:t>
            </w:r>
          </w:p>
        </w:tc>
        <w:tc>
          <w:tcPr>
            <w:tcW w:w="240" w:type="dxa"/>
            <w:vAlign w:val="bottom"/>
          </w:tcPr>
          <w:p>
            <w:pPr>
              <w:spacing w:after="0"/>
              <w:rPr>
                <w:sz w:val="13"/>
                <w:szCs w:val="13"/>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76,735,800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59" w:right="23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PENNANTPARK INVESTMENT CORPORATION AND SUBSIDIARIES CONSOLIDATED SCHEDULE OF INVESTMENTS (CONTINUED) SEPTEMBER 30, 2013</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Basis Point</w:t>
            </w: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Current</w:t>
            </w: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Spread</w:t>
            </w:r>
          </w:p>
        </w:tc>
        <w:tc>
          <w:tcPr>
            <w:tcW w:w="100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Par/</w:t>
            </w: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Issuer Name</w:t>
            </w: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Maturity</w:t>
            </w:r>
          </w:p>
        </w:tc>
        <w:tc>
          <w:tcPr>
            <w:tcW w:w="12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7"/>
              </w:rPr>
              <w:t>Industry</w:t>
            </w:r>
          </w:p>
        </w:tc>
        <w:tc>
          <w:tcPr>
            <w:tcW w:w="1160" w:type="dxa"/>
            <w:vAlign w:val="bottom"/>
            <w:gridSpan w:val="2"/>
            <w:vMerge w:val="continue"/>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Above</w:t>
            </w:r>
          </w:p>
        </w:tc>
        <w:tc>
          <w:tcPr>
            <w:tcW w:w="1000" w:type="dxa"/>
            <w:vAlign w:val="bottom"/>
            <w:gridSpan w:val="2"/>
            <w:vMerge w:val="continue"/>
          </w:tcPr>
          <w:p>
            <w:pPr>
              <w:spacing w:after="0"/>
              <w:rPr>
                <w:sz w:val="12"/>
                <w:szCs w:val="12"/>
                <w:color w:val="auto"/>
              </w:rPr>
            </w:pPr>
          </w:p>
        </w:tc>
        <w:tc>
          <w:tcPr>
            <w:tcW w:w="108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2"/>
                <w:szCs w:val="12"/>
                <w:color w:val="auto"/>
              </w:rPr>
            </w:pPr>
          </w:p>
        </w:tc>
        <w:tc>
          <w:tcPr>
            <w:tcW w:w="102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2"/>
                <w:szCs w:val="12"/>
                <w:b w:val="1"/>
                <w:bCs w:val="1"/>
                <w:color w:val="auto"/>
              </w:rPr>
              <w:t>(3)</w:t>
            </w:r>
          </w:p>
        </w:tc>
        <w:tc>
          <w:tcPr>
            <w:tcW w:w="0" w:type="dxa"/>
            <w:vAlign w:val="bottom"/>
          </w:tcPr>
          <w:p>
            <w:pPr>
              <w:spacing w:after="0"/>
              <w:rPr>
                <w:sz w:val="1"/>
                <w:szCs w:val="1"/>
                <w:color w:val="auto"/>
              </w:rPr>
            </w:pPr>
          </w:p>
        </w:tc>
      </w:tr>
      <w:tr>
        <w:trPr>
          <w:trHeight w:val="171"/>
        </w:trPr>
        <w:tc>
          <w:tcPr>
            <w:tcW w:w="3980" w:type="dxa"/>
            <w:vAlign w:val="bottom"/>
            <w:gridSpan w:val="3"/>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Coupon</w:t>
            </w: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 xml:space="preserve">Index </w:t>
            </w:r>
            <w:r>
              <w:rPr>
                <w:rFonts w:ascii="Arial" w:cs="Arial" w:eastAsia="Arial" w:hAnsi="Arial"/>
                <w:sz w:val="12"/>
                <w:szCs w:val="12"/>
                <w:b w:val="1"/>
                <w:bCs w:val="1"/>
                <w:color w:val="auto"/>
                <w:w w:val="97"/>
              </w:rPr>
              <w:t>(4)</w:t>
            </w:r>
          </w:p>
        </w:tc>
        <w:tc>
          <w:tcPr>
            <w:tcW w:w="10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Shares</w:t>
            </w:r>
          </w:p>
        </w:tc>
        <w:tc>
          <w:tcPr>
            <w:tcW w:w="10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6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90"/>
              </w:rPr>
              <w:t>Investments</w:t>
            </w:r>
          </w:p>
        </w:tc>
        <w:tc>
          <w:tcPr>
            <w:tcW w:w="320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93"/>
              </w:rPr>
              <w:t>in Controlled, Affiliated Portfolio Companies—4.7%</w:t>
            </w:r>
          </w:p>
        </w:tc>
        <w:tc>
          <w:tcPr>
            <w:tcW w:w="660" w:type="dxa"/>
            <w:vAlign w:val="bottom"/>
            <w:tcBorders>
              <w:top w:val="single" w:sz="8" w:color="auto"/>
            </w:tcBorders>
            <w:shd w:val="clear" w:color="auto" w:fill="CCEEFF"/>
          </w:tcPr>
          <w:p>
            <w:pPr>
              <w:jc w:val="right"/>
              <w:ind w:right="189"/>
              <w:spacing w:after="0" w:line="129" w:lineRule="exact"/>
              <w:rPr>
                <w:sz w:val="20"/>
                <w:szCs w:val="20"/>
                <w:color w:val="auto"/>
              </w:rPr>
            </w:pPr>
            <w:r>
              <w:rPr>
                <w:rFonts w:ascii="Arial" w:cs="Arial" w:eastAsia="Arial" w:hAnsi="Arial"/>
                <w:sz w:val="12"/>
                <w:szCs w:val="12"/>
                <w:b w:val="1"/>
                <w:bCs w:val="1"/>
                <w:color w:val="auto"/>
              </w:rPr>
              <w:t>(1),(2)</w:t>
            </w:r>
          </w:p>
        </w:tc>
        <w:tc>
          <w:tcPr>
            <w:tcW w:w="180" w:type="dxa"/>
            <w:vAlign w:val="bottom"/>
            <w:tcBorders>
              <w:top w:val="single" w:sz="8" w:color="CCEEFF"/>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First Lien Secured Debt—1.6%</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SuttonPark Holdings, Inc.</w:t>
            </w: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06/30/2020</w:t>
            </w:r>
          </w:p>
        </w:tc>
        <w:tc>
          <w:tcPr>
            <w:tcW w:w="1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0"/>
              </w:rPr>
              <w:t>Business Services</w:t>
            </w:r>
          </w:p>
        </w:tc>
        <w:tc>
          <w:tcPr>
            <w:tcW w:w="11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14.00%</w:t>
            </w:r>
            <w:r>
              <w:rPr>
                <w:rFonts w:ascii="Arial" w:cs="Arial" w:eastAsia="Arial" w:hAnsi="Arial"/>
                <w:sz w:val="12"/>
                <w:szCs w:val="12"/>
                <w:color w:val="auto"/>
              </w:rPr>
              <w:t>(7)</w:t>
            </w:r>
          </w:p>
        </w:tc>
        <w:tc>
          <w:tcPr>
            <w:tcW w:w="9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9,250,000</w:t>
            </w:r>
          </w:p>
        </w:tc>
        <w:tc>
          <w:tcPr>
            <w:tcW w:w="3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9,250,000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9,556,385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Universal Pegasus International, LLC </w:t>
            </w:r>
            <w:r>
              <w:rPr>
                <w:rFonts w:ascii="Arial" w:cs="Arial" w:eastAsia="Arial" w:hAnsi="Arial"/>
                <w:sz w:val="12"/>
                <w:szCs w:val="12"/>
                <w:color w:val="auto"/>
              </w:rPr>
              <w:t>(9)</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4"/>
              </w:rPr>
              <w:t>12/31/2015</w:t>
            </w:r>
          </w:p>
        </w:tc>
        <w:tc>
          <w:tcPr>
            <w:tcW w:w="180" w:type="dxa"/>
            <w:vAlign w:val="bottom"/>
          </w:tcPr>
          <w:p>
            <w:pPr>
              <w:spacing w:after="0"/>
              <w:rPr>
                <w:sz w:val="12"/>
                <w:szCs w:val="12"/>
                <w:color w:val="auto"/>
              </w:rPr>
            </w:pPr>
          </w:p>
        </w:tc>
        <w:tc>
          <w:tcPr>
            <w:tcW w:w="122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1"/>
              </w:rPr>
              <w:t>Oil and Gas</w:t>
            </w:r>
          </w:p>
        </w:tc>
        <w:tc>
          <w:tcPr>
            <w:tcW w:w="116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1,916,667</w:t>
            </w:r>
          </w:p>
        </w:tc>
        <w:tc>
          <w:tcPr>
            <w:tcW w:w="320" w:type="dxa"/>
            <w:vAlign w:val="bottom"/>
          </w:tcPr>
          <w:p>
            <w:pPr>
              <w:spacing w:after="0"/>
              <w:rPr>
                <w:sz w:val="12"/>
                <w:szCs w:val="12"/>
                <w:color w:val="auto"/>
              </w:rPr>
            </w:pPr>
          </w:p>
        </w:tc>
        <w:tc>
          <w:tcPr>
            <w:tcW w:w="10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1,787,941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1,916,667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0" w:type="dxa"/>
            <w:vAlign w:val="bottom"/>
          </w:tcPr>
          <w:p>
            <w:pPr>
              <w:spacing w:after="0"/>
              <w:rPr>
                <w:sz w:val="2"/>
                <w:szCs w:val="2"/>
                <w:color w:val="auto"/>
              </w:rPr>
            </w:pPr>
          </w:p>
        </w:tc>
        <w:tc>
          <w:tcPr>
            <w:tcW w:w="3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First Lien Secured Debt</w:t>
            </w: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11,037,941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11,473,052</w:t>
            </w:r>
          </w:p>
        </w:tc>
        <w:tc>
          <w:tcPr>
            <w:tcW w:w="0" w:type="dxa"/>
            <w:vAlign w:val="bottom"/>
          </w:tcPr>
          <w:p>
            <w:pPr>
              <w:spacing w:after="0"/>
              <w:rPr>
                <w:sz w:val="1"/>
                <w:szCs w:val="1"/>
                <w:color w:val="auto"/>
              </w:rPr>
            </w:pPr>
          </w:p>
        </w:tc>
      </w:tr>
      <w:tr>
        <w:trPr>
          <w:trHeight w:val="156"/>
        </w:trPr>
        <w:tc>
          <w:tcPr>
            <w:tcW w:w="39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Second Lien Secured Debt—2.4%</w:t>
            </w: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9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Universal Pegasus International, LLC</w:t>
            </w:r>
          </w:p>
        </w:tc>
        <w:tc>
          <w:tcPr>
            <w:tcW w:w="66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12/31/2015</w:t>
            </w:r>
          </w:p>
        </w:tc>
        <w:tc>
          <w:tcPr>
            <w:tcW w:w="18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1"/>
              </w:rPr>
              <w:t>Oil and Gas</w:t>
            </w:r>
          </w:p>
        </w:tc>
        <w:tc>
          <w:tcPr>
            <w:tcW w:w="1160" w:type="dxa"/>
            <w:vAlign w:val="bottom"/>
            <w:gridSpan w:val="2"/>
            <w:shd w:val="clear" w:color="auto" w:fill="CCEEFF"/>
          </w:tcPr>
          <w:p>
            <w:pPr>
              <w:jc w:val="right"/>
              <w:ind w:right="360"/>
              <w:spacing w:after="0" w:line="130" w:lineRule="exact"/>
              <w:rPr>
                <w:sz w:val="20"/>
                <w:szCs w:val="20"/>
                <w:color w:val="auto"/>
              </w:rPr>
            </w:pPr>
            <w:r>
              <w:rPr>
                <w:rFonts w:ascii="Arial" w:cs="Arial" w:eastAsia="Arial" w:hAnsi="Arial"/>
                <w:sz w:val="14"/>
                <w:szCs w:val="14"/>
                <w:color w:val="auto"/>
              </w:rPr>
              <w:t>15.00%</w:t>
            </w:r>
          </w:p>
        </w:tc>
        <w:tc>
          <w:tcPr>
            <w:tcW w:w="96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94"/>
              </w:rPr>
              <w:t>16,615,645</w:t>
            </w:r>
          </w:p>
        </w:tc>
        <w:tc>
          <w:tcPr>
            <w:tcW w:w="32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14,709,502</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16,449,489</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w w:val="98"/>
              </w:rPr>
              <w:t>(PIK 15.00%)</w:t>
            </w:r>
          </w:p>
        </w:tc>
        <w:tc>
          <w:tcPr>
            <w:tcW w:w="7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9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Subordinated Debt/Corporate Notes—0.3%</w:t>
            </w: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SuttonPark Holdings, Inc.</w:t>
            </w: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6/30/2020</w:t>
            </w:r>
          </w:p>
        </w:tc>
        <w:tc>
          <w:tcPr>
            <w:tcW w:w="1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0"/>
              </w:rPr>
              <w:t>Business Services</w:t>
            </w:r>
          </w:p>
        </w:tc>
        <w:tc>
          <w:tcPr>
            <w:tcW w:w="11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14.00%</w:t>
            </w:r>
            <w:r>
              <w:rPr>
                <w:rFonts w:ascii="Arial" w:cs="Arial" w:eastAsia="Arial" w:hAnsi="Arial"/>
                <w:sz w:val="12"/>
                <w:szCs w:val="12"/>
                <w:color w:val="auto"/>
              </w:rPr>
              <w:t>(7)</w:t>
            </w: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2,250,000</w:t>
            </w:r>
          </w:p>
        </w:tc>
        <w:tc>
          <w:tcPr>
            <w:tcW w:w="3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2,250,000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1,961,667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9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Preferred Equity—0.4%</w:t>
            </w:r>
            <w:r>
              <w:rPr>
                <w:rFonts w:ascii="Arial" w:cs="Arial" w:eastAsia="Arial" w:hAnsi="Arial"/>
                <w:sz w:val="12"/>
                <w:szCs w:val="12"/>
                <w:b w:val="1"/>
                <w:bCs w:val="1"/>
                <w:color w:val="auto"/>
              </w:rPr>
              <w:t>(6)</w:t>
            </w: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SuttonPark Holdings, Inc.</w:t>
            </w:r>
          </w:p>
        </w:tc>
        <w:tc>
          <w:tcPr>
            <w:tcW w:w="8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0"/>
              </w:rPr>
              <w:t>Business Services</w:t>
            </w:r>
          </w:p>
        </w:tc>
        <w:tc>
          <w:tcPr>
            <w:tcW w:w="11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14.00%</w:t>
            </w:r>
          </w:p>
        </w:tc>
        <w:tc>
          <w:tcPr>
            <w:tcW w:w="9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2,000</w:t>
            </w:r>
          </w:p>
        </w:tc>
        <w:tc>
          <w:tcPr>
            <w:tcW w:w="10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2,000,000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1,981,948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960" w:type="dxa"/>
            <w:vAlign w:val="bottom"/>
            <w:gridSpan w:val="2"/>
          </w:tcPr>
          <w:p>
            <w:pPr>
              <w:spacing w:after="0" w:line="130" w:lineRule="exact"/>
              <w:rPr>
                <w:sz w:val="20"/>
                <w:szCs w:val="20"/>
                <w:color w:val="auto"/>
              </w:rPr>
            </w:pPr>
            <w:r>
              <w:rPr>
                <w:rFonts w:ascii="Arial" w:cs="Arial" w:eastAsia="Arial" w:hAnsi="Arial"/>
                <w:sz w:val="14"/>
                <w:szCs w:val="14"/>
                <w:color w:val="auto"/>
              </w:rPr>
              <w:t>Universal Pegasus International Holdings, Inc.</w:t>
            </w:r>
          </w:p>
        </w:tc>
        <w:tc>
          <w:tcPr>
            <w:tcW w:w="840" w:type="dxa"/>
            <w:vAlign w:val="bottom"/>
            <w:gridSpan w:val="2"/>
          </w:tcPr>
          <w:p>
            <w:pPr>
              <w:ind w:left="220"/>
              <w:spacing w:after="0" w:line="130"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center"/>
              <w:ind w:right="180"/>
              <w:spacing w:after="0" w:line="130" w:lineRule="exact"/>
              <w:rPr>
                <w:sz w:val="20"/>
                <w:szCs w:val="20"/>
                <w:color w:val="auto"/>
              </w:rPr>
            </w:pPr>
            <w:r>
              <w:rPr>
                <w:rFonts w:ascii="Arial" w:cs="Arial" w:eastAsia="Arial" w:hAnsi="Arial"/>
                <w:sz w:val="14"/>
                <w:szCs w:val="14"/>
                <w:color w:val="auto"/>
                <w:w w:val="91"/>
              </w:rPr>
              <w:t>Oil and Gas</w:t>
            </w:r>
          </w:p>
        </w:tc>
        <w:tc>
          <w:tcPr>
            <w:tcW w:w="1160" w:type="dxa"/>
            <w:vAlign w:val="bottom"/>
            <w:gridSpan w:val="2"/>
          </w:tcPr>
          <w:p>
            <w:pPr>
              <w:jc w:val="right"/>
              <w:ind w:right="360"/>
              <w:spacing w:after="0" w:line="130" w:lineRule="exact"/>
              <w:rPr>
                <w:sz w:val="20"/>
                <w:szCs w:val="20"/>
                <w:color w:val="auto"/>
              </w:rPr>
            </w:pPr>
            <w:r>
              <w:rPr>
                <w:rFonts w:ascii="Arial" w:cs="Arial" w:eastAsia="Arial" w:hAnsi="Arial"/>
                <w:sz w:val="14"/>
                <w:szCs w:val="14"/>
                <w:color w:val="auto"/>
              </w:rPr>
              <w:t>8.00%</w:t>
            </w:r>
          </w:p>
        </w:tc>
        <w:tc>
          <w:tcPr>
            <w:tcW w:w="96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rPr>
              <w:t>376,988</w:t>
            </w:r>
          </w:p>
        </w:tc>
        <w:tc>
          <w:tcPr>
            <w:tcW w:w="108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34,420,612</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spacing w:after="0" w:line="130" w:lineRule="exact"/>
              <w:rPr>
                <w:sz w:val="20"/>
                <w:szCs w:val="20"/>
                <w:color w:val="auto"/>
              </w:rPr>
            </w:pPr>
            <w:r>
              <w:rPr>
                <w:rFonts w:ascii="Arial" w:cs="Arial" w:eastAsia="Arial" w:hAnsi="Arial"/>
                <w:sz w:val="14"/>
                <w:szCs w:val="14"/>
                <w:color w:val="auto"/>
              </w:rPr>
              <w:t>1,102,555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60" w:type="dxa"/>
            <w:vAlign w:val="bottom"/>
            <w:gridSpan w:val="2"/>
          </w:tcPr>
          <w:p>
            <w:pPr>
              <w:ind w:left="140"/>
              <w:spacing w:after="0"/>
              <w:rPr>
                <w:sz w:val="20"/>
                <w:szCs w:val="20"/>
                <w:color w:val="auto"/>
              </w:rPr>
            </w:pPr>
            <w:r>
              <w:rPr>
                <w:rFonts w:ascii="Arial" w:cs="Arial" w:eastAsia="Arial" w:hAnsi="Arial"/>
                <w:sz w:val="14"/>
                <w:szCs w:val="14"/>
                <w:color w:val="auto"/>
              </w:rPr>
              <w:t>(Universal Pegasus International, LLC)</w:t>
            </w: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Preferred Equity</w:t>
            </w: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36,420,612</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3,084,503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9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Common Equity—0.0</w:t>
            </w:r>
            <w:r>
              <w:rPr>
                <w:rFonts w:ascii="Arial" w:cs="Arial" w:eastAsia="Arial" w:hAnsi="Arial"/>
                <w:sz w:val="14"/>
                <w:szCs w:val="14"/>
                <w:color w:val="auto"/>
              </w:rPr>
              <w:t>%</w:t>
            </w:r>
            <w:r>
              <w:rPr>
                <w:rFonts w:ascii="Arial" w:cs="Arial" w:eastAsia="Arial" w:hAnsi="Arial"/>
                <w:sz w:val="12"/>
                <w:szCs w:val="12"/>
                <w:color w:val="auto"/>
              </w:rPr>
              <w:t>(6)</w:t>
            </w: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SuttonPark Holdings, Inc.</w:t>
            </w:r>
          </w:p>
        </w:tc>
        <w:tc>
          <w:tcPr>
            <w:tcW w:w="8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0"/>
              </w:rPr>
              <w:t>Business Services</w:t>
            </w:r>
          </w:p>
        </w:tc>
        <w:tc>
          <w:tcPr>
            <w:tcW w:w="116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w:t>
            </w:r>
          </w:p>
        </w:tc>
        <w:tc>
          <w:tcPr>
            <w:tcW w:w="3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39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w w:val="94"/>
              </w:rPr>
              <w:t>Total Investments in Controlled, Affiliated Portfolio Companies</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64,418,155</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32,968,711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Investments—154.6%</w:t>
            </w: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1,091,517,885</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1"/>
              </w:rPr>
              <w:t>1,078,175,553</w:t>
            </w:r>
          </w:p>
        </w:tc>
        <w:tc>
          <w:tcPr>
            <w:tcW w:w="0" w:type="dxa"/>
            <w:vAlign w:val="bottom"/>
          </w:tcPr>
          <w:p>
            <w:pPr>
              <w:spacing w:after="0"/>
              <w:rPr>
                <w:sz w:val="1"/>
                <w:szCs w:val="1"/>
                <w:color w:val="auto"/>
              </w:rPr>
            </w:pPr>
          </w:p>
        </w:tc>
      </w:tr>
      <w:tr>
        <w:trPr>
          <w:trHeight w:val="156"/>
        </w:trPr>
        <w:tc>
          <w:tcPr>
            <w:tcW w:w="39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Cash and Cash Equivalents—8.4%</w:t>
            </w: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Cash</w:t>
            </w: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2,667,511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2,667,511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BlackRock Liquidity Funds, Temp Cash, Institutional Shares</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2,446,232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2,446,232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BNY Mellon Cash Reserve</w:t>
            </w: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53,327,086</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53,327,086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9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Cash and Cash Equivalents</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58,440,829</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58,440,829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 Cash and Cash Equivalents—163.0%</w:t>
            </w: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8"/>
              </w:rPr>
              <w:t>$ 1,149,958,714</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1"/>
              </w:rPr>
              <w:t>1,136,616,382</w:t>
            </w:r>
          </w:p>
        </w:tc>
        <w:tc>
          <w:tcPr>
            <w:tcW w:w="0" w:type="dxa"/>
            <w:vAlign w:val="bottom"/>
          </w:tcPr>
          <w:p>
            <w:pPr>
              <w:spacing w:after="0"/>
              <w:rPr>
                <w:sz w:val="1"/>
                <w:szCs w:val="1"/>
                <w:color w:val="auto"/>
              </w:rPr>
            </w:pPr>
          </w:p>
        </w:tc>
      </w:tr>
      <w:tr>
        <w:trPr>
          <w:trHeight w:val="20"/>
        </w:trPr>
        <w:tc>
          <w:tcPr>
            <w:tcW w:w="3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Liabilities in Excess of Other Assets—(63.0%)</w:t>
            </w: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980" w:type="dxa"/>
            <w:vAlign w:val="bottom"/>
            <w:gridSpan w:val="3"/>
            <w:vMerge w:val="continue"/>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w w:val="94"/>
              </w:rPr>
              <w:t>(439,110,183)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Assets—100.0%</w:t>
            </w: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697,506,199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ind w:left="340" w:right="20" w:hanging="332"/>
        <w:spacing w:after="0" w:line="248" w:lineRule="auto"/>
        <w:tabs>
          <w:tab w:leader="none" w:pos="340" w:val="left"/>
        </w:tabs>
        <w:numPr>
          <w:ilvl w:val="0"/>
          <w:numId w:val="117"/>
        </w:numPr>
        <w:rPr>
          <w:rFonts w:ascii="Arial" w:cs="Arial" w:eastAsia="Arial" w:hAnsi="Arial"/>
          <w:sz w:val="13"/>
          <w:szCs w:val="13"/>
          <w:color w:val="auto"/>
        </w:rPr>
      </w:pPr>
      <w:r>
        <w:rPr>
          <w:rFonts w:ascii="Arial" w:cs="Arial" w:eastAsia="Arial" w:hAnsi="Arial"/>
          <w:sz w:val="13"/>
          <w:szCs w:val="13"/>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340" w:right="300" w:hanging="332"/>
        <w:spacing w:after="0" w:line="221" w:lineRule="auto"/>
        <w:tabs>
          <w:tab w:leader="none" w:pos="34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 (see Note 6).</w:t>
      </w:r>
    </w:p>
    <w:p>
      <w:pPr>
        <w:ind w:left="340" w:hanging="332"/>
        <w:spacing w:after="0" w:line="221" w:lineRule="auto"/>
        <w:tabs>
          <w:tab w:leader="none" w:pos="34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Valued based on our accounting policy (see Note 2).</w:t>
      </w:r>
    </w:p>
    <w:p>
      <w:pPr>
        <w:ind w:left="340" w:hanging="332"/>
        <w:spacing w:after="0" w:line="221" w:lineRule="auto"/>
        <w:tabs>
          <w:tab w:leader="none" w:pos="34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Represents floating rate instruments that accrue interest at a predetermined spread relative to an index, typically the applicable LIBOR, or “L” or Prime, or “P” rate.</w:t>
      </w:r>
    </w:p>
    <w:p>
      <w:pPr>
        <w:ind w:left="340" w:right="60" w:hanging="332"/>
        <w:spacing w:after="0" w:line="221" w:lineRule="auto"/>
        <w:tabs>
          <w:tab w:leader="none" w:pos="34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The security may be resold in transactions that are exempt from registration, normally to qualified institutional buyers.</w:t>
      </w:r>
    </w:p>
    <w:p>
      <w:pPr>
        <w:ind w:left="340" w:hanging="332"/>
        <w:spacing w:after="0" w:line="221" w:lineRule="auto"/>
        <w:tabs>
          <w:tab w:leader="none" w:pos="34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Non-income producing securities.</w:t>
      </w:r>
    </w:p>
    <w:p>
      <w:pPr>
        <w:ind w:left="340" w:hanging="332"/>
        <w:spacing w:after="0" w:line="221" w:lineRule="auto"/>
        <w:tabs>
          <w:tab w:leader="none" w:pos="34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Coupon is payable in cash and/or PIK.</w:t>
      </w:r>
    </w:p>
    <w:p>
      <w:pPr>
        <w:ind w:left="340" w:hanging="332"/>
        <w:spacing w:after="0" w:line="221" w:lineRule="auto"/>
        <w:tabs>
          <w:tab w:leader="none" w:pos="34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Coupon is subject to a LIBOR or Prime rate floor.</w:t>
      </w:r>
    </w:p>
    <w:p>
      <w:pPr>
        <w:ind w:left="340" w:hanging="332"/>
        <w:spacing w:after="0" w:line="221" w:lineRule="auto"/>
        <w:tabs>
          <w:tab w:leader="none" w:pos="34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Represents the purchase of a security with delayed settlement (unfunded investments). This security does not have a basis point spread above an index.</w:t>
      </w:r>
    </w:p>
    <w:p>
      <w:pPr>
        <w:ind w:left="340" w:hanging="332"/>
        <w:spacing w:after="0" w:line="221" w:lineRule="auto"/>
        <w:tabs>
          <w:tab w:leader="none" w:pos="34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Non-U.S. company or principal place of business outside the U.S.</w:t>
      </w:r>
    </w:p>
    <w:p>
      <w:pPr>
        <w:ind w:left="340" w:hanging="332"/>
        <w:spacing w:after="0" w:line="221" w:lineRule="auto"/>
        <w:tabs>
          <w:tab w:leader="none" w:pos="34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Investment is held through PNNT CI (Galls) Prime Investment Holdings, LLC, a consolidated subsidiary.</w:t>
      </w:r>
    </w:p>
    <w:p>
      <w:pPr>
        <w:ind w:left="340" w:hanging="332"/>
        <w:spacing w:after="0" w:line="221" w:lineRule="auto"/>
        <w:tabs>
          <w:tab w:leader="none" w:pos="34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Investment is held through PNNT Acentia LLC, a consolidated subsidiary.</w:t>
      </w:r>
    </w:p>
    <w:p>
      <w:pPr>
        <w:spacing w:after="0"/>
        <w:rPr>
          <w:sz w:val="20"/>
          <w:szCs w:val="20"/>
          <w:color w:val="auto"/>
        </w:rPr>
      </w:pPr>
      <w:r>
        <w:rPr>
          <w:rFonts w:ascii="Arial" w:cs="Arial" w:eastAsia="Arial" w:hAnsi="Arial"/>
          <w:sz w:val="14"/>
          <w:szCs w:val="14"/>
          <w:color w:val="auto"/>
        </w:rPr>
        <w:t>(13)Investment is held through PNNT Transportation 100 Holdco, L.L.C., a consolidated subsidiary.</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60" w:right="23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PENNANTPARK INVESTMENT CORPORATION AND SUBSIDIARIES CONSOLIDATED SCHEDULE OF INVESTMENTS SEPTEMBER 30, 2012</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Basis Point</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Current</w:t>
            </w: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Spread</w:t>
            </w:r>
          </w:p>
        </w:tc>
        <w:tc>
          <w:tcPr>
            <w:tcW w:w="8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8"/>
              </w:rPr>
              <w:t>Par/</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Issuer Name</w:t>
            </w:r>
          </w:p>
        </w:tc>
        <w:tc>
          <w:tcPr>
            <w:tcW w:w="10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Maturity</w:t>
            </w:r>
          </w:p>
        </w:tc>
        <w:tc>
          <w:tcPr>
            <w:tcW w:w="15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7"/>
              </w:rPr>
              <w:t>Industry</w:t>
            </w:r>
          </w:p>
        </w:tc>
        <w:tc>
          <w:tcPr>
            <w:tcW w:w="1080" w:type="dxa"/>
            <w:vAlign w:val="bottom"/>
            <w:gridSpan w:val="2"/>
            <w:vMerge w:val="continue"/>
          </w:tcPr>
          <w:p>
            <w:pPr>
              <w:spacing w:after="0"/>
              <w:rPr>
                <w:sz w:val="12"/>
                <w:szCs w:val="12"/>
                <w:color w:val="auto"/>
              </w:rPr>
            </w:pP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Above</w:t>
            </w:r>
          </w:p>
        </w:tc>
        <w:tc>
          <w:tcPr>
            <w:tcW w:w="8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Cost</w:t>
            </w:r>
          </w:p>
        </w:tc>
        <w:tc>
          <w:tcPr>
            <w:tcW w:w="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2"/>
                <w:szCs w:val="12"/>
                <w:b w:val="1"/>
                <w:bCs w:val="1"/>
                <w:color w:val="auto"/>
              </w:rPr>
              <w:t>(3)</w:t>
            </w:r>
          </w:p>
        </w:tc>
        <w:tc>
          <w:tcPr>
            <w:tcW w:w="0" w:type="dxa"/>
            <w:vAlign w:val="bottom"/>
          </w:tcPr>
          <w:p>
            <w:pPr>
              <w:spacing w:after="0"/>
              <w:rPr>
                <w:sz w:val="1"/>
                <w:szCs w:val="1"/>
                <w:color w:val="auto"/>
              </w:rPr>
            </w:pPr>
          </w:p>
        </w:tc>
      </w:tr>
      <w:tr>
        <w:trPr>
          <w:trHeight w:val="171"/>
        </w:trPr>
        <w:tc>
          <w:tcPr>
            <w:tcW w:w="3680" w:type="dxa"/>
            <w:vAlign w:val="bottom"/>
            <w:gridSpan w:val="3"/>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Coupon</w:t>
            </w: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 xml:space="preserve">Index </w:t>
            </w:r>
            <w:r>
              <w:rPr>
                <w:rFonts w:ascii="Arial" w:cs="Arial" w:eastAsia="Arial" w:hAnsi="Arial"/>
                <w:sz w:val="12"/>
                <w:szCs w:val="12"/>
                <w:b w:val="1"/>
                <w:bCs w:val="1"/>
                <w:color w:val="auto"/>
                <w:w w:val="94"/>
              </w:rPr>
              <w:t>(4)</w:t>
            </w: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Shares</w:t>
            </w:r>
          </w:p>
        </w:tc>
        <w:tc>
          <w:tcPr>
            <w:tcW w:w="1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900" w:type="dxa"/>
            <w:vAlign w:val="bottom"/>
            <w:vMerge w:val="restart"/>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 Non-Controlled, Non-Affiliated Portfolio</w:t>
            </w:r>
          </w:p>
        </w:tc>
        <w:tc>
          <w:tcPr>
            <w:tcW w:w="7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76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90"/>
              </w:rPr>
              <w:t>Investments</w:t>
            </w:r>
          </w:p>
        </w:tc>
        <w:tc>
          <w:tcPr>
            <w:tcW w:w="2900" w:type="dxa"/>
            <w:vAlign w:val="bottom"/>
            <w:vMerge w:val="continue"/>
            <w:shd w:val="clear" w:color="auto" w:fill="CCEEFF"/>
          </w:tcPr>
          <w:p>
            <w:pPr>
              <w:spacing w:after="0"/>
              <w:rPr>
                <w:sz w:val="11"/>
                <w:szCs w:val="11"/>
                <w:color w:val="auto"/>
              </w:rPr>
            </w:pPr>
          </w:p>
        </w:tc>
        <w:tc>
          <w:tcPr>
            <w:tcW w:w="102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w w:val="72"/>
              </w:rPr>
              <w:t>Companies—130.3%</w:t>
            </w:r>
          </w:p>
        </w:tc>
        <w:tc>
          <w:tcPr>
            <w:tcW w:w="1380" w:type="dxa"/>
            <w:vAlign w:val="bottom"/>
            <w:shd w:val="clear" w:color="auto" w:fill="CCEEFF"/>
          </w:tcPr>
          <w:p>
            <w:pPr>
              <w:jc w:val="right"/>
              <w:ind w:right="868"/>
              <w:spacing w:after="0" w:line="129" w:lineRule="exact"/>
              <w:rPr>
                <w:sz w:val="20"/>
                <w:szCs w:val="20"/>
                <w:color w:val="auto"/>
              </w:rPr>
            </w:pPr>
            <w:r>
              <w:rPr>
                <w:rFonts w:ascii="Arial" w:cs="Arial" w:eastAsia="Arial" w:hAnsi="Arial"/>
                <w:sz w:val="12"/>
                <w:szCs w:val="12"/>
                <w:b w:val="1"/>
                <w:bCs w:val="1"/>
                <w:color w:val="auto"/>
              </w:rPr>
              <w:t>(1),(2)</w:t>
            </w:r>
          </w:p>
        </w:tc>
        <w:tc>
          <w:tcPr>
            <w:tcW w:w="160" w:type="dxa"/>
            <w:vAlign w:val="bottom"/>
            <w:vMerge w:val="continue"/>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First Lien Secured Debt—41.7%</w:t>
            </w: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Aircell Business Aviation Services LLC</w:t>
            </w:r>
          </w:p>
        </w:tc>
        <w:tc>
          <w:tcPr>
            <w:tcW w:w="10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6"/>
              </w:rPr>
              <w:t>06/21/2017</w:t>
            </w:r>
          </w:p>
        </w:tc>
        <w:tc>
          <w:tcPr>
            <w:tcW w:w="154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3"/>
              </w:rPr>
              <w:t>Communications</w:t>
            </w: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11.25%</w:t>
            </w: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L+975</w:t>
            </w:r>
            <w:r>
              <w:rPr>
                <w:rFonts w:ascii="Arial" w:cs="Arial" w:eastAsia="Arial" w:hAnsi="Arial"/>
                <w:sz w:val="12"/>
                <w:szCs w:val="12"/>
                <w:color w:val="auto"/>
              </w:rPr>
              <w:t>(8)</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6"/>
              </w:rPr>
              <w:t>14,906,250</w:t>
            </w:r>
          </w:p>
        </w:tc>
        <w:tc>
          <w:tcPr>
            <w:tcW w:w="122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  14,332,682</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5"/>
              </w:rPr>
              <w:t>$  14,906,250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60" w:type="dxa"/>
            <w:vAlign w:val="bottom"/>
            <w:gridSpan w:val="2"/>
          </w:tcPr>
          <w:p>
            <w:pPr>
              <w:spacing w:after="0" w:line="130" w:lineRule="exact"/>
              <w:rPr>
                <w:sz w:val="20"/>
                <w:szCs w:val="20"/>
                <w:color w:val="auto"/>
              </w:rPr>
            </w:pPr>
            <w:r>
              <w:rPr>
                <w:rFonts w:ascii="Arial" w:cs="Arial" w:eastAsia="Arial" w:hAnsi="Arial"/>
                <w:sz w:val="14"/>
                <w:szCs w:val="14"/>
                <w:color w:val="auto"/>
              </w:rPr>
              <w:t>American Surgical Holdings, Inc.</w:t>
            </w:r>
          </w:p>
        </w:tc>
        <w:tc>
          <w:tcPr>
            <w:tcW w:w="102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w w:val="96"/>
              </w:rPr>
              <w:t>03/23/2015</w:t>
            </w:r>
          </w:p>
        </w:tc>
        <w:tc>
          <w:tcPr>
            <w:tcW w:w="154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91"/>
              </w:rPr>
              <w:t>Healthcare, Education</w:t>
            </w:r>
          </w:p>
        </w:tc>
        <w:tc>
          <w:tcPr>
            <w:tcW w:w="1080" w:type="dxa"/>
            <w:vAlign w:val="bottom"/>
            <w:gridSpan w:val="2"/>
          </w:tcPr>
          <w:p>
            <w:pPr>
              <w:jc w:val="right"/>
              <w:ind w:right="280"/>
              <w:spacing w:after="0" w:line="130" w:lineRule="exact"/>
              <w:rPr>
                <w:sz w:val="20"/>
                <w:szCs w:val="20"/>
                <w:color w:val="auto"/>
              </w:rPr>
            </w:pPr>
            <w:r>
              <w:rPr>
                <w:rFonts w:ascii="Arial" w:cs="Arial" w:eastAsia="Arial" w:hAnsi="Arial"/>
                <w:sz w:val="14"/>
                <w:szCs w:val="14"/>
                <w:color w:val="auto"/>
              </w:rPr>
              <w:t>14.00%</w:t>
            </w:r>
          </w:p>
        </w:tc>
        <w:tc>
          <w:tcPr>
            <w:tcW w:w="104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L+1,000</w:t>
            </w:r>
            <w:r>
              <w:rPr>
                <w:rFonts w:ascii="Arial" w:cs="Arial" w:eastAsia="Arial" w:hAnsi="Arial"/>
                <w:sz w:val="12"/>
                <w:szCs w:val="12"/>
                <w:color w:val="auto"/>
              </w:rPr>
              <w:t>(8)</w:t>
            </w:r>
          </w:p>
        </w:tc>
        <w:tc>
          <w:tcPr>
            <w:tcW w:w="86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w w:val="96"/>
              </w:rPr>
              <w:t>17,811,828</w:t>
            </w:r>
          </w:p>
        </w:tc>
        <w:tc>
          <w:tcPr>
            <w:tcW w:w="1220" w:type="dxa"/>
            <w:vAlign w:val="bottom"/>
            <w:gridSpan w:val="3"/>
          </w:tcPr>
          <w:p>
            <w:pPr>
              <w:jc w:val="right"/>
              <w:ind w:right="240"/>
              <w:spacing w:after="0" w:line="130" w:lineRule="exact"/>
              <w:rPr>
                <w:sz w:val="20"/>
                <w:szCs w:val="20"/>
                <w:color w:val="auto"/>
              </w:rPr>
            </w:pPr>
            <w:r>
              <w:rPr>
                <w:rFonts w:ascii="Arial" w:cs="Arial" w:eastAsia="Arial" w:hAnsi="Arial"/>
                <w:sz w:val="14"/>
                <w:szCs w:val="14"/>
                <w:color w:val="auto"/>
              </w:rPr>
              <w:t>17,441,366</w:t>
            </w: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17,811,828</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4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and Childcare</w:t>
            </w: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Brand Energy and Infrastructure Services, Inc.</w:t>
            </w:r>
          </w:p>
        </w:tc>
        <w:tc>
          <w:tcPr>
            <w:tcW w:w="10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6"/>
              </w:rPr>
              <w:t>02/07/2014</w:t>
            </w:r>
          </w:p>
        </w:tc>
        <w:tc>
          <w:tcPr>
            <w:tcW w:w="154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6"/>
              </w:rPr>
              <w:t>Energy/Utilities</w:t>
            </w: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3.68%</w:t>
            </w:r>
          </w:p>
        </w:tc>
        <w:tc>
          <w:tcPr>
            <w:tcW w:w="10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L+325</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2,000,000</w:t>
            </w:r>
          </w:p>
        </w:tc>
        <w:tc>
          <w:tcPr>
            <w:tcW w:w="122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1,757,029</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1,973,334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tcPr>
          <w:p>
            <w:pPr>
              <w:spacing w:after="0" w:line="149" w:lineRule="exact"/>
              <w:rPr>
                <w:sz w:val="20"/>
                <w:szCs w:val="20"/>
                <w:color w:val="auto"/>
              </w:rPr>
            </w:pPr>
            <w:r>
              <w:rPr>
                <w:rFonts w:ascii="Arial" w:cs="Arial" w:eastAsia="Arial" w:hAnsi="Arial"/>
                <w:sz w:val="14"/>
                <w:szCs w:val="14"/>
                <w:color w:val="auto"/>
              </w:rPr>
              <w:t>CEVA Group PLC</w:t>
            </w:r>
            <w:r>
              <w:rPr>
                <w:rFonts w:ascii="Arial" w:cs="Arial" w:eastAsia="Arial" w:hAnsi="Arial"/>
                <w:sz w:val="12"/>
                <w:szCs w:val="12"/>
                <w:color w:val="auto"/>
              </w:rPr>
              <w:t>(5),(10)</w:t>
            </w: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6"/>
              </w:rPr>
              <w:t>10/01/2016</w:t>
            </w:r>
          </w:p>
        </w:tc>
        <w:tc>
          <w:tcPr>
            <w:tcW w:w="15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2"/>
              </w:rPr>
              <w:t>Cargo Transport</w:t>
            </w: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11.63%</w:t>
            </w:r>
          </w:p>
        </w:tc>
        <w:tc>
          <w:tcPr>
            <w:tcW w:w="10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7,500,000</w:t>
            </w:r>
          </w:p>
        </w:tc>
        <w:tc>
          <w:tcPr>
            <w:tcW w:w="122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7,355,237</w:t>
            </w: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7,687,500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CEVA Group PLC</w:t>
            </w:r>
            <w:r>
              <w:rPr>
                <w:rFonts w:ascii="Arial" w:cs="Arial" w:eastAsia="Arial" w:hAnsi="Arial"/>
                <w:sz w:val="12"/>
                <w:szCs w:val="12"/>
                <w:color w:val="auto"/>
              </w:rPr>
              <w:t>(5),(10)</w:t>
            </w:r>
          </w:p>
        </w:tc>
        <w:tc>
          <w:tcPr>
            <w:tcW w:w="10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6"/>
              </w:rPr>
              <w:t>04/01/2018</w:t>
            </w:r>
          </w:p>
        </w:tc>
        <w:tc>
          <w:tcPr>
            <w:tcW w:w="154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2"/>
              </w:rPr>
              <w:t>Cargo Transport</w:t>
            </w: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11.50%</w:t>
            </w:r>
          </w:p>
        </w:tc>
        <w:tc>
          <w:tcPr>
            <w:tcW w:w="10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1,000,000</w:t>
            </w:r>
          </w:p>
        </w:tc>
        <w:tc>
          <w:tcPr>
            <w:tcW w:w="122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990,089</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880,000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tcPr>
          <w:p>
            <w:pPr>
              <w:spacing w:after="0" w:line="149" w:lineRule="exact"/>
              <w:rPr>
                <w:sz w:val="20"/>
                <w:szCs w:val="20"/>
                <w:color w:val="auto"/>
              </w:rPr>
            </w:pPr>
            <w:r>
              <w:rPr>
                <w:rFonts w:ascii="Arial" w:cs="Arial" w:eastAsia="Arial" w:hAnsi="Arial"/>
                <w:sz w:val="14"/>
                <w:szCs w:val="14"/>
                <w:color w:val="auto"/>
              </w:rPr>
              <w:t>Columbus International, Inc.</w:t>
            </w:r>
            <w:r>
              <w:rPr>
                <w:rFonts w:ascii="Arial" w:cs="Arial" w:eastAsia="Arial" w:hAnsi="Arial"/>
                <w:sz w:val="12"/>
                <w:szCs w:val="12"/>
                <w:color w:val="auto"/>
              </w:rPr>
              <w:t>(5), (10)</w:t>
            </w: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6"/>
              </w:rPr>
              <w:t>11/20/2014</w:t>
            </w:r>
          </w:p>
        </w:tc>
        <w:tc>
          <w:tcPr>
            <w:tcW w:w="15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3"/>
              </w:rPr>
              <w:t>Communications</w:t>
            </w: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11.50%</w:t>
            </w:r>
          </w:p>
        </w:tc>
        <w:tc>
          <w:tcPr>
            <w:tcW w:w="10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6"/>
              </w:rPr>
              <w:t>10,000,000</w:t>
            </w:r>
          </w:p>
        </w:tc>
        <w:tc>
          <w:tcPr>
            <w:tcW w:w="122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10,000,000</w:t>
            </w: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11,100,000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Good Sam Enterprises, LLC</w:t>
            </w:r>
            <w:r>
              <w:rPr>
                <w:rFonts w:ascii="Arial" w:cs="Arial" w:eastAsia="Arial" w:hAnsi="Arial"/>
                <w:sz w:val="12"/>
                <w:szCs w:val="12"/>
                <w:color w:val="auto"/>
              </w:rPr>
              <w:t>(5)</w:t>
            </w:r>
          </w:p>
        </w:tc>
        <w:tc>
          <w:tcPr>
            <w:tcW w:w="10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6"/>
              </w:rPr>
              <w:t>12/01/2016</w:t>
            </w:r>
          </w:p>
        </w:tc>
        <w:tc>
          <w:tcPr>
            <w:tcW w:w="154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2"/>
              </w:rPr>
              <w:t>Consumer Products</w:t>
            </w: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11.50%</w:t>
            </w:r>
          </w:p>
        </w:tc>
        <w:tc>
          <w:tcPr>
            <w:tcW w:w="10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6"/>
              </w:rPr>
              <w:t>12,000,000</w:t>
            </w:r>
          </w:p>
        </w:tc>
        <w:tc>
          <w:tcPr>
            <w:tcW w:w="122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11,795,443</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12,720,000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tcPr>
          <w:p>
            <w:pPr>
              <w:spacing w:after="0" w:line="149" w:lineRule="exact"/>
              <w:rPr>
                <w:sz w:val="20"/>
                <w:szCs w:val="20"/>
                <w:color w:val="auto"/>
              </w:rPr>
            </w:pPr>
            <w:r>
              <w:rPr>
                <w:rFonts w:ascii="Arial" w:cs="Arial" w:eastAsia="Arial" w:hAnsi="Arial"/>
                <w:sz w:val="14"/>
                <w:szCs w:val="14"/>
                <w:color w:val="auto"/>
              </w:rPr>
              <w:t>Hanley-Wood, L.L.C.</w:t>
            </w: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6"/>
              </w:rPr>
              <w:t>01/13/2017</w:t>
            </w:r>
          </w:p>
        </w:tc>
        <w:tc>
          <w:tcPr>
            <w:tcW w:w="15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6"/>
              </w:rPr>
              <w:t>Other Media</w:t>
            </w: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8.00%</w:t>
            </w: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L+650</w:t>
            </w:r>
            <w:r>
              <w:rPr>
                <w:rFonts w:ascii="Arial" w:cs="Arial" w:eastAsia="Arial" w:hAnsi="Arial"/>
                <w:sz w:val="12"/>
                <w:szCs w:val="12"/>
                <w:color w:val="auto"/>
              </w:rPr>
              <w:t>(8)</w:t>
            </w: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1,752,896</w:t>
            </w:r>
          </w:p>
        </w:tc>
        <w:tc>
          <w:tcPr>
            <w:tcW w:w="122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1,752,896</w:t>
            </w: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1,752,896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IDQ Holdings, Inc. </w:t>
            </w:r>
            <w:r>
              <w:rPr>
                <w:rFonts w:ascii="Arial" w:cs="Arial" w:eastAsia="Arial" w:hAnsi="Arial"/>
                <w:sz w:val="12"/>
                <w:szCs w:val="12"/>
                <w:color w:val="auto"/>
              </w:rPr>
              <w:t>(5)</w:t>
            </w:r>
          </w:p>
        </w:tc>
        <w:tc>
          <w:tcPr>
            <w:tcW w:w="10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6"/>
              </w:rPr>
              <w:t>04/01/2017</w:t>
            </w:r>
          </w:p>
        </w:tc>
        <w:tc>
          <w:tcPr>
            <w:tcW w:w="154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5"/>
              </w:rPr>
              <w:t>Auto Sector</w:t>
            </w: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11.50%</w:t>
            </w:r>
          </w:p>
        </w:tc>
        <w:tc>
          <w:tcPr>
            <w:tcW w:w="10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6"/>
              </w:rPr>
              <w:t>11,500,000</w:t>
            </w:r>
          </w:p>
        </w:tc>
        <w:tc>
          <w:tcPr>
            <w:tcW w:w="122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11,288,165</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12,218,750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60" w:type="dxa"/>
            <w:vAlign w:val="bottom"/>
            <w:gridSpan w:val="2"/>
          </w:tcPr>
          <w:p>
            <w:pPr>
              <w:spacing w:after="0" w:line="130" w:lineRule="exact"/>
              <w:rPr>
                <w:sz w:val="20"/>
                <w:szCs w:val="20"/>
                <w:color w:val="auto"/>
              </w:rPr>
            </w:pPr>
            <w:r>
              <w:rPr>
                <w:rFonts w:ascii="Arial" w:cs="Arial" w:eastAsia="Arial" w:hAnsi="Arial"/>
                <w:sz w:val="14"/>
                <w:szCs w:val="14"/>
                <w:color w:val="auto"/>
              </w:rPr>
              <w:t>Instant Web, Inc.</w:t>
            </w:r>
          </w:p>
        </w:tc>
        <w:tc>
          <w:tcPr>
            <w:tcW w:w="102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w w:val="96"/>
              </w:rPr>
              <w:t>08/07/2014</w:t>
            </w:r>
          </w:p>
        </w:tc>
        <w:tc>
          <w:tcPr>
            <w:tcW w:w="154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93"/>
              </w:rPr>
              <w:t>Printing and</w:t>
            </w:r>
          </w:p>
        </w:tc>
        <w:tc>
          <w:tcPr>
            <w:tcW w:w="1080" w:type="dxa"/>
            <w:vAlign w:val="bottom"/>
            <w:gridSpan w:val="2"/>
          </w:tcPr>
          <w:p>
            <w:pPr>
              <w:jc w:val="right"/>
              <w:ind w:right="280"/>
              <w:spacing w:after="0" w:line="130" w:lineRule="exact"/>
              <w:rPr>
                <w:sz w:val="20"/>
                <w:szCs w:val="20"/>
                <w:color w:val="auto"/>
              </w:rPr>
            </w:pPr>
            <w:r>
              <w:rPr>
                <w:rFonts w:ascii="Arial" w:cs="Arial" w:eastAsia="Arial" w:hAnsi="Arial"/>
                <w:sz w:val="14"/>
                <w:szCs w:val="14"/>
                <w:color w:val="auto"/>
              </w:rPr>
              <w:t>14.50%</w:t>
            </w:r>
          </w:p>
        </w:tc>
        <w:tc>
          <w:tcPr>
            <w:tcW w:w="104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L+950</w:t>
            </w:r>
            <w:r>
              <w:rPr>
                <w:rFonts w:ascii="Arial" w:cs="Arial" w:eastAsia="Arial" w:hAnsi="Arial"/>
                <w:sz w:val="12"/>
                <w:szCs w:val="12"/>
                <w:color w:val="auto"/>
              </w:rPr>
              <w:t>(8)</w:t>
            </w:r>
          </w:p>
        </w:tc>
        <w:tc>
          <w:tcPr>
            <w:tcW w:w="86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w w:val="96"/>
              </w:rPr>
              <w:t>24,115,645</w:t>
            </w:r>
          </w:p>
        </w:tc>
        <w:tc>
          <w:tcPr>
            <w:tcW w:w="1220" w:type="dxa"/>
            <w:vAlign w:val="bottom"/>
            <w:gridSpan w:val="3"/>
          </w:tcPr>
          <w:p>
            <w:pPr>
              <w:jc w:val="right"/>
              <w:ind w:right="240"/>
              <w:spacing w:after="0" w:line="130" w:lineRule="exact"/>
              <w:rPr>
                <w:sz w:val="20"/>
                <w:szCs w:val="20"/>
                <w:color w:val="auto"/>
              </w:rPr>
            </w:pPr>
            <w:r>
              <w:rPr>
                <w:rFonts w:ascii="Arial" w:cs="Arial" w:eastAsia="Arial" w:hAnsi="Arial"/>
                <w:sz w:val="14"/>
                <w:szCs w:val="14"/>
                <w:color w:val="auto"/>
              </w:rPr>
              <w:t>23,829,738</w:t>
            </w: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23,802,142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40" w:type="dxa"/>
            <w:vAlign w:val="bottom"/>
            <w:gridSpan w:val="2"/>
          </w:tcPr>
          <w:p>
            <w:pPr>
              <w:jc w:val="center"/>
              <w:ind w:right="160"/>
              <w:spacing w:after="0"/>
              <w:rPr>
                <w:sz w:val="20"/>
                <w:szCs w:val="20"/>
                <w:color w:val="auto"/>
              </w:rPr>
            </w:pPr>
            <w:r>
              <w:rPr>
                <w:rFonts w:ascii="Arial" w:cs="Arial" w:eastAsia="Arial" w:hAnsi="Arial"/>
                <w:sz w:val="14"/>
                <w:szCs w:val="14"/>
                <w:color w:val="auto"/>
                <w:w w:val="95"/>
              </w:rPr>
              <w:t>Publishing</w:t>
            </w: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Interactive Health Solutions, Inc.</w:t>
            </w:r>
          </w:p>
        </w:tc>
        <w:tc>
          <w:tcPr>
            <w:tcW w:w="102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w w:val="96"/>
              </w:rPr>
              <w:t>10/04/2016</w:t>
            </w:r>
          </w:p>
        </w:tc>
        <w:tc>
          <w:tcPr>
            <w:tcW w:w="154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91"/>
              </w:rPr>
              <w:t>Healthcare, Education</w:t>
            </w:r>
          </w:p>
        </w:tc>
        <w:tc>
          <w:tcPr>
            <w:tcW w:w="108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11.50%</w:t>
            </w:r>
          </w:p>
        </w:tc>
        <w:tc>
          <w:tcPr>
            <w:tcW w:w="104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L+950</w:t>
            </w:r>
            <w:r>
              <w:rPr>
                <w:rFonts w:ascii="Arial" w:cs="Arial" w:eastAsia="Arial" w:hAnsi="Arial"/>
                <w:sz w:val="12"/>
                <w:szCs w:val="12"/>
                <w:color w:val="auto"/>
              </w:rPr>
              <w:t>(8)</w:t>
            </w:r>
          </w:p>
        </w:tc>
        <w:tc>
          <w:tcPr>
            <w:tcW w:w="86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w w:val="96"/>
              </w:rPr>
              <w:t>18,525,000</w:t>
            </w:r>
          </w:p>
        </w:tc>
        <w:tc>
          <w:tcPr>
            <w:tcW w:w="1220" w:type="dxa"/>
            <w:vAlign w:val="bottom"/>
            <w:gridSpan w:val="3"/>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18,165,492</w:t>
            </w: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18,571,313</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9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4"/>
              </w:rPr>
              <w:t>and Childcare</w:t>
            </w:r>
          </w:p>
        </w:tc>
        <w:tc>
          <w:tcPr>
            <w:tcW w:w="6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60" w:type="dxa"/>
            <w:vAlign w:val="bottom"/>
            <w:gridSpan w:val="2"/>
          </w:tcPr>
          <w:p>
            <w:pPr>
              <w:spacing w:after="0" w:line="130" w:lineRule="exact"/>
              <w:rPr>
                <w:sz w:val="20"/>
                <w:szCs w:val="20"/>
                <w:color w:val="auto"/>
              </w:rPr>
            </w:pPr>
            <w:r>
              <w:rPr>
                <w:rFonts w:ascii="Arial" w:cs="Arial" w:eastAsia="Arial" w:hAnsi="Arial"/>
                <w:sz w:val="14"/>
                <w:szCs w:val="14"/>
                <w:color w:val="auto"/>
              </w:rPr>
              <w:t>Jacuzzi Brands Corp.</w:t>
            </w:r>
          </w:p>
        </w:tc>
        <w:tc>
          <w:tcPr>
            <w:tcW w:w="102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w w:val="96"/>
              </w:rPr>
              <w:t>02/07/2014</w:t>
            </w:r>
          </w:p>
        </w:tc>
        <w:tc>
          <w:tcPr>
            <w:tcW w:w="154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93"/>
              </w:rPr>
              <w:t>Home and Office</w:t>
            </w:r>
          </w:p>
        </w:tc>
        <w:tc>
          <w:tcPr>
            <w:tcW w:w="1080" w:type="dxa"/>
            <w:vAlign w:val="bottom"/>
            <w:gridSpan w:val="2"/>
          </w:tcPr>
          <w:p>
            <w:pPr>
              <w:jc w:val="right"/>
              <w:ind w:right="280"/>
              <w:spacing w:after="0" w:line="130" w:lineRule="exact"/>
              <w:rPr>
                <w:sz w:val="20"/>
                <w:szCs w:val="20"/>
                <w:color w:val="auto"/>
              </w:rPr>
            </w:pPr>
            <w:r>
              <w:rPr>
                <w:rFonts w:ascii="Arial" w:cs="Arial" w:eastAsia="Arial" w:hAnsi="Arial"/>
                <w:sz w:val="14"/>
                <w:szCs w:val="14"/>
                <w:color w:val="auto"/>
              </w:rPr>
              <w:t>2.28%</w:t>
            </w:r>
          </w:p>
        </w:tc>
        <w:tc>
          <w:tcPr>
            <w:tcW w:w="1040" w:type="dxa"/>
            <w:vAlign w:val="bottom"/>
            <w:gridSpan w:val="2"/>
          </w:tcPr>
          <w:p>
            <w:pPr>
              <w:jc w:val="right"/>
              <w:ind w:right="360"/>
              <w:spacing w:after="0" w:line="130" w:lineRule="exact"/>
              <w:rPr>
                <w:sz w:val="20"/>
                <w:szCs w:val="20"/>
                <w:color w:val="auto"/>
              </w:rPr>
            </w:pPr>
            <w:r>
              <w:rPr>
                <w:rFonts w:ascii="Arial" w:cs="Arial" w:eastAsia="Arial" w:hAnsi="Arial"/>
                <w:sz w:val="14"/>
                <w:szCs w:val="14"/>
                <w:color w:val="auto"/>
              </w:rPr>
              <w:t>L+225</w:t>
            </w:r>
          </w:p>
        </w:tc>
        <w:tc>
          <w:tcPr>
            <w:tcW w:w="86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9,598,649</w:t>
            </w:r>
          </w:p>
        </w:tc>
        <w:tc>
          <w:tcPr>
            <w:tcW w:w="1220" w:type="dxa"/>
            <w:vAlign w:val="bottom"/>
            <w:gridSpan w:val="3"/>
          </w:tcPr>
          <w:p>
            <w:pPr>
              <w:jc w:val="right"/>
              <w:ind w:right="240"/>
              <w:spacing w:after="0" w:line="130" w:lineRule="exact"/>
              <w:rPr>
                <w:sz w:val="20"/>
                <w:szCs w:val="20"/>
                <w:color w:val="auto"/>
              </w:rPr>
            </w:pPr>
            <w:r>
              <w:rPr>
                <w:rFonts w:ascii="Arial" w:cs="Arial" w:eastAsia="Arial" w:hAnsi="Arial"/>
                <w:sz w:val="14"/>
                <w:szCs w:val="14"/>
                <w:color w:val="auto"/>
              </w:rPr>
              <w:t>9,598,649</w:t>
            </w: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6,371,103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1"/>
              </w:rPr>
              <w:t>Furnishings,</w:t>
            </w: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89"/>
              </w:rPr>
              <w:t>Housewares and</w:t>
            </w: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3"/>
              </w:rPr>
              <w:t>Durable Consumer</w:t>
            </w: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40" w:type="dxa"/>
            <w:vAlign w:val="bottom"/>
            <w:gridSpan w:val="2"/>
          </w:tcPr>
          <w:p>
            <w:pPr>
              <w:jc w:val="center"/>
              <w:ind w:right="160"/>
              <w:spacing w:after="0"/>
              <w:rPr>
                <w:sz w:val="20"/>
                <w:szCs w:val="20"/>
                <w:color w:val="auto"/>
              </w:rPr>
            </w:pPr>
            <w:r>
              <w:rPr>
                <w:rFonts w:ascii="Arial" w:cs="Arial" w:eastAsia="Arial" w:hAnsi="Arial"/>
                <w:sz w:val="14"/>
                <w:szCs w:val="14"/>
                <w:color w:val="auto"/>
                <w:w w:val="90"/>
              </w:rPr>
              <w:t>Products</w:t>
            </w: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K2 Pure Solutions NoCal, L.P.</w:t>
            </w:r>
          </w:p>
        </w:tc>
        <w:tc>
          <w:tcPr>
            <w:tcW w:w="102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w w:val="96"/>
              </w:rPr>
              <w:t>09/10/2015</w:t>
            </w:r>
          </w:p>
        </w:tc>
        <w:tc>
          <w:tcPr>
            <w:tcW w:w="154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90"/>
              </w:rPr>
              <w:t>Chemicals, Plastics</w:t>
            </w:r>
          </w:p>
        </w:tc>
        <w:tc>
          <w:tcPr>
            <w:tcW w:w="108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10.00%</w:t>
            </w:r>
          </w:p>
        </w:tc>
        <w:tc>
          <w:tcPr>
            <w:tcW w:w="104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L+775</w:t>
            </w:r>
            <w:r>
              <w:rPr>
                <w:rFonts w:ascii="Arial" w:cs="Arial" w:eastAsia="Arial" w:hAnsi="Arial"/>
                <w:sz w:val="12"/>
                <w:szCs w:val="12"/>
                <w:color w:val="auto"/>
              </w:rPr>
              <w:t>(8)</w:t>
            </w:r>
          </w:p>
        </w:tc>
        <w:tc>
          <w:tcPr>
            <w:tcW w:w="86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w w:val="96"/>
              </w:rPr>
              <w:t>18,952,500</w:t>
            </w:r>
          </w:p>
        </w:tc>
        <w:tc>
          <w:tcPr>
            <w:tcW w:w="1220" w:type="dxa"/>
            <w:vAlign w:val="bottom"/>
            <w:gridSpan w:val="3"/>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18,216,865</w:t>
            </w: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19,236,788</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9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0"/>
              </w:rPr>
              <w:t>and Rubber</w:t>
            </w:r>
          </w:p>
        </w:tc>
        <w:tc>
          <w:tcPr>
            <w:tcW w:w="6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60" w:type="dxa"/>
            <w:vAlign w:val="bottom"/>
            <w:gridSpan w:val="2"/>
          </w:tcPr>
          <w:p>
            <w:pPr>
              <w:spacing w:after="0" w:line="130" w:lineRule="exact"/>
              <w:rPr>
                <w:sz w:val="20"/>
                <w:szCs w:val="20"/>
                <w:color w:val="auto"/>
              </w:rPr>
            </w:pPr>
            <w:r>
              <w:rPr>
                <w:rFonts w:ascii="Arial" w:cs="Arial" w:eastAsia="Arial" w:hAnsi="Arial"/>
                <w:sz w:val="14"/>
                <w:szCs w:val="14"/>
                <w:color w:val="auto"/>
              </w:rPr>
              <w:t>Kadmon Pharmaceuticals, LLC</w:t>
            </w:r>
          </w:p>
        </w:tc>
        <w:tc>
          <w:tcPr>
            <w:tcW w:w="102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w w:val="96"/>
              </w:rPr>
              <w:t>10/31/2012</w:t>
            </w:r>
          </w:p>
        </w:tc>
        <w:tc>
          <w:tcPr>
            <w:tcW w:w="154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91"/>
              </w:rPr>
              <w:t>Healthcare, Education</w:t>
            </w:r>
          </w:p>
        </w:tc>
        <w:tc>
          <w:tcPr>
            <w:tcW w:w="1080" w:type="dxa"/>
            <w:vAlign w:val="bottom"/>
            <w:gridSpan w:val="2"/>
          </w:tcPr>
          <w:p>
            <w:pPr>
              <w:jc w:val="right"/>
              <w:ind w:right="280"/>
              <w:spacing w:after="0" w:line="130" w:lineRule="exact"/>
              <w:rPr>
                <w:sz w:val="20"/>
                <w:szCs w:val="20"/>
                <w:color w:val="auto"/>
              </w:rPr>
            </w:pPr>
            <w:r>
              <w:rPr>
                <w:rFonts w:ascii="Arial" w:cs="Arial" w:eastAsia="Arial" w:hAnsi="Arial"/>
                <w:sz w:val="14"/>
                <w:szCs w:val="14"/>
                <w:color w:val="auto"/>
              </w:rPr>
              <w:t>15.00%</w:t>
            </w:r>
          </w:p>
        </w:tc>
        <w:tc>
          <w:tcPr>
            <w:tcW w:w="104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L+1,300</w:t>
            </w:r>
            <w:r>
              <w:rPr>
                <w:rFonts w:ascii="Arial" w:cs="Arial" w:eastAsia="Arial" w:hAnsi="Arial"/>
                <w:sz w:val="12"/>
                <w:szCs w:val="12"/>
                <w:color w:val="auto"/>
              </w:rPr>
              <w:t>(8)</w:t>
            </w:r>
          </w:p>
        </w:tc>
        <w:tc>
          <w:tcPr>
            <w:tcW w:w="86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4,931,494</w:t>
            </w:r>
          </w:p>
        </w:tc>
        <w:tc>
          <w:tcPr>
            <w:tcW w:w="1220" w:type="dxa"/>
            <w:vAlign w:val="bottom"/>
            <w:gridSpan w:val="3"/>
          </w:tcPr>
          <w:p>
            <w:pPr>
              <w:jc w:val="right"/>
              <w:ind w:right="240"/>
              <w:spacing w:after="0" w:line="130" w:lineRule="exact"/>
              <w:rPr>
                <w:sz w:val="20"/>
                <w:szCs w:val="20"/>
                <w:color w:val="auto"/>
              </w:rPr>
            </w:pPr>
            <w:r>
              <w:rPr>
                <w:rFonts w:ascii="Arial" w:cs="Arial" w:eastAsia="Arial" w:hAnsi="Arial"/>
                <w:sz w:val="14"/>
                <w:szCs w:val="14"/>
                <w:color w:val="auto"/>
              </w:rPr>
              <w:t>4,992,740</w:t>
            </w: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5,110,409</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4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and Childcare</w:t>
            </w: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Learning Care Group, Inc.</w:t>
            </w:r>
          </w:p>
        </w:tc>
        <w:tc>
          <w:tcPr>
            <w:tcW w:w="10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6"/>
              </w:rPr>
              <w:t>04/27/2016</w:t>
            </w:r>
          </w:p>
        </w:tc>
        <w:tc>
          <w:tcPr>
            <w:tcW w:w="154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3"/>
              </w:rPr>
              <w:t>Education</w:t>
            </w: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12.00%</w:t>
            </w:r>
          </w:p>
        </w:tc>
        <w:tc>
          <w:tcPr>
            <w:tcW w:w="10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6"/>
              </w:rPr>
              <w:t>26,052,632</w:t>
            </w:r>
          </w:p>
        </w:tc>
        <w:tc>
          <w:tcPr>
            <w:tcW w:w="122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25,640,832</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25,857,237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60" w:type="dxa"/>
            <w:vAlign w:val="bottom"/>
            <w:gridSpan w:val="2"/>
          </w:tcPr>
          <w:p>
            <w:pPr>
              <w:spacing w:after="0" w:line="130" w:lineRule="exact"/>
              <w:rPr>
                <w:sz w:val="20"/>
                <w:szCs w:val="20"/>
                <w:color w:val="auto"/>
              </w:rPr>
            </w:pPr>
            <w:r>
              <w:rPr>
                <w:rFonts w:ascii="Arial" w:cs="Arial" w:eastAsia="Arial" w:hAnsi="Arial"/>
                <w:sz w:val="14"/>
                <w:szCs w:val="14"/>
                <w:color w:val="auto"/>
              </w:rPr>
              <w:t>Penton Media, Inc.</w:t>
            </w:r>
          </w:p>
        </w:tc>
        <w:tc>
          <w:tcPr>
            <w:tcW w:w="102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w w:val="96"/>
              </w:rPr>
              <w:t>08/01/2014</w:t>
            </w:r>
          </w:p>
        </w:tc>
        <w:tc>
          <w:tcPr>
            <w:tcW w:w="154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96"/>
              </w:rPr>
              <w:t>Other Media</w:t>
            </w:r>
          </w:p>
        </w:tc>
        <w:tc>
          <w:tcPr>
            <w:tcW w:w="1080" w:type="dxa"/>
            <w:vAlign w:val="bottom"/>
            <w:gridSpan w:val="2"/>
          </w:tcPr>
          <w:p>
            <w:pPr>
              <w:jc w:val="right"/>
              <w:ind w:right="280"/>
              <w:spacing w:after="0" w:line="130" w:lineRule="exact"/>
              <w:rPr>
                <w:sz w:val="20"/>
                <w:szCs w:val="20"/>
                <w:color w:val="auto"/>
              </w:rPr>
            </w:pPr>
            <w:r>
              <w:rPr>
                <w:rFonts w:ascii="Arial" w:cs="Arial" w:eastAsia="Arial" w:hAnsi="Arial"/>
                <w:sz w:val="14"/>
                <w:szCs w:val="14"/>
                <w:color w:val="auto"/>
              </w:rPr>
              <w:t>5.00%</w:t>
            </w:r>
          </w:p>
        </w:tc>
        <w:tc>
          <w:tcPr>
            <w:tcW w:w="104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L+400</w:t>
            </w:r>
            <w:r>
              <w:rPr>
                <w:rFonts w:ascii="Arial" w:cs="Arial" w:eastAsia="Arial" w:hAnsi="Arial"/>
                <w:sz w:val="12"/>
                <w:szCs w:val="12"/>
                <w:color w:val="auto"/>
              </w:rPr>
              <w:t>(8)</w:t>
            </w:r>
          </w:p>
        </w:tc>
        <w:tc>
          <w:tcPr>
            <w:tcW w:w="86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w w:val="96"/>
              </w:rPr>
              <w:t>37,775,294</w:t>
            </w:r>
          </w:p>
        </w:tc>
        <w:tc>
          <w:tcPr>
            <w:tcW w:w="1220" w:type="dxa"/>
            <w:vAlign w:val="bottom"/>
            <w:gridSpan w:val="3"/>
          </w:tcPr>
          <w:p>
            <w:pPr>
              <w:jc w:val="right"/>
              <w:ind w:right="240"/>
              <w:spacing w:after="0" w:line="130" w:lineRule="exact"/>
              <w:rPr>
                <w:sz w:val="20"/>
                <w:szCs w:val="20"/>
                <w:color w:val="auto"/>
              </w:rPr>
            </w:pPr>
            <w:r>
              <w:rPr>
                <w:rFonts w:ascii="Arial" w:cs="Arial" w:eastAsia="Arial" w:hAnsi="Arial"/>
                <w:sz w:val="14"/>
                <w:szCs w:val="14"/>
                <w:color w:val="auto"/>
              </w:rPr>
              <w:t>33,971,917</w:t>
            </w: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30,503,550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(PIK 1.00%)</w:t>
            </w:r>
          </w:p>
        </w:tc>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Pre-Paid Legal Services, Inc., Tranche A</w:t>
            </w:r>
          </w:p>
        </w:tc>
        <w:tc>
          <w:tcPr>
            <w:tcW w:w="102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w w:val="96"/>
              </w:rPr>
              <w:t>12/30/2016</w:t>
            </w:r>
          </w:p>
        </w:tc>
        <w:tc>
          <w:tcPr>
            <w:tcW w:w="154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89"/>
              </w:rPr>
              <w:t>Personal, Food and</w:t>
            </w:r>
          </w:p>
        </w:tc>
        <w:tc>
          <w:tcPr>
            <w:tcW w:w="108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7.50%</w:t>
            </w:r>
          </w:p>
        </w:tc>
        <w:tc>
          <w:tcPr>
            <w:tcW w:w="104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L+600</w:t>
            </w:r>
            <w:r>
              <w:rPr>
                <w:rFonts w:ascii="Arial" w:cs="Arial" w:eastAsia="Arial" w:hAnsi="Arial"/>
                <w:sz w:val="12"/>
                <w:szCs w:val="12"/>
                <w:color w:val="auto"/>
              </w:rPr>
              <w:t>(8)</w:t>
            </w:r>
          </w:p>
        </w:tc>
        <w:tc>
          <w:tcPr>
            <w:tcW w:w="86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1,552,846</w:t>
            </w:r>
          </w:p>
        </w:tc>
        <w:tc>
          <w:tcPr>
            <w:tcW w:w="1220" w:type="dxa"/>
            <w:vAlign w:val="bottom"/>
            <w:gridSpan w:val="3"/>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1,533,687</w:t>
            </w: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1,556,728</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9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1"/>
              </w:rPr>
              <w:t>Miscellaneous Services</w:t>
            </w:r>
          </w:p>
        </w:tc>
        <w:tc>
          <w:tcPr>
            <w:tcW w:w="6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60" w:type="dxa"/>
            <w:vAlign w:val="bottom"/>
            <w:gridSpan w:val="2"/>
          </w:tcPr>
          <w:p>
            <w:pPr>
              <w:spacing w:after="0" w:line="130" w:lineRule="exact"/>
              <w:rPr>
                <w:sz w:val="20"/>
                <w:szCs w:val="20"/>
                <w:color w:val="auto"/>
              </w:rPr>
            </w:pPr>
            <w:r>
              <w:rPr>
                <w:rFonts w:ascii="Arial" w:cs="Arial" w:eastAsia="Arial" w:hAnsi="Arial"/>
                <w:sz w:val="14"/>
                <w:szCs w:val="14"/>
                <w:color w:val="auto"/>
              </w:rPr>
              <w:t>Pre-Paid Legal Services, Inc., Tranche B</w:t>
            </w:r>
          </w:p>
        </w:tc>
        <w:tc>
          <w:tcPr>
            <w:tcW w:w="102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w w:val="96"/>
              </w:rPr>
              <w:t>12/30/2016</w:t>
            </w:r>
          </w:p>
        </w:tc>
        <w:tc>
          <w:tcPr>
            <w:tcW w:w="154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89"/>
              </w:rPr>
              <w:t>Personal, Food and</w:t>
            </w:r>
          </w:p>
        </w:tc>
        <w:tc>
          <w:tcPr>
            <w:tcW w:w="1080" w:type="dxa"/>
            <w:vAlign w:val="bottom"/>
            <w:gridSpan w:val="2"/>
          </w:tcPr>
          <w:p>
            <w:pPr>
              <w:jc w:val="right"/>
              <w:ind w:right="280"/>
              <w:spacing w:after="0" w:line="130" w:lineRule="exact"/>
              <w:rPr>
                <w:sz w:val="20"/>
                <w:szCs w:val="20"/>
                <w:color w:val="auto"/>
              </w:rPr>
            </w:pPr>
            <w:r>
              <w:rPr>
                <w:rFonts w:ascii="Arial" w:cs="Arial" w:eastAsia="Arial" w:hAnsi="Arial"/>
                <w:sz w:val="14"/>
                <w:szCs w:val="14"/>
                <w:color w:val="auto"/>
              </w:rPr>
              <w:t>11.00%</w:t>
            </w:r>
          </w:p>
        </w:tc>
        <w:tc>
          <w:tcPr>
            <w:tcW w:w="104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L+950</w:t>
            </w:r>
            <w:r>
              <w:rPr>
                <w:rFonts w:ascii="Arial" w:cs="Arial" w:eastAsia="Arial" w:hAnsi="Arial"/>
                <w:sz w:val="12"/>
                <w:szCs w:val="12"/>
                <w:color w:val="auto"/>
              </w:rPr>
              <w:t>(8)</w:t>
            </w:r>
          </w:p>
        </w:tc>
        <w:tc>
          <w:tcPr>
            <w:tcW w:w="86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w w:val="96"/>
              </w:rPr>
              <w:t>35,000,000</w:t>
            </w:r>
          </w:p>
        </w:tc>
        <w:tc>
          <w:tcPr>
            <w:tcW w:w="1220" w:type="dxa"/>
            <w:vAlign w:val="bottom"/>
            <w:gridSpan w:val="3"/>
          </w:tcPr>
          <w:p>
            <w:pPr>
              <w:jc w:val="right"/>
              <w:ind w:right="240"/>
              <w:spacing w:after="0" w:line="130" w:lineRule="exact"/>
              <w:rPr>
                <w:sz w:val="20"/>
                <w:szCs w:val="20"/>
                <w:color w:val="auto"/>
              </w:rPr>
            </w:pPr>
            <w:r>
              <w:rPr>
                <w:rFonts w:ascii="Arial" w:cs="Arial" w:eastAsia="Arial" w:hAnsi="Arial"/>
                <w:sz w:val="14"/>
                <w:szCs w:val="14"/>
                <w:color w:val="auto"/>
              </w:rPr>
              <w:t>34,118,800</w:t>
            </w: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35,350,000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40" w:type="dxa"/>
            <w:vAlign w:val="bottom"/>
            <w:gridSpan w:val="2"/>
          </w:tcPr>
          <w:p>
            <w:pPr>
              <w:jc w:val="center"/>
              <w:ind w:right="160"/>
              <w:spacing w:after="0"/>
              <w:rPr>
                <w:sz w:val="20"/>
                <w:szCs w:val="20"/>
                <w:color w:val="auto"/>
              </w:rPr>
            </w:pPr>
            <w:r>
              <w:rPr>
                <w:rFonts w:ascii="Arial" w:cs="Arial" w:eastAsia="Arial" w:hAnsi="Arial"/>
                <w:sz w:val="14"/>
                <w:szCs w:val="14"/>
                <w:color w:val="auto"/>
                <w:w w:val="91"/>
              </w:rPr>
              <w:t>Miscellaneous Services</w:t>
            </w: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Questex Media Group LLC</w:t>
            </w:r>
            <w:r>
              <w:rPr>
                <w:rFonts w:ascii="Arial" w:cs="Arial" w:eastAsia="Arial" w:hAnsi="Arial"/>
                <w:sz w:val="12"/>
                <w:szCs w:val="12"/>
                <w:color w:val="auto"/>
              </w:rPr>
              <w:t>(9)</w:t>
            </w:r>
          </w:p>
        </w:tc>
        <w:tc>
          <w:tcPr>
            <w:tcW w:w="10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6"/>
              </w:rPr>
              <w:t>12/16/2012</w:t>
            </w:r>
          </w:p>
        </w:tc>
        <w:tc>
          <w:tcPr>
            <w:tcW w:w="154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6"/>
              </w:rPr>
              <w:t>Other Media</w:t>
            </w: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1.36%</w:t>
            </w:r>
          </w:p>
        </w:tc>
        <w:tc>
          <w:tcPr>
            <w:tcW w:w="10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133,603</w:t>
            </w:r>
          </w:p>
        </w:tc>
        <w:tc>
          <w:tcPr>
            <w:tcW w:w="122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133,603</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133,603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tcPr>
          <w:p>
            <w:pPr>
              <w:spacing w:after="0" w:line="149" w:lineRule="exact"/>
              <w:rPr>
                <w:sz w:val="20"/>
                <w:szCs w:val="20"/>
                <w:color w:val="auto"/>
              </w:rPr>
            </w:pPr>
            <w:r>
              <w:rPr>
                <w:rFonts w:ascii="Arial" w:cs="Arial" w:eastAsia="Arial" w:hAnsi="Arial"/>
                <w:sz w:val="14"/>
                <w:szCs w:val="14"/>
                <w:color w:val="auto"/>
              </w:rPr>
              <w:t>Tekelec Global Inc. (First Out)</w:t>
            </w: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6"/>
              </w:rPr>
              <w:t>01/29/2018</w:t>
            </w:r>
          </w:p>
        </w:tc>
        <w:tc>
          <w:tcPr>
            <w:tcW w:w="15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1"/>
              </w:rPr>
              <w:t>Telecommunications</w:t>
            </w: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9.00%</w:t>
            </w: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L+750</w:t>
            </w:r>
            <w:r>
              <w:rPr>
                <w:rFonts w:ascii="Arial" w:cs="Arial" w:eastAsia="Arial" w:hAnsi="Arial"/>
                <w:sz w:val="12"/>
                <w:szCs w:val="12"/>
                <w:color w:val="auto"/>
              </w:rPr>
              <w:t>(8)</w:t>
            </w: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850,000</w:t>
            </w:r>
          </w:p>
        </w:tc>
        <w:tc>
          <w:tcPr>
            <w:tcW w:w="122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838,369</w:t>
            </w: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850,000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Tekelec Global Inc. (Second Out)</w:t>
            </w:r>
          </w:p>
        </w:tc>
        <w:tc>
          <w:tcPr>
            <w:tcW w:w="10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6"/>
              </w:rPr>
              <w:t>01/29/2018</w:t>
            </w:r>
          </w:p>
        </w:tc>
        <w:tc>
          <w:tcPr>
            <w:tcW w:w="154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1"/>
              </w:rPr>
              <w:t>Telecommunications</w:t>
            </w: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13.50%</w:t>
            </w: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L+1,200</w:t>
            </w:r>
            <w:r>
              <w:rPr>
                <w:rFonts w:ascii="Arial" w:cs="Arial" w:eastAsia="Arial" w:hAnsi="Arial"/>
                <w:sz w:val="12"/>
                <w:szCs w:val="12"/>
                <w:color w:val="auto"/>
              </w:rPr>
              <w:t>(8)</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6"/>
              </w:rPr>
              <w:t>10,625,000</w:t>
            </w:r>
          </w:p>
        </w:tc>
        <w:tc>
          <w:tcPr>
            <w:tcW w:w="122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10,338,450</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10,848,126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tcPr>
          <w:p>
            <w:pPr>
              <w:spacing w:after="0" w:line="149" w:lineRule="exact"/>
              <w:rPr>
                <w:sz w:val="20"/>
                <w:szCs w:val="20"/>
                <w:color w:val="auto"/>
              </w:rPr>
            </w:pPr>
            <w:r>
              <w:rPr>
                <w:rFonts w:ascii="Arial" w:cs="Arial" w:eastAsia="Arial" w:hAnsi="Arial"/>
                <w:sz w:val="14"/>
                <w:szCs w:val="14"/>
                <w:color w:val="auto"/>
              </w:rPr>
              <w:t>Worley Claims Services, LLC</w:t>
            </w: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6"/>
              </w:rPr>
              <w:t>07/06/2017</w:t>
            </w:r>
          </w:p>
        </w:tc>
        <w:tc>
          <w:tcPr>
            <w:tcW w:w="15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87"/>
              </w:rPr>
              <w:t>Insurance</w:t>
            </w: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12.50%</w:t>
            </w: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L+1,100</w:t>
            </w:r>
            <w:r>
              <w:rPr>
                <w:rFonts w:ascii="Arial" w:cs="Arial" w:eastAsia="Arial" w:hAnsi="Arial"/>
                <w:sz w:val="12"/>
                <w:szCs w:val="12"/>
                <w:color w:val="auto"/>
              </w:rPr>
              <w:t>(8)</w:t>
            </w: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6"/>
              </w:rPr>
              <w:t>14,934,000</w:t>
            </w:r>
          </w:p>
        </w:tc>
        <w:tc>
          <w:tcPr>
            <w:tcW w:w="122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14,934,000</w:t>
            </w: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14,859,330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Yonkers Racing Corp.</w:t>
            </w:r>
            <w:r>
              <w:rPr>
                <w:rFonts w:ascii="Arial" w:cs="Arial" w:eastAsia="Arial" w:hAnsi="Arial"/>
                <w:sz w:val="12"/>
                <w:szCs w:val="12"/>
                <w:color w:val="auto"/>
              </w:rPr>
              <w:t>(5)</w:t>
            </w:r>
          </w:p>
        </w:tc>
        <w:tc>
          <w:tcPr>
            <w:tcW w:w="102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w w:val="96"/>
              </w:rPr>
              <w:t>07/15/2016</w:t>
            </w:r>
          </w:p>
        </w:tc>
        <w:tc>
          <w:tcPr>
            <w:tcW w:w="154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95"/>
              </w:rPr>
              <w:t>Hotels, Motels, Inns</w:t>
            </w:r>
          </w:p>
        </w:tc>
        <w:tc>
          <w:tcPr>
            <w:tcW w:w="108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11.38%</w:t>
            </w:r>
          </w:p>
        </w:tc>
        <w:tc>
          <w:tcPr>
            <w:tcW w:w="1040" w:type="dxa"/>
            <w:vAlign w:val="bottom"/>
            <w:gridSpan w:val="2"/>
            <w:shd w:val="clear" w:color="auto" w:fill="CCEEFF"/>
          </w:tcPr>
          <w:p>
            <w:pPr>
              <w:jc w:val="right"/>
              <w:ind w:right="420"/>
              <w:spacing w:after="0" w:line="130"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4,500,000</w:t>
            </w:r>
          </w:p>
        </w:tc>
        <w:tc>
          <w:tcPr>
            <w:tcW w:w="1220" w:type="dxa"/>
            <w:vAlign w:val="bottom"/>
            <w:gridSpan w:val="3"/>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4,401,515</w:t>
            </w: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4,860,000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9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1"/>
              </w:rPr>
              <w:t>and Gaming</w:t>
            </w:r>
          </w:p>
        </w:tc>
        <w:tc>
          <w:tcPr>
            <w:tcW w:w="6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6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First Lien Secured Debt</w:t>
            </w: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277,427,564</w:t>
            </w:r>
          </w:p>
        </w:tc>
        <w:tc>
          <w:tcPr>
            <w:tcW w:w="240" w:type="dxa"/>
            <w:vAlign w:val="bottom"/>
          </w:tcPr>
          <w:p>
            <w:pPr>
              <w:spacing w:after="0"/>
              <w:rPr>
                <w:sz w:val="14"/>
                <w:szCs w:val="14"/>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278,960,887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Second Lien Secured Debt—25.3%</w:t>
            </w: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60" w:type="dxa"/>
            <w:vAlign w:val="bottom"/>
            <w:gridSpan w:val="2"/>
          </w:tcPr>
          <w:p>
            <w:pPr>
              <w:spacing w:after="0" w:line="130" w:lineRule="exact"/>
              <w:rPr>
                <w:sz w:val="20"/>
                <w:szCs w:val="20"/>
                <w:color w:val="auto"/>
              </w:rPr>
            </w:pPr>
            <w:r>
              <w:rPr>
                <w:rFonts w:ascii="Arial" w:cs="Arial" w:eastAsia="Arial" w:hAnsi="Arial"/>
                <w:sz w:val="14"/>
                <w:szCs w:val="14"/>
                <w:color w:val="auto"/>
              </w:rPr>
              <w:t>American Gilsonite Company</w:t>
            </w:r>
            <w:r>
              <w:rPr>
                <w:rFonts w:ascii="Arial" w:cs="Arial" w:eastAsia="Arial" w:hAnsi="Arial"/>
                <w:sz w:val="12"/>
                <w:szCs w:val="12"/>
                <w:color w:val="auto"/>
              </w:rPr>
              <w:t>(5)</w:t>
            </w:r>
          </w:p>
        </w:tc>
        <w:tc>
          <w:tcPr>
            <w:tcW w:w="102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w w:val="96"/>
              </w:rPr>
              <w:t>09/01/2017</w:t>
            </w:r>
          </w:p>
        </w:tc>
        <w:tc>
          <w:tcPr>
            <w:tcW w:w="154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96"/>
              </w:rPr>
              <w:t>Diversified Natural</w:t>
            </w:r>
          </w:p>
        </w:tc>
        <w:tc>
          <w:tcPr>
            <w:tcW w:w="1080" w:type="dxa"/>
            <w:vAlign w:val="bottom"/>
            <w:gridSpan w:val="2"/>
          </w:tcPr>
          <w:p>
            <w:pPr>
              <w:jc w:val="right"/>
              <w:ind w:right="280"/>
              <w:spacing w:after="0" w:line="130" w:lineRule="exact"/>
              <w:rPr>
                <w:sz w:val="20"/>
                <w:szCs w:val="20"/>
                <w:color w:val="auto"/>
              </w:rPr>
            </w:pPr>
            <w:r>
              <w:rPr>
                <w:rFonts w:ascii="Arial" w:cs="Arial" w:eastAsia="Arial" w:hAnsi="Arial"/>
                <w:sz w:val="14"/>
                <w:szCs w:val="14"/>
                <w:color w:val="auto"/>
              </w:rPr>
              <w:t>11.50%</w:t>
            </w:r>
          </w:p>
        </w:tc>
        <w:tc>
          <w:tcPr>
            <w:tcW w:w="1040" w:type="dxa"/>
            <w:vAlign w:val="bottom"/>
            <w:gridSpan w:val="2"/>
          </w:tcPr>
          <w:p>
            <w:pPr>
              <w:jc w:val="right"/>
              <w:ind w:right="420"/>
              <w:spacing w:after="0" w:line="130"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w w:val="96"/>
              </w:rPr>
              <w:t>25,400,000</w:t>
            </w:r>
          </w:p>
        </w:tc>
        <w:tc>
          <w:tcPr>
            <w:tcW w:w="1220" w:type="dxa"/>
            <w:vAlign w:val="bottom"/>
            <w:gridSpan w:val="3"/>
          </w:tcPr>
          <w:p>
            <w:pPr>
              <w:jc w:val="right"/>
              <w:ind w:right="240"/>
              <w:spacing w:after="0" w:line="130" w:lineRule="exact"/>
              <w:rPr>
                <w:sz w:val="20"/>
                <w:szCs w:val="20"/>
                <w:color w:val="auto"/>
              </w:rPr>
            </w:pPr>
            <w:r>
              <w:rPr>
                <w:rFonts w:ascii="Arial" w:cs="Arial" w:eastAsia="Arial" w:hAnsi="Arial"/>
                <w:sz w:val="14"/>
                <w:szCs w:val="14"/>
                <w:color w:val="auto"/>
              </w:rPr>
              <w:t>25,400,000</w:t>
            </w: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26,098,500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88"/>
              </w:rPr>
              <w:t>Resources, Precious</w:t>
            </w: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4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Metals and Minerals</w:t>
            </w: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Brand Energy and Infrastructure Services, Inc.</w:t>
            </w:r>
          </w:p>
        </w:tc>
        <w:tc>
          <w:tcPr>
            <w:tcW w:w="10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6"/>
              </w:rPr>
              <w:t>02/07/2015</w:t>
            </w:r>
          </w:p>
        </w:tc>
        <w:tc>
          <w:tcPr>
            <w:tcW w:w="154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6"/>
              </w:rPr>
              <w:t>Energy/Utilities</w:t>
            </w: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6.33%</w:t>
            </w:r>
          </w:p>
        </w:tc>
        <w:tc>
          <w:tcPr>
            <w:tcW w:w="10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L+600</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6"/>
              </w:rPr>
              <w:t>13,600,000</w:t>
            </w:r>
          </w:p>
        </w:tc>
        <w:tc>
          <w:tcPr>
            <w:tcW w:w="122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13,378,432</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12,729,600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tcPr>
          <w:p>
            <w:pPr>
              <w:spacing w:after="0" w:line="149" w:lineRule="exact"/>
              <w:rPr>
                <w:sz w:val="20"/>
                <w:szCs w:val="20"/>
                <w:color w:val="auto"/>
              </w:rPr>
            </w:pPr>
            <w:r>
              <w:rPr>
                <w:rFonts w:ascii="Arial" w:cs="Arial" w:eastAsia="Arial" w:hAnsi="Arial"/>
                <w:sz w:val="14"/>
                <w:szCs w:val="14"/>
                <w:color w:val="auto"/>
              </w:rPr>
              <w:t>Brand Energy and Infrastructure Services, Inc.</w:t>
            </w: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6"/>
              </w:rPr>
              <w:t>02/07/2015</w:t>
            </w:r>
          </w:p>
        </w:tc>
        <w:tc>
          <w:tcPr>
            <w:tcW w:w="15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6"/>
              </w:rPr>
              <w:t>Energy/Utilities</w:t>
            </w: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7.36%</w:t>
            </w:r>
          </w:p>
        </w:tc>
        <w:tc>
          <w:tcPr>
            <w:tcW w:w="10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L+700</w:t>
            </w: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6"/>
              </w:rPr>
              <w:t>12,000,000</w:t>
            </w:r>
          </w:p>
        </w:tc>
        <w:tc>
          <w:tcPr>
            <w:tcW w:w="122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11,866,485</w:t>
            </w: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11,232,000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DirectBuy Holdings, Inc.</w:t>
            </w:r>
            <w:r>
              <w:rPr>
                <w:rFonts w:ascii="Arial" w:cs="Arial" w:eastAsia="Arial" w:hAnsi="Arial"/>
                <w:sz w:val="12"/>
                <w:szCs w:val="12"/>
                <w:color w:val="auto"/>
              </w:rPr>
              <w:t>(5), (6)</w:t>
            </w:r>
          </w:p>
        </w:tc>
        <w:tc>
          <w:tcPr>
            <w:tcW w:w="10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6"/>
              </w:rPr>
              <w:t>02/01/2017</w:t>
            </w:r>
          </w:p>
        </w:tc>
        <w:tc>
          <w:tcPr>
            <w:tcW w:w="154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2"/>
              </w:rPr>
              <w:t>Consumer Products</w:t>
            </w: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12.00%</w:t>
            </w:r>
          </w:p>
        </w:tc>
        <w:tc>
          <w:tcPr>
            <w:tcW w:w="10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6"/>
              </w:rPr>
              <w:t>34,000,000</w:t>
            </w:r>
          </w:p>
        </w:tc>
        <w:tc>
          <w:tcPr>
            <w:tcW w:w="122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31,964,822</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10,880,000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tcPr>
          <w:p>
            <w:pPr>
              <w:spacing w:after="0" w:line="149" w:lineRule="exact"/>
              <w:rPr>
                <w:sz w:val="20"/>
                <w:szCs w:val="20"/>
                <w:color w:val="auto"/>
              </w:rPr>
            </w:pPr>
            <w:r>
              <w:rPr>
                <w:rFonts w:ascii="Arial" w:cs="Arial" w:eastAsia="Arial" w:hAnsi="Arial"/>
                <w:sz w:val="14"/>
                <w:szCs w:val="14"/>
                <w:color w:val="auto"/>
              </w:rPr>
              <w:t>Eureka Hunter Pipeline, LLC</w:t>
            </w: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6"/>
              </w:rPr>
              <w:t>08/16/2018</w:t>
            </w:r>
          </w:p>
        </w:tc>
        <w:tc>
          <w:tcPr>
            <w:tcW w:w="15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6"/>
              </w:rPr>
              <w:t>Energy/Utilities</w:t>
            </w: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12.50%</w:t>
            </w:r>
          </w:p>
        </w:tc>
        <w:tc>
          <w:tcPr>
            <w:tcW w:w="10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6"/>
              </w:rPr>
              <w:t>45,000,000</w:t>
            </w:r>
          </w:p>
        </w:tc>
        <w:tc>
          <w:tcPr>
            <w:tcW w:w="122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44,543,688</w:t>
            </w: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45,000,000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Greatwide Logistics Services, L.L.C.</w:t>
            </w:r>
          </w:p>
        </w:tc>
        <w:tc>
          <w:tcPr>
            <w:tcW w:w="102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w w:val="96"/>
              </w:rPr>
              <w:t>03/01/2014</w:t>
            </w:r>
          </w:p>
        </w:tc>
        <w:tc>
          <w:tcPr>
            <w:tcW w:w="154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92"/>
              </w:rPr>
              <w:t>Cargo Transport</w:t>
            </w:r>
          </w:p>
        </w:tc>
        <w:tc>
          <w:tcPr>
            <w:tcW w:w="108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11.00%</w:t>
            </w:r>
          </w:p>
        </w:tc>
        <w:tc>
          <w:tcPr>
            <w:tcW w:w="104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L+700</w:t>
            </w:r>
            <w:r>
              <w:rPr>
                <w:rFonts w:ascii="Arial" w:cs="Arial" w:eastAsia="Arial" w:hAnsi="Arial"/>
                <w:sz w:val="12"/>
                <w:szCs w:val="12"/>
                <w:color w:val="auto"/>
              </w:rPr>
              <w:t>(8)</w:t>
            </w:r>
          </w:p>
        </w:tc>
        <w:tc>
          <w:tcPr>
            <w:tcW w:w="86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3,184,219</w:t>
            </w:r>
          </w:p>
        </w:tc>
        <w:tc>
          <w:tcPr>
            <w:tcW w:w="1220" w:type="dxa"/>
            <w:vAlign w:val="bottom"/>
            <w:gridSpan w:val="3"/>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3,184,222</w:t>
            </w: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2,292,640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9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(PIK 11.00%)</w:t>
            </w:r>
          </w:p>
        </w:tc>
        <w:tc>
          <w:tcPr>
            <w:tcW w:w="6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60" w:type="dxa"/>
            <w:vAlign w:val="bottom"/>
            <w:gridSpan w:val="2"/>
          </w:tcPr>
          <w:p>
            <w:pPr>
              <w:spacing w:after="0" w:line="130" w:lineRule="exact"/>
              <w:rPr>
                <w:sz w:val="20"/>
                <w:szCs w:val="20"/>
                <w:color w:val="auto"/>
              </w:rPr>
            </w:pPr>
            <w:r>
              <w:rPr>
                <w:rFonts w:ascii="Arial" w:cs="Arial" w:eastAsia="Arial" w:hAnsi="Arial"/>
                <w:sz w:val="14"/>
                <w:szCs w:val="14"/>
                <w:color w:val="auto"/>
              </w:rPr>
              <w:t>Paradigm Management Services, LLC</w:t>
            </w:r>
          </w:p>
        </w:tc>
        <w:tc>
          <w:tcPr>
            <w:tcW w:w="102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w w:val="96"/>
              </w:rPr>
              <w:t>07/31/2017</w:t>
            </w:r>
          </w:p>
        </w:tc>
        <w:tc>
          <w:tcPr>
            <w:tcW w:w="154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91"/>
              </w:rPr>
              <w:t>Healthcare, Education</w:t>
            </w:r>
          </w:p>
        </w:tc>
        <w:tc>
          <w:tcPr>
            <w:tcW w:w="1080" w:type="dxa"/>
            <w:vAlign w:val="bottom"/>
            <w:gridSpan w:val="2"/>
          </w:tcPr>
          <w:p>
            <w:pPr>
              <w:jc w:val="right"/>
              <w:ind w:right="280"/>
              <w:spacing w:after="0" w:line="130" w:lineRule="exact"/>
              <w:rPr>
                <w:sz w:val="20"/>
                <w:szCs w:val="20"/>
                <w:color w:val="auto"/>
              </w:rPr>
            </w:pPr>
            <w:r>
              <w:rPr>
                <w:rFonts w:ascii="Arial" w:cs="Arial" w:eastAsia="Arial" w:hAnsi="Arial"/>
                <w:sz w:val="14"/>
                <w:szCs w:val="14"/>
                <w:color w:val="auto"/>
              </w:rPr>
              <w:t>12.50%</w:t>
            </w:r>
          </w:p>
        </w:tc>
        <w:tc>
          <w:tcPr>
            <w:tcW w:w="104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L+1,100</w:t>
            </w:r>
            <w:r>
              <w:rPr>
                <w:rFonts w:ascii="Arial" w:cs="Arial" w:eastAsia="Arial" w:hAnsi="Arial"/>
                <w:sz w:val="12"/>
                <w:szCs w:val="12"/>
                <w:color w:val="auto"/>
              </w:rPr>
              <w:t>(8)</w:t>
            </w:r>
          </w:p>
        </w:tc>
        <w:tc>
          <w:tcPr>
            <w:tcW w:w="86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w w:val="96"/>
              </w:rPr>
              <w:t>20,512,821</w:t>
            </w:r>
          </w:p>
        </w:tc>
        <w:tc>
          <w:tcPr>
            <w:tcW w:w="1220" w:type="dxa"/>
            <w:vAlign w:val="bottom"/>
            <w:gridSpan w:val="3"/>
          </w:tcPr>
          <w:p>
            <w:pPr>
              <w:jc w:val="right"/>
              <w:ind w:right="240"/>
              <w:spacing w:after="0" w:line="130" w:lineRule="exact"/>
              <w:rPr>
                <w:sz w:val="20"/>
                <w:szCs w:val="20"/>
                <w:color w:val="auto"/>
              </w:rPr>
            </w:pPr>
            <w:r>
              <w:rPr>
                <w:rFonts w:ascii="Arial" w:cs="Arial" w:eastAsia="Arial" w:hAnsi="Arial"/>
                <w:sz w:val="14"/>
                <w:szCs w:val="14"/>
                <w:color w:val="auto"/>
              </w:rPr>
              <w:t>20,059,979</w:t>
            </w: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20,512,821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4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and Childcare</w:t>
            </w: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Questex Media Group LLC, Term Loan A</w:t>
            </w:r>
          </w:p>
        </w:tc>
        <w:tc>
          <w:tcPr>
            <w:tcW w:w="10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6"/>
              </w:rPr>
              <w:t>12/15/2014</w:t>
            </w:r>
          </w:p>
        </w:tc>
        <w:tc>
          <w:tcPr>
            <w:tcW w:w="154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6"/>
              </w:rPr>
              <w:t>Other Media</w:t>
            </w: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9.50%</w:t>
            </w: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L+650</w:t>
            </w:r>
            <w:r>
              <w:rPr>
                <w:rFonts w:ascii="Arial" w:cs="Arial" w:eastAsia="Arial" w:hAnsi="Arial"/>
                <w:sz w:val="12"/>
                <w:szCs w:val="12"/>
                <w:color w:val="auto"/>
              </w:rPr>
              <w:t>(8)</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2,752,666</w:t>
            </w:r>
          </w:p>
        </w:tc>
        <w:tc>
          <w:tcPr>
            <w:tcW w:w="122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2,752,666</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2,584,753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60" w:type="dxa"/>
            <w:vAlign w:val="bottom"/>
            <w:gridSpan w:val="2"/>
          </w:tcPr>
          <w:p>
            <w:pPr>
              <w:spacing w:after="0" w:line="130" w:lineRule="exact"/>
              <w:rPr>
                <w:sz w:val="20"/>
                <w:szCs w:val="20"/>
                <w:color w:val="auto"/>
              </w:rPr>
            </w:pPr>
            <w:r>
              <w:rPr>
                <w:rFonts w:ascii="Arial" w:cs="Arial" w:eastAsia="Arial" w:hAnsi="Arial"/>
                <w:sz w:val="14"/>
                <w:szCs w:val="14"/>
                <w:color w:val="auto"/>
              </w:rPr>
              <w:t>Questex Media Group LLC, Term Loan B</w:t>
            </w:r>
          </w:p>
        </w:tc>
        <w:tc>
          <w:tcPr>
            <w:tcW w:w="102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w w:val="96"/>
              </w:rPr>
              <w:t>12/15/2015</w:t>
            </w:r>
          </w:p>
        </w:tc>
        <w:tc>
          <w:tcPr>
            <w:tcW w:w="154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96"/>
              </w:rPr>
              <w:t>Other Media</w:t>
            </w:r>
          </w:p>
        </w:tc>
        <w:tc>
          <w:tcPr>
            <w:tcW w:w="1080" w:type="dxa"/>
            <w:vAlign w:val="bottom"/>
            <w:gridSpan w:val="2"/>
          </w:tcPr>
          <w:p>
            <w:pPr>
              <w:jc w:val="right"/>
              <w:ind w:right="280"/>
              <w:spacing w:after="0" w:line="130" w:lineRule="exact"/>
              <w:rPr>
                <w:sz w:val="20"/>
                <w:szCs w:val="20"/>
                <w:color w:val="auto"/>
              </w:rPr>
            </w:pPr>
            <w:r>
              <w:rPr>
                <w:rFonts w:ascii="Arial" w:cs="Arial" w:eastAsia="Arial" w:hAnsi="Arial"/>
                <w:sz w:val="14"/>
                <w:szCs w:val="14"/>
                <w:color w:val="auto"/>
              </w:rPr>
              <w:t>11.50%</w:t>
            </w:r>
          </w:p>
        </w:tc>
        <w:tc>
          <w:tcPr>
            <w:tcW w:w="104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L+850</w:t>
            </w:r>
            <w:r>
              <w:rPr>
                <w:rFonts w:ascii="Arial" w:cs="Arial" w:eastAsia="Arial" w:hAnsi="Arial"/>
                <w:sz w:val="12"/>
                <w:szCs w:val="12"/>
                <w:color w:val="auto"/>
              </w:rPr>
              <w:t>(8)</w:t>
            </w:r>
          </w:p>
        </w:tc>
        <w:tc>
          <w:tcPr>
            <w:tcW w:w="86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2,230,508</w:t>
            </w:r>
          </w:p>
        </w:tc>
        <w:tc>
          <w:tcPr>
            <w:tcW w:w="1220" w:type="dxa"/>
            <w:vAlign w:val="bottom"/>
            <w:gridSpan w:val="3"/>
          </w:tcPr>
          <w:p>
            <w:pPr>
              <w:jc w:val="right"/>
              <w:ind w:right="240"/>
              <w:spacing w:after="0" w:line="130" w:lineRule="exact"/>
              <w:rPr>
                <w:sz w:val="20"/>
                <w:szCs w:val="20"/>
                <w:color w:val="auto"/>
              </w:rPr>
            </w:pPr>
            <w:r>
              <w:rPr>
                <w:rFonts w:ascii="Arial" w:cs="Arial" w:eastAsia="Arial" w:hAnsi="Arial"/>
                <w:sz w:val="14"/>
                <w:szCs w:val="14"/>
                <w:color w:val="auto"/>
              </w:rPr>
              <w:t>2,230,508</w:t>
            </w: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2,002,996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(PIK 11.50%)</w:t>
            </w:r>
          </w:p>
        </w:tc>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Realogy Corp.</w:t>
            </w:r>
          </w:p>
        </w:tc>
        <w:tc>
          <w:tcPr>
            <w:tcW w:w="102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w w:val="96"/>
              </w:rPr>
              <w:t>10/15/2017</w:t>
            </w:r>
          </w:p>
        </w:tc>
        <w:tc>
          <w:tcPr>
            <w:tcW w:w="154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97"/>
              </w:rPr>
              <w:t>Buildings and</w:t>
            </w:r>
          </w:p>
        </w:tc>
        <w:tc>
          <w:tcPr>
            <w:tcW w:w="108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13.50%</w:t>
            </w:r>
          </w:p>
        </w:tc>
        <w:tc>
          <w:tcPr>
            <w:tcW w:w="1040" w:type="dxa"/>
            <w:vAlign w:val="bottom"/>
            <w:gridSpan w:val="2"/>
            <w:shd w:val="clear" w:color="auto" w:fill="CCEEFF"/>
          </w:tcPr>
          <w:p>
            <w:pPr>
              <w:jc w:val="right"/>
              <w:ind w:right="420"/>
              <w:spacing w:after="0" w:line="130"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w w:val="96"/>
              </w:rPr>
              <w:t>10,000,000</w:t>
            </w:r>
          </w:p>
        </w:tc>
        <w:tc>
          <w:tcPr>
            <w:tcW w:w="1220" w:type="dxa"/>
            <w:vAlign w:val="bottom"/>
            <w:gridSpan w:val="3"/>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10,000,000</w:t>
            </w: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10,062,500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9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1"/>
              </w:rPr>
              <w:t>Real Estate</w:t>
            </w:r>
          </w:p>
        </w:tc>
        <w:tc>
          <w:tcPr>
            <w:tcW w:w="6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60" w:right="2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PENNANTPARK INVESTMENT CORPORATION AND SUBSIDIARIES CONSOLIDATED SCHEDULE OF INVESTMENTS (CONTINUED) SEPTEMBER 30, 2012</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Basis Point</w:t>
            </w: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restart"/>
          </w:tcPr>
          <w:p>
            <w:pPr>
              <w:jc w:val="right"/>
              <w:ind w:right="488"/>
              <w:spacing w:after="0"/>
              <w:rPr>
                <w:sz w:val="20"/>
                <w:szCs w:val="20"/>
                <w:color w:val="auto"/>
              </w:rPr>
            </w:pPr>
            <w:r>
              <w:rPr>
                <w:rFonts w:ascii="Arial" w:cs="Arial" w:eastAsia="Arial" w:hAnsi="Arial"/>
                <w:sz w:val="14"/>
                <w:szCs w:val="14"/>
                <w:b w:val="1"/>
                <w:bCs w:val="1"/>
                <w:color w:val="auto"/>
              </w:rPr>
              <w:t>Current</w:t>
            </w: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Spread</w:t>
            </w:r>
          </w:p>
        </w:tc>
        <w:tc>
          <w:tcPr>
            <w:tcW w:w="100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Par/</w:t>
            </w: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Issuer Name</w:t>
            </w:r>
          </w:p>
        </w:tc>
        <w:tc>
          <w:tcPr>
            <w:tcW w:w="10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Maturity</w:t>
            </w:r>
          </w:p>
        </w:tc>
        <w:tc>
          <w:tcPr>
            <w:tcW w:w="15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7"/>
              </w:rPr>
              <w:t>Industry</w:t>
            </w:r>
          </w:p>
        </w:tc>
        <w:tc>
          <w:tcPr>
            <w:tcW w:w="1160" w:type="dxa"/>
            <w:vAlign w:val="bottom"/>
            <w:gridSpan w:val="2"/>
            <w:vMerge w:val="continue"/>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Above</w:t>
            </w:r>
          </w:p>
        </w:tc>
        <w:tc>
          <w:tcPr>
            <w:tcW w:w="1000" w:type="dxa"/>
            <w:vAlign w:val="bottom"/>
            <w:gridSpan w:val="2"/>
            <w:vMerge w:val="continue"/>
          </w:tcPr>
          <w:p>
            <w:pPr>
              <w:spacing w:after="0"/>
              <w:rPr>
                <w:sz w:val="12"/>
                <w:szCs w:val="12"/>
                <w:color w:val="auto"/>
              </w:rPr>
            </w:pPr>
          </w:p>
        </w:tc>
        <w:tc>
          <w:tcPr>
            <w:tcW w:w="10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Cost</w:t>
            </w:r>
          </w:p>
        </w:tc>
        <w:tc>
          <w:tcPr>
            <w:tcW w:w="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2"/>
                <w:szCs w:val="12"/>
                <w:b w:val="1"/>
                <w:bCs w:val="1"/>
                <w:color w:val="auto"/>
              </w:rPr>
              <w:t>(3)</w:t>
            </w:r>
          </w:p>
        </w:tc>
        <w:tc>
          <w:tcPr>
            <w:tcW w:w="0" w:type="dxa"/>
            <w:vAlign w:val="bottom"/>
          </w:tcPr>
          <w:p>
            <w:pPr>
              <w:spacing w:after="0"/>
              <w:rPr>
                <w:sz w:val="1"/>
                <w:szCs w:val="1"/>
                <w:color w:val="auto"/>
              </w:rPr>
            </w:pPr>
          </w:p>
        </w:tc>
      </w:tr>
      <w:tr>
        <w:trPr>
          <w:trHeight w:val="171"/>
        </w:trPr>
        <w:tc>
          <w:tcPr>
            <w:tcW w:w="3760" w:type="dxa"/>
            <w:vAlign w:val="bottom"/>
            <w:gridSpan w:val="3"/>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160" w:type="dxa"/>
            <w:vAlign w:val="bottom"/>
            <w:gridSpan w:val="2"/>
          </w:tcPr>
          <w:p>
            <w:pPr>
              <w:jc w:val="right"/>
              <w:ind w:right="508"/>
              <w:spacing w:after="0"/>
              <w:rPr>
                <w:sz w:val="20"/>
                <w:szCs w:val="20"/>
                <w:color w:val="auto"/>
              </w:rPr>
            </w:pPr>
            <w:r>
              <w:rPr>
                <w:rFonts w:ascii="Arial" w:cs="Arial" w:eastAsia="Arial" w:hAnsi="Arial"/>
                <w:sz w:val="14"/>
                <w:szCs w:val="14"/>
                <w:b w:val="1"/>
                <w:bCs w:val="1"/>
                <w:color w:val="auto"/>
              </w:rPr>
              <w:t>Coupon</w:t>
            </w: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 xml:space="preserve">Index </w:t>
            </w:r>
            <w:r>
              <w:rPr>
                <w:rFonts w:ascii="Arial" w:cs="Arial" w:eastAsia="Arial" w:hAnsi="Arial"/>
                <w:sz w:val="12"/>
                <w:szCs w:val="12"/>
                <w:b w:val="1"/>
                <w:bCs w:val="1"/>
                <w:color w:val="auto"/>
                <w:w w:val="94"/>
              </w:rPr>
              <w:t>(4)</w:t>
            </w:r>
          </w:p>
        </w:tc>
        <w:tc>
          <w:tcPr>
            <w:tcW w:w="10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Shares</w:t>
            </w:r>
          </w:p>
        </w:tc>
        <w:tc>
          <w:tcPr>
            <w:tcW w:w="104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6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w w:val="87"/>
              </w:rPr>
              <w:t>ROC Finance</w:t>
            </w:r>
          </w:p>
        </w:tc>
        <w:tc>
          <w:tcPr>
            <w:tcW w:w="2980" w:type="dxa"/>
            <w:vAlign w:val="bottom"/>
            <w:tcBorders>
              <w:top w:val="single" w:sz="8" w:color="CCEEFF"/>
            </w:tcBorders>
            <w:shd w:val="clear" w:color="auto" w:fill="CCEEFF"/>
          </w:tcPr>
          <w:p>
            <w:pPr>
              <w:ind w:left="60"/>
              <w:spacing w:after="0" w:line="123" w:lineRule="exact"/>
              <w:rPr>
                <w:sz w:val="20"/>
                <w:szCs w:val="20"/>
                <w:color w:val="auto"/>
              </w:rPr>
            </w:pPr>
            <w:r>
              <w:rPr>
                <w:rFonts w:ascii="Arial" w:cs="Arial" w:eastAsia="Arial" w:hAnsi="Arial"/>
                <w:sz w:val="14"/>
                <w:szCs w:val="14"/>
                <w:color w:val="auto"/>
              </w:rPr>
              <w:t>LLC and ROC Finance 1 Corp.</w:t>
            </w:r>
          </w:p>
        </w:tc>
        <w:tc>
          <w:tcPr>
            <w:tcW w:w="70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w w:val="96"/>
              </w:rPr>
              <w:t>09/01/2018</w:t>
            </w:r>
          </w:p>
        </w:tc>
        <w:tc>
          <w:tcPr>
            <w:tcW w:w="320" w:type="dxa"/>
            <w:vAlign w:val="bottom"/>
            <w:tcBorders>
              <w:top w:val="single" w:sz="8" w:color="CCEEFF"/>
            </w:tcBorders>
            <w:shd w:val="clear" w:color="auto" w:fill="CCEEFF"/>
          </w:tcPr>
          <w:p>
            <w:pPr>
              <w:spacing w:after="0"/>
              <w:rPr>
                <w:sz w:val="10"/>
                <w:szCs w:val="10"/>
                <w:color w:val="auto"/>
              </w:rPr>
            </w:pPr>
          </w:p>
        </w:tc>
        <w:tc>
          <w:tcPr>
            <w:tcW w:w="1360" w:type="dxa"/>
            <w:vAlign w:val="bottom"/>
            <w:tcBorders>
              <w:top w:val="single" w:sz="8" w:color="auto"/>
            </w:tcBorders>
            <w:shd w:val="clear" w:color="auto" w:fill="CCEEFF"/>
          </w:tcPr>
          <w:p>
            <w:pPr>
              <w:jc w:val="center"/>
              <w:spacing w:after="0" w:line="123" w:lineRule="exact"/>
              <w:rPr>
                <w:sz w:val="20"/>
                <w:szCs w:val="20"/>
                <w:color w:val="auto"/>
              </w:rPr>
            </w:pPr>
            <w:r>
              <w:rPr>
                <w:rFonts w:ascii="Arial" w:cs="Arial" w:eastAsia="Arial" w:hAnsi="Arial"/>
                <w:sz w:val="14"/>
                <w:szCs w:val="14"/>
                <w:color w:val="auto"/>
                <w:w w:val="94"/>
              </w:rPr>
              <w:t>Hotels, Motels,</w:t>
            </w:r>
          </w:p>
        </w:tc>
        <w:tc>
          <w:tcPr>
            <w:tcW w:w="16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12.13</w:t>
            </w:r>
          </w:p>
        </w:tc>
        <w:tc>
          <w:tcPr>
            <w:tcW w:w="460" w:type="dxa"/>
            <w:vAlign w:val="bottom"/>
            <w:tcBorders>
              <w:top w:val="single" w:sz="8" w:color="CCEEFF"/>
            </w:tcBorders>
            <w:shd w:val="clear" w:color="auto" w:fill="CCEEFF"/>
          </w:tcPr>
          <w:p>
            <w:pPr>
              <w:jc w:val="right"/>
              <w:ind w:right="268"/>
              <w:spacing w:after="0" w:line="123" w:lineRule="exact"/>
              <w:rPr>
                <w:sz w:val="20"/>
                <w:szCs w:val="20"/>
                <w:color w:val="auto"/>
              </w:rPr>
            </w:pPr>
            <w:r>
              <w:rPr>
                <w:rFonts w:ascii="Arial" w:cs="Arial" w:eastAsia="Arial" w:hAnsi="Arial"/>
                <w:sz w:val="14"/>
                <w:szCs w:val="14"/>
                <w:color w:val="auto"/>
                <w:w w:val="79"/>
              </w:rPr>
              <w:t>%</w:t>
            </w:r>
          </w:p>
        </w:tc>
        <w:tc>
          <w:tcPr>
            <w:tcW w:w="700" w:type="dxa"/>
            <w:vAlign w:val="bottom"/>
            <w:tcBorders>
              <w:top w:val="single" w:sz="8" w:color="auto"/>
            </w:tcBorders>
            <w:shd w:val="clear" w:color="auto" w:fill="CCEEFF"/>
          </w:tcPr>
          <w:p>
            <w:pPr>
              <w:ind w:left="480"/>
              <w:spacing w:after="0" w:line="123"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w w:val="94"/>
              </w:rPr>
              <w:t>16,000,000</w:t>
            </w:r>
          </w:p>
        </w:tc>
        <w:tc>
          <w:tcPr>
            <w:tcW w:w="32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15,752,822</w:t>
            </w:r>
          </w:p>
        </w:tc>
        <w:tc>
          <w:tcPr>
            <w:tcW w:w="240" w:type="dxa"/>
            <w:vAlign w:val="bottom"/>
            <w:tcBorders>
              <w:top w:val="single" w:sz="8" w:color="CCEEFF"/>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18,560,000</w:t>
            </w:r>
          </w:p>
        </w:tc>
        <w:tc>
          <w:tcPr>
            <w:tcW w:w="1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9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3"/>
              </w:rPr>
              <w:t>Inns and Gaming</w:t>
            </w:r>
          </w:p>
        </w:tc>
        <w:tc>
          <w:tcPr>
            <w:tcW w:w="7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tcPr>
          <w:p>
            <w:pPr>
              <w:spacing w:after="0" w:line="149" w:lineRule="exact"/>
              <w:rPr>
                <w:sz w:val="20"/>
                <w:szCs w:val="20"/>
                <w:color w:val="auto"/>
              </w:rPr>
            </w:pPr>
            <w:r>
              <w:rPr>
                <w:rFonts w:ascii="Arial" w:cs="Arial" w:eastAsia="Arial" w:hAnsi="Arial"/>
                <w:sz w:val="14"/>
                <w:szCs w:val="14"/>
                <w:color w:val="auto"/>
              </w:rPr>
              <w:t>TransFirst Holdings, Inc.</w:t>
            </w: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6"/>
              </w:rPr>
              <w:t>06/15/2015</w:t>
            </w:r>
          </w:p>
        </w:tc>
        <w:tc>
          <w:tcPr>
            <w:tcW w:w="152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3"/>
              </w:rPr>
              <w:t>Financial Services</w:t>
            </w:r>
          </w:p>
        </w:tc>
        <w:tc>
          <w:tcPr>
            <w:tcW w:w="1160" w:type="dxa"/>
            <w:vAlign w:val="bottom"/>
            <w:gridSpan w:val="2"/>
          </w:tcPr>
          <w:p>
            <w:pPr>
              <w:jc w:val="right"/>
              <w:ind w:right="268"/>
              <w:spacing w:after="0" w:line="149" w:lineRule="exact"/>
              <w:rPr>
                <w:sz w:val="20"/>
                <w:szCs w:val="20"/>
                <w:color w:val="auto"/>
              </w:rPr>
            </w:pPr>
            <w:r>
              <w:rPr>
                <w:rFonts w:ascii="Arial" w:cs="Arial" w:eastAsia="Arial" w:hAnsi="Arial"/>
                <w:sz w:val="14"/>
                <w:szCs w:val="14"/>
                <w:color w:val="auto"/>
              </w:rPr>
              <w:t>6.22%</w:t>
            </w:r>
          </w:p>
        </w:tc>
        <w:tc>
          <w:tcPr>
            <w:tcW w:w="94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L+600</w:t>
            </w: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7,811,488</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7,511,344</w:t>
            </w: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7,411,149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0" w:type="dxa"/>
            <w:vAlign w:val="bottom"/>
          </w:tcPr>
          <w:p>
            <w:pPr>
              <w:spacing w:after="0"/>
              <w:rPr>
                <w:sz w:val="2"/>
                <w:szCs w:val="2"/>
                <w:color w:val="auto"/>
              </w:rPr>
            </w:pPr>
          </w:p>
        </w:tc>
        <w:tc>
          <w:tcPr>
            <w:tcW w:w="29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Second Lien Secured Debt</w:t>
            </w: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188,644,968</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169,366,959</w:t>
            </w:r>
          </w:p>
        </w:tc>
        <w:tc>
          <w:tcPr>
            <w:tcW w:w="0" w:type="dxa"/>
            <w:vAlign w:val="bottom"/>
          </w:tcPr>
          <w:p>
            <w:pPr>
              <w:spacing w:after="0"/>
              <w:rPr>
                <w:sz w:val="1"/>
                <w:szCs w:val="1"/>
                <w:color w:val="auto"/>
              </w:rPr>
            </w:pPr>
          </w:p>
        </w:tc>
      </w:tr>
      <w:tr>
        <w:trPr>
          <w:trHeight w:val="156"/>
        </w:trPr>
        <w:tc>
          <w:tcPr>
            <w:tcW w:w="37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Subordinated Debt/Corporate Notes—52.4%</w:t>
            </w: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Acentia, LLC</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10/02/2017</w:t>
            </w:r>
          </w:p>
        </w:tc>
        <w:tc>
          <w:tcPr>
            <w:tcW w:w="32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3"/>
              </w:rPr>
              <w:t>Electronics</w:t>
            </w:r>
          </w:p>
        </w:tc>
        <w:tc>
          <w:tcPr>
            <w:tcW w:w="1160" w:type="dxa"/>
            <w:vAlign w:val="bottom"/>
            <w:gridSpan w:val="2"/>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13.75%</w:t>
            </w:r>
          </w:p>
        </w:tc>
        <w:tc>
          <w:tcPr>
            <w:tcW w:w="9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4"/>
              </w:rPr>
              <w:t>19,000,000</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1"/>
              </w:rPr>
              <w:t>$  18,563,943</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5"/>
              </w:rPr>
              <w:t>$  19,000,000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tcPr>
          <w:p>
            <w:pPr>
              <w:spacing w:after="0" w:line="149" w:lineRule="exact"/>
              <w:rPr>
                <w:sz w:val="20"/>
                <w:szCs w:val="20"/>
                <w:color w:val="auto"/>
              </w:rPr>
            </w:pPr>
            <w:r>
              <w:rPr>
                <w:rFonts w:ascii="Arial" w:cs="Arial" w:eastAsia="Arial" w:hAnsi="Arial"/>
                <w:sz w:val="14"/>
                <w:szCs w:val="14"/>
                <w:color w:val="auto"/>
              </w:rPr>
              <w:t>Affinion Group Holdings, Inc.</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11/15/2015</w:t>
            </w:r>
          </w:p>
        </w:tc>
        <w:tc>
          <w:tcPr>
            <w:tcW w:w="320" w:type="dxa"/>
            <w:vAlign w:val="bottom"/>
          </w:tcPr>
          <w:p>
            <w:pPr>
              <w:spacing w:after="0"/>
              <w:rPr>
                <w:sz w:val="12"/>
                <w:szCs w:val="12"/>
                <w:color w:val="auto"/>
              </w:rPr>
            </w:pPr>
          </w:p>
        </w:tc>
        <w:tc>
          <w:tcPr>
            <w:tcW w:w="152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0"/>
              </w:rPr>
              <w:t>Consumer Products</w:t>
            </w:r>
          </w:p>
        </w:tc>
        <w:tc>
          <w:tcPr>
            <w:tcW w:w="1160" w:type="dxa"/>
            <w:vAlign w:val="bottom"/>
            <w:gridSpan w:val="2"/>
          </w:tcPr>
          <w:p>
            <w:pPr>
              <w:jc w:val="right"/>
              <w:ind w:right="268"/>
              <w:spacing w:after="0" w:line="149" w:lineRule="exact"/>
              <w:rPr>
                <w:sz w:val="20"/>
                <w:szCs w:val="20"/>
                <w:color w:val="auto"/>
              </w:rPr>
            </w:pPr>
            <w:r>
              <w:rPr>
                <w:rFonts w:ascii="Arial" w:cs="Arial" w:eastAsia="Arial" w:hAnsi="Arial"/>
                <w:sz w:val="14"/>
                <w:szCs w:val="14"/>
                <w:color w:val="auto"/>
              </w:rPr>
              <w:t>11.63%</w:t>
            </w:r>
          </w:p>
        </w:tc>
        <w:tc>
          <w:tcPr>
            <w:tcW w:w="9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4"/>
              </w:rPr>
              <w:t>35,552,000</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34,172,451</w:t>
            </w: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24,175,360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Alegeus Technologies, LLC</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02/15/2019</w:t>
            </w:r>
          </w:p>
        </w:tc>
        <w:tc>
          <w:tcPr>
            <w:tcW w:w="32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3"/>
              </w:rPr>
              <w:t>Financial Services</w:t>
            </w:r>
          </w:p>
        </w:tc>
        <w:tc>
          <w:tcPr>
            <w:tcW w:w="1160" w:type="dxa"/>
            <w:vAlign w:val="bottom"/>
            <w:gridSpan w:val="2"/>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12.00%</w:t>
            </w:r>
          </w:p>
        </w:tc>
        <w:tc>
          <w:tcPr>
            <w:tcW w:w="9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8,930,000</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8,754,461</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8,930,000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40" w:type="dxa"/>
            <w:vAlign w:val="bottom"/>
            <w:gridSpan w:val="2"/>
          </w:tcPr>
          <w:p>
            <w:pPr>
              <w:spacing w:after="0" w:line="130" w:lineRule="exact"/>
              <w:rPr>
                <w:sz w:val="20"/>
                <w:szCs w:val="20"/>
                <w:color w:val="auto"/>
              </w:rPr>
            </w:pPr>
            <w:r>
              <w:rPr>
                <w:rFonts w:ascii="Arial" w:cs="Arial" w:eastAsia="Arial" w:hAnsi="Arial"/>
                <w:sz w:val="14"/>
                <w:szCs w:val="14"/>
                <w:color w:val="auto"/>
              </w:rPr>
              <w:t>Convergint Technologies LLC</w:t>
            </w:r>
          </w:p>
        </w:tc>
        <w:tc>
          <w:tcPr>
            <w:tcW w:w="700" w:type="dxa"/>
            <w:vAlign w:val="bottom"/>
          </w:tcPr>
          <w:p>
            <w:pPr>
              <w:jc w:val="right"/>
              <w:spacing w:after="0" w:line="130" w:lineRule="exact"/>
              <w:rPr>
                <w:sz w:val="20"/>
                <w:szCs w:val="20"/>
                <w:color w:val="auto"/>
              </w:rPr>
            </w:pPr>
            <w:r>
              <w:rPr>
                <w:rFonts w:ascii="Arial" w:cs="Arial" w:eastAsia="Arial" w:hAnsi="Arial"/>
                <w:sz w:val="14"/>
                <w:szCs w:val="14"/>
                <w:color w:val="auto"/>
                <w:w w:val="96"/>
              </w:rPr>
              <w:t>03/26/2018</w:t>
            </w:r>
          </w:p>
        </w:tc>
        <w:tc>
          <w:tcPr>
            <w:tcW w:w="320" w:type="dxa"/>
            <w:vAlign w:val="bottom"/>
          </w:tcPr>
          <w:p>
            <w:pPr>
              <w:spacing w:after="0"/>
              <w:rPr>
                <w:sz w:val="11"/>
                <w:szCs w:val="11"/>
                <w:color w:val="auto"/>
              </w:rPr>
            </w:pPr>
          </w:p>
        </w:tc>
        <w:tc>
          <w:tcPr>
            <w:tcW w:w="152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93"/>
              </w:rPr>
              <w:t>Electronics</w:t>
            </w:r>
          </w:p>
        </w:tc>
        <w:tc>
          <w:tcPr>
            <w:tcW w:w="1160" w:type="dxa"/>
            <w:vAlign w:val="bottom"/>
            <w:gridSpan w:val="2"/>
          </w:tcPr>
          <w:p>
            <w:pPr>
              <w:jc w:val="right"/>
              <w:ind w:right="268"/>
              <w:spacing w:after="0" w:line="130" w:lineRule="exact"/>
              <w:rPr>
                <w:sz w:val="20"/>
                <w:szCs w:val="20"/>
                <w:color w:val="auto"/>
              </w:rPr>
            </w:pPr>
            <w:r>
              <w:rPr>
                <w:rFonts w:ascii="Arial" w:cs="Arial" w:eastAsia="Arial" w:hAnsi="Arial"/>
                <w:sz w:val="14"/>
                <w:szCs w:val="14"/>
                <w:color w:val="auto"/>
              </w:rPr>
              <w:t>12.00%</w:t>
            </w:r>
          </w:p>
        </w:tc>
        <w:tc>
          <w:tcPr>
            <w:tcW w:w="94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w w:val="94"/>
              </w:rPr>
              <w:t>23,277,586</w:t>
            </w:r>
          </w:p>
        </w:tc>
        <w:tc>
          <w:tcPr>
            <w:tcW w:w="104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rPr>
              <w:t>22,812,086</w:t>
            </w: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22,812,034</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right"/>
              <w:ind w:right="228"/>
              <w:spacing w:after="0"/>
              <w:rPr>
                <w:sz w:val="20"/>
                <w:szCs w:val="20"/>
                <w:color w:val="auto"/>
              </w:rPr>
            </w:pPr>
            <w:r>
              <w:rPr>
                <w:rFonts w:ascii="Arial" w:cs="Arial" w:eastAsia="Arial" w:hAnsi="Arial"/>
                <w:sz w:val="14"/>
                <w:szCs w:val="14"/>
                <w:color w:val="auto"/>
              </w:rPr>
              <w:t>(PIK 1.00%)</w:t>
            </w: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Diversitech Corporation</w:t>
            </w:r>
          </w:p>
        </w:tc>
        <w:tc>
          <w:tcPr>
            <w:tcW w:w="7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96"/>
              </w:rPr>
              <w:t>01/29/2017</w:t>
            </w:r>
          </w:p>
        </w:tc>
        <w:tc>
          <w:tcPr>
            <w:tcW w:w="320" w:type="dxa"/>
            <w:vAlign w:val="bottom"/>
            <w:shd w:val="clear" w:color="auto" w:fill="CCEEFF"/>
          </w:tcPr>
          <w:p>
            <w:pPr>
              <w:spacing w:after="0"/>
              <w:rPr>
                <w:sz w:val="11"/>
                <w:szCs w:val="11"/>
                <w:color w:val="auto"/>
              </w:rPr>
            </w:pPr>
          </w:p>
        </w:tc>
        <w:tc>
          <w:tcPr>
            <w:tcW w:w="152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7"/>
              </w:rPr>
              <w:t>Manufacturing/</w:t>
            </w:r>
          </w:p>
        </w:tc>
        <w:tc>
          <w:tcPr>
            <w:tcW w:w="1160" w:type="dxa"/>
            <w:vAlign w:val="bottom"/>
            <w:gridSpan w:val="2"/>
            <w:shd w:val="clear" w:color="auto" w:fill="CCEEFF"/>
          </w:tcPr>
          <w:p>
            <w:pPr>
              <w:jc w:val="right"/>
              <w:ind w:right="128"/>
              <w:spacing w:after="0" w:line="130" w:lineRule="exact"/>
              <w:rPr>
                <w:sz w:val="20"/>
                <w:szCs w:val="20"/>
                <w:color w:val="auto"/>
              </w:rPr>
            </w:pPr>
            <w:r>
              <w:rPr>
                <w:rFonts w:ascii="Arial" w:cs="Arial" w:eastAsia="Arial" w:hAnsi="Arial"/>
                <w:sz w:val="14"/>
                <w:szCs w:val="14"/>
                <w:color w:val="auto"/>
              </w:rPr>
              <w:t>13.50%</w:t>
            </w:r>
            <w:r>
              <w:rPr>
                <w:rFonts w:ascii="Arial" w:cs="Arial" w:eastAsia="Arial" w:hAnsi="Arial"/>
                <w:sz w:val="12"/>
                <w:szCs w:val="12"/>
                <w:color w:val="auto"/>
              </w:rPr>
              <w:t>(7)</w:t>
            </w:r>
          </w:p>
        </w:tc>
        <w:tc>
          <w:tcPr>
            <w:tcW w:w="94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w w:val="94"/>
              </w:rPr>
              <w:t>11,000,000</w:t>
            </w:r>
          </w:p>
        </w:tc>
        <w:tc>
          <w:tcPr>
            <w:tcW w:w="104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10,836,901</w:t>
            </w: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11,275,000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9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5"/>
              </w:rPr>
              <w:t>Basic Industry</w:t>
            </w:r>
          </w:p>
        </w:tc>
        <w:tc>
          <w:tcPr>
            <w:tcW w:w="7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40" w:type="dxa"/>
            <w:vAlign w:val="bottom"/>
            <w:gridSpan w:val="2"/>
          </w:tcPr>
          <w:p>
            <w:pPr>
              <w:spacing w:after="0" w:line="130" w:lineRule="exact"/>
              <w:rPr>
                <w:sz w:val="20"/>
                <w:szCs w:val="20"/>
                <w:color w:val="auto"/>
              </w:rPr>
            </w:pPr>
            <w:r>
              <w:rPr>
                <w:rFonts w:ascii="Arial" w:cs="Arial" w:eastAsia="Arial" w:hAnsi="Arial"/>
                <w:sz w:val="14"/>
                <w:szCs w:val="14"/>
                <w:color w:val="auto"/>
              </w:rPr>
              <w:t>Escort, Inc.</w:t>
            </w:r>
          </w:p>
        </w:tc>
        <w:tc>
          <w:tcPr>
            <w:tcW w:w="700" w:type="dxa"/>
            <w:vAlign w:val="bottom"/>
          </w:tcPr>
          <w:p>
            <w:pPr>
              <w:jc w:val="right"/>
              <w:spacing w:after="0" w:line="130" w:lineRule="exact"/>
              <w:rPr>
                <w:sz w:val="20"/>
                <w:szCs w:val="20"/>
                <w:color w:val="auto"/>
              </w:rPr>
            </w:pPr>
            <w:r>
              <w:rPr>
                <w:rFonts w:ascii="Arial" w:cs="Arial" w:eastAsia="Arial" w:hAnsi="Arial"/>
                <w:sz w:val="14"/>
                <w:szCs w:val="14"/>
                <w:color w:val="auto"/>
                <w:w w:val="96"/>
              </w:rPr>
              <w:t>06/01/2016</w:t>
            </w:r>
          </w:p>
        </w:tc>
        <w:tc>
          <w:tcPr>
            <w:tcW w:w="320" w:type="dxa"/>
            <w:vAlign w:val="bottom"/>
          </w:tcPr>
          <w:p>
            <w:pPr>
              <w:spacing w:after="0"/>
              <w:rPr>
                <w:sz w:val="11"/>
                <w:szCs w:val="11"/>
                <w:color w:val="auto"/>
              </w:rPr>
            </w:pPr>
          </w:p>
        </w:tc>
        <w:tc>
          <w:tcPr>
            <w:tcW w:w="152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93"/>
              </w:rPr>
              <w:t>Electronics</w:t>
            </w:r>
          </w:p>
        </w:tc>
        <w:tc>
          <w:tcPr>
            <w:tcW w:w="1160" w:type="dxa"/>
            <w:vAlign w:val="bottom"/>
            <w:gridSpan w:val="2"/>
          </w:tcPr>
          <w:p>
            <w:pPr>
              <w:jc w:val="right"/>
              <w:ind w:right="268"/>
              <w:spacing w:after="0" w:line="130" w:lineRule="exact"/>
              <w:rPr>
                <w:sz w:val="20"/>
                <w:szCs w:val="20"/>
                <w:color w:val="auto"/>
              </w:rPr>
            </w:pPr>
            <w:r>
              <w:rPr>
                <w:rFonts w:ascii="Arial" w:cs="Arial" w:eastAsia="Arial" w:hAnsi="Arial"/>
                <w:sz w:val="14"/>
                <w:szCs w:val="14"/>
                <w:color w:val="auto"/>
              </w:rPr>
              <w:t>14.75%</w:t>
            </w:r>
          </w:p>
        </w:tc>
        <w:tc>
          <w:tcPr>
            <w:tcW w:w="94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w w:val="94"/>
              </w:rPr>
              <w:t>25,254,035</w:t>
            </w:r>
          </w:p>
        </w:tc>
        <w:tc>
          <w:tcPr>
            <w:tcW w:w="104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rPr>
              <w:t>24,751,548</w:t>
            </w: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25,254,035</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right"/>
              <w:ind w:right="228"/>
              <w:spacing w:after="0"/>
              <w:rPr>
                <w:sz w:val="20"/>
                <w:szCs w:val="20"/>
                <w:color w:val="auto"/>
              </w:rPr>
            </w:pPr>
            <w:r>
              <w:rPr>
                <w:rFonts w:ascii="Arial" w:cs="Arial" w:eastAsia="Arial" w:hAnsi="Arial"/>
                <w:sz w:val="14"/>
                <w:szCs w:val="14"/>
                <w:color w:val="auto"/>
              </w:rPr>
              <w:t>(PIK 2.75%)</w:t>
            </w: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Galls, LLC; Quartermaster Inc.</w:t>
            </w:r>
          </w:p>
        </w:tc>
        <w:tc>
          <w:tcPr>
            <w:tcW w:w="7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96"/>
              </w:rPr>
              <w:t>03/31/2017</w:t>
            </w:r>
          </w:p>
        </w:tc>
        <w:tc>
          <w:tcPr>
            <w:tcW w:w="320" w:type="dxa"/>
            <w:vAlign w:val="bottom"/>
            <w:shd w:val="clear" w:color="auto" w:fill="CCEEFF"/>
          </w:tcPr>
          <w:p>
            <w:pPr>
              <w:spacing w:after="0"/>
              <w:rPr>
                <w:sz w:val="11"/>
                <w:szCs w:val="11"/>
                <w:color w:val="auto"/>
              </w:rPr>
            </w:pPr>
          </w:p>
        </w:tc>
        <w:tc>
          <w:tcPr>
            <w:tcW w:w="152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9"/>
              </w:rPr>
              <w:t>Distribution</w:t>
            </w:r>
          </w:p>
        </w:tc>
        <w:tc>
          <w:tcPr>
            <w:tcW w:w="1160" w:type="dxa"/>
            <w:vAlign w:val="bottom"/>
            <w:gridSpan w:val="2"/>
            <w:shd w:val="clear" w:color="auto" w:fill="CCEEFF"/>
          </w:tcPr>
          <w:p>
            <w:pPr>
              <w:jc w:val="right"/>
              <w:ind w:right="268"/>
              <w:spacing w:after="0" w:line="130" w:lineRule="exact"/>
              <w:rPr>
                <w:sz w:val="20"/>
                <w:szCs w:val="20"/>
                <w:color w:val="auto"/>
              </w:rPr>
            </w:pPr>
            <w:r>
              <w:rPr>
                <w:rFonts w:ascii="Arial" w:cs="Arial" w:eastAsia="Arial" w:hAnsi="Arial"/>
                <w:sz w:val="14"/>
                <w:szCs w:val="14"/>
                <w:color w:val="auto"/>
              </w:rPr>
              <w:t>13.00%</w:t>
            </w:r>
          </w:p>
        </w:tc>
        <w:tc>
          <w:tcPr>
            <w:tcW w:w="94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w w:val="94"/>
              </w:rPr>
              <w:t>21,797,263</w:t>
            </w:r>
          </w:p>
        </w:tc>
        <w:tc>
          <w:tcPr>
            <w:tcW w:w="104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21,399,764</w:t>
            </w: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21,906,249</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9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28"/>
              <w:spacing w:after="0"/>
              <w:rPr>
                <w:sz w:val="20"/>
                <w:szCs w:val="20"/>
                <w:color w:val="auto"/>
              </w:rPr>
            </w:pPr>
            <w:r>
              <w:rPr>
                <w:rFonts w:ascii="Arial" w:cs="Arial" w:eastAsia="Arial" w:hAnsi="Arial"/>
                <w:sz w:val="14"/>
                <w:szCs w:val="14"/>
                <w:color w:val="auto"/>
              </w:rPr>
              <w:t>(PIK 2.00%)</w:t>
            </w: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40" w:type="dxa"/>
            <w:vAlign w:val="bottom"/>
            <w:gridSpan w:val="2"/>
          </w:tcPr>
          <w:p>
            <w:pPr>
              <w:spacing w:after="0" w:line="130" w:lineRule="exact"/>
              <w:rPr>
                <w:sz w:val="20"/>
                <w:szCs w:val="20"/>
                <w:color w:val="auto"/>
              </w:rPr>
            </w:pPr>
            <w:r>
              <w:rPr>
                <w:rFonts w:ascii="Arial" w:cs="Arial" w:eastAsia="Arial" w:hAnsi="Arial"/>
                <w:sz w:val="14"/>
                <w:szCs w:val="14"/>
                <w:color w:val="auto"/>
              </w:rPr>
              <w:t>JF Acquisition, LLC</w:t>
            </w:r>
          </w:p>
        </w:tc>
        <w:tc>
          <w:tcPr>
            <w:tcW w:w="700" w:type="dxa"/>
            <w:vAlign w:val="bottom"/>
          </w:tcPr>
          <w:p>
            <w:pPr>
              <w:jc w:val="right"/>
              <w:spacing w:after="0" w:line="130" w:lineRule="exact"/>
              <w:rPr>
                <w:sz w:val="20"/>
                <w:szCs w:val="20"/>
                <w:color w:val="auto"/>
              </w:rPr>
            </w:pPr>
            <w:r>
              <w:rPr>
                <w:rFonts w:ascii="Arial" w:cs="Arial" w:eastAsia="Arial" w:hAnsi="Arial"/>
                <w:sz w:val="14"/>
                <w:szCs w:val="14"/>
                <w:color w:val="auto"/>
                <w:w w:val="96"/>
              </w:rPr>
              <w:t>06/30/2017</w:t>
            </w:r>
          </w:p>
        </w:tc>
        <w:tc>
          <w:tcPr>
            <w:tcW w:w="320" w:type="dxa"/>
            <w:vAlign w:val="bottom"/>
          </w:tcPr>
          <w:p>
            <w:pPr>
              <w:spacing w:after="0"/>
              <w:rPr>
                <w:sz w:val="11"/>
                <w:szCs w:val="11"/>
                <w:color w:val="auto"/>
              </w:rPr>
            </w:pPr>
          </w:p>
        </w:tc>
        <w:tc>
          <w:tcPr>
            <w:tcW w:w="1520" w:type="dxa"/>
            <w:vAlign w:val="bottom"/>
            <w:gridSpan w:val="2"/>
          </w:tcPr>
          <w:p>
            <w:pPr>
              <w:jc w:val="center"/>
              <w:ind w:right="180"/>
              <w:spacing w:after="0" w:line="130" w:lineRule="exact"/>
              <w:rPr>
                <w:sz w:val="20"/>
                <w:szCs w:val="20"/>
                <w:color w:val="auto"/>
              </w:rPr>
            </w:pPr>
            <w:r>
              <w:rPr>
                <w:rFonts w:ascii="Arial" w:cs="Arial" w:eastAsia="Arial" w:hAnsi="Arial"/>
                <w:sz w:val="14"/>
                <w:szCs w:val="14"/>
                <w:color w:val="auto"/>
                <w:w w:val="99"/>
              </w:rPr>
              <w:t>Distribution</w:t>
            </w:r>
          </w:p>
        </w:tc>
        <w:tc>
          <w:tcPr>
            <w:tcW w:w="1160" w:type="dxa"/>
            <w:vAlign w:val="bottom"/>
            <w:gridSpan w:val="2"/>
          </w:tcPr>
          <w:p>
            <w:pPr>
              <w:jc w:val="right"/>
              <w:ind w:right="268"/>
              <w:spacing w:after="0" w:line="130" w:lineRule="exact"/>
              <w:rPr>
                <w:sz w:val="20"/>
                <w:szCs w:val="20"/>
                <w:color w:val="auto"/>
              </w:rPr>
            </w:pPr>
            <w:r>
              <w:rPr>
                <w:rFonts w:ascii="Arial" w:cs="Arial" w:eastAsia="Arial" w:hAnsi="Arial"/>
                <w:sz w:val="14"/>
                <w:szCs w:val="14"/>
                <w:color w:val="auto"/>
              </w:rPr>
              <w:t>14.00%</w:t>
            </w:r>
          </w:p>
        </w:tc>
        <w:tc>
          <w:tcPr>
            <w:tcW w:w="94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w w:val="94"/>
              </w:rPr>
              <w:t>17,171,374</w:t>
            </w:r>
          </w:p>
        </w:tc>
        <w:tc>
          <w:tcPr>
            <w:tcW w:w="104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rPr>
              <w:t>16,748,220</w:t>
            </w: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17,377,430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right"/>
              <w:ind w:right="228"/>
              <w:spacing w:after="0"/>
              <w:rPr>
                <w:sz w:val="20"/>
                <w:szCs w:val="20"/>
                <w:color w:val="auto"/>
              </w:rPr>
            </w:pPr>
            <w:r>
              <w:rPr>
                <w:rFonts w:ascii="Arial" w:cs="Arial" w:eastAsia="Arial" w:hAnsi="Arial"/>
                <w:sz w:val="14"/>
                <w:szCs w:val="14"/>
                <w:color w:val="auto"/>
              </w:rPr>
              <w:t>(PIK 2.00%)</w:t>
            </w: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Last Mile Funding Corp.</w:t>
            </w:r>
          </w:p>
        </w:tc>
        <w:tc>
          <w:tcPr>
            <w:tcW w:w="7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96"/>
              </w:rPr>
              <w:t>06/30/2016</w:t>
            </w:r>
          </w:p>
        </w:tc>
        <w:tc>
          <w:tcPr>
            <w:tcW w:w="320" w:type="dxa"/>
            <w:vAlign w:val="bottom"/>
            <w:shd w:val="clear" w:color="auto" w:fill="CCEEFF"/>
          </w:tcPr>
          <w:p>
            <w:pPr>
              <w:spacing w:after="0"/>
              <w:rPr>
                <w:sz w:val="11"/>
                <w:szCs w:val="11"/>
                <w:color w:val="auto"/>
              </w:rPr>
            </w:pPr>
          </w:p>
        </w:tc>
        <w:tc>
          <w:tcPr>
            <w:tcW w:w="152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2"/>
              </w:rPr>
              <w:t>Cargo Transport</w:t>
            </w:r>
          </w:p>
        </w:tc>
        <w:tc>
          <w:tcPr>
            <w:tcW w:w="1160" w:type="dxa"/>
            <w:vAlign w:val="bottom"/>
            <w:gridSpan w:val="2"/>
            <w:shd w:val="clear" w:color="auto" w:fill="CCEEFF"/>
          </w:tcPr>
          <w:p>
            <w:pPr>
              <w:jc w:val="right"/>
              <w:ind w:right="268"/>
              <w:spacing w:after="0" w:line="130" w:lineRule="exact"/>
              <w:rPr>
                <w:sz w:val="20"/>
                <w:szCs w:val="20"/>
                <w:color w:val="auto"/>
              </w:rPr>
            </w:pPr>
            <w:r>
              <w:rPr>
                <w:rFonts w:ascii="Arial" w:cs="Arial" w:eastAsia="Arial" w:hAnsi="Arial"/>
                <w:sz w:val="14"/>
                <w:szCs w:val="14"/>
                <w:color w:val="auto"/>
              </w:rPr>
              <w:t>14.50%</w:t>
            </w:r>
          </w:p>
        </w:tc>
        <w:tc>
          <w:tcPr>
            <w:tcW w:w="94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w w:val="94"/>
              </w:rPr>
              <w:t>45,597,139</w:t>
            </w:r>
          </w:p>
        </w:tc>
        <w:tc>
          <w:tcPr>
            <w:tcW w:w="104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44,677,474</w:t>
            </w: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45,095,570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9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28"/>
              <w:spacing w:after="0"/>
              <w:rPr>
                <w:sz w:val="20"/>
                <w:szCs w:val="20"/>
                <w:color w:val="auto"/>
              </w:rPr>
            </w:pPr>
            <w:r>
              <w:rPr>
                <w:rFonts w:ascii="Arial" w:cs="Arial" w:eastAsia="Arial" w:hAnsi="Arial"/>
                <w:sz w:val="14"/>
                <w:szCs w:val="14"/>
                <w:color w:val="auto"/>
              </w:rPr>
              <w:t>(PIK 2.50%)</w:t>
            </w: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40" w:type="dxa"/>
            <w:vAlign w:val="bottom"/>
            <w:gridSpan w:val="2"/>
          </w:tcPr>
          <w:p>
            <w:pPr>
              <w:spacing w:after="0" w:line="130" w:lineRule="exact"/>
              <w:rPr>
                <w:sz w:val="20"/>
                <w:szCs w:val="20"/>
                <w:color w:val="auto"/>
              </w:rPr>
            </w:pPr>
            <w:r>
              <w:rPr>
                <w:rFonts w:ascii="Arial" w:cs="Arial" w:eastAsia="Arial" w:hAnsi="Arial"/>
                <w:sz w:val="14"/>
                <w:szCs w:val="14"/>
                <w:color w:val="auto"/>
              </w:rPr>
              <w:t>Learning Care Group (US) Inc.</w:t>
            </w:r>
          </w:p>
        </w:tc>
        <w:tc>
          <w:tcPr>
            <w:tcW w:w="700" w:type="dxa"/>
            <w:vAlign w:val="bottom"/>
          </w:tcPr>
          <w:p>
            <w:pPr>
              <w:jc w:val="right"/>
              <w:spacing w:after="0" w:line="130" w:lineRule="exact"/>
              <w:rPr>
                <w:sz w:val="20"/>
                <w:szCs w:val="20"/>
                <w:color w:val="auto"/>
              </w:rPr>
            </w:pPr>
            <w:r>
              <w:rPr>
                <w:rFonts w:ascii="Arial" w:cs="Arial" w:eastAsia="Arial" w:hAnsi="Arial"/>
                <w:sz w:val="14"/>
                <w:szCs w:val="14"/>
                <w:color w:val="auto"/>
                <w:w w:val="96"/>
              </w:rPr>
              <w:t>06/30/2016</w:t>
            </w:r>
          </w:p>
        </w:tc>
        <w:tc>
          <w:tcPr>
            <w:tcW w:w="320" w:type="dxa"/>
            <w:vAlign w:val="bottom"/>
          </w:tcPr>
          <w:p>
            <w:pPr>
              <w:spacing w:after="0"/>
              <w:rPr>
                <w:sz w:val="11"/>
                <w:szCs w:val="11"/>
                <w:color w:val="auto"/>
              </w:rPr>
            </w:pPr>
          </w:p>
        </w:tc>
        <w:tc>
          <w:tcPr>
            <w:tcW w:w="1520" w:type="dxa"/>
            <w:vAlign w:val="bottom"/>
            <w:gridSpan w:val="2"/>
          </w:tcPr>
          <w:p>
            <w:pPr>
              <w:jc w:val="center"/>
              <w:ind w:right="180"/>
              <w:spacing w:after="0" w:line="130" w:lineRule="exact"/>
              <w:rPr>
                <w:sz w:val="20"/>
                <w:szCs w:val="20"/>
                <w:color w:val="auto"/>
              </w:rPr>
            </w:pPr>
            <w:r>
              <w:rPr>
                <w:rFonts w:ascii="Arial" w:cs="Arial" w:eastAsia="Arial" w:hAnsi="Arial"/>
                <w:sz w:val="14"/>
                <w:szCs w:val="14"/>
                <w:color w:val="auto"/>
                <w:w w:val="93"/>
              </w:rPr>
              <w:t>Education</w:t>
            </w:r>
          </w:p>
        </w:tc>
        <w:tc>
          <w:tcPr>
            <w:tcW w:w="1160" w:type="dxa"/>
            <w:vAlign w:val="bottom"/>
            <w:gridSpan w:val="2"/>
          </w:tcPr>
          <w:p>
            <w:pPr>
              <w:jc w:val="right"/>
              <w:ind w:right="268"/>
              <w:spacing w:after="0" w:line="130" w:lineRule="exact"/>
              <w:rPr>
                <w:sz w:val="20"/>
                <w:szCs w:val="20"/>
                <w:color w:val="auto"/>
              </w:rPr>
            </w:pPr>
            <w:r>
              <w:rPr>
                <w:rFonts w:ascii="Arial" w:cs="Arial" w:eastAsia="Arial" w:hAnsi="Arial"/>
                <w:sz w:val="14"/>
                <w:szCs w:val="14"/>
                <w:color w:val="auto"/>
              </w:rPr>
              <w:t>15.00%</w:t>
            </w:r>
          </w:p>
        </w:tc>
        <w:tc>
          <w:tcPr>
            <w:tcW w:w="94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rPr>
              <w:t>5,277,718</w:t>
            </w:r>
          </w:p>
        </w:tc>
        <w:tc>
          <w:tcPr>
            <w:tcW w:w="104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rPr>
              <w:t>4,696,436</w:t>
            </w: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4,815,918</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right"/>
              <w:ind w:right="228"/>
              <w:spacing w:after="0"/>
              <w:rPr>
                <w:sz w:val="20"/>
                <w:szCs w:val="20"/>
                <w:color w:val="auto"/>
              </w:rPr>
            </w:pPr>
            <w:r>
              <w:rPr>
                <w:rFonts w:ascii="Arial" w:cs="Arial" w:eastAsia="Arial" w:hAnsi="Arial"/>
                <w:sz w:val="14"/>
                <w:szCs w:val="14"/>
                <w:color w:val="auto"/>
              </w:rPr>
              <w:t>(PIK 15.00%)</w:t>
            </w: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LTI Flexible Products, Inc.</w:t>
            </w:r>
          </w:p>
        </w:tc>
        <w:tc>
          <w:tcPr>
            <w:tcW w:w="7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96"/>
              </w:rPr>
              <w:t>01/19/2019</w:t>
            </w:r>
          </w:p>
        </w:tc>
        <w:tc>
          <w:tcPr>
            <w:tcW w:w="320" w:type="dxa"/>
            <w:vAlign w:val="bottom"/>
            <w:shd w:val="clear" w:color="auto" w:fill="CCEEFF"/>
          </w:tcPr>
          <w:p>
            <w:pPr>
              <w:spacing w:after="0"/>
              <w:rPr>
                <w:sz w:val="11"/>
                <w:szCs w:val="11"/>
                <w:color w:val="auto"/>
              </w:rPr>
            </w:pPr>
          </w:p>
        </w:tc>
        <w:tc>
          <w:tcPr>
            <w:tcW w:w="152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92"/>
              </w:rPr>
              <w:t>Chemical, Plastic and</w:t>
            </w:r>
          </w:p>
        </w:tc>
        <w:tc>
          <w:tcPr>
            <w:tcW w:w="1160" w:type="dxa"/>
            <w:vAlign w:val="bottom"/>
            <w:gridSpan w:val="2"/>
            <w:shd w:val="clear" w:color="auto" w:fill="CCEEFF"/>
          </w:tcPr>
          <w:p>
            <w:pPr>
              <w:jc w:val="right"/>
              <w:ind w:right="268"/>
              <w:spacing w:after="0" w:line="130" w:lineRule="exact"/>
              <w:rPr>
                <w:sz w:val="20"/>
                <w:szCs w:val="20"/>
                <w:color w:val="auto"/>
              </w:rPr>
            </w:pPr>
            <w:r>
              <w:rPr>
                <w:rFonts w:ascii="Arial" w:cs="Arial" w:eastAsia="Arial" w:hAnsi="Arial"/>
                <w:sz w:val="14"/>
                <w:szCs w:val="14"/>
                <w:color w:val="auto"/>
              </w:rPr>
              <w:t>12.50%</w:t>
            </w:r>
          </w:p>
        </w:tc>
        <w:tc>
          <w:tcPr>
            <w:tcW w:w="94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w w:val="94"/>
              </w:rPr>
              <w:t>30,000,000</w:t>
            </w:r>
          </w:p>
        </w:tc>
        <w:tc>
          <w:tcPr>
            <w:tcW w:w="104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30,000,000</w:t>
            </w: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30,000,000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9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91"/>
              </w:rPr>
              <w:t>Rubber</w:t>
            </w:r>
          </w:p>
        </w:tc>
        <w:tc>
          <w:tcPr>
            <w:tcW w:w="7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40" w:type="dxa"/>
            <w:vAlign w:val="bottom"/>
            <w:gridSpan w:val="2"/>
          </w:tcPr>
          <w:p>
            <w:pPr>
              <w:spacing w:after="0" w:line="130" w:lineRule="exact"/>
              <w:rPr>
                <w:sz w:val="20"/>
                <w:szCs w:val="20"/>
                <w:color w:val="auto"/>
              </w:rPr>
            </w:pPr>
            <w:r>
              <w:rPr>
                <w:rFonts w:ascii="Arial" w:cs="Arial" w:eastAsia="Arial" w:hAnsi="Arial"/>
                <w:sz w:val="14"/>
                <w:szCs w:val="14"/>
                <w:color w:val="auto"/>
              </w:rPr>
              <w:t>LTI Flexible Products, Inc.</w:t>
            </w:r>
            <w:r>
              <w:rPr>
                <w:rFonts w:ascii="Arial" w:cs="Arial" w:eastAsia="Arial" w:hAnsi="Arial"/>
                <w:sz w:val="12"/>
                <w:szCs w:val="12"/>
                <w:color w:val="auto"/>
              </w:rPr>
              <w:t>(9)</w:t>
            </w:r>
          </w:p>
        </w:tc>
        <w:tc>
          <w:tcPr>
            <w:tcW w:w="700" w:type="dxa"/>
            <w:vAlign w:val="bottom"/>
          </w:tcPr>
          <w:p>
            <w:pPr>
              <w:jc w:val="right"/>
              <w:spacing w:after="0" w:line="130" w:lineRule="exact"/>
              <w:rPr>
                <w:sz w:val="20"/>
                <w:szCs w:val="20"/>
                <w:color w:val="auto"/>
              </w:rPr>
            </w:pPr>
            <w:r>
              <w:rPr>
                <w:rFonts w:ascii="Arial" w:cs="Arial" w:eastAsia="Arial" w:hAnsi="Arial"/>
                <w:sz w:val="14"/>
                <w:szCs w:val="14"/>
                <w:color w:val="auto"/>
                <w:w w:val="96"/>
              </w:rPr>
              <w:t>01/11/2014</w:t>
            </w:r>
          </w:p>
        </w:tc>
        <w:tc>
          <w:tcPr>
            <w:tcW w:w="320" w:type="dxa"/>
            <w:vAlign w:val="bottom"/>
          </w:tcPr>
          <w:p>
            <w:pPr>
              <w:spacing w:after="0"/>
              <w:rPr>
                <w:sz w:val="11"/>
                <w:szCs w:val="11"/>
                <w:color w:val="auto"/>
              </w:rPr>
            </w:pPr>
          </w:p>
        </w:tc>
        <w:tc>
          <w:tcPr>
            <w:tcW w:w="152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92"/>
              </w:rPr>
              <w:t>Chemical, Plastic and</w:t>
            </w:r>
          </w:p>
        </w:tc>
        <w:tc>
          <w:tcPr>
            <w:tcW w:w="1160" w:type="dxa"/>
            <w:vAlign w:val="bottom"/>
            <w:gridSpan w:val="2"/>
          </w:tcPr>
          <w:p>
            <w:pPr>
              <w:jc w:val="right"/>
              <w:ind w:right="468"/>
              <w:spacing w:after="0" w:line="130"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rPr>
              <w:t>5,000,000</w:t>
            </w:r>
          </w:p>
        </w:tc>
        <w:tc>
          <w:tcPr>
            <w:tcW w:w="104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rPr>
              <w:t>4,825,000</w:t>
            </w: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5,000,000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20" w:type="dxa"/>
            <w:vAlign w:val="bottom"/>
            <w:gridSpan w:val="2"/>
          </w:tcPr>
          <w:p>
            <w:pPr>
              <w:jc w:val="center"/>
              <w:ind w:right="180"/>
              <w:spacing w:after="0"/>
              <w:rPr>
                <w:sz w:val="20"/>
                <w:szCs w:val="20"/>
                <w:color w:val="auto"/>
              </w:rPr>
            </w:pPr>
            <w:r>
              <w:rPr>
                <w:rFonts w:ascii="Arial" w:cs="Arial" w:eastAsia="Arial" w:hAnsi="Arial"/>
                <w:sz w:val="14"/>
                <w:szCs w:val="14"/>
                <w:color w:val="auto"/>
                <w:w w:val="91"/>
              </w:rPr>
              <w:t>Rubber</w:t>
            </w: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Mailsouth, Inc.</w:t>
            </w:r>
          </w:p>
        </w:tc>
        <w:tc>
          <w:tcPr>
            <w:tcW w:w="7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96"/>
              </w:rPr>
              <w:t>06/15/2017</w:t>
            </w:r>
          </w:p>
        </w:tc>
        <w:tc>
          <w:tcPr>
            <w:tcW w:w="320" w:type="dxa"/>
            <w:vAlign w:val="bottom"/>
            <w:shd w:val="clear" w:color="auto" w:fill="CCEEFF"/>
          </w:tcPr>
          <w:p>
            <w:pPr>
              <w:spacing w:after="0"/>
              <w:rPr>
                <w:sz w:val="11"/>
                <w:szCs w:val="11"/>
                <w:color w:val="auto"/>
              </w:rPr>
            </w:pPr>
          </w:p>
        </w:tc>
        <w:tc>
          <w:tcPr>
            <w:tcW w:w="152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94"/>
              </w:rPr>
              <w:t>Printing and Publishing</w:t>
            </w:r>
          </w:p>
        </w:tc>
        <w:tc>
          <w:tcPr>
            <w:tcW w:w="1160" w:type="dxa"/>
            <w:vAlign w:val="bottom"/>
            <w:gridSpan w:val="2"/>
            <w:shd w:val="clear" w:color="auto" w:fill="CCEEFF"/>
          </w:tcPr>
          <w:p>
            <w:pPr>
              <w:jc w:val="right"/>
              <w:ind w:right="268"/>
              <w:spacing w:after="0" w:line="130" w:lineRule="exact"/>
              <w:rPr>
                <w:sz w:val="20"/>
                <w:szCs w:val="20"/>
                <w:color w:val="auto"/>
              </w:rPr>
            </w:pPr>
            <w:r>
              <w:rPr>
                <w:rFonts w:ascii="Arial" w:cs="Arial" w:eastAsia="Arial" w:hAnsi="Arial"/>
                <w:sz w:val="14"/>
                <w:szCs w:val="14"/>
                <w:color w:val="auto"/>
              </w:rPr>
              <w:t>14.50%</w:t>
            </w:r>
          </w:p>
        </w:tc>
        <w:tc>
          <w:tcPr>
            <w:tcW w:w="94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w w:val="94"/>
              </w:rPr>
              <w:t>15,000,000</w:t>
            </w:r>
          </w:p>
        </w:tc>
        <w:tc>
          <w:tcPr>
            <w:tcW w:w="104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14,632,413</w:t>
            </w: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15,210,000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9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28"/>
              <w:spacing w:after="0"/>
              <w:rPr>
                <w:sz w:val="20"/>
                <w:szCs w:val="20"/>
                <w:color w:val="auto"/>
              </w:rPr>
            </w:pPr>
            <w:r>
              <w:rPr>
                <w:rFonts w:ascii="Arial" w:cs="Arial" w:eastAsia="Arial" w:hAnsi="Arial"/>
                <w:sz w:val="14"/>
                <w:szCs w:val="14"/>
                <w:color w:val="auto"/>
              </w:rPr>
              <w:t>(PIK 2.00%)</w:t>
            </w: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40" w:type="dxa"/>
            <w:vAlign w:val="bottom"/>
            <w:gridSpan w:val="2"/>
          </w:tcPr>
          <w:p>
            <w:pPr>
              <w:spacing w:after="0" w:line="130" w:lineRule="exact"/>
              <w:rPr>
                <w:sz w:val="20"/>
                <w:szCs w:val="20"/>
                <w:color w:val="auto"/>
              </w:rPr>
            </w:pPr>
            <w:r>
              <w:rPr>
                <w:rFonts w:ascii="Arial" w:cs="Arial" w:eastAsia="Arial" w:hAnsi="Arial"/>
                <w:sz w:val="14"/>
                <w:szCs w:val="14"/>
                <w:color w:val="auto"/>
              </w:rPr>
              <w:t>PAS Technologies, Inc.</w:t>
            </w:r>
          </w:p>
        </w:tc>
        <w:tc>
          <w:tcPr>
            <w:tcW w:w="700" w:type="dxa"/>
            <w:vAlign w:val="bottom"/>
          </w:tcPr>
          <w:p>
            <w:pPr>
              <w:jc w:val="right"/>
              <w:spacing w:after="0" w:line="130" w:lineRule="exact"/>
              <w:rPr>
                <w:sz w:val="20"/>
                <w:szCs w:val="20"/>
                <w:color w:val="auto"/>
              </w:rPr>
            </w:pPr>
            <w:r>
              <w:rPr>
                <w:rFonts w:ascii="Arial" w:cs="Arial" w:eastAsia="Arial" w:hAnsi="Arial"/>
                <w:sz w:val="14"/>
                <w:szCs w:val="14"/>
                <w:color w:val="auto"/>
                <w:w w:val="96"/>
              </w:rPr>
              <w:t>05/12/2017</w:t>
            </w:r>
          </w:p>
        </w:tc>
        <w:tc>
          <w:tcPr>
            <w:tcW w:w="320" w:type="dxa"/>
            <w:vAlign w:val="bottom"/>
          </w:tcPr>
          <w:p>
            <w:pPr>
              <w:spacing w:after="0"/>
              <w:rPr>
                <w:sz w:val="11"/>
                <w:szCs w:val="11"/>
                <w:color w:val="auto"/>
              </w:rPr>
            </w:pPr>
          </w:p>
        </w:tc>
        <w:tc>
          <w:tcPr>
            <w:tcW w:w="152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90"/>
              </w:rPr>
              <w:t>Aerospace and Defense</w:t>
            </w:r>
          </w:p>
        </w:tc>
        <w:tc>
          <w:tcPr>
            <w:tcW w:w="1160" w:type="dxa"/>
            <w:vAlign w:val="bottom"/>
            <w:gridSpan w:val="2"/>
          </w:tcPr>
          <w:p>
            <w:pPr>
              <w:jc w:val="right"/>
              <w:ind w:right="268"/>
              <w:spacing w:after="0" w:line="130" w:lineRule="exact"/>
              <w:rPr>
                <w:sz w:val="20"/>
                <w:szCs w:val="20"/>
                <w:color w:val="auto"/>
              </w:rPr>
            </w:pPr>
            <w:r>
              <w:rPr>
                <w:rFonts w:ascii="Arial" w:cs="Arial" w:eastAsia="Arial" w:hAnsi="Arial"/>
                <w:sz w:val="14"/>
                <w:szCs w:val="14"/>
                <w:color w:val="auto"/>
              </w:rPr>
              <w:t>15.02%</w:t>
            </w:r>
          </w:p>
        </w:tc>
        <w:tc>
          <w:tcPr>
            <w:tcW w:w="94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w w:val="94"/>
              </w:rPr>
              <w:t>17,123,218</w:t>
            </w:r>
          </w:p>
        </w:tc>
        <w:tc>
          <w:tcPr>
            <w:tcW w:w="104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rPr>
              <w:t>16,783,033</w:t>
            </w: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17,123,218</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right"/>
              <w:ind w:right="228"/>
              <w:spacing w:after="0"/>
              <w:rPr>
                <w:sz w:val="20"/>
                <w:szCs w:val="20"/>
                <w:color w:val="auto"/>
              </w:rPr>
            </w:pPr>
            <w:r>
              <w:rPr>
                <w:rFonts w:ascii="Arial" w:cs="Arial" w:eastAsia="Arial" w:hAnsi="Arial"/>
                <w:sz w:val="14"/>
                <w:szCs w:val="14"/>
                <w:color w:val="auto"/>
              </w:rPr>
              <w:t>(PIK 3.02%)</w:t>
            </w: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Prince Mineral Holdings Corp.</w:t>
            </w:r>
          </w:p>
        </w:tc>
        <w:tc>
          <w:tcPr>
            <w:tcW w:w="7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96"/>
              </w:rPr>
              <w:t>12/03/2016</w:t>
            </w:r>
          </w:p>
        </w:tc>
        <w:tc>
          <w:tcPr>
            <w:tcW w:w="320" w:type="dxa"/>
            <w:vAlign w:val="bottom"/>
            <w:shd w:val="clear" w:color="auto" w:fill="CCEEFF"/>
          </w:tcPr>
          <w:p>
            <w:pPr>
              <w:spacing w:after="0"/>
              <w:rPr>
                <w:sz w:val="11"/>
                <w:szCs w:val="11"/>
                <w:color w:val="auto"/>
              </w:rPr>
            </w:pPr>
          </w:p>
        </w:tc>
        <w:tc>
          <w:tcPr>
            <w:tcW w:w="152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7"/>
              </w:rPr>
              <w:t>Mining, Steel, Iron</w:t>
            </w:r>
          </w:p>
        </w:tc>
        <w:tc>
          <w:tcPr>
            <w:tcW w:w="1160" w:type="dxa"/>
            <w:vAlign w:val="bottom"/>
            <w:gridSpan w:val="2"/>
            <w:shd w:val="clear" w:color="auto" w:fill="CCEEFF"/>
          </w:tcPr>
          <w:p>
            <w:pPr>
              <w:jc w:val="right"/>
              <w:ind w:right="268"/>
              <w:spacing w:after="0" w:line="130" w:lineRule="exact"/>
              <w:rPr>
                <w:sz w:val="20"/>
                <w:szCs w:val="20"/>
                <w:color w:val="auto"/>
              </w:rPr>
            </w:pPr>
            <w:r>
              <w:rPr>
                <w:rFonts w:ascii="Arial" w:cs="Arial" w:eastAsia="Arial" w:hAnsi="Arial"/>
                <w:sz w:val="14"/>
                <w:szCs w:val="14"/>
                <w:color w:val="auto"/>
              </w:rPr>
              <w:t>13.50%</w:t>
            </w:r>
          </w:p>
        </w:tc>
        <w:tc>
          <w:tcPr>
            <w:tcW w:w="94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w w:val="94"/>
              </w:rPr>
              <w:t>26,696,517</w:t>
            </w:r>
          </w:p>
        </w:tc>
        <w:tc>
          <w:tcPr>
            <w:tcW w:w="104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26,263,685</w:t>
            </w: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26,696,517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9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2"/>
              </w:rPr>
              <w:t>and Non-Precious</w:t>
            </w:r>
          </w:p>
        </w:tc>
        <w:tc>
          <w:tcPr>
            <w:tcW w:w="1160" w:type="dxa"/>
            <w:vAlign w:val="bottom"/>
            <w:gridSpan w:val="2"/>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(PIK 2.00%)</w:t>
            </w: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9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6"/>
              </w:rPr>
              <w:t>Metals</w:t>
            </w:r>
          </w:p>
        </w:tc>
        <w:tc>
          <w:tcPr>
            <w:tcW w:w="7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40" w:type="dxa"/>
            <w:vAlign w:val="bottom"/>
            <w:gridSpan w:val="2"/>
          </w:tcPr>
          <w:p>
            <w:pPr>
              <w:spacing w:after="0" w:line="130" w:lineRule="exact"/>
              <w:rPr>
                <w:sz w:val="20"/>
                <w:szCs w:val="20"/>
                <w:color w:val="auto"/>
              </w:rPr>
            </w:pPr>
            <w:r>
              <w:rPr>
                <w:rFonts w:ascii="Arial" w:cs="Arial" w:eastAsia="Arial" w:hAnsi="Arial"/>
                <w:sz w:val="14"/>
                <w:szCs w:val="14"/>
                <w:color w:val="auto"/>
              </w:rPr>
              <w:t>Realogy Corp.</w:t>
            </w:r>
          </w:p>
        </w:tc>
        <w:tc>
          <w:tcPr>
            <w:tcW w:w="700" w:type="dxa"/>
            <w:vAlign w:val="bottom"/>
          </w:tcPr>
          <w:p>
            <w:pPr>
              <w:jc w:val="right"/>
              <w:spacing w:after="0" w:line="130" w:lineRule="exact"/>
              <w:rPr>
                <w:sz w:val="20"/>
                <w:szCs w:val="20"/>
                <w:color w:val="auto"/>
              </w:rPr>
            </w:pPr>
            <w:r>
              <w:rPr>
                <w:rFonts w:ascii="Arial" w:cs="Arial" w:eastAsia="Arial" w:hAnsi="Arial"/>
                <w:sz w:val="14"/>
                <w:szCs w:val="14"/>
                <w:color w:val="auto"/>
                <w:w w:val="96"/>
              </w:rPr>
              <w:t>04/15/2018</w:t>
            </w:r>
          </w:p>
        </w:tc>
        <w:tc>
          <w:tcPr>
            <w:tcW w:w="320" w:type="dxa"/>
            <w:vAlign w:val="bottom"/>
          </w:tcPr>
          <w:p>
            <w:pPr>
              <w:spacing w:after="0"/>
              <w:rPr>
                <w:sz w:val="11"/>
                <w:szCs w:val="11"/>
                <w:color w:val="auto"/>
              </w:rPr>
            </w:pPr>
          </w:p>
        </w:tc>
        <w:tc>
          <w:tcPr>
            <w:tcW w:w="1520" w:type="dxa"/>
            <w:vAlign w:val="bottom"/>
            <w:gridSpan w:val="2"/>
          </w:tcPr>
          <w:p>
            <w:pPr>
              <w:jc w:val="center"/>
              <w:ind w:right="180"/>
              <w:spacing w:after="0" w:line="130" w:lineRule="exact"/>
              <w:rPr>
                <w:sz w:val="20"/>
                <w:szCs w:val="20"/>
                <w:color w:val="auto"/>
              </w:rPr>
            </w:pPr>
            <w:r>
              <w:rPr>
                <w:rFonts w:ascii="Arial" w:cs="Arial" w:eastAsia="Arial" w:hAnsi="Arial"/>
                <w:sz w:val="14"/>
                <w:szCs w:val="14"/>
                <w:color w:val="auto"/>
                <w:w w:val="94"/>
              </w:rPr>
              <w:t>Buildings and Real</w:t>
            </w:r>
          </w:p>
        </w:tc>
        <w:tc>
          <w:tcPr>
            <w:tcW w:w="1160" w:type="dxa"/>
            <w:vAlign w:val="bottom"/>
            <w:gridSpan w:val="2"/>
          </w:tcPr>
          <w:p>
            <w:pPr>
              <w:jc w:val="right"/>
              <w:ind w:right="268"/>
              <w:spacing w:after="0" w:line="130" w:lineRule="exact"/>
              <w:rPr>
                <w:sz w:val="20"/>
                <w:szCs w:val="20"/>
                <w:color w:val="auto"/>
              </w:rPr>
            </w:pPr>
            <w:r>
              <w:rPr>
                <w:rFonts w:ascii="Arial" w:cs="Arial" w:eastAsia="Arial" w:hAnsi="Arial"/>
                <w:sz w:val="14"/>
                <w:szCs w:val="14"/>
                <w:color w:val="auto"/>
              </w:rPr>
              <w:t>11.00%</w:t>
            </w:r>
          </w:p>
        </w:tc>
        <w:tc>
          <w:tcPr>
            <w:tcW w:w="94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w w:val="94"/>
              </w:rPr>
              <w:t>10,000,000</w:t>
            </w:r>
          </w:p>
        </w:tc>
        <w:tc>
          <w:tcPr>
            <w:tcW w:w="104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rPr>
              <w:t>9,247,298</w:t>
            </w: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9,400,000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20" w:type="dxa"/>
            <w:vAlign w:val="bottom"/>
            <w:gridSpan w:val="2"/>
          </w:tcPr>
          <w:p>
            <w:pPr>
              <w:jc w:val="center"/>
              <w:ind w:right="160"/>
              <w:spacing w:after="0"/>
              <w:rPr>
                <w:sz w:val="20"/>
                <w:szCs w:val="20"/>
                <w:color w:val="auto"/>
              </w:rPr>
            </w:pPr>
            <w:r>
              <w:rPr>
                <w:rFonts w:ascii="Arial" w:cs="Arial" w:eastAsia="Arial" w:hAnsi="Arial"/>
                <w:sz w:val="14"/>
                <w:szCs w:val="14"/>
                <w:color w:val="auto"/>
                <w:w w:val="90"/>
              </w:rPr>
              <w:t>Estate</w:t>
            </w: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TRAK Acquisition Corp.</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12/29/2015</w:t>
            </w:r>
          </w:p>
        </w:tc>
        <w:tc>
          <w:tcPr>
            <w:tcW w:w="32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0"/>
              </w:rPr>
              <w:t>Business Services</w:t>
            </w:r>
          </w:p>
        </w:tc>
        <w:tc>
          <w:tcPr>
            <w:tcW w:w="1160" w:type="dxa"/>
            <w:vAlign w:val="bottom"/>
            <w:gridSpan w:val="2"/>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15.00%</w:t>
            </w:r>
            <w:r>
              <w:rPr>
                <w:rFonts w:ascii="Arial" w:cs="Arial" w:eastAsia="Arial" w:hAnsi="Arial"/>
                <w:sz w:val="12"/>
                <w:szCs w:val="12"/>
                <w:color w:val="auto"/>
              </w:rPr>
              <w:t>(7)</w:t>
            </w:r>
          </w:p>
        </w:tc>
        <w:tc>
          <w:tcPr>
            <w:tcW w:w="9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4"/>
              </w:rPr>
              <w:t>12,020,950</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11,708,199</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12,020,950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40" w:type="dxa"/>
            <w:vAlign w:val="bottom"/>
            <w:gridSpan w:val="2"/>
          </w:tcPr>
          <w:p>
            <w:pPr>
              <w:spacing w:after="0" w:line="130" w:lineRule="exact"/>
              <w:rPr>
                <w:sz w:val="20"/>
                <w:szCs w:val="20"/>
                <w:color w:val="auto"/>
              </w:rPr>
            </w:pPr>
            <w:r>
              <w:rPr>
                <w:rFonts w:ascii="Arial" w:cs="Arial" w:eastAsia="Arial" w:hAnsi="Arial"/>
                <w:sz w:val="14"/>
                <w:szCs w:val="14"/>
                <w:color w:val="auto"/>
              </w:rPr>
              <w:t>TrustHouse Services Group, Inc.</w:t>
            </w:r>
          </w:p>
        </w:tc>
        <w:tc>
          <w:tcPr>
            <w:tcW w:w="700" w:type="dxa"/>
            <w:vAlign w:val="bottom"/>
          </w:tcPr>
          <w:p>
            <w:pPr>
              <w:jc w:val="right"/>
              <w:spacing w:after="0" w:line="130" w:lineRule="exact"/>
              <w:rPr>
                <w:sz w:val="20"/>
                <w:szCs w:val="20"/>
                <w:color w:val="auto"/>
              </w:rPr>
            </w:pPr>
            <w:r>
              <w:rPr>
                <w:rFonts w:ascii="Arial" w:cs="Arial" w:eastAsia="Arial" w:hAnsi="Arial"/>
                <w:sz w:val="14"/>
                <w:szCs w:val="14"/>
                <w:color w:val="auto"/>
                <w:w w:val="96"/>
              </w:rPr>
              <w:t>06/03/2019</w:t>
            </w:r>
          </w:p>
        </w:tc>
        <w:tc>
          <w:tcPr>
            <w:tcW w:w="320" w:type="dxa"/>
            <w:vAlign w:val="bottom"/>
          </w:tcPr>
          <w:p>
            <w:pPr>
              <w:spacing w:after="0"/>
              <w:rPr>
                <w:sz w:val="11"/>
                <w:szCs w:val="11"/>
                <w:color w:val="auto"/>
              </w:rPr>
            </w:pPr>
          </w:p>
        </w:tc>
        <w:tc>
          <w:tcPr>
            <w:tcW w:w="152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91"/>
              </w:rPr>
              <w:t>Beverage, Food, and</w:t>
            </w:r>
          </w:p>
        </w:tc>
        <w:tc>
          <w:tcPr>
            <w:tcW w:w="1160" w:type="dxa"/>
            <w:vAlign w:val="bottom"/>
            <w:gridSpan w:val="2"/>
          </w:tcPr>
          <w:p>
            <w:pPr>
              <w:jc w:val="right"/>
              <w:ind w:right="268"/>
              <w:spacing w:after="0" w:line="130" w:lineRule="exact"/>
              <w:rPr>
                <w:sz w:val="20"/>
                <w:szCs w:val="20"/>
                <w:color w:val="auto"/>
              </w:rPr>
            </w:pPr>
            <w:r>
              <w:rPr>
                <w:rFonts w:ascii="Arial" w:cs="Arial" w:eastAsia="Arial" w:hAnsi="Arial"/>
                <w:sz w:val="14"/>
                <w:szCs w:val="14"/>
                <w:color w:val="auto"/>
              </w:rPr>
              <w:t>14.25%</w:t>
            </w:r>
          </w:p>
        </w:tc>
        <w:tc>
          <w:tcPr>
            <w:tcW w:w="94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w w:val="94"/>
              </w:rPr>
              <w:t>14,778,578</w:t>
            </w:r>
          </w:p>
        </w:tc>
        <w:tc>
          <w:tcPr>
            <w:tcW w:w="104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rPr>
              <w:t>14,527,411</w:t>
            </w: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14,778,578</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20" w:type="dxa"/>
            <w:vAlign w:val="bottom"/>
            <w:gridSpan w:val="2"/>
          </w:tcPr>
          <w:p>
            <w:pPr>
              <w:jc w:val="center"/>
              <w:ind w:right="160"/>
              <w:spacing w:after="0"/>
              <w:rPr>
                <w:sz w:val="20"/>
                <w:szCs w:val="20"/>
                <w:color w:val="auto"/>
              </w:rPr>
            </w:pPr>
            <w:r>
              <w:rPr>
                <w:rFonts w:ascii="Arial" w:cs="Arial" w:eastAsia="Arial" w:hAnsi="Arial"/>
                <w:sz w:val="14"/>
                <w:szCs w:val="14"/>
                <w:color w:val="auto"/>
                <w:w w:val="89"/>
              </w:rPr>
              <w:t>Tobacco</w:t>
            </w:r>
          </w:p>
        </w:tc>
        <w:tc>
          <w:tcPr>
            <w:tcW w:w="1160" w:type="dxa"/>
            <w:vAlign w:val="bottom"/>
            <w:gridSpan w:val="2"/>
          </w:tcPr>
          <w:p>
            <w:pPr>
              <w:jc w:val="right"/>
              <w:ind w:right="228"/>
              <w:spacing w:after="0"/>
              <w:rPr>
                <w:sz w:val="20"/>
                <w:szCs w:val="20"/>
                <w:color w:val="auto"/>
              </w:rPr>
            </w:pPr>
            <w:r>
              <w:rPr>
                <w:rFonts w:ascii="Arial" w:cs="Arial" w:eastAsia="Arial" w:hAnsi="Arial"/>
                <w:sz w:val="14"/>
                <w:szCs w:val="14"/>
                <w:color w:val="auto"/>
              </w:rPr>
              <w:t>(PIK 2.25%)</w:t>
            </w: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TrustHouse Services Group, Inc.</w:t>
            </w:r>
            <w:r>
              <w:rPr>
                <w:rFonts w:ascii="Arial" w:cs="Arial" w:eastAsia="Arial" w:hAnsi="Arial"/>
                <w:sz w:val="12"/>
                <w:szCs w:val="12"/>
                <w:color w:val="auto"/>
              </w:rPr>
              <w:t>(9)</w:t>
            </w:r>
          </w:p>
        </w:tc>
        <w:tc>
          <w:tcPr>
            <w:tcW w:w="7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96"/>
              </w:rPr>
              <w:t>06/02/2014</w:t>
            </w:r>
          </w:p>
        </w:tc>
        <w:tc>
          <w:tcPr>
            <w:tcW w:w="320" w:type="dxa"/>
            <w:vAlign w:val="bottom"/>
            <w:shd w:val="clear" w:color="auto" w:fill="CCEEFF"/>
          </w:tcPr>
          <w:p>
            <w:pPr>
              <w:spacing w:after="0"/>
              <w:rPr>
                <w:sz w:val="11"/>
                <w:szCs w:val="11"/>
                <w:color w:val="auto"/>
              </w:rPr>
            </w:pPr>
          </w:p>
        </w:tc>
        <w:tc>
          <w:tcPr>
            <w:tcW w:w="152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91"/>
              </w:rPr>
              <w:t>Beverage, Food, and</w:t>
            </w:r>
          </w:p>
        </w:tc>
        <w:tc>
          <w:tcPr>
            <w:tcW w:w="1160" w:type="dxa"/>
            <w:vAlign w:val="bottom"/>
            <w:gridSpan w:val="2"/>
            <w:shd w:val="clear" w:color="auto" w:fill="CCEEFF"/>
          </w:tcPr>
          <w:p>
            <w:pPr>
              <w:jc w:val="right"/>
              <w:ind w:right="468"/>
              <w:spacing w:after="0" w:line="130"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4,000,000</w:t>
            </w:r>
          </w:p>
        </w:tc>
        <w:tc>
          <w:tcPr>
            <w:tcW w:w="104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3,920,000</w:t>
            </w: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4,000,000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9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89"/>
              </w:rPr>
              <w:t>Tobacco</w:t>
            </w:r>
          </w:p>
        </w:tc>
        <w:tc>
          <w:tcPr>
            <w:tcW w:w="7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tcPr>
          <w:p>
            <w:pPr>
              <w:spacing w:after="0" w:line="149" w:lineRule="exact"/>
              <w:rPr>
                <w:sz w:val="20"/>
                <w:szCs w:val="20"/>
                <w:color w:val="auto"/>
              </w:rPr>
            </w:pPr>
            <w:r>
              <w:rPr>
                <w:rFonts w:ascii="Arial" w:cs="Arial" w:eastAsia="Arial" w:hAnsi="Arial"/>
                <w:sz w:val="14"/>
                <w:szCs w:val="14"/>
                <w:color w:val="auto"/>
              </w:rPr>
              <w:t>Veritext Corp.</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12/31/2015</w:t>
            </w:r>
          </w:p>
        </w:tc>
        <w:tc>
          <w:tcPr>
            <w:tcW w:w="320" w:type="dxa"/>
            <w:vAlign w:val="bottom"/>
          </w:tcPr>
          <w:p>
            <w:pPr>
              <w:spacing w:after="0"/>
              <w:rPr>
                <w:sz w:val="12"/>
                <w:szCs w:val="12"/>
                <w:color w:val="auto"/>
              </w:rPr>
            </w:pPr>
          </w:p>
        </w:tc>
        <w:tc>
          <w:tcPr>
            <w:tcW w:w="152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0"/>
              </w:rPr>
              <w:t>Business Services</w:t>
            </w:r>
          </w:p>
        </w:tc>
        <w:tc>
          <w:tcPr>
            <w:tcW w:w="1160" w:type="dxa"/>
            <w:vAlign w:val="bottom"/>
            <w:gridSpan w:val="2"/>
          </w:tcPr>
          <w:p>
            <w:pPr>
              <w:jc w:val="right"/>
              <w:ind w:right="268"/>
              <w:spacing w:after="0" w:line="149" w:lineRule="exact"/>
              <w:rPr>
                <w:sz w:val="20"/>
                <w:szCs w:val="20"/>
                <w:color w:val="auto"/>
              </w:rPr>
            </w:pPr>
            <w:r>
              <w:rPr>
                <w:rFonts w:ascii="Arial" w:cs="Arial" w:eastAsia="Arial" w:hAnsi="Arial"/>
                <w:sz w:val="14"/>
                <w:szCs w:val="14"/>
                <w:color w:val="auto"/>
              </w:rPr>
              <w:t>13.00%</w:t>
            </w:r>
          </w:p>
        </w:tc>
        <w:tc>
          <w:tcPr>
            <w:tcW w:w="9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4"/>
              </w:rPr>
              <w:t>16,200,000</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15,916,579</w:t>
            </w: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16,200,000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0" w:type="dxa"/>
            <w:vAlign w:val="bottom"/>
          </w:tcPr>
          <w:p>
            <w:pPr>
              <w:spacing w:after="0"/>
              <w:rPr>
                <w:sz w:val="2"/>
                <w:szCs w:val="2"/>
                <w:color w:val="auto"/>
              </w:rPr>
            </w:pPr>
          </w:p>
        </w:tc>
        <w:tc>
          <w:tcPr>
            <w:tcW w:w="29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Subordinated Debt/Corporate Notes</w:t>
            </w: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355,236,902</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351,070,859</w:t>
            </w:r>
          </w:p>
        </w:tc>
        <w:tc>
          <w:tcPr>
            <w:tcW w:w="0" w:type="dxa"/>
            <w:vAlign w:val="bottom"/>
          </w:tcPr>
          <w:p>
            <w:pPr>
              <w:spacing w:after="0"/>
              <w:rPr>
                <w:sz w:val="1"/>
                <w:szCs w:val="1"/>
                <w:color w:val="auto"/>
              </w:rPr>
            </w:pPr>
          </w:p>
        </w:tc>
      </w:tr>
      <w:tr>
        <w:trPr>
          <w:trHeight w:val="156"/>
        </w:trPr>
        <w:tc>
          <w:tcPr>
            <w:tcW w:w="37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 xml:space="preserve">Preferred Equity/Partnership Interests—1.7% </w:t>
            </w:r>
            <w:r>
              <w:rPr>
                <w:rFonts w:ascii="Arial" w:cs="Arial" w:eastAsia="Arial" w:hAnsi="Arial"/>
                <w:sz w:val="12"/>
                <w:szCs w:val="12"/>
                <w:b w:val="1"/>
                <w:bCs w:val="1"/>
                <w:color w:val="auto"/>
              </w:rPr>
              <w:t>(6)</w:t>
            </w: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AH Holdings, Inc.</w:t>
            </w:r>
          </w:p>
        </w:tc>
        <w:tc>
          <w:tcPr>
            <w:tcW w:w="1020" w:type="dxa"/>
            <w:vAlign w:val="bottom"/>
            <w:gridSpan w:val="2"/>
            <w:shd w:val="clear" w:color="auto" w:fill="CCEEFF"/>
          </w:tcPr>
          <w:p>
            <w:pPr>
              <w:jc w:val="right"/>
              <w:ind w:right="620"/>
              <w:spacing w:after="0" w:line="130" w:lineRule="exact"/>
              <w:rPr>
                <w:sz w:val="20"/>
                <w:szCs w:val="20"/>
                <w:color w:val="auto"/>
              </w:rPr>
            </w:pPr>
            <w:r>
              <w:rPr>
                <w:rFonts w:ascii="Arial" w:cs="Arial" w:eastAsia="Arial" w:hAnsi="Arial"/>
                <w:sz w:val="14"/>
                <w:szCs w:val="14"/>
                <w:color w:val="auto"/>
              </w:rPr>
              <w:t>—</w:t>
            </w:r>
          </w:p>
        </w:tc>
        <w:tc>
          <w:tcPr>
            <w:tcW w:w="152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92"/>
              </w:rPr>
              <w:t>Healthcare, Education</w:t>
            </w:r>
          </w:p>
        </w:tc>
        <w:tc>
          <w:tcPr>
            <w:tcW w:w="1160" w:type="dxa"/>
            <w:vAlign w:val="bottom"/>
            <w:gridSpan w:val="2"/>
            <w:shd w:val="clear" w:color="auto" w:fill="CCEEFF"/>
          </w:tcPr>
          <w:p>
            <w:pPr>
              <w:jc w:val="right"/>
              <w:ind w:right="268"/>
              <w:spacing w:after="0" w:line="130" w:lineRule="exact"/>
              <w:rPr>
                <w:sz w:val="20"/>
                <w:szCs w:val="20"/>
                <w:color w:val="auto"/>
              </w:rPr>
            </w:pPr>
            <w:r>
              <w:rPr>
                <w:rFonts w:ascii="Arial" w:cs="Arial" w:eastAsia="Arial" w:hAnsi="Arial"/>
                <w:sz w:val="14"/>
                <w:szCs w:val="14"/>
                <w:color w:val="auto"/>
              </w:rPr>
              <w:t>6.00%</w:t>
            </w:r>
          </w:p>
        </w:tc>
        <w:tc>
          <w:tcPr>
            <w:tcW w:w="94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211</w:t>
            </w:r>
          </w:p>
        </w:tc>
        <w:tc>
          <w:tcPr>
            <w:tcW w:w="104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500,000</w:t>
            </w: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624,081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(American Surgical Holdings, Inc.)</w:t>
            </w:r>
          </w:p>
        </w:tc>
        <w:tc>
          <w:tcPr>
            <w:tcW w:w="7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2"/>
              </w:rPr>
              <w:t>and Childcare</w:t>
            </w:r>
          </w:p>
        </w:tc>
        <w:tc>
          <w:tcPr>
            <w:tcW w:w="7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tcPr>
          <w:p>
            <w:pPr>
              <w:spacing w:after="0" w:line="149" w:lineRule="exact"/>
              <w:rPr>
                <w:sz w:val="20"/>
                <w:szCs w:val="20"/>
                <w:color w:val="auto"/>
              </w:rPr>
            </w:pPr>
            <w:r>
              <w:rPr>
                <w:rFonts w:ascii="Arial" w:cs="Arial" w:eastAsia="Arial" w:hAnsi="Arial"/>
                <w:sz w:val="14"/>
                <w:szCs w:val="14"/>
                <w:color w:val="auto"/>
              </w:rPr>
              <w:t>AHC Mezzanine, LLC</w:t>
            </w:r>
          </w:p>
        </w:tc>
        <w:tc>
          <w:tcPr>
            <w:tcW w:w="102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3"/>
              </w:rPr>
              <w:t>Other Media</w:t>
            </w:r>
          </w:p>
        </w:tc>
        <w:tc>
          <w:tcPr>
            <w:tcW w:w="1160" w:type="dxa"/>
            <w:vAlign w:val="bottom"/>
            <w:gridSpan w:val="2"/>
          </w:tcPr>
          <w:p>
            <w:pPr>
              <w:jc w:val="right"/>
              <w:ind w:right="468"/>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7,505</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318,896</w:t>
            </w:r>
          </w:p>
        </w:tc>
        <w:tc>
          <w:tcPr>
            <w:tcW w:w="98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Alegeus Technologies Holding Corp., Series A</w:t>
            </w:r>
          </w:p>
        </w:tc>
        <w:tc>
          <w:tcPr>
            <w:tcW w:w="1020" w:type="dxa"/>
            <w:vAlign w:val="bottom"/>
            <w:gridSpan w:val="2"/>
            <w:shd w:val="clear" w:color="auto" w:fill="CCEEFF"/>
          </w:tcPr>
          <w:p>
            <w:pPr>
              <w:jc w:val="right"/>
              <w:ind w:right="620"/>
              <w:spacing w:after="0" w:line="130" w:lineRule="exact"/>
              <w:rPr>
                <w:sz w:val="20"/>
                <w:szCs w:val="20"/>
                <w:color w:val="auto"/>
              </w:rPr>
            </w:pPr>
            <w:r>
              <w:rPr>
                <w:rFonts w:ascii="Arial" w:cs="Arial" w:eastAsia="Arial" w:hAnsi="Arial"/>
                <w:sz w:val="14"/>
                <w:szCs w:val="14"/>
                <w:color w:val="auto"/>
              </w:rPr>
              <w:t>—</w:t>
            </w:r>
          </w:p>
        </w:tc>
        <w:tc>
          <w:tcPr>
            <w:tcW w:w="152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3"/>
              </w:rPr>
              <w:t>Financial Services</w:t>
            </w:r>
          </w:p>
        </w:tc>
        <w:tc>
          <w:tcPr>
            <w:tcW w:w="1160" w:type="dxa"/>
            <w:vAlign w:val="bottom"/>
            <w:gridSpan w:val="2"/>
            <w:shd w:val="clear" w:color="auto" w:fill="CCEEFF"/>
          </w:tcPr>
          <w:p>
            <w:pPr>
              <w:jc w:val="right"/>
              <w:ind w:right="468"/>
              <w:spacing w:after="0" w:line="130"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949</w:t>
            </w:r>
          </w:p>
        </w:tc>
        <w:tc>
          <w:tcPr>
            <w:tcW w:w="104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949,050</w:t>
            </w: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1,031,820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(Alegeus Technologies, LLC)</w:t>
            </w:r>
          </w:p>
        </w:tc>
        <w:tc>
          <w:tcPr>
            <w:tcW w:w="7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40" w:type="dxa"/>
            <w:vAlign w:val="bottom"/>
            <w:gridSpan w:val="2"/>
          </w:tcPr>
          <w:p>
            <w:pPr>
              <w:spacing w:after="0" w:line="130" w:lineRule="exact"/>
              <w:rPr>
                <w:sz w:val="20"/>
                <w:szCs w:val="20"/>
                <w:color w:val="auto"/>
              </w:rPr>
            </w:pPr>
            <w:r>
              <w:rPr>
                <w:rFonts w:ascii="Arial" w:cs="Arial" w:eastAsia="Arial" w:hAnsi="Arial"/>
                <w:sz w:val="14"/>
                <w:szCs w:val="14"/>
                <w:color w:val="auto"/>
              </w:rPr>
              <w:t>CI (IHS) Investment Holdings, LLC (Interactive Health</w:t>
            </w:r>
          </w:p>
        </w:tc>
        <w:tc>
          <w:tcPr>
            <w:tcW w:w="1020" w:type="dxa"/>
            <w:vAlign w:val="bottom"/>
            <w:gridSpan w:val="2"/>
          </w:tcPr>
          <w:p>
            <w:pPr>
              <w:jc w:val="right"/>
              <w:ind w:right="620"/>
              <w:spacing w:after="0" w:line="130" w:lineRule="exact"/>
              <w:rPr>
                <w:sz w:val="20"/>
                <w:szCs w:val="20"/>
                <w:color w:val="auto"/>
              </w:rPr>
            </w:pPr>
            <w:r>
              <w:rPr>
                <w:rFonts w:ascii="Arial" w:cs="Arial" w:eastAsia="Arial" w:hAnsi="Arial"/>
                <w:sz w:val="14"/>
                <w:szCs w:val="14"/>
                <w:color w:val="auto"/>
              </w:rPr>
              <w:t>—</w:t>
            </w:r>
          </w:p>
        </w:tc>
        <w:tc>
          <w:tcPr>
            <w:tcW w:w="152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92"/>
              </w:rPr>
              <w:t>Healthcare, Education</w:t>
            </w:r>
          </w:p>
        </w:tc>
        <w:tc>
          <w:tcPr>
            <w:tcW w:w="1160" w:type="dxa"/>
            <w:vAlign w:val="bottom"/>
            <w:gridSpan w:val="2"/>
          </w:tcPr>
          <w:p>
            <w:pPr>
              <w:jc w:val="right"/>
              <w:ind w:right="268"/>
              <w:spacing w:after="0" w:line="130" w:lineRule="exact"/>
              <w:rPr>
                <w:sz w:val="20"/>
                <w:szCs w:val="20"/>
                <w:color w:val="auto"/>
              </w:rPr>
            </w:pPr>
            <w:r>
              <w:rPr>
                <w:rFonts w:ascii="Arial" w:cs="Arial" w:eastAsia="Arial" w:hAnsi="Arial"/>
                <w:sz w:val="14"/>
                <w:szCs w:val="14"/>
                <w:color w:val="auto"/>
              </w:rPr>
              <w:t>8.00%</w:t>
            </w:r>
          </w:p>
        </w:tc>
        <w:tc>
          <w:tcPr>
            <w:tcW w:w="94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rPr>
              <w:t>76,357</w:t>
            </w:r>
          </w:p>
        </w:tc>
        <w:tc>
          <w:tcPr>
            <w:tcW w:w="104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rPr>
              <w:t>765,307</w:t>
            </w: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881,885</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40" w:type="dxa"/>
            <w:vAlign w:val="bottom"/>
            <w:gridSpan w:val="2"/>
          </w:tcPr>
          <w:p>
            <w:pPr>
              <w:ind w:left="140"/>
              <w:spacing w:after="0"/>
              <w:rPr>
                <w:sz w:val="20"/>
                <w:szCs w:val="20"/>
                <w:color w:val="auto"/>
              </w:rPr>
            </w:pPr>
            <w:r>
              <w:rPr>
                <w:rFonts w:ascii="Arial" w:cs="Arial" w:eastAsia="Arial" w:hAnsi="Arial"/>
                <w:sz w:val="14"/>
                <w:szCs w:val="14"/>
                <w:color w:val="auto"/>
              </w:rPr>
              <w:t>Solutions, Inc.)</w:t>
            </w: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20" w:type="dxa"/>
            <w:vAlign w:val="bottom"/>
            <w:gridSpan w:val="2"/>
          </w:tcPr>
          <w:p>
            <w:pPr>
              <w:jc w:val="center"/>
              <w:ind w:right="160"/>
              <w:spacing w:after="0"/>
              <w:rPr>
                <w:sz w:val="20"/>
                <w:szCs w:val="20"/>
                <w:color w:val="auto"/>
              </w:rPr>
            </w:pPr>
            <w:r>
              <w:rPr>
                <w:rFonts w:ascii="Arial" w:cs="Arial" w:eastAsia="Arial" w:hAnsi="Arial"/>
                <w:sz w:val="14"/>
                <w:szCs w:val="14"/>
                <w:color w:val="auto"/>
                <w:w w:val="92"/>
              </w:rPr>
              <w:t>and Childcare</w:t>
            </w: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 xml:space="preserve">CI (IHS) Investment Holdings, LLC </w:t>
            </w:r>
            <w:r>
              <w:rPr>
                <w:rFonts w:ascii="Arial" w:cs="Arial" w:eastAsia="Arial" w:hAnsi="Arial"/>
                <w:sz w:val="12"/>
                <w:szCs w:val="12"/>
                <w:color w:val="auto"/>
              </w:rPr>
              <w:t>(9)</w:t>
            </w:r>
            <w:r>
              <w:rPr>
                <w:rFonts w:ascii="Arial" w:cs="Arial" w:eastAsia="Arial" w:hAnsi="Arial"/>
                <w:sz w:val="14"/>
                <w:szCs w:val="14"/>
                <w:color w:val="auto"/>
              </w:rPr>
              <w:t xml:space="preserve"> (Interactive Health</w:t>
            </w:r>
          </w:p>
        </w:tc>
        <w:tc>
          <w:tcPr>
            <w:tcW w:w="1020" w:type="dxa"/>
            <w:vAlign w:val="bottom"/>
            <w:gridSpan w:val="2"/>
            <w:shd w:val="clear" w:color="auto" w:fill="CCEEFF"/>
          </w:tcPr>
          <w:p>
            <w:pPr>
              <w:jc w:val="right"/>
              <w:ind w:right="620"/>
              <w:spacing w:after="0" w:line="130" w:lineRule="exact"/>
              <w:rPr>
                <w:sz w:val="20"/>
                <w:szCs w:val="20"/>
                <w:color w:val="auto"/>
              </w:rPr>
            </w:pPr>
            <w:r>
              <w:rPr>
                <w:rFonts w:ascii="Arial" w:cs="Arial" w:eastAsia="Arial" w:hAnsi="Arial"/>
                <w:sz w:val="14"/>
                <w:szCs w:val="14"/>
                <w:color w:val="auto"/>
              </w:rPr>
              <w:t>—</w:t>
            </w:r>
          </w:p>
        </w:tc>
        <w:tc>
          <w:tcPr>
            <w:tcW w:w="152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92"/>
              </w:rPr>
              <w:t>Healthcare, Education</w:t>
            </w:r>
          </w:p>
        </w:tc>
        <w:tc>
          <w:tcPr>
            <w:tcW w:w="1160" w:type="dxa"/>
            <w:vAlign w:val="bottom"/>
            <w:gridSpan w:val="2"/>
            <w:shd w:val="clear" w:color="auto" w:fill="CCEEFF"/>
          </w:tcPr>
          <w:p>
            <w:pPr>
              <w:jc w:val="right"/>
              <w:ind w:right="468"/>
              <w:spacing w:after="0" w:line="130"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38,179</w:t>
            </w:r>
          </w:p>
        </w:tc>
        <w:tc>
          <w:tcPr>
            <w:tcW w:w="104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382,654</w:t>
            </w:r>
          </w:p>
        </w:tc>
        <w:tc>
          <w:tcPr>
            <w:tcW w:w="980" w:type="dxa"/>
            <w:vAlign w:val="bottom"/>
            <w:gridSpan w:val="2"/>
            <w:shd w:val="clear" w:color="auto" w:fill="CCEEFF"/>
          </w:tcPr>
          <w:p>
            <w:pPr>
              <w:ind w:left="620"/>
              <w:spacing w:after="0" w:line="13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Solutions, Inc.)</w:t>
            </w:r>
          </w:p>
        </w:tc>
        <w:tc>
          <w:tcPr>
            <w:tcW w:w="7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2"/>
              </w:rPr>
              <w:t>and Childcare</w:t>
            </w:r>
          </w:p>
        </w:tc>
        <w:tc>
          <w:tcPr>
            <w:tcW w:w="7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tcPr>
          <w:p>
            <w:pPr>
              <w:spacing w:after="0" w:line="149" w:lineRule="exact"/>
              <w:rPr>
                <w:sz w:val="20"/>
                <w:szCs w:val="20"/>
                <w:color w:val="auto"/>
              </w:rPr>
            </w:pPr>
            <w:r>
              <w:rPr>
                <w:rFonts w:ascii="Arial" w:cs="Arial" w:eastAsia="Arial" w:hAnsi="Arial"/>
                <w:sz w:val="14"/>
                <w:szCs w:val="14"/>
                <w:color w:val="auto"/>
              </w:rPr>
              <w:t>Convergint Technologies Holdings, LLC</w:t>
            </w:r>
          </w:p>
        </w:tc>
        <w:tc>
          <w:tcPr>
            <w:tcW w:w="102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3"/>
              </w:rPr>
              <w:t>Electronics</w:t>
            </w:r>
          </w:p>
        </w:tc>
        <w:tc>
          <w:tcPr>
            <w:tcW w:w="1160" w:type="dxa"/>
            <w:vAlign w:val="bottom"/>
            <w:gridSpan w:val="2"/>
          </w:tcPr>
          <w:p>
            <w:pPr>
              <w:jc w:val="right"/>
              <w:ind w:right="468"/>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2,375</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2,375,000</w:t>
            </w: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2,375,000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HW Topco, Inc. (Hanley-Wood, LLC)</w:t>
            </w:r>
          </w:p>
        </w:tc>
        <w:tc>
          <w:tcPr>
            <w:tcW w:w="102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3"/>
              </w:rPr>
              <w:t>Other Media</w:t>
            </w:r>
          </w:p>
        </w:tc>
        <w:tc>
          <w:tcPr>
            <w:tcW w:w="1160" w:type="dxa"/>
            <w:vAlign w:val="bottom"/>
            <w:gridSpan w:val="2"/>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8.00%</w:t>
            </w:r>
          </w:p>
        </w:tc>
        <w:tc>
          <w:tcPr>
            <w:tcW w:w="9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3,591</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24,177</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27,916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40" w:type="dxa"/>
            <w:vAlign w:val="bottom"/>
            <w:gridSpan w:val="2"/>
          </w:tcPr>
          <w:p>
            <w:pPr>
              <w:spacing w:after="0" w:line="130" w:lineRule="exact"/>
              <w:rPr>
                <w:sz w:val="20"/>
                <w:szCs w:val="20"/>
                <w:color w:val="auto"/>
              </w:rPr>
            </w:pPr>
            <w:r>
              <w:rPr>
                <w:rFonts w:ascii="Arial" w:cs="Arial" w:eastAsia="Arial" w:hAnsi="Arial"/>
                <w:sz w:val="14"/>
                <w:szCs w:val="14"/>
                <w:color w:val="auto"/>
              </w:rPr>
              <w:t>PAS Tech Holdings, Inc., Series A-1</w:t>
            </w:r>
          </w:p>
        </w:tc>
        <w:tc>
          <w:tcPr>
            <w:tcW w:w="1020" w:type="dxa"/>
            <w:vAlign w:val="bottom"/>
            <w:gridSpan w:val="2"/>
          </w:tcPr>
          <w:p>
            <w:pPr>
              <w:jc w:val="right"/>
              <w:ind w:right="620"/>
              <w:spacing w:after="0" w:line="130" w:lineRule="exact"/>
              <w:rPr>
                <w:sz w:val="20"/>
                <w:szCs w:val="20"/>
                <w:color w:val="auto"/>
              </w:rPr>
            </w:pPr>
            <w:r>
              <w:rPr>
                <w:rFonts w:ascii="Arial" w:cs="Arial" w:eastAsia="Arial" w:hAnsi="Arial"/>
                <w:sz w:val="14"/>
                <w:szCs w:val="14"/>
                <w:color w:val="auto"/>
              </w:rPr>
              <w:t>—</w:t>
            </w:r>
          </w:p>
        </w:tc>
        <w:tc>
          <w:tcPr>
            <w:tcW w:w="152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90"/>
              </w:rPr>
              <w:t>Aerospace and Defense</w:t>
            </w:r>
          </w:p>
        </w:tc>
        <w:tc>
          <w:tcPr>
            <w:tcW w:w="1160" w:type="dxa"/>
            <w:vAlign w:val="bottom"/>
            <w:gridSpan w:val="2"/>
          </w:tcPr>
          <w:p>
            <w:pPr>
              <w:jc w:val="right"/>
              <w:ind w:right="268"/>
              <w:spacing w:after="0" w:line="130" w:lineRule="exact"/>
              <w:rPr>
                <w:sz w:val="20"/>
                <w:szCs w:val="20"/>
                <w:color w:val="auto"/>
              </w:rPr>
            </w:pPr>
            <w:r>
              <w:rPr>
                <w:rFonts w:ascii="Arial" w:cs="Arial" w:eastAsia="Arial" w:hAnsi="Arial"/>
                <w:sz w:val="14"/>
                <w:szCs w:val="14"/>
                <w:color w:val="auto"/>
              </w:rPr>
              <w:t>8.00%</w:t>
            </w:r>
          </w:p>
        </w:tc>
        <w:tc>
          <w:tcPr>
            <w:tcW w:w="94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rPr>
              <w:t>20,000</w:t>
            </w:r>
          </w:p>
        </w:tc>
        <w:tc>
          <w:tcPr>
            <w:tcW w:w="104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rPr>
              <w:t>1,980,000</w:t>
            </w: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823,710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40" w:type="dxa"/>
            <w:vAlign w:val="bottom"/>
            <w:gridSpan w:val="2"/>
          </w:tcPr>
          <w:p>
            <w:pPr>
              <w:ind w:left="140"/>
              <w:spacing w:after="0"/>
              <w:rPr>
                <w:sz w:val="20"/>
                <w:szCs w:val="20"/>
                <w:color w:val="auto"/>
              </w:rPr>
            </w:pPr>
            <w:r>
              <w:rPr>
                <w:rFonts w:ascii="Arial" w:cs="Arial" w:eastAsia="Arial" w:hAnsi="Arial"/>
                <w:sz w:val="14"/>
                <w:szCs w:val="14"/>
                <w:color w:val="auto"/>
              </w:rPr>
              <w:t>(PAS Technologies, Inc.)</w:t>
            </w: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TrustHouse Services Holdings, LLC</w:t>
            </w:r>
          </w:p>
        </w:tc>
        <w:tc>
          <w:tcPr>
            <w:tcW w:w="1020" w:type="dxa"/>
            <w:vAlign w:val="bottom"/>
            <w:gridSpan w:val="2"/>
            <w:shd w:val="clear" w:color="auto" w:fill="CCEEFF"/>
          </w:tcPr>
          <w:p>
            <w:pPr>
              <w:jc w:val="right"/>
              <w:ind w:right="620"/>
              <w:spacing w:after="0" w:line="130" w:lineRule="exact"/>
              <w:rPr>
                <w:sz w:val="20"/>
                <w:szCs w:val="20"/>
                <w:color w:val="auto"/>
              </w:rPr>
            </w:pPr>
            <w:r>
              <w:rPr>
                <w:rFonts w:ascii="Arial" w:cs="Arial" w:eastAsia="Arial" w:hAnsi="Arial"/>
                <w:sz w:val="14"/>
                <w:szCs w:val="14"/>
                <w:color w:val="auto"/>
              </w:rPr>
              <w:t>—</w:t>
            </w:r>
          </w:p>
        </w:tc>
        <w:tc>
          <w:tcPr>
            <w:tcW w:w="152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92"/>
              </w:rPr>
              <w:t>Beverage, Food,</w:t>
            </w:r>
          </w:p>
        </w:tc>
        <w:tc>
          <w:tcPr>
            <w:tcW w:w="1160" w:type="dxa"/>
            <w:vAlign w:val="bottom"/>
            <w:gridSpan w:val="2"/>
            <w:shd w:val="clear" w:color="auto" w:fill="CCEEFF"/>
          </w:tcPr>
          <w:p>
            <w:pPr>
              <w:jc w:val="right"/>
              <w:ind w:right="268"/>
              <w:spacing w:after="0" w:line="130" w:lineRule="exact"/>
              <w:rPr>
                <w:sz w:val="20"/>
                <w:szCs w:val="20"/>
                <w:color w:val="auto"/>
              </w:rPr>
            </w:pPr>
            <w:r>
              <w:rPr>
                <w:rFonts w:ascii="Arial" w:cs="Arial" w:eastAsia="Arial" w:hAnsi="Arial"/>
                <w:sz w:val="14"/>
                <w:szCs w:val="14"/>
                <w:color w:val="auto"/>
              </w:rPr>
              <w:t>12.00%</w:t>
            </w:r>
          </w:p>
        </w:tc>
        <w:tc>
          <w:tcPr>
            <w:tcW w:w="94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1,099</w:t>
            </w:r>
          </w:p>
        </w:tc>
        <w:tc>
          <w:tcPr>
            <w:tcW w:w="104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984,344</w:t>
            </w: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1,111,742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9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88"/>
              </w:rPr>
              <w:t>and Tobacco</w:t>
            </w:r>
          </w:p>
        </w:tc>
        <w:tc>
          <w:tcPr>
            <w:tcW w:w="7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59" w:right="23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PENNANTPARK INVESTMENT CORPORATION AND SUBSIDIARIES CONSOLIDATED SCHEDULE OF INVESTMENTS (CONTINUED) SEPTEMBER 30, 2012</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Basis Point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Current</w:t>
            </w: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Spread</w:t>
            </w:r>
          </w:p>
        </w:tc>
        <w:tc>
          <w:tcPr>
            <w:tcW w:w="7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Par/</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Issuer Name</w:t>
            </w:r>
          </w:p>
        </w:tc>
        <w:tc>
          <w:tcPr>
            <w:tcW w:w="10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Maturity</w:t>
            </w:r>
          </w:p>
        </w:tc>
        <w:tc>
          <w:tcPr>
            <w:tcW w:w="15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7"/>
              </w:rPr>
              <w:t>Industry</w:t>
            </w:r>
          </w:p>
        </w:tc>
        <w:tc>
          <w:tcPr>
            <w:tcW w:w="860" w:type="dxa"/>
            <w:vAlign w:val="bottom"/>
            <w:gridSpan w:val="2"/>
            <w:vMerge w:val="continue"/>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Above</w:t>
            </w:r>
          </w:p>
        </w:tc>
        <w:tc>
          <w:tcPr>
            <w:tcW w:w="7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Cost</w:t>
            </w: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2"/>
                <w:szCs w:val="12"/>
                <w:b w:val="1"/>
                <w:bCs w:val="1"/>
                <w:color w:val="auto"/>
              </w:rPr>
              <w:t>(3)</w:t>
            </w:r>
          </w:p>
        </w:tc>
        <w:tc>
          <w:tcPr>
            <w:tcW w:w="0" w:type="dxa"/>
            <w:vAlign w:val="bottom"/>
          </w:tcPr>
          <w:p>
            <w:pPr>
              <w:spacing w:after="0"/>
              <w:rPr>
                <w:sz w:val="1"/>
                <w:szCs w:val="1"/>
                <w:color w:val="auto"/>
              </w:rPr>
            </w:pPr>
          </w:p>
        </w:tc>
      </w:tr>
      <w:tr>
        <w:trPr>
          <w:trHeight w:val="171"/>
        </w:trPr>
        <w:tc>
          <w:tcPr>
            <w:tcW w:w="4220" w:type="dxa"/>
            <w:vAlign w:val="bottom"/>
            <w:gridSpan w:val="3"/>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Coupon</w:t>
            </w: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 xml:space="preserve">Index </w:t>
            </w:r>
            <w:r>
              <w:rPr>
                <w:rFonts w:ascii="Arial" w:cs="Arial" w:eastAsia="Arial" w:hAnsi="Arial"/>
                <w:sz w:val="12"/>
                <w:szCs w:val="12"/>
                <w:b w:val="1"/>
                <w:bCs w:val="1"/>
                <w:color w:val="auto"/>
                <w:w w:val="94"/>
              </w:rPr>
              <w:t>(4)</w:t>
            </w:r>
          </w:p>
        </w:tc>
        <w:tc>
          <w:tcPr>
            <w:tcW w:w="7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6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3"/>
                <w:szCs w:val="13"/>
                <w:color w:val="auto"/>
              </w:rPr>
              <w:t>TZ Holdings,</w:t>
            </w:r>
          </w:p>
        </w:tc>
        <w:tc>
          <w:tcPr>
            <w:tcW w:w="3440" w:type="dxa"/>
            <w:vAlign w:val="bottom"/>
            <w:tcBorders>
              <w:top w:val="single" w:sz="8" w:color="CCEEFF"/>
            </w:tcBorders>
            <w:shd w:val="clear" w:color="auto" w:fill="CCEEFF"/>
          </w:tcPr>
          <w:p>
            <w:pPr>
              <w:ind w:left="40"/>
              <w:spacing w:after="0" w:line="115" w:lineRule="exact"/>
              <w:rPr>
                <w:sz w:val="20"/>
                <w:szCs w:val="20"/>
                <w:color w:val="auto"/>
              </w:rPr>
            </w:pPr>
            <w:r>
              <w:rPr>
                <w:rFonts w:ascii="Arial" w:cs="Arial" w:eastAsia="Arial" w:hAnsi="Arial"/>
                <w:sz w:val="13"/>
                <w:szCs w:val="13"/>
                <w:color w:val="auto"/>
              </w:rPr>
              <w:t>L.P., Series A</w:t>
            </w:r>
          </w:p>
        </w:tc>
        <w:tc>
          <w:tcPr>
            <w:tcW w:w="700" w:type="dxa"/>
            <w:vAlign w:val="bottom"/>
            <w:tcBorders>
              <w:top w:val="single" w:sz="8" w:color="auto"/>
            </w:tcBorders>
            <w:shd w:val="clear" w:color="auto" w:fill="CCEEFF"/>
          </w:tcPr>
          <w:p>
            <w:pPr>
              <w:jc w:val="right"/>
              <w:ind w:right="228"/>
              <w:spacing w:after="0" w:line="115" w:lineRule="exact"/>
              <w:rPr>
                <w:sz w:val="20"/>
                <w:szCs w:val="20"/>
                <w:color w:val="auto"/>
              </w:rPr>
            </w:pPr>
            <w:r>
              <w:rPr>
                <w:rFonts w:ascii="Arial" w:cs="Arial" w:eastAsia="Arial" w:hAnsi="Arial"/>
                <w:sz w:val="13"/>
                <w:szCs w:val="13"/>
                <w:color w:val="auto"/>
              </w:rPr>
              <w:t>—</w:t>
            </w:r>
          </w:p>
        </w:tc>
        <w:tc>
          <w:tcPr>
            <w:tcW w:w="320" w:type="dxa"/>
            <w:vAlign w:val="bottom"/>
            <w:tcBorders>
              <w:top w:val="single" w:sz="8" w:color="CCEEFF"/>
            </w:tcBorders>
            <w:shd w:val="clear" w:color="auto" w:fill="CCEEFF"/>
          </w:tcPr>
          <w:p>
            <w:pPr>
              <w:spacing w:after="0"/>
              <w:rPr>
                <w:sz w:val="10"/>
                <w:szCs w:val="10"/>
                <w:color w:val="auto"/>
              </w:rPr>
            </w:pPr>
          </w:p>
        </w:tc>
        <w:tc>
          <w:tcPr>
            <w:tcW w:w="1380" w:type="dxa"/>
            <w:vAlign w:val="bottom"/>
            <w:tcBorders>
              <w:top w:val="single" w:sz="8" w:color="auto"/>
            </w:tcBorders>
            <w:shd w:val="clear" w:color="auto" w:fill="CCEEFF"/>
          </w:tcPr>
          <w:p>
            <w:pPr>
              <w:jc w:val="center"/>
              <w:spacing w:after="0" w:line="115" w:lineRule="exact"/>
              <w:rPr>
                <w:sz w:val="20"/>
                <w:szCs w:val="20"/>
                <w:color w:val="auto"/>
              </w:rPr>
            </w:pPr>
            <w:r>
              <w:rPr>
                <w:rFonts w:ascii="Arial" w:cs="Arial" w:eastAsia="Arial" w:hAnsi="Arial"/>
                <w:sz w:val="13"/>
                <w:szCs w:val="13"/>
                <w:color w:val="auto"/>
                <w:w w:val="94"/>
              </w:rPr>
              <w:t>Insurance</w:t>
            </w:r>
          </w:p>
        </w:tc>
        <w:tc>
          <w:tcPr>
            <w:tcW w:w="16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ind w:left="300"/>
              <w:spacing w:after="0" w:line="115" w:lineRule="exact"/>
              <w:rPr>
                <w:sz w:val="20"/>
                <w:szCs w:val="20"/>
                <w:color w:val="auto"/>
              </w:rPr>
            </w:pPr>
            <w:r>
              <w:rPr>
                <w:rFonts w:ascii="Arial" w:cs="Arial" w:eastAsia="Arial" w:hAnsi="Arial"/>
                <w:sz w:val="13"/>
                <w:szCs w:val="13"/>
                <w:color w:val="auto"/>
              </w:rPr>
              <w:t>—</w:t>
            </w:r>
          </w:p>
        </w:tc>
        <w:tc>
          <w:tcPr>
            <w:tcW w:w="34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ind w:left="480"/>
              <w:spacing w:after="0" w:line="115" w:lineRule="exact"/>
              <w:rPr>
                <w:sz w:val="20"/>
                <w:szCs w:val="20"/>
                <w:color w:val="auto"/>
              </w:rPr>
            </w:pPr>
            <w:r>
              <w:rPr>
                <w:rFonts w:ascii="Arial" w:cs="Arial" w:eastAsia="Arial" w:hAnsi="Arial"/>
                <w:sz w:val="13"/>
                <w:szCs w:val="13"/>
                <w:color w:val="auto"/>
              </w:rPr>
              <w:t>—</w:t>
            </w:r>
          </w:p>
        </w:tc>
        <w:tc>
          <w:tcPr>
            <w:tcW w:w="26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3"/>
                <w:szCs w:val="13"/>
                <w:color w:val="auto"/>
              </w:rPr>
              <w:t>686</w:t>
            </w:r>
          </w:p>
        </w:tc>
        <w:tc>
          <w:tcPr>
            <w:tcW w:w="16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3"/>
                <w:szCs w:val="13"/>
                <w:color w:val="auto"/>
              </w:rPr>
              <w:t>685,820</w:t>
            </w:r>
          </w:p>
        </w:tc>
        <w:tc>
          <w:tcPr>
            <w:tcW w:w="26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3"/>
                <w:szCs w:val="13"/>
                <w:color w:val="auto"/>
              </w:rPr>
              <w:t>685,820</w:t>
            </w: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(Trizetto Group, Inc.)</w:t>
            </w:r>
          </w:p>
        </w:tc>
        <w:tc>
          <w:tcPr>
            <w:tcW w:w="7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00" w:type="dxa"/>
            <w:vAlign w:val="bottom"/>
            <w:gridSpan w:val="2"/>
          </w:tcPr>
          <w:p>
            <w:pPr>
              <w:spacing w:after="0" w:line="130" w:lineRule="exact"/>
              <w:rPr>
                <w:sz w:val="20"/>
                <w:szCs w:val="20"/>
                <w:color w:val="auto"/>
              </w:rPr>
            </w:pPr>
            <w:r>
              <w:rPr>
                <w:rFonts w:ascii="Arial" w:cs="Arial" w:eastAsia="Arial" w:hAnsi="Arial"/>
                <w:sz w:val="14"/>
                <w:szCs w:val="14"/>
                <w:color w:val="auto"/>
              </w:rPr>
              <w:t>TZ Holdings, L.P., Series B</w:t>
            </w:r>
          </w:p>
        </w:tc>
        <w:tc>
          <w:tcPr>
            <w:tcW w:w="1020" w:type="dxa"/>
            <w:vAlign w:val="bottom"/>
            <w:gridSpan w:val="2"/>
          </w:tcPr>
          <w:p>
            <w:pPr>
              <w:jc w:val="right"/>
              <w:ind w:right="620"/>
              <w:spacing w:after="0" w:line="130" w:lineRule="exact"/>
              <w:rPr>
                <w:sz w:val="20"/>
                <w:szCs w:val="20"/>
                <w:color w:val="auto"/>
              </w:rPr>
            </w:pPr>
            <w:r>
              <w:rPr>
                <w:rFonts w:ascii="Arial" w:cs="Arial" w:eastAsia="Arial" w:hAnsi="Arial"/>
                <w:sz w:val="14"/>
                <w:szCs w:val="14"/>
                <w:color w:val="auto"/>
              </w:rPr>
              <w:t>—</w:t>
            </w:r>
          </w:p>
        </w:tc>
        <w:tc>
          <w:tcPr>
            <w:tcW w:w="154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87"/>
              </w:rPr>
              <w:t>Insurance</w:t>
            </w:r>
          </w:p>
        </w:tc>
        <w:tc>
          <w:tcPr>
            <w:tcW w:w="860" w:type="dxa"/>
            <w:vAlign w:val="bottom"/>
            <w:gridSpan w:val="2"/>
          </w:tcPr>
          <w:p>
            <w:pPr>
              <w:ind w:left="260"/>
              <w:spacing w:after="0" w:line="130" w:lineRule="exact"/>
              <w:rPr>
                <w:sz w:val="20"/>
                <w:szCs w:val="20"/>
                <w:color w:val="auto"/>
              </w:rPr>
            </w:pPr>
            <w:r>
              <w:rPr>
                <w:rFonts w:ascii="Arial" w:cs="Arial" w:eastAsia="Arial" w:hAnsi="Arial"/>
                <w:sz w:val="14"/>
                <w:szCs w:val="14"/>
                <w:color w:val="auto"/>
              </w:rPr>
              <w:t>6.50%</w:t>
            </w:r>
          </w:p>
        </w:tc>
        <w:tc>
          <w:tcPr>
            <w:tcW w:w="94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1,312</w:t>
            </w:r>
          </w:p>
        </w:tc>
        <w:tc>
          <w:tcPr>
            <w:tcW w:w="1160" w:type="dxa"/>
            <w:vAlign w:val="bottom"/>
            <w:gridSpan w:val="3"/>
          </w:tcPr>
          <w:p>
            <w:pPr>
              <w:jc w:val="right"/>
              <w:ind w:right="260"/>
              <w:spacing w:after="0" w:line="130" w:lineRule="exact"/>
              <w:rPr>
                <w:sz w:val="20"/>
                <w:szCs w:val="20"/>
                <w:color w:val="auto"/>
              </w:rPr>
            </w:pPr>
            <w:r>
              <w:rPr>
                <w:rFonts w:ascii="Arial" w:cs="Arial" w:eastAsia="Arial" w:hAnsi="Arial"/>
                <w:sz w:val="14"/>
                <w:szCs w:val="14"/>
                <w:color w:val="auto"/>
              </w:rPr>
              <w:t>1,312,006</w:t>
            </w:r>
          </w:p>
        </w:tc>
        <w:tc>
          <w:tcPr>
            <w:tcW w:w="90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1,666,679</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00" w:type="dxa"/>
            <w:vAlign w:val="bottom"/>
            <w:gridSpan w:val="2"/>
          </w:tcPr>
          <w:p>
            <w:pPr>
              <w:ind w:left="140"/>
              <w:spacing w:after="0"/>
              <w:rPr>
                <w:sz w:val="20"/>
                <w:szCs w:val="20"/>
                <w:color w:val="auto"/>
              </w:rPr>
            </w:pPr>
            <w:r>
              <w:rPr>
                <w:rFonts w:ascii="Arial" w:cs="Arial" w:eastAsia="Arial" w:hAnsi="Arial"/>
                <w:sz w:val="14"/>
                <w:szCs w:val="14"/>
                <w:color w:val="auto"/>
              </w:rPr>
              <w:t>(Trizetto Group, Inc.)</w:t>
            </w: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44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620"/>
              <w:spacing w:after="0" w:line="130" w:lineRule="exact"/>
              <w:rPr>
                <w:sz w:val="20"/>
                <w:szCs w:val="20"/>
                <w:color w:val="auto"/>
              </w:rPr>
            </w:pPr>
            <w:r>
              <w:rPr>
                <w:rFonts w:ascii="Arial" w:cs="Arial" w:eastAsia="Arial" w:hAnsi="Arial"/>
                <w:sz w:val="14"/>
                <w:szCs w:val="14"/>
                <w:color w:val="auto"/>
              </w:rPr>
              <w:t>—</w:t>
            </w:r>
          </w:p>
        </w:tc>
        <w:tc>
          <w:tcPr>
            <w:tcW w:w="154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90"/>
              </w:rPr>
              <w:t>Personal</w:t>
            </w:r>
          </w:p>
        </w:tc>
        <w:tc>
          <w:tcPr>
            <w:tcW w:w="860" w:type="dxa"/>
            <w:vAlign w:val="bottom"/>
            <w:gridSpan w:val="2"/>
            <w:shd w:val="clear" w:color="auto" w:fill="CCEEFF"/>
          </w:tcPr>
          <w:p>
            <w:pPr>
              <w:ind w:left="260"/>
              <w:spacing w:after="0" w:line="130" w:lineRule="exact"/>
              <w:rPr>
                <w:sz w:val="20"/>
                <w:szCs w:val="20"/>
                <w:color w:val="auto"/>
              </w:rPr>
            </w:pPr>
            <w:r>
              <w:rPr>
                <w:rFonts w:ascii="Arial" w:cs="Arial" w:eastAsia="Arial" w:hAnsi="Arial"/>
                <w:sz w:val="14"/>
                <w:szCs w:val="14"/>
                <w:color w:val="auto"/>
              </w:rPr>
              <w:t>8.00%</w:t>
            </w:r>
          </w:p>
        </w:tc>
        <w:tc>
          <w:tcPr>
            <w:tcW w:w="94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w w:val="96"/>
              </w:rPr>
              <w:t>1,824,167</w:t>
            </w:r>
          </w:p>
        </w:tc>
        <w:tc>
          <w:tcPr>
            <w:tcW w:w="1160" w:type="dxa"/>
            <w:vAlign w:val="bottom"/>
            <w:gridSpan w:val="3"/>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rPr>
              <w:t>1,824,167</w:t>
            </w:r>
          </w:p>
        </w:tc>
        <w:tc>
          <w:tcPr>
            <w:tcW w:w="9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1,949,629</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Verde Parent Holdings, Inc.</w:t>
            </w:r>
          </w:p>
        </w:tc>
        <w:tc>
          <w:tcPr>
            <w:tcW w:w="7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5"/>
              </w:rPr>
              <w:t>Transportation</w:t>
            </w:r>
          </w:p>
        </w:tc>
        <w:tc>
          <w:tcPr>
            <w:tcW w:w="5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2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Preferred Equity/Partnership Interests</w:t>
            </w: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12,101,421</w:t>
            </w:r>
          </w:p>
        </w:tc>
        <w:tc>
          <w:tcPr>
            <w:tcW w:w="260" w:type="dxa"/>
            <w:vAlign w:val="bottom"/>
          </w:tcPr>
          <w:p>
            <w:pPr>
              <w:spacing w:after="0"/>
              <w:rPr>
                <w:sz w:val="14"/>
                <w:szCs w:val="14"/>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11,178,282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Common Equity/Warrants/Partnership Interests—9.2%</w:t>
            </w:r>
            <w:r>
              <w:rPr>
                <w:rFonts w:ascii="Arial" w:cs="Arial" w:eastAsia="Arial" w:hAnsi="Arial"/>
                <w:sz w:val="12"/>
                <w:szCs w:val="12"/>
                <w:b w:val="1"/>
                <w:bCs w:val="1"/>
                <w:color w:val="auto"/>
              </w:rPr>
              <w:t>(6)</w:t>
            </w: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Acentia, LLC, Class A Units </w:t>
            </w:r>
            <w:r>
              <w:rPr>
                <w:rFonts w:ascii="Arial" w:cs="Arial" w:eastAsia="Arial" w:hAnsi="Arial"/>
                <w:sz w:val="12"/>
                <w:szCs w:val="12"/>
                <w:color w:val="auto"/>
              </w:rPr>
              <w:t>(12)</w:t>
            </w:r>
          </w:p>
        </w:tc>
        <w:tc>
          <w:tcPr>
            <w:tcW w:w="10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5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6"/>
              </w:rPr>
              <w:t>Electronics</w:t>
            </w:r>
          </w:p>
        </w:tc>
        <w:tc>
          <w:tcPr>
            <w:tcW w:w="8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1,998</w:t>
            </w:r>
          </w:p>
        </w:tc>
        <w:tc>
          <w:tcPr>
            <w:tcW w:w="11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$ 2,000,000</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7"/>
              </w:rPr>
              <w:t>$   1,737,396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AH Holdings, Inc. (Warrants) (American Surgical Holdings, Inc.)</w:t>
            </w:r>
          </w:p>
        </w:tc>
        <w:tc>
          <w:tcPr>
            <w:tcW w:w="7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54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91"/>
              </w:rPr>
              <w:t>Healthcare, Education</w:t>
            </w:r>
          </w:p>
        </w:tc>
        <w:tc>
          <w:tcPr>
            <w:tcW w:w="5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4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w w:val="96"/>
              </w:rPr>
              <w:t>03/23/2021</w:t>
            </w:r>
          </w:p>
        </w:tc>
        <w:tc>
          <w:tcPr>
            <w:tcW w:w="154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4"/>
              </w:rPr>
              <w:t>and Childcare</w:t>
            </w:r>
          </w:p>
        </w:tc>
        <w:tc>
          <w:tcPr>
            <w:tcW w:w="5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753</w:t>
            </w:r>
          </w:p>
        </w:tc>
        <w:tc>
          <w:tcPr>
            <w:tcW w:w="1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2,063,780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00" w:type="dxa"/>
            <w:vAlign w:val="bottom"/>
            <w:gridSpan w:val="2"/>
          </w:tcPr>
          <w:p>
            <w:pPr>
              <w:spacing w:after="0" w:line="130" w:lineRule="exact"/>
              <w:rPr>
                <w:sz w:val="20"/>
                <w:szCs w:val="20"/>
                <w:color w:val="auto"/>
              </w:rPr>
            </w:pPr>
            <w:r>
              <w:rPr>
                <w:rFonts w:ascii="Arial" w:cs="Arial" w:eastAsia="Arial" w:hAnsi="Arial"/>
                <w:sz w:val="14"/>
                <w:szCs w:val="14"/>
                <w:color w:val="auto"/>
              </w:rPr>
              <w:t>Alegeus Technologies Holding Corp., Class A</w:t>
            </w: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00" w:type="dxa"/>
            <w:vAlign w:val="bottom"/>
            <w:gridSpan w:val="2"/>
          </w:tcPr>
          <w:p>
            <w:pPr>
              <w:ind w:left="140"/>
              <w:spacing w:after="0"/>
              <w:rPr>
                <w:sz w:val="20"/>
                <w:szCs w:val="20"/>
                <w:color w:val="auto"/>
              </w:rPr>
            </w:pPr>
            <w:r>
              <w:rPr>
                <w:rFonts w:ascii="Arial" w:cs="Arial" w:eastAsia="Arial" w:hAnsi="Arial"/>
                <w:sz w:val="14"/>
                <w:szCs w:val="14"/>
                <w:color w:val="auto"/>
              </w:rPr>
              <w:t>(Alegeus Technologies, LLC)</w:t>
            </w:r>
          </w:p>
        </w:tc>
        <w:tc>
          <w:tcPr>
            <w:tcW w:w="102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540" w:type="dxa"/>
            <w:vAlign w:val="bottom"/>
            <w:gridSpan w:val="2"/>
          </w:tcPr>
          <w:p>
            <w:pPr>
              <w:jc w:val="center"/>
              <w:ind w:right="160"/>
              <w:spacing w:after="0"/>
              <w:rPr>
                <w:sz w:val="20"/>
                <w:szCs w:val="20"/>
                <w:color w:val="auto"/>
              </w:rPr>
            </w:pPr>
            <w:r>
              <w:rPr>
                <w:rFonts w:ascii="Arial" w:cs="Arial" w:eastAsia="Arial" w:hAnsi="Arial"/>
                <w:sz w:val="14"/>
                <w:szCs w:val="14"/>
                <w:color w:val="auto"/>
                <w:w w:val="93"/>
              </w:rPr>
              <w:t>Financial Services</w:t>
            </w:r>
          </w:p>
        </w:tc>
        <w:tc>
          <w:tcPr>
            <w:tcW w:w="8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1</w:t>
            </w:r>
          </w:p>
        </w:tc>
        <w:tc>
          <w:tcPr>
            <w:tcW w:w="1160" w:type="dxa"/>
            <w:vAlign w:val="bottom"/>
            <w:gridSpan w:val="3"/>
          </w:tcPr>
          <w:p>
            <w:pPr>
              <w:jc w:val="right"/>
              <w:ind w:right="260"/>
              <w:spacing w:after="0"/>
              <w:rPr>
                <w:sz w:val="20"/>
                <w:szCs w:val="20"/>
                <w:color w:val="auto"/>
              </w:rPr>
            </w:pPr>
            <w:r>
              <w:rPr>
                <w:rFonts w:ascii="Arial" w:cs="Arial" w:eastAsia="Arial" w:hAnsi="Arial"/>
                <w:sz w:val="14"/>
                <w:szCs w:val="14"/>
                <w:color w:val="auto"/>
              </w:rPr>
              <w:t>950</w:t>
            </w: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1,033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Autumn Games, LLC</w:t>
            </w:r>
          </w:p>
        </w:tc>
        <w:tc>
          <w:tcPr>
            <w:tcW w:w="7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54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93"/>
              </w:rPr>
              <w:t>Broadcasting and</w:t>
            </w:r>
          </w:p>
        </w:tc>
        <w:tc>
          <w:tcPr>
            <w:tcW w:w="5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4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54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4"/>
              </w:rPr>
              <w:t>Entertainment</w:t>
            </w: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6"/>
              </w:rPr>
              <w:t>1,333,330</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3,000,000</w:t>
            </w: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00" w:type="dxa"/>
            <w:vAlign w:val="bottom"/>
            <w:gridSpan w:val="2"/>
          </w:tcPr>
          <w:p>
            <w:pPr>
              <w:spacing w:after="0" w:line="130" w:lineRule="exact"/>
              <w:rPr>
                <w:sz w:val="20"/>
                <w:szCs w:val="20"/>
                <w:color w:val="auto"/>
              </w:rPr>
            </w:pPr>
            <w:r>
              <w:rPr>
                <w:rFonts w:ascii="Arial" w:cs="Arial" w:eastAsia="Arial" w:hAnsi="Arial"/>
                <w:sz w:val="14"/>
                <w:szCs w:val="14"/>
                <w:color w:val="auto"/>
              </w:rPr>
              <w:t xml:space="preserve">CI (Galls) Prime Investment Holdings, LLC </w:t>
            </w:r>
            <w:r>
              <w:rPr>
                <w:rFonts w:ascii="Arial" w:cs="Arial" w:eastAsia="Arial" w:hAnsi="Arial"/>
                <w:sz w:val="12"/>
                <w:szCs w:val="12"/>
                <w:color w:val="auto"/>
              </w:rPr>
              <w:t>(11)</w:t>
            </w: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00" w:type="dxa"/>
            <w:vAlign w:val="bottom"/>
            <w:gridSpan w:val="2"/>
          </w:tcPr>
          <w:p>
            <w:pPr>
              <w:ind w:left="140"/>
              <w:spacing w:after="0"/>
              <w:rPr>
                <w:sz w:val="20"/>
                <w:szCs w:val="20"/>
                <w:color w:val="auto"/>
              </w:rPr>
            </w:pPr>
            <w:r>
              <w:rPr>
                <w:rFonts w:ascii="Arial" w:cs="Arial" w:eastAsia="Arial" w:hAnsi="Arial"/>
                <w:sz w:val="14"/>
                <w:szCs w:val="14"/>
                <w:color w:val="auto"/>
              </w:rPr>
              <w:t>(Galls, LLC; Quartermaster Inc.)</w:t>
            </w:r>
          </w:p>
        </w:tc>
        <w:tc>
          <w:tcPr>
            <w:tcW w:w="102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540" w:type="dxa"/>
            <w:vAlign w:val="bottom"/>
            <w:gridSpan w:val="2"/>
          </w:tcPr>
          <w:p>
            <w:pPr>
              <w:jc w:val="center"/>
              <w:ind w:right="160"/>
              <w:spacing w:after="0"/>
              <w:rPr>
                <w:sz w:val="20"/>
                <w:szCs w:val="20"/>
                <w:color w:val="auto"/>
              </w:rPr>
            </w:pPr>
            <w:r>
              <w:rPr>
                <w:rFonts w:ascii="Arial" w:cs="Arial" w:eastAsia="Arial" w:hAnsi="Arial"/>
                <w:sz w:val="14"/>
                <w:szCs w:val="14"/>
                <w:color w:val="auto"/>
                <w:w w:val="99"/>
              </w:rPr>
              <w:t>Distribution</w:t>
            </w:r>
          </w:p>
        </w:tc>
        <w:tc>
          <w:tcPr>
            <w:tcW w:w="8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w w:val="96"/>
              </w:rPr>
              <w:t>1,505,000</w:t>
            </w:r>
          </w:p>
        </w:tc>
        <w:tc>
          <w:tcPr>
            <w:tcW w:w="1160" w:type="dxa"/>
            <w:vAlign w:val="bottom"/>
            <w:gridSpan w:val="3"/>
          </w:tcPr>
          <w:p>
            <w:pPr>
              <w:jc w:val="right"/>
              <w:ind w:right="260"/>
              <w:spacing w:after="0"/>
              <w:rPr>
                <w:sz w:val="20"/>
                <w:szCs w:val="20"/>
                <w:color w:val="auto"/>
              </w:rPr>
            </w:pPr>
            <w:r>
              <w:rPr>
                <w:rFonts w:ascii="Arial" w:cs="Arial" w:eastAsia="Arial" w:hAnsi="Arial"/>
                <w:sz w:val="14"/>
                <w:szCs w:val="14"/>
                <w:color w:val="auto"/>
              </w:rPr>
              <w:t>1,505,000</w:t>
            </w: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1,680,720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CI (IHS) Investment Holdings, LLC</w:t>
            </w:r>
          </w:p>
        </w:tc>
        <w:tc>
          <w:tcPr>
            <w:tcW w:w="7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54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91"/>
              </w:rPr>
              <w:t>Healthcare, Education</w:t>
            </w:r>
          </w:p>
        </w:tc>
        <w:tc>
          <w:tcPr>
            <w:tcW w:w="5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(Interactive Health Solutions, Inc.)</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54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4"/>
              </w:rPr>
              <w:t>and Childcare</w:t>
            </w: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23,416</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234,693</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270,457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00" w:type="dxa"/>
            <w:vAlign w:val="bottom"/>
            <w:gridSpan w:val="2"/>
          </w:tcPr>
          <w:p>
            <w:pPr>
              <w:spacing w:after="0" w:line="130" w:lineRule="exact"/>
              <w:rPr>
                <w:sz w:val="20"/>
                <w:szCs w:val="20"/>
                <w:color w:val="auto"/>
              </w:rPr>
            </w:pPr>
            <w:r>
              <w:rPr>
                <w:rFonts w:ascii="Arial" w:cs="Arial" w:eastAsia="Arial" w:hAnsi="Arial"/>
                <w:sz w:val="14"/>
                <w:szCs w:val="14"/>
                <w:color w:val="auto"/>
              </w:rPr>
              <w:t xml:space="preserve">CI (IHS) Investment Holdings, LLC </w:t>
            </w:r>
            <w:r>
              <w:rPr>
                <w:rFonts w:ascii="Arial" w:cs="Arial" w:eastAsia="Arial" w:hAnsi="Arial"/>
                <w:sz w:val="12"/>
                <w:szCs w:val="12"/>
                <w:color w:val="auto"/>
              </w:rPr>
              <w:t>(9)</w:t>
            </w: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4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91"/>
              </w:rPr>
              <w:t>Healthcare, Education</w:t>
            </w: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00" w:type="dxa"/>
            <w:vAlign w:val="bottom"/>
            <w:gridSpan w:val="2"/>
          </w:tcPr>
          <w:p>
            <w:pPr>
              <w:ind w:left="140"/>
              <w:spacing w:after="0"/>
              <w:rPr>
                <w:sz w:val="20"/>
                <w:szCs w:val="20"/>
                <w:color w:val="auto"/>
              </w:rPr>
            </w:pPr>
            <w:r>
              <w:rPr>
                <w:rFonts w:ascii="Arial" w:cs="Arial" w:eastAsia="Arial" w:hAnsi="Arial"/>
                <w:sz w:val="14"/>
                <w:szCs w:val="14"/>
                <w:color w:val="auto"/>
              </w:rPr>
              <w:t>(Interactive Health Solutions, Inc.)</w:t>
            </w:r>
          </w:p>
        </w:tc>
        <w:tc>
          <w:tcPr>
            <w:tcW w:w="102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54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and Childcare</w:t>
            </w:r>
          </w:p>
        </w:tc>
        <w:tc>
          <w:tcPr>
            <w:tcW w:w="8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11,708</w:t>
            </w:r>
          </w:p>
        </w:tc>
        <w:tc>
          <w:tcPr>
            <w:tcW w:w="1160" w:type="dxa"/>
            <w:vAlign w:val="bottom"/>
            <w:gridSpan w:val="3"/>
          </w:tcPr>
          <w:p>
            <w:pPr>
              <w:jc w:val="right"/>
              <w:ind w:right="260"/>
              <w:spacing w:after="0"/>
              <w:rPr>
                <w:sz w:val="20"/>
                <w:szCs w:val="20"/>
                <w:color w:val="auto"/>
              </w:rPr>
            </w:pPr>
            <w:r>
              <w:rPr>
                <w:rFonts w:ascii="Arial" w:cs="Arial" w:eastAsia="Arial" w:hAnsi="Arial"/>
                <w:sz w:val="14"/>
                <w:szCs w:val="14"/>
                <w:color w:val="auto"/>
              </w:rPr>
              <w:t>117,346</w:t>
            </w:r>
          </w:p>
        </w:tc>
        <w:tc>
          <w:tcPr>
            <w:tcW w:w="9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Convergint Technologies Holdings, LLC</w:t>
            </w:r>
          </w:p>
        </w:tc>
        <w:tc>
          <w:tcPr>
            <w:tcW w:w="7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(Convergint Technologies) LLC</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54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6"/>
              </w:rPr>
              <w:t>Electronics</w:t>
            </w: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2,375</w:t>
            </w:r>
          </w:p>
        </w:tc>
        <w:tc>
          <w:tcPr>
            <w:tcW w:w="1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2"/>
          </w:tcPr>
          <w:p>
            <w:pPr>
              <w:spacing w:after="0" w:line="149" w:lineRule="exact"/>
              <w:rPr>
                <w:sz w:val="20"/>
                <w:szCs w:val="20"/>
                <w:color w:val="auto"/>
              </w:rPr>
            </w:pPr>
            <w:r>
              <w:rPr>
                <w:rFonts w:ascii="Arial" w:cs="Arial" w:eastAsia="Arial" w:hAnsi="Arial"/>
                <w:sz w:val="14"/>
                <w:szCs w:val="14"/>
                <w:color w:val="auto"/>
              </w:rPr>
              <w:t>CT Technologies Holdings, LLC</w:t>
            </w:r>
          </w:p>
        </w:tc>
        <w:tc>
          <w:tcPr>
            <w:tcW w:w="10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5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89"/>
              </w:rPr>
              <w:t>Business Services</w:t>
            </w:r>
          </w:p>
        </w:tc>
        <w:tc>
          <w:tcPr>
            <w:tcW w:w="8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5,556</w:t>
            </w:r>
          </w:p>
        </w:tc>
        <w:tc>
          <w:tcPr>
            <w:tcW w:w="11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1,904,033</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6,665,183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DirectBuy Investors, L.P.</w:t>
            </w:r>
          </w:p>
        </w:tc>
        <w:tc>
          <w:tcPr>
            <w:tcW w:w="10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54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2"/>
              </w:rPr>
              <w:t>Consumer Products</w:t>
            </w:r>
          </w:p>
        </w:tc>
        <w:tc>
          <w:tcPr>
            <w:tcW w:w="8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30,000</w:t>
            </w:r>
          </w:p>
        </w:tc>
        <w:tc>
          <w:tcPr>
            <w:tcW w:w="11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1,350,000</w:t>
            </w:r>
          </w:p>
        </w:tc>
        <w:tc>
          <w:tcPr>
            <w:tcW w:w="90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00" w:type="dxa"/>
            <w:vAlign w:val="bottom"/>
            <w:gridSpan w:val="2"/>
          </w:tcPr>
          <w:p>
            <w:pPr>
              <w:spacing w:after="0" w:line="130" w:lineRule="exact"/>
              <w:rPr>
                <w:sz w:val="20"/>
                <w:szCs w:val="20"/>
                <w:color w:val="auto"/>
              </w:rPr>
            </w:pPr>
            <w:r>
              <w:rPr>
                <w:rFonts w:ascii="Arial" w:cs="Arial" w:eastAsia="Arial" w:hAnsi="Arial"/>
                <w:sz w:val="14"/>
                <w:szCs w:val="14"/>
                <w:color w:val="auto"/>
              </w:rPr>
              <w:t>HW Topco, Inc.</w:t>
            </w: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00" w:type="dxa"/>
            <w:vAlign w:val="bottom"/>
            <w:gridSpan w:val="2"/>
          </w:tcPr>
          <w:p>
            <w:pPr>
              <w:ind w:left="140"/>
              <w:spacing w:after="0"/>
              <w:rPr>
                <w:sz w:val="20"/>
                <w:szCs w:val="20"/>
                <w:color w:val="auto"/>
              </w:rPr>
            </w:pPr>
            <w:r>
              <w:rPr>
                <w:rFonts w:ascii="Arial" w:cs="Arial" w:eastAsia="Arial" w:hAnsi="Arial"/>
                <w:sz w:val="14"/>
                <w:szCs w:val="14"/>
                <w:color w:val="auto"/>
              </w:rPr>
              <w:t>(Hanley-Wood, LLC)</w:t>
            </w:r>
          </w:p>
        </w:tc>
        <w:tc>
          <w:tcPr>
            <w:tcW w:w="102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540" w:type="dxa"/>
            <w:vAlign w:val="bottom"/>
            <w:gridSpan w:val="2"/>
          </w:tcPr>
          <w:p>
            <w:pPr>
              <w:jc w:val="center"/>
              <w:ind w:right="160"/>
              <w:spacing w:after="0"/>
              <w:rPr>
                <w:sz w:val="20"/>
                <w:szCs w:val="20"/>
                <w:color w:val="auto"/>
              </w:rPr>
            </w:pPr>
            <w:r>
              <w:rPr>
                <w:rFonts w:ascii="Arial" w:cs="Arial" w:eastAsia="Arial" w:hAnsi="Arial"/>
                <w:sz w:val="14"/>
                <w:szCs w:val="14"/>
                <w:color w:val="auto"/>
                <w:w w:val="96"/>
              </w:rPr>
              <w:t>Other Media</w:t>
            </w:r>
          </w:p>
        </w:tc>
        <w:tc>
          <w:tcPr>
            <w:tcW w:w="8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348,912</w:t>
            </w:r>
          </w:p>
        </w:tc>
        <w:tc>
          <w:tcPr>
            <w:tcW w:w="1160" w:type="dxa"/>
            <w:vAlign w:val="bottom"/>
            <w:gridSpan w:val="3"/>
          </w:tcPr>
          <w:p>
            <w:pPr>
              <w:jc w:val="right"/>
              <w:ind w:right="260"/>
              <w:spacing w:after="0"/>
              <w:rPr>
                <w:sz w:val="20"/>
                <w:szCs w:val="20"/>
                <w:color w:val="auto"/>
              </w:rPr>
            </w:pPr>
            <w:r>
              <w:rPr>
                <w:rFonts w:ascii="Arial" w:cs="Arial" w:eastAsia="Arial" w:hAnsi="Arial"/>
                <w:sz w:val="14"/>
                <w:szCs w:val="14"/>
                <w:color w:val="auto"/>
              </w:rPr>
              <w:t>2,443,050</w:t>
            </w: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2,642,438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Kadmon Holdings, LLC, Class A</w:t>
            </w:r>
          </w:p>
        </w:tc>
        <w:tc>
          <w:tcPr>
            <w:tcW w:w="7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54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91"/>
              </w:rPr>
              <w:t>Healthcare, Education</w:t>
            </w:r>
          </w:p>
        </w:tc>
        <w:tc>
          <w:tcPr>
            <w:tcW w:w="5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(Kadmon Pharmaceuticals, LLC)</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54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4"/>
              </w:rPr>
              <w:t>and Childcare</w:t>
            </w: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6"/>
              </w:rPr>
              <w:t>1,079,920</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1,236,832</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12,013,688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00" w:type="dxa"/>
            <w:vAlign w:val="bottom"/>
            <w:gridSpan w:val="2"/>
          </w:tcPr>
          <w:p>
            <w:pPr>
              <w:spacing w:after="0" w:line="130" w:lineRule="exact"/>
              <w:rPr>
                <w:sz w:val="20"/>
                <w:szCs w:val="20"/>
                <w:color w:val="auto"/>
              </w:rPr>
            </w:pPr>
            <w:r>
              <w:rPr>
                <w:rFonts w:ascii="Arial" w:cs="Arial" w:eastAsia="Arial" w:hAnsi="Arial"/>
                <w:sz w:val="14"/>
                <w:szCs w:val="14"/>
                <w:color w:val="auto"/>
              </w:rPr>
              <w:t>Kadmon Holdings, LLC, Class D</w:t>
            </w: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4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91"/>
              </w:rPr>
              <w:t>Healthcare, Education</w:t>
            </w: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00" w:type="dxa"/>
            <w:vAlign w:val="bottom"/>
            <w:gridSpan w:val="2"/>
          </w:tcPr>
          <w:p>
            <w:pPr>
              <w:ind w:left="140"/>
              <w:spacing w:after="0"/>
              <w:rPr>
                <w:sz w:val="20"/>
                <w:szCs w:val="20"/>
                <w:color w:val="auto"/>
              </w:rPr>
            </w:pPr>
            <w:r>
              <w:rPr>
                <w:rFonts w:ascii="Arial" w:cs="Arial" w:eastAsia="Arial" w:hAnsi="Arial"/>
                <w:sz w:val="14"/>
                <w:szCs w:val="14"/>
                <w:color w:val="auto"/>
              </w:rPr>
              <w:t>(Kadmon Pharmaceuticals, LLC)</w:t>
            </w:r>
          </w:p>
        </w:tc>
        <w:tc>
          <w:tcPr>
            <w:tcW w:w="102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54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and Childcare</w:t>
            </w:r>
          </w:p>
        </w:tc>
        <w:tc>
          <w:tcPr>
            <w:tcW w:w="8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w w:val="96"/>
              </w:rPr>
              <w:t>1,079,920</w:t>
            </w:r>
          </w:p>
        </w:tc>
        <w:tc>
          <w:tcPr>
            <w:tcW w:w="1160" w:type="dxa"/>
            <w:vAlign w:val="bottom"/>
            <w:gridSpan w:val="3"/>
          </w:tcPr>
          <w:p>
            <w:pPr>
              <w:jc w:val="right"/>
              <w:ind w:right="260"/>
              <w:spacing w:after="0"/>
              <w:rPr>
                <w:sz w:val="20"/>
                <w:szCs w:val="20"/>
                <w:color w:val="auto"/>
              </w:rPr>
            </w:pPr>
            <w:r>
              <w:rPr>
                <w:rFonts w:ascii="Arial" w:cs="Arial" w:eastAsia="Arial" w:hAnsi="Arial"/>
                <w:sz w:val="14"/>
                <w:szCs w:val="14"/>
                <w:color w:val="auto"/>
              </w:rPr>
              <w:t>1,028,807</w:t>
            </w: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1,028,807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Learning Care Group (US) Inc. (Warrants)</w:t>
            </w:r>
          </w:p>
        </w:tc>
        <w:tc>
          <w:tcPr>
            <w:tcW w:w="10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6"/>
              </w:rPr>
              <w:t>04/27/2020</w:t>
            </w:r>
          </w:p>
        </w:tc>
        <w:tc>
          <w:tcPr>
            <w:tcW w:w="154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3"/>
              </w:rPr>
              <w:t>Education</w:t>
            </w:r>
          </w:p>
        </w:tc>
        <w:tc>
          <w:tcPr>
            <w:tcW w:w="8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1,267</w:t>
            </w:r>
          </w:p>
        </w:tc>
        <w:tc>
          <w:tcPr>
            <w:tcW w:w="11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779,920</w:t>
            </w:r>
          </w:p>
        </w:tc>
        <w:tc>
          <w:tcPr>
            <w:tcW w:w="90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00" w:type="dxa"/>
            <w:vAlign w:val="bottom"/>
            <w:gridSpan w:val="2"/>
          </w:tcPr>
          <w:p>
            <w:pPr>
              <w:spacing w:after="0" w:line="130" w:lineRule="exact"/>
              <w:rPr>
                <w:sz w:val="20"/>
                <w:szCs w:val="20"/>
                <w:color w:val="auto"/>
              </w:rPr>
            </w:pPr>
            <w:r>
              <w:rPr>
                <w:rFonts w:ascii="Arial" w:cs="Arial" w:eastAsia="Arial" w:hAnsi="Arial"/>
                <w:sz w:val="14"/>
                <w:szCs w:val="14"/>
                <w:color w:val="auto"/>
              </w:rPr>
              <w:t>Magnum Hunter Resources Corporation</w:t>
            </w: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00" w:type="dxa"/>
            <w:vAlign w:val="bottom"/>
            <w:gridSpan w:val="2"/>
          </w:tcPr>
          <w:p>
            <w:pPr>
              <w:ind w:left="140"/>
              <w:spacing w:after="0"/>
              <w:rPr>
                <w:sz w:val="20"/>
                <w:szCs w:val="20"/>
                <w:color w:val="auto"/>
              </w:rPr>
            </w:pPr>
            <w:r>
              <w:rPr>
                <w:rFonts w:ascii="Arial" w:cs="Arial" w:eastAsia="Arial" w:hAnsi="Arial"/>
                <w:sz w:val="14"/>
                <w:szCs w:val="14"/>
                <w:color w:val="auto"/>
              </w:rPr>
              <w:t>(Eureka Hunter Pipeline, LLC)</w:t>
            </w:r>
          </w:p>
        </w:tc>
        <w:tc>
          <w:tcPr>
            <w:tcW w:w="102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54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Oil and Gas</w:t>
            </w:r>
          </w:p>
        </w:tc>
        <w:tc>
          <w:tcPr>
            <w:tcW w:w="8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w w:val="96"/>
              </w:rPr>
              <w:t>1,221,932</w:t>
            </w:r>
          </w:p>
        </w:tc>
        <w:tc>
          <w:tcPr>
            <w:tcW w:w="1160" w:type="dxa"/>
            <w:vAlign w:val="bottom"/>
            <w:gridSpan w:val="3"/>
          </w:tcPr>
          <w:p>
            <w:pPr>
              <w:jc w:val="right"/>
              <w:ind w:right="260"/>
              <w:spacing w:after="0"/>
              <w:rPr>
                <w:sz w:val="20"/>
                <w:szCs w:val="20"/>
                <w:color w:val="auto"/>
              </w:rPr>
            </w:pPr>
            <w:r>
              <w:rPr>
                <w:rFonts w:ascii="Arial" w:cs="Arial" w:eastAsia="Arial" w:hAnsi="Arial"/>
                <w:sz w:val="14"/>
                <w:szCs w:val="14"/>
                <w:color w:val="auto"/>
              </w:rPr>
              <w:t>3,239,999</w:t>
            </w: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5,425,378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Magnum Hunter Resources Corporation (Warrants)</w:t>
            </w:r>
          </w:p>
        </w:tc>
        <w:tc>
          <w:tcPr>
            <w:tcW w:w="7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(Eureka Hunter Pipeline, LLC)</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w w:val="96"/>
              </w:rPr>
              <w:t>10/14/2013</w:t>
            </w:r>
          </w:p>
        </w:tc>
        <w:tc>
          <w:tcPr>
            <w:tcW w:w="154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4"/>
              </w:rPr>
              <w:t>Oil and Gas</w:t>
            </w: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122,193</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105,697</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31,778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00" w:type="dxa"/>
            <w:vAlign w:val="bottom"/>
            <w:gridSpan w:val="2"/>
          </w:tcPr>
          <w:p>
            <w:pPr>
              <w:spacing w:after="0" w:line="130" w:lineRule="exact"/>
              <w:rPr>
                <w:sz w:val="20"/>
                <w:szCs w:val="20"/>
                <w:color w:val="auto"/>
              </w:rPr>
            </w:pPr>
            <w:r>
              <w:rPr>
                <w:rFonts w:ascii="Arial" w:cs="Arial" w:eastAsia="Arial" w:hAnsi="Arial"/>
                <w:sz w:val="14"/>
                <w:szCs w:val="14"/>
                <w:color w:val="auto"/>
              </w:rPr>
              <w:t>MidOcean JF Holdings Corp.</w:t>
            </w: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00" w:type="dxa"/>
            <w:vAlign w:val="bottom"/>
            <w:gridSpan w:val="2"/>
          </w:tcPr>
          <w:p>
            <w:pPr>
              <w:ind w:left="140"/>
              <w:spacing w:after="0"/>
              <w:rPr>
                <w:sz w:val="20"/>
                <w:szCs w:val="20"/>
                <w:color w:val="auto"/>
              </w:rPr>
            </w:pPr>
            <w:r>
              <w:rPr>
                <w:rFonts w:ascii="Arial" w:cs="Arial" w:eastAsia="Arial" w:hAnsi="Arial"/>
                <w:sz w:val="14"/>
                <w:szCs w:val="14"/>
                <w:color w:val="auto"/>
              </w:rPr>
              <w:t>(JF Acquisition, LLC)</w:t>
            </w:r>
          </w:p>
        </w:tc>
        <w:tc>
          <w:tcPr>
            <w:tcW w:w="102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540" w:type="dxa"/>
            <w:vAlign w:val="bottom"/>
            <w:gridSpan w:val="2"/>
          </w:tcPr>
          <w:p>
            <w:pPr>
              <w:jc w:val="center"/>
              <w:ind w:right="160"/>
              <w:spacing w:after="0"/>
              <w:rPr>
                <w:sz w:val="20"/>
                <w:szCs w:val="20"/>
                <w:color w:val="auto"/>
              </w:rPr>
            </w:pPr>
            <w:r>
              <w:rPr>
                <w:rFonts w:ascii="Arial" w:cs="Arial" w:eastAsia="Arial" w:hAnsi="Arial"/>
                <w:sz w:val="14"/>
                <w:szCs w:val="14"/>
                <w:color w:val="auto"/>
                <w:w w:val="99"/>
              </w:rPr>
              <w:t>Distribution</w:t>
            </w:r>
          </w:p>
        </w:tc>
        <w:tc>
          <w:tcPr>
            <w:tcW w:w="8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1,700</w:t>
            </w:r>
          </w:p>
        </w:tc>
        <w:tc>
          <w:tcPr>
            <w:tcW w:w="1160" w:type="dxa"/>
            <w:vAlign w:val="bottom"/>
            <w:gridSpan w:val="3"/>
          </w:tcPr>
          <w:p>
            <w:pPr>
              <w:jc w:val="right"/>
              <w:ind w:right="260"/>
              <w:spacing w:after="0"/>
              <w:rPr>
                <w:sz w:val="20"/>
                <w:szCs w:val="20"/>
                <w:color w:val="auto"/>
              </w:rPr>
            </w:pPr>
            <w:r>
              <w:rPr>
                <w:rFonts w:ascii="Arial" w:cs="Arial" w:eastAsia="Arial" w:hAnsi="Arial"/>
                <w:sz w:val="14"/>
                <w:szCs w:val="14"/>
                <w:color w:val="auto"/>
              </w:rPr>
              <w:t>1,700,000</w:t>
            </w: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1,641,575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MidOcean PPL Holdings, Inc.</w:t>
            </w:r>
          </w:p>
        </w:tc>
        <w:tc>
          <w:tcPr>
            <w:tcW w:w="7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54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89"/>
              </w:rPr>
              <w:t>Personal, Food and</w:t>
            </w:r>
          </w:p>
        </w:tc>
        <w:tc>
          <w:tcPr>
            <w:tcW w:w="5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(Pre-Paid Legal Services, Inc.)</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54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1"/>
              </w:rPr>
              <w:t>Miscellaneous Services</w:t>
            </w: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3,000</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3,000,000</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4,377,360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00" w:type="dxa"/>
            <w:vAlign w:val="bottom"/>
            <w:gridSpan w:val="2"/>
          </w:tcPr>
          <w:p>
            <w:pPr>
              <w:spacing w:after="0" w:line="130" w:lineRule="exact"/>
              <w:rPr>
                <w:sz w:val="20"/>
                <w:szCs w:val="20"/>
                <w:color w:val="auto"/>
              </w:rPr>
            </w:pPr>
            <w:r>
              <w:rPr>
                <w:rFonts w:ascii="Arial" w:cs="Arial" w:eastAsia="Arial" w:hAnsi="Arial"/>
                <w:sz w:val="14"/>
                <w:szCs w:val="14"/>
                <w:color w:val="auto"/>
              </w:rPr>
              <w:t>Paradigm Acquisition Corp.</w:t>
            </w: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4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91"/>
              </w:rPr>
              <w:t>Healthcare, Education</w:t>
            </w: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200" w:type="dxa"/>
            <w:vAlign w:val="bottom"/>
            <w:gridSpan w:val="2"/>
          </w:tcPr>
          <w:p>
            <w:pPr>
              <w:ind w:left="140"/>
              <w:spacing w:after="0"/>
              <w:rPr>
                <w:sz w:val="20"/>
                <w:szCs w:val="20"/>
                <w:color w:val="auto"/>
              </w:rPr>
            </w:pPr>
            <w:r>
              <w:rPr>
                <w:rFonts w:ascii="Arial" w:cs="Arial" w:eastAsia="Arial" w:hAnsi="Arial"/>
                <w:sz w:val="14"/>
                <w:szCs w:val="14"/>
                <w:color w:val="auto"/>
              </w:rPr>
              <w:t>(Paradigm Management Services, LLC)</w:t>
            </w:r>
          </w:p>
        </w:tc>
        <w:tc>
          <w:tcPr>
            <w:tcW w:w="102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54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and Childcare</w:t>
            </w:r>
          </w:p>
        </w:tc>
        <w:tc>
          <w:tcPr>
            <w:tcW w:w="8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20,000</w:t>
            </w:r>
          </w:p>
        </w:tc>
        <w:tc>
          <w:tcPr>
            <w:tcW w:w="1160" w:type="dxa"/>
            <w:vAlign w:val="bottom"/>
            <w:gridSpan w:val="3"/>
          </w:tcPr>
          <w:p>
            <w:pPr>
              <w:jc w:val="right"/>
              <w:ind w:right="260"/>
              <w:spacing w:after="0"/>
              <w:rPr>
                <w:sz w:val="20"/>
                <w:szCs w:val="20"/>
                <w:color w:val="auto"/>
              </w:rPr>
            </w:pPr>
            <w:r>
              <w:rPr>
                <w:rFonts w:ascii="Arial" w:cs="Arial" w:eastAsia="Arial" w:hAnsi="Arial"/>
                <w:sz w:val="14"/>
                <w:szCs w:val="14"/>
                <w:color w:val="auto"/>
              </w:rPr>
              <w:t>2,000,000</w:t>
            </w: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2,124,491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PAS Tech Holdings, Inc.</w:t>
            </w:r>
          </w:p>
        </w:tc>
        <w:tc>
          <w:tcPr>
            <w:tcW w:w="7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(PAS Technologies, Inc.)</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54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89"/>
              </w:rPr>
              <w:t>Aerospace and Defense</w:t>
            </w: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20,000</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20,000</w:t>
            </w: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00" w:type="dxa"/>
            <w:vAlign w:val="bottom"/>
            <w:gridSpan w:val="2"/>
          </w:tcPr>
          <w:p>
            <w:pPr>
              <w:spacing w:after="0" w:line="130" w:lineRule="exact"/>
              <w:rPr>
                <w:sz w:val="20"/>
                <w:szCs w:val="20"/>
                <w:color w:val="auto"/>
              </w:rPr>
            </w:pPr>
            <w:r>
              <w:rPr>
                <w:rFonts w:ascii="Arial" w:cs="Arial" w:eastAsia="Arial" w:hAnsi="Arial"/>
                <w:sz w:val="14"/>
                <w:szCs w:val="14"/>
                <w:color w:val="auto"/>
              </w:rPr>
              <w:t>QMG HoldCo, LLC, Class A</w:t>
            </w: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00" w:type="dxa"/>
            <w:vAlign w:val="bottom"/>
            <w:gridSpan w:val="2"/>
          </w:tcPr>
          <w:p>
            <w:pPr>
              <w:ind w:left="140"/>
              <w:spacing w:after="0"/>
              <w:rPr>
                <w:sz w:val="20"/>
                <w:szCs w:val="20"/>
                <w:color w:val="auto"/>
              </w:rPr>
            </w:pPr>
            <w:r>
              <w:rPr>
                <w:rFonts w:ascii="Arial" w:cs="Arial" w:eastAsia="Arial" w:hAnsi="Arial"/>
                <w:sz w:val="14"/>
                <w:szCs w:val="14"/>
                <w:color w:val="auto"/>
              </w:rPr>
              <w:t>(Questex Media Group, Inc.)</w:t>
            </w:r>
          </w:p>
        </w:tc>
        <w:tc>
          <w:tcPr>
            <w:tcW w:w="102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540" w:type="dxa"/>
            <w:vAlign w:val="bottom"/>
            <w:gridSpan w:val="2"/>
          </w:tcPr>
          <w:p>
            <w:pPr>
              <w:jc w:val="center"/>
              <w:ind w:right="160"/>
              <w:spacing w:after="0"/>
              <w:rPr>
                <w:sz w:val="20"/>
                <w:szCs w:val="20"/>
                <w:color w:val="auto"/>
              </w:rPr>
            </w:pPr>
            <w:r>
              <w:rPr>
                <w:rFonts w:ascii="Arial" w:cs="Arial" w:eastAsia="Arial" w:hAnsi="Arial"/>
                <w:sz w:val="14"/>
                <w:szCs w:val="14"/>
                <w:color w:val="auto"/>
                <w:w w:val="96"/>
              </w:rPr>
              <w:t>Other Media</w:t>
            </w:r>
          </w:p>
        </w:tc>
        <w:tc>
          <w:tcPr>
            <w:tcW w:w="8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4,325</w:t>
            </w:r>
          </w:p>
        </w:tc>
        <w:tc>
          <w:tcPr>
            <w:tcW w:w="1160" w:type="dxa"/>
            <w:vAlign w:val="bottom"/>
            <w:gridSpan w:val="3"/>
          </w:tcPr>
          <w:p>
            <w:pPr>
              <w:jc w:val="right"/>
              <w:ind w:right="260"/>
              <w:spacing w:after="0"/>
              <w:rPr>
                <w:sz w:val="20"/>
                <w:szCs w:val="20"/>
                <w:color w:val="auto"/>
              </w:rPr>
            </w:pPr>
            <w:r>
              <w:rPr>
                <w:rFonts w:ascii="Arial" w:cs="Arial" w:eastAsia="Arial" w:hAnsi="Arial"/>
                <w:sz w:val="14"/>
                <w:szCs w:val="14"/>
                <w:color w:val="auto"/>
              </w:rPr>
              <w:t>1,306,166</w:t>
            </w: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1,404,661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QMG HoldCo, LLC, Class B</w:t>
            </w:r>
          </w:p>
        </w:tc>
        <w:tc>
          <w:tcPr>
            <w:tcW w:w="7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(Questex Media Group, Inc.)</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54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6"/>
              </w:rPr>
              <w:t>Other Media</w:t>
            </w: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531</w:t>
            </w:r>
          </w:p>
        </w:tc>
        <w:tc>
          <w:tcPr>
            <w:tcW w:w="1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172,457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00" w:type="dxa"/>
            <w:vAlign w:val="bottom"/>
            <w:gridSpan w:val="2"/>
          </w:tcPr>
          <w:p>
            <w:pPr>
              <w:spacing w:after="0" w:line="130" w:lineRule="exact"/>
              <w:rPr>
                <w:sz w:val="20"/>
                <w:szCs w:val="20"/>
                <w:color w:val="auto"/>
              </w:rPr>
            </w:pPr>
            <w:r>
              <w:rPr>
                <w:rFonts w:ascii="Arial" w:cs="Arial" w:eastAsia="Arial" w:hAnsi="Arial"/>
                <w:sz w:val="14"/>
                <w:szCs w:val="14"/>
                <w:color w:val="auto"/>
              </w:rPr>
              <w:t>SPG Boyd Holdings Corp.</w:t>
            </w: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4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94"/>
              </w:rPr>
              <w:t>Chemical, Plastic</w:t>
            </w: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200" w:type="dxa"/>
            <w:vAlign w:val="bottom"/>
            <w:gridSpan w:val="2"/>
          </w:tcPr>
          <w:p>
            <w:pPr>
              <w:ind w:left="140"/>
              <w:spacing w:after="0"/>
              <w:rPr>
                <w:sz w:val="20"/>
                <w:szCs w:val="20"/>
                <w:color w:val="auto"/>
              </w:rPr>
            </w:pPr>
            <w:r>
              <w:rPr>
                <w:rFonts w:ascii="Arial" w:cs="Arial" w:eastAsia="Arial" w:hAnsi="Arial"/>
                <w:sz w:val="14"/>
                <w:szCs w:val="14"/>
                <w:color w:val="auto"/>
              </w:rPr>
              <w:t>(LTI Flexible Products, Inc.)</w:t>
            </w:r>
          </w:p>
        </w:tc>
        <w:tc>
          <w:tcPr>
            <w:tcW w:w="102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540" w:type="dxa"/>
            <w:vAlign w:val="bottom"/>
            <w:gridSpan w:val="2"/>
          </w:tcPr>
          <w:p>
            <w:pPr>
              <w:jc w:val="center"/>
              <w:ind w:right="160"/>
              <w:spacing w:after="0"/>
              <w:rPr>
                <w:sz w:val="20"/>
                <w:szCs w:val="20"/>
                <w:color w:val="auto"/>
              </w:rPr>
            </w:pPr>
            <w:r>
              <w:rPr>
                <w:rFonts w:ascii="Arial" w:cs="Arial" w:eastAsia="Arial" w:hAnsi="Arial"/>
                <w:sz w:val="14"/>
                <w:szCs w:val="14"/>
                <w:color w:val="auto"/>
                <w:w w:val="90"/>
              </w:rPr>
              <w:t>and Rubber</w:t>
            </w:r>
          </w:p>
        </w:tc>
        <w:tc>
          <w:tcPr>
            <w:tcW w:w="8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300,000</w:t>
            </w:r>
          </w:p>
        </w:tc>
        <w:tc>
          <w:tcPr>
            <w:tcW w:w="1160" w:type="dxa"/>
            <w:vAlign w:val="bottom"/>
            <w:gridSpan w:val="3"/>
          </w:tcPr>
          <w:p>
            <w:pPr>
              <w:jc w:val="right"/>
              <w:ind w:right="260"/>
              <w:spacing w:after="0"/>
              <w:rPr>
                <w:sz w:val="20"/>
                <w:szCs w:val="20"/>
                <w:color w:val="auto"/>
              </w:rPr>
            </w:pPr>
            <w:r>
              <w:rPr>
                <w:rFonts w:ascii="Arial" w:cs="Arial" w:eastAsia="Arial" w:hAnsi="Arial"/>
                <w:sz w:val="14"/>
                <w:szCs w:val="14"/>
                <w:color w:val="auto"/>
              </w:rPr>
              <w:t>3,000,000</w:t>
            </w: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3,000,000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Titan Private Holdings I, LLC – Class A</w:t>
            </w:r>
          </w:p>
        </w:tc>
        <w:tc>
          <w:tcPr>
            <w:tcW w:w="7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(Tekelec Global, Inc.)</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54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1"/>
              </w:rPr>
              <w:t>Telecommunications</w:t>
            </w: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6"/>
              </w:rPr>
              <w:t>2,276,847</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2,274,883</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6,182,426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2"/>
          </w:tcPr>
          <w:p>
            <w:pPr>
              <w:spacing w:after="0" w:line="149" w:lineRule="exact"/>
              <w:rPr>
                <w:sz w:val="20"/>
                <w:szCs w:val="20"/>
                <w:color w:val="auto"/>
              </w:rPr>
            </w:pPr>
            <w:r>
              <w:rPr>
                <w:rFonts w:ascii="Arial" w:cs="Arial" w:eastAsia="Arial" w:hAnsi="Arial"/>
                <w:sz w:val="14"/>
                <w:szCs w:val="14"/>
                <w:color w:val="auto"/>
              </w:rPr>
              <w:t>TRAK Acquisition Corp. (Warrants)</w:t>
            </w: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6"/>
              </w:rPr>
              <w:t>12/29/2019</w:t>
            </w:r>
          </w:p>
        </w:tc>
        <w:tc>
          <w:tcPr>
            <w:tcW w:w="15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89"/>
              </w:rPr>
              <w:t>Business Services</w:t>
            </w:r>
          </w:p>
        </w:tc>
        <w:tc>
          <w:tcPr>
            <w:tcW w:w="8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3,500</w:t>
            </w:r>
          </w:p>
        </w:tc>
        <w:tc>
          <w:tcPr>
            <w:tcW w:w="11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29,400</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1,197,412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 xml:space="preserve">Transportation 100 Holdco, L.L.C. </w:t>
            </w:r>
            <w:r>
              <w:rPr>
                <w:rFonts w:ascii="Arial" w:cs="Arial" w:eastAsia="Arial" w:hAnsi="Arial"/>
                <w:sz w:val="12"/>
                <w:szCs w:val="12"/>
                <w:color w:val="auto"/>
              </w:rPr>
              <w:t>(13)</w:t>
            </w:r>
          </w:p>
        </w:tc>
        <w:tc>
          <w:tcPr>
            <w:tcW w:w="7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(Greatwide Logistics Services, L.L.C.)</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54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2"/>
              </w:rPr>
              <w:t>Cargo Transport</w:t>
            </w: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137,923</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2,111,588</w:t>
            </w: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00" w:type="dxa"/>
            <w:vAlign w:val="bottom"/>
            <w:gridSpan w:val="2"/>
          </w:tcPr>
          <w:p>
            <w:pPr>
              <w:spacing w:after="0" w:line="130" w:lineRule="exact"/>
              <w:rPr>
                <w:sz w:val="20"/>
                <w:szCs w:val="20"/>
                <w:color w:val="auto"/>
              </w:rPr>
            </w:pPr>
            <w:r>
              <w:rPr>
                <w:rFonts w:ascii="Arial" w:cs="Arial" w:eastAsia="Arial" w:hAnsi="Arial"/>
                <w:sz w:val="14"/>
                <w:szCs w:val="14"/>
                <w:color w:val="auto"/>
              </w:rPr>
              <w:t>TZ Holdings, L.P.</w:t>
            </w: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200" w:type="dxa"/>
            <w:vAlign w:val="bottom"/>
            <w:gridSpan w:val="2"/>
          </w:tcPr>
          <w:p>
            <w:pPr>
              <w:ind w:left="140"/>
              <w:spacing w:after="0"/>
              <w:rPr>
                <w:sz w:val="20"/>
                <w:szCs w:val="20"/>
                <w:color w:val="auto"/>
              </w:rPr>
            </w:pPr>
            <w:r>
              <w:rPr>
                <w:rFonts w:ascii="Arial" w:cs="Arial" w:eastAsia="Arial" w:hAnsi="Arial"/>
                <w:sz w:val="14"/>
                <w:szCs w:val="14"/>
                <w:color w:val="auto"/>
              </w:rPr>
              <w:t>(Trizetto Group, Inc.)</w:t>
            </w:r>
          </w:p>
        </w:tc>
        <w:tc>
          <w:tcPr>
            <w:tcW w:w="102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540" w:type="dxa"/>
            <w:vAlign w:val="bottom"/>
            <w:gridSpan w:val="2"/>
          </w:tcPr>
          <w:p>
            <w:pPr>
              <w:jc w:val="center"/>
              <w:ind w:right="160"/>
              <w:spacing w:after="0"/>
              <w:rPr>
                <w:sz w:val="20"/>
                <w:szCs w:val="20"/>
                <w:color w:val="auto"/>
              </w:rPr>
            </w:pPr>
            <w:r>
              <w:rPr>
                <w:rFonts w:ascii="Arial" w:cs="Arial" w:eastAsia="Arial" w:hAnsi="Arial"/>
                <w:sz w:val="14"/>
                <w:szCs w:val="14"/>
                <w:color w:val="auto"/>
                <w:w w:val="87"/>
              </w:rPr>
              <w:t>Insurance</w:t>
            </w:r>
          </w:p>
        </w:tc>
        <w:tc>
          <w:tcPr>
            <w:tcW w:w="8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2</w:t>
            </w:r>
          </w:p>
        </w:tc>
        <w:tc>
          <w:tcPr>
            <w:tcW w:w="1160" w:type="dxa"/>
            <w:vAlign w:val="bottom"/>
            <w:gridSpan w:val="3"/>
          </w:tcPr>
          <w:p>
            <w:pPr>
              <w:jc w:val="right"/>
              <w:ind w:right="260"/>
              <w:spacing w:after="0"/>
              <w:rPr>
                <w:sz w:val="20"/>
                <w:szCs w:val="20"/>
                <w:color w:val="auto"/>
              </w:rPr>
            </w:pPr>
            <w:r>
              <w:rPr>
                <w:rFonts w:ascii="Arial" w:cs="Arial" w:eastAsia="Arial" w:hAnsi="Arial"/>
                <w:sz w:val="14"/>
                <w:szCs w:val="14"/>
                <w:color w:val="auto"/>
              </w:rPr>
              <w:t>9,567</w:t>
            </w: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713,718</w:t>
            </w:r>
          </w:p>
        </w:tc>
        <w:tc>
          <w:tcPr>
            <w:tcW w:w="0" w:type="dxa"/>
            <w:vAlign w:val="bottom"/>
          </w:tcPr>
          <w:p>
            <w:pPr>
              <w:spacing w:after="0"/>
              <w:rPr>
                <w:sz w:val="1"/>
                <w:szCs w:val="1"/>
                <w:color w:val="auto"/>
              </w:rPr>
            </w:pPr>
          </w:p>
        </w:tc>
      </w:tr>
    </w:tbl>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60" w:right="23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PENNANTPARK INVESTMENT CORPORATION AND SUBSIDIARIES CONSOLIDATED SCHEDULE OF INVESTMENTS (CONTINUED) SEPTEMBER 30, 2012</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Basis Point</w:t>
            </w: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Current</w:t>
            </w: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Spread</w:t>
            </w:r>
          </w:p>
        </w:tc>
        <w:tc>
          <w:tcPr>
            <w:tcW w:w="9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Par/</w:t>
            </w: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Issuer Name</w:t>
            </w:r>
          </w:p>
        </w:tc>
        <w:tc>
          <w:tcPr>
            <w:tcW w:w="9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Maturity</w:t>
            </w:r>
          </w:p>
        </w:tc>
        <w:tc>
          <w:tcPr>
            <w:tcW w:w="15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Industry</w:t>
            </w:r>
          </w:p>
        </w:tc>
        <w:tc>
          <w:tcPr>
            <w:tcW w:w="1160" w:type="dxa"/>
            <w:vAlign w:val="bottom"/>
            <w:gridSpan w:val="2"/>
            <w:vMerge w:val="continue"/>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Above</w:t>
            </w:r>
          </w:p>
        </w:tc>
        <w:tc>
          <w:tcPr>
            <w:tcW w:w="9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Cost</w:t>
            </w:r>
          </w:p>
        </w:tc>
        <w:tc>
          <w:tcPr>
            <w:tcW w:w="100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2"/>
                <w:szCs w:val="12"/>
                <w:b w:val="1"/>
                <w:bCs w:val="1"/>
                <w:color w:val="auto"/>
              </w:rPr>
              <w:t>(3)</w:t>
            </w:r>
          </w:p>
        </w:tc>
        <w:tc>
          <w:tcPr>
            <w:tcW w:w="0" w:type="dxa"/>
            <w:vAlign w:val="bottom"/>
          </w:tcPr>
          <w:p>
            <w:pPr>
              <w:spacing w:after="0"/>
              <w:rPr>
                <w:sz w:val="1"/>
                <w:szCs w:val="1"/>
                <w:color w:val="auto"/>
              </w:rPr>
            </w:pPr>
          </w:p>
        </w:tc>
      </w:tr>
      <w:tr>
        <w:trPr>
          <w:trHeight w:val="171"/>
        </w:trPr>
        <w:tc>
          <w:tcPr>
            <w:tcW w:w="3620" w:type="dxa"/>
            <w:vAlign w:val="bottom"/>
            <w:gridSpan w:val="3"/>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Coupon</w:t>
            </w: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 xml:space="preserve">Index </w:t>
            </w:r>
            <w:r>
              <w:rPr>
                <w:rFonts w:ascii="Arial" w:cs="Arial" w:eastAsia="Arial" w:hAnsi="Arial"/>
                <w:sz w:val="12"/>
                <w:szCs w:val="12"/>
                <w:b w:val="1"/>
                <w:bCs w:val="1"/>
                <w:color w:val="auto"/>
                <w:w w:val="94"/>
              </w:rPr>
              <w:t>(4)</w:t>
            </w:r>
          </w:p>
        </w:tc>
        <w:tc>
          <w:tcPr>
            <w:tcW w:w="9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89"/>
              </w:rPr>
              <w:t>Verde Parent</w:t>
            </w:r>
          </w:p>
        </w:tc>
        <w:tc>
          <w:tcPr>
            <w:tcW w:w="28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Holdings, Inc.</w:t>
            </w:r>
          </w:p>
        </w:tc>
        <w:tc>
          <w:tcPr>
            <w:tcW w:w="70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140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1"/>
              </w:rPr>
              <w:t>Personal Transportation</w:t>
            </w:r>
          </w:p>
        </w:tc>
        <w:tc>
          <w:tcPr>
            <w:tcW w:w="14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ind w:left="480"/>
              <w:spacing w:after="0" w:line="142"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ind w:left="460"/>
              <w:spacing w:after="0" w:line="142" w:lineRule="exact"/>
              <w:rPr>
                <w:sz w:val="20"/>
                <w:szCs w:val="20"/>
                <w:color w:val="auto"/>
              </w:rPr>
            </w:pPr>
            <w:r>
              <w:rPr>
                <w:rFonts w:ascii="Arial" w:cs="Arial" w:eastAsia="Arial" w:hAnsi="Arial"/>
                <w:sz w:val="14"/>
                <w:szCs w:val="14"/>
                <w:color w:val="auto"/>
              </w:rPr>
              <w:t>—</w:t>
            </w:r>
          </w:p>
        </w:tc>
        <w:tc>
          <w:tcPr>
            <w:tcW w:w="3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9,166</w:t>
            </w:r>
          </w:p>
        </w:tc>
        <w:tc>
          <w:tcPr>
            <w:tcW w:w="3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9,167</w:t>
            </w:r>
          </w:p>
        </w:tc>
        <w:tc>
          <w:tcPr>
            <w:tcW w:w="3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gridSpan w:val="2"/>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4"/>
                <w:szCs w:val="14"/>
                <w:color w:val="auto"/>
              </w:rPr>
              <w:t>VText Holdings, Inc. (Veritext Corp.)</w:t>
            </w: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5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0"/>
              </w:rPr>
              <w:t>Business Services</w:t>
            </w:r>
          </w:p>
        </w:tc>
        <w:tc>
          <w:tcPr>
            <w:tcW w:w="11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35,526</w:t>
            </w: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4,050,000</w:t>
            </w:r>
          </w:p>
        </w:tc>
        <w:tc>
          <w:tcPr>
            <w:tcW w:w="3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6,941,000</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Common Equity/Warrants/ Partnership Interests</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38,457,098</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61,315,758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540" w:type="dxa"/>
            <w:vAlign w:val="bottom"/>
            <w:gridSpan w:val="5"/>
          </w:tcPr>
          <w:p>
            <w:pPr>
              <w:spacing w:after="0" w:line="155" w:lineRule="exact"/>
              <w:rPr>
                <w:sz w:val="20"/>
                <w:szCs w:val="20"/>
                <w:color w:val="auto"/>
              </w:rPr>
            </w:pPr>
            <w:r>
              <w:rPr>
                <w:rFonts w:ascii="Arial" w:cs="Arial" w:eastAsia="Arial" w:hAnsi="Arial"/>
                <w:sz w:val="14"/>
                <w:szCs w:val="14"/>
                <w:b w:val="1"/>
                <w:bCs w:val="1"/>
                <w:color w:val="auto"/>
                <w:w w:val="93"/>
              </w:rPr>
              <w:t>Total Investments in Non-Controlled, Non-Affiliated Portfolio Companies</w:t>
            </w:r>
          </w:p>
        </w:tc>
        <w:tc>
          <w:tcPr>
            <w:tcW w:w="1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871,867,953</w:t>
            </w:r>
          </w:p>
        </w:tc>
        <w:tc>
          <w:tcPr>
            <w:tcW w:w="3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871,892,745</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gridSpan w:val="6"/>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 xml:space="preserve">Investments in Non-Controlled, Affiliated Portfolio Companies—12.0% </w:t>
            </w:r>
            <w:r>
              <w:rPr>
                <w:rFonts w:ascii="Arial" w:cs="Arial" w:eastAsia="Arial" w:hAnsi="Arial"/>
                <w:sz w:val="12"/>
                <w:szCs w:val="12"/>
                <w:b w:val="1"/>
                <w:bCs w:val="1"/>
                <w:color w:val="auto"/>
              </w:rPr>
              <w:t>(1),(2)</w:t>
            </w: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Second Lien Secured Debt—1.1%</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Performance, Inc.</w:t>
            </w:r>
          </w:p>
        </w:tc>
        <w:tc>
          <w:tcPr>
            <w:tcW w:w="7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96"/>
              </w:rPr>
              <w:t>01/16/2015</w:t>
            </w:r>
          </w:p>
        </w:tc>
        <w:tc>
          <w:tcPr>
            <w:tcW w:w="220" w:type="dxa"/>
            <w:vAlign w:val="bottom"/>
            <w:shd w:val="clear" w:color="auto" w:fill="CCEEFF"/>
          </w:tcPr>
          <w:p>
            <w:pPr>
              <w:spacing w:after="0"/>
              <w:rPr>
                <w:sz w:val="11"/>
                <w:szCs w:val="11"/>
                <w:color w:val="auto"/>
              </w:rPr>
            </w:pPr>
          </w:p>
        </w:tc>
        <w:tc>
          <w:tcPr>
            <w:tcW w:w="1540" w:type="dxa"/>
            <w:vAlign w:val="bottom"/>
            <w:gridSpan w:val="2"/>
            <w:shd w:val="clear" w:color="auto" w:fill="CCEEFF"/>
          </w:tcPr>
          <w:p>
            <w:pPr>
              <w:jc w:val="center"/>
              <w:ind w:right="140"/>
              <w:spacing w:after="0" w:line="130" w:lineRule="exact"/>
              <w:rPr>
                <w:sz w:val="20"/>
                <w:szCs w:val="20"/>
                <w:color w:val="auto"/>
              </w:rPr>
            </w:pPr>
            <w:r>
              <w:rPr>
                <w:rFonts w:ascii="Arial" w:cs="Arial" w:eastAsia="Arial" w:hAnsi="Arial"/>
                <w:sz w:val="14"/>
                <w:szCs w:val="14"/>
                <w:color w:val="auto"/>
                <w:w w:val="93"/>
              </w:rPr>
              <w:t>Leisure, Amusement</w:t>
            </w:r>
          </w:p>
        </w:tc>
        <w:tc>
          <w:tcPr>
            <w:tcW w:w="1160" w:type="dxa"/>
            <w:vAlign w:val="bottom"/>
            <w:gridSpan w:val="2"/>
            <w:shd w:val="clear" w:color="auto" w:fill="CCEEFF"/>
          </w:tcPr>
          <w:p>
            <w:pPr>
              <w:jc w:val="right"/>
              <w:ind w:right="340"/>
              <w:spacing w:after="0" w:line="130" w:lineRule="exact"/>
              <w:rPr>
                <w:sz w:val="20"/>
                <w:szCs w:val="20"/>
                <w:color w:val="auto"/>
              </w:rPr>
            </w:pPr>
            <w:r>
              <w:rPr>
                <w:rFonts w:ascii="Arial" w:cs="Arial" w:eastAsia="Arial" w:hAnsi="Arial"/>
                <w:sz w:val="14"/>
                <w:szCs w:val="14"/>
                <w:color w:val="auto"/>
              </w:rPr>
              <w:t>7.25%</w:t>
            </w:r>
          </w:p>
        </w:tc>
        <w:tc>
          <w:tcPr>
            <w:tcW w:w="980" w:type="dxa"/>
            <w:vAlign w:val="bottom"/>
            <w:gridSpan w:val="2"/>
            <w:shd w:val="clear" w:color="auto" w:fill="CCEEFF"/>
          </w:tcPr>
          <w:p>
            <w:pPr>
              <w:ind w:left="300"/>
              <w:spacing w:after="0" w:line="130" w:lineRule="exact"/>
              <w:rPr>
                <w:sz w:val="20"/>
                <w:szCs w:val="20"/>
                <w:color w:val="auto"/>
              </w:rPr>
            </w:pPr>
            <w:r>
              <w:rPr>
                <w:rFonts w:ascii="Arial" w:cs="Arial" w:eastAsia="Arial" w:hAnsi="Arial"/>
                <w:sz w:val="14"/>
                <w:szCs w:val="14"/>
                <w:color w:val="auto"/>
              </w:rPr>
              <w:t>L+625</w:t>
            </w:r>
            <w:r>
              <w:rPr>
                <w:rFonts w:ascii="Arial" w:cs="Arial" w:eastAsia="Arial" w:hAnsi="Arial"/>
                <w:sz w:val="12"/>
                <w:szCs w:val="12"/>
                <w:color w:val="auto"/>
              </w:rPr>
              <w:t>(8)</w:t>
            </w:r>
          </w:p>
        </w:tc>
        <w:tc>
          <w:tcPr>
            <w:tcW w:w="980" w:type="dxa"/>
            <w:vAlign w:val="bottom"/>
            <w:gridSpan w:val="2"/>
            <w:shd w:val="clear" w:color="auto" w:fill="CCEEFF"/>
          </w:tcPr>
          <w:p>
            <w:pPr>
              <w:jc w:val="right"/>
              <w:ind w:right="300"/>
              <w:spacing w:after="0" w:line="130" w:lineRule="exact"/>
              <w:rPr>
                <w:sz w:val="20"/>
                <w:szCs w:val="20"/>
                <w:color w:val="auto"/>
              </w:rPr>
            </w:pPr>
            <w:r>
              <w:rPr>
                <w:rFonts w:ascii="Arial" w:cs="Arial" w:eastAsia="Arial" w:hAnsi="Arial"/>
                <w:sz w:val="14"/>
                <w:szCs w:val="14"/>
                <w:color w:val="auto"/>
              </w:rPr>
              <w:t>8,000,000</w:t>
            </w:r>
          </w:p>
        </w:tc>
        <w:tc>
          <w:tcPr>
            <w:tcW w:w="8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8,000,000</w:t>
            </w: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7,672,000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8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93"/>
              </w:rPr>
              <w:t>Motion Pictures and</w:t>
            </w: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8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1"/>
              </w:rPr>
              <w:t>Entertainment</w:t>
            </w:r>
          </w:p>
        </w:tc>
        <w:tc>
          <w:tcPr>
            <w:tcW w:w="7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Subordinated Debt/Corporate Notes—7.1%</w:t>
            </w: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Performance Holdings, Inc.</w:t>
            </w:r>
          </w:p>
        </w:tc>
        <w:tc>
          <w:tcPr>
            <w:tcW w:w="7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96"/>
              </w:rPr>
              <w:t>07/16/2015</w:t>
            </w:r>
          </w:p>
        </w:tc>
        <w:tc>
          <w:tcPr>
            <w:tcW w:w="220" w:type="dxa"/>
            <w:vAlign w:val="bottom"/>
            <w:shd w:val="clear" w:color="auto" w:fill="CCEEFF"/>
          </w:tcPr>
          <w:p>
            <w:pPr>
              <w:spacing w:after="0"/>
              <w:rPr>
                <w:sz w:val="11"/>
                <w:szCs w:val="11"/>
                <w:color w:val="auto"/>
              </w:rPr>
            </w:pPr>
          </w:p>
        </w:tc>
        <w:tc>
          <w:tcPr>
            <w:tcW w:w="1540" w:type="dxa"/>
            <w:vAlign w:val="bottom"/>
            <w:gridSpan w:val="2"/>
            <w:shd w:val="clear" w:color="auto" w:fill="CCEEFF"/>
          </w:tcPr>
          <w:p>
            <w:pPr>
              <w:jc w:val="center"/>
              <w:ind w:right="140"/>
              <w:spacing w:after="0" w:line="130" w:lineRule="exact"/>
              <w:rPr>
                <w:sz w:val="20"/>
                <w:szCs w:val="20"/>
                <w:color w:val="auto"/>
              </w:rPr>
            </w:pPr>
            <w:r>
              <w:rPr>
                <w:rFonts w:ascii="Arial" w:cs="Arial" w:eastAsia="Arial" w:hAnsi="Arial"/>
                <w:sz w:val="14"/>
                <w:szCs w:val="14"/>
                <w:color w:val="auto"/>
                <w:w w:val="93"/>
              </w:rPr>
              <w:t>Leisure, Amusement,</w:t>
            </w:r>
          </w:p>
        </w:tc>
        <w:tc>
          <w:tcPr>
            <w:tcW w:w="116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15.00%</w:t>
            </w:r>
            <w:r>
              <w:rPr>
                <w:rFonts w:ascii="Arial" w:cs="Arial" w:eastAsia="Arial" w:hAnsi="Arial"/>
                <w:sz w:val="12"/>
                <w:szCs w:val="12"/>
                <w:color w:val="auto"/>
              </w:rPr>
              <w:t>(7)</w:t>
            </w:r>
          </w:p>
        </w:tc>
        <w:tc>
          <w:tcPr>
            <w:tcW w:w="980" w:type="dxa"/>
            <w:vAlign w:val="bottom"/>
            <w:gridSpan w:val="2"/>
            <w:shd w:val="clear" w:color="auto" w:fill="CCEEFF"/>
          </w:tcPr>
          <w:p>
            <w:pPr>
              <w:ind w:left="460"/>
              <w:spacing w:after="0" w:line="130"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00"/>
              <w:spacing w:after="0" w:line="130" w:lineRule="exact"/>
              <w:rPr>
                <w:sz w:val="20"/>
                <w:szCs w:val="20"/>
                <w:color w:val="auto"/>
              </w:rPr>
            </w:pPr>
            <w:r>
              <w:rPr>
                <w:rFonts w:ascii="Arial" w:cs="Arial" w:eastAsia="Arial" w:hAnsi="Arial"/>
                <w:sz w:val="14"/>
                <w:szCs w:val="14"/>
                <w:color w:val="auto"/>
              </w:rPr>
              <w:t>7,567,234</w:t>
            </w: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7,435,314</w:t>
            </w: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7,453,725</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8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93"/>
              </w:rPr>
              <w:t>Motion Pictures and</w:t>
            </w: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8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1"/>
              </w:rPr>
              <w:t>Entertainment</w:t>
            </w:r>
          </w:p>
        </w:tc>
        <w:tc>
          <w:tcPr>
            <w:tcW w:w="7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4"/>
                <w:szCs w:val="14"/>
                <w:color w:val="auto"/>
              </w:rPr>
              <w:t>Service Champ, Inc.</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10/02/2017</w:t>
            </w:r>
          </w:p>
        </w:tc>
        <w:tc>
          <w:tcPr>
            <w:tcW w:w="220" w:type="dxa"/>
            <w:vAlign w:val="bottom"/>
          </w:tcPr>
          <w:p>
            <w:pPr>
              <w:spacing w:after="0"/>
              <w:rPr>
                <w:sz w:val="12"/>
                <w:szCs w:val="12"/>
                <w:color w:val="auto"/>
              </w:rPr>
            </w:pPr>
          </w:p>
        </w:tc>
        <w:tc>
          <w:tcPr>
            <w:tcW w:w="15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2"/>
              </w:rPr>
              <w:t>Auto Sector</w:t>
            </w:r>
          </w:p>
        </w:tc>
        <w:tc>
          <w:tcPr>
            <w:tcW w:w="11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12.50%</w:t>
            </w:r>
          </w:p>
        </w:tc>
        <w:tc>
          <w:tcPr>
            <w:tcW w:w="9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94"/>
              </w:rPr>
              <w:t>24,000,000</w:t>
            </w: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23,495,700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24,000,000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Service Champ, Inc. </w:t>
            </w:r>
            <w:r>
              <w:rPr>
                <w:rFonts w:ascii="Arial" w:cs="Arial" w:eastAsia="Arial" w:hAnsi="Arial"/>
                <w:sz w:val="12"/>
                <w:szCs w:val="12"/>
                <w:color w:val="auto"/>
              </w:rPr>
              <w:t>(9)</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10/02/2013</w:t>
            </w:r>
          </w:p>
        </w:tc>
        <w:tc>
          <w:tcPr>
            <w:tcW w:w="22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92"/>
              </w:rPr>
              <w:t>Auto Sector</w:t>
            </w:r>
          </w:p>
        </w:tc>
        <w:tc>
          <w:tcPr>
            <w:tcW w:w="11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94"/>
              </w:rPr>
              <w:t>16,000,000</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15,640,000</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16,000,000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6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Subordinated Debt/Corporate Notes</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46,571,014</w:t>
            </w:r>
          </w:p>
        </w:tc>
        <w:tc>
          <w:tcPr>
            <w:tcW w:w="3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47,453,725</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 xml:space="preserve">Common Equity/Partnership Interest—3.8% </w:t>
            </w:r>
            <w:r>
              <w:rPr>
                <w:rFonts w:ascii="Arial" w:cs="Arial" w:eastAsia="Arial" w:hAnsi="Arial"/>
                <w:sz w:val="12"/>
                <w:szCs w:val="12"/>
                <w:b w:val="1"/>
                <w:bCs w:val="1"/>
                <w:color w:val="auto"/>
              </w:rPr>
              <w:t>(6)</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4"/>
                <w:szCs w:val="14"/>
                <w:color w:val="auto"/>
              </w:rPr>
              <w:t>EnviroSolutions, Inc.</w:t>
            </w: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9"/>
              </w:rPr>
              <w:t>—</w:t>
            </w:r>
          </w:p>
        </w:tc>
        <w:tc>
          <w:tcPr>
            <w:tcW w:w="15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3"/>
              </w:rPr>
              <w:t>Environmental Services</w:t>
            </w:r>
          </w:p>
        </w:tc>
        <w:tc>
          <w:tcPr>
            <w:tcW w:w="11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125,106</w:t>
            </w: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10,055,844</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18,425,519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NCP-Performance</w:t>
            </w:r>
          </w:p>
        </w:tc>
        <w:tc>
          <w:tcPr>
            <w:tcW w:w="92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9"/>
              </w:rPr>
              <w:t>—</w:t>
            </w:r>
          </w:p>
        </w:tc>
        <w:tc>
          <w:tcPr>
            <w:tcW w:w="1540" w:type="dxa"/>
            <w:vAlign w:val="bottom"/>
            <w:gridSpan w:val="2"/>
            <w:shd w:val="clear" w:color="auto" w:fill="CCEEFF"/>
          </w:tcPr>
          <w:p>
            <w:pPr>
              <w:jc w:val="center"/>
              <w:ind w:right="140"/>
              <w:spacing w:after="0" w:line="130" w:lineRule="exact"/>
              <w:rPr>
                <w:sz w:val="20"/>
                <w:szCs w:val="20"/>
                <w:color w:val="auto"/>
              </w:rPr>
            </w:pPr>
            <w:r>
              <w:rPr>
                <w:rFonts w:ascii="Arial" w:cs="Arial" w:eastAsia="Arial" w:hAnsi="Arial"/>
                <w:sz w:val="14"/>
                <w:szCs w:val="14"/>
                <w:color w:val="auto"/>
                <w:w w:val="93"/>
              </w:rPr>
              <w:t>Leisure, Amusement,</w:t>
            </w:r>
          </w:p>
        </w:tc>
        <w:tc>
          <w:tcPr>
            <w:tcW w:w="116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460"/>
              <w:spacing w:after="0" w:line="130"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00"/>
              <w:spacing w:after="0" w:line="130" w:lineRule="exact"/>
              <w:rPr>
                <w:sz w:val="20"/>
                <w:szCs w:val="20"/>
                <w:color w:val="auto"/>
              </w:rPr>
            </w:pPr>
            <w:r>
              <w:rPr>
                <w:rFonts w:ascii="Arial" w:cs="Arial" w:eastAsia="Arial" w:hAnsi="Arial"/>
                <w:sz w:val="14"/>
                <w:szCs w:val="14"/>
                <w:color w:val="auto"/>
              </w:rPr>
              <w:t>375,000</w:t>
            </w: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3,750,000</w:t>
            </w: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2,902,355</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(Performance Holdings, Inc.)</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93"/>
              </w:rPr>
              <w:t>Motion Pictures and</w:t>
            </w: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8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1"/>
              </w:rPr>
              <w:t>Entertainment</w:t>
            </w:r>
          </w:p>
        </w:tc>
        <w:tc>
          <w:tcPr>
            <w:tcW w:w="7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00" w:type="dxa"/>
            <w:vAlign w:val="bottom"/>
            <w:gridSpan w:val="2"/>
          </w:tcPr>
          <w:p>
            <w:pPr>
              <w:spacing w:after="0" w:line="130" w:lineRule="exact"/>
              <w:rPr>
                <w:sz w:val="20"/>
                <w:szCs w:val="20"/>
                <w:color w:val="auto"/>
              </w:rPr>
            </w:pPr>
            <w:r>
              <w:rPr>
                <w:rFonts w:ascii="Arial" w:cs="Arial" w:eastAsia="Arial" w:hAnsi="Arial"/>
                <w:sz w:val="14"/>
                <w:szCs w:val="14"/>
                <w:color w:val="auto"/>
              </w:rPr>
              <w:t>New Service Champ Holdings, Inc.</w:t>
            </w:r>
          </w:p>
        </w:tc>
        <w:tc>
          <w:tcPr>
            <w:tcW w:w="920" w:type="dxa"/>
            <w:vAlign w:val="bottom"/>
            <w:gridSpan w:val="2"/>
          </w:tcPr>
          <w:p>
            <w:pPr>
              <w:jc w:val="center"/>
              <w:ind w:right="260"/>
              <w:spacing w:after="0" w:line="130" w:lineRule="exact"/>
              <w:rPr>
                <w:sz w:val="20"/>
                <w:szCs w:val="20"/>
                <w:color w:val="auto"/>
              </w:rPr>
            </w:pPr>
            <w:r>
              <w:rPr>
                <w:rFonts w:ascii="Arial" w:cs="Arial" w:eastAsia="Arial" w:hAnsi="Arial"/>
                <w:sz w:val="14"/>
                <w:szCs w:val="14"/>
                <w:color w:val="auto"/>
                <w:w w:val="99"/>
              </w:rPr>
              <w:t>—</w:t>
            </w:r>
          </w:p>
        </w:tc>
        <w:tc>
          <w:tcPr>
            <w:tcW w:w="1540" w:type="dxa"/>
            <w:vAlign w:val="bottom"/>
            <w:gridSpan w:val="2"/>
          </w:tcPr>
          <w:p>
            <w:pPr>
              <w:jc w:val="center"/>
              <w:ind w:right="140"/>
              <w:spacing w:after="0" w:line="130" w:lineRule="exact"/>
              <w:rPr>
                <w:sz w:val="20"/>
                <w:szCs w:val="20"/>
                <w:color w:val="auto"/>
              </w:rPr>
            </w:pPr>
            <w:r>
              <w:rPr>
                <w:rFonts w:ascii="Arial" w:cs="Arial" w:eastAsia="Arial" w:hAnsi="Arial"/>
                <w:sz w:val="14"/>
                <w:szCs w:val="14"/>
                <w:color w:val="auto"/>
                <w:w w:val="92"/>
              </w:rPr>
              <w:t>Auto Sector</w:t>
            </w:r>
          </w:p>
        </w:tc>
        <w:tc>
          <w:tcPr>
            <w:tcW w:w="116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980" w:type="dxa"/>
            <w:vAlign w:val="bottom"/>
            <w:gridSpan w:val="2"/>
          </w:tcPr>
          <w:p>
            <w:pPr>
              <w:ind w:left="460"/>
              <w:spacing w:after="0" w:line="130"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00"/>
              <w:spacing w:after="0" w:line="130" w:lineRule="exact"/>
              <w:rPr>
                <w:sz w:val="20"/>
                <w:szCs w:val="20"/>
                <w:color w:val="auto"/>
              </w:rPr>
            </w:pPr>
            <w:r>
              <w:rPr>
                <w:rFonts w:ascii="Arial" w:cs="Arial" w:eastAsia="Arial" w:hAnsi="Arial"/>
                <w:sz w:val="14"/>
                <w:szCs w:val="14"/>
                <w:color w:val="auto"/>
              </w:rPr>
              <w:t>16,800</w:t>
            </w:r>
          </w:p>
        </w:tc>
        <w:tc>
          <w:tcPr>
            <w:tcW w:w="80" w:type="dxa"/>
            <w:vAlign w:val="bottom"/>
          </w:tcPr>
          <w:p>
            <w:pPr>
              <w:spacing w:after="0"/>
              <w:rPr>
                <w:sz w:val="11"/>
                <w:szCs w:val="11"/>
                <w:color w:val="auto"/>
              </w:rPr>
            </w:pPr>
          </w:p>
        </w:tc>
        <w:tc>
          <w:tcPr>
            <w:tcW w:w="840" w:type="dxa"/>
            <w:vAlign w:val="bottom"/>
          </w:tcPr>
          <w:p>
            <w:pPr>
              <w:jc w:val="right"/>
              <w:spacing w:after="0" w:line="130" w:lineRule="exact"/>
              <w:rPr>
                <w:sz w:val="20"/>
                <w:szCs w:val="20"/>
                <w:color w:val="auto"/>
              </w:rPr>
            </w:pPr>
            <w:r>
              <w:rPr>
                <w:rFonts w:ascii="Arial" w:cs="Arial" w:eastAsia="Arial" w:hAnsi="Arial"/>
                <w:sz w:val="14"/>
                <w:szCs w:val="14"/>
                <w:color w:val="auto"/>
              </w:rPr>
              <w:t>4,200,000</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20"/>
              <w:spacing w:after="0" w:line="130" w:lineRule="exact"/>
              <w:rPr>
                <w:sz w:val="20"/>
                <w:szCs w:val="20"/>
                <w:color w:val="auto"/>
              </w:rPr>
            </w:pPr>
            <w:r>
              <w:rPr>
                <w:rFonts w:ascii="Arial" w:cs="Arial" w:eastAsia="Arial" w:hAnsi="Arial"/>
                <w:sz w:val="14"/>
                <w:szCs w:val="14"/>
                <w:color w:val="auto"/>
              </w:rPr>
              <w:t>4,501,658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600" w:type="dxa"/>
            <w:vAlign w:val="bottom"/>
            <w:gridSpan w:val="2"/>
          </w:tcPr>
          <w:p>
            <w:pPr>
              <w:ind w:left="140"/>
              <w:spacing w:after="0"/>
              <w:rPr>
                <w:sz w:val="20"/>
                <w:szCs w:val="20"/>
                <w:color w:val="auto"/>
              </w:rPr>
            </w:pPr>
            <w:r>
              <w:rPr>
                <w:rFonts w:ascii="Arial" w:cs="Arial" w:eastAsia="Arial" w:hAnsi="Arial"/>
                <w:sz w:val="14"/>
                <w:szCs w:val="14"/>
                <w:color w:val="auto"/>
              </w:rPr>
              <w:t>(Service Champ, Inc.)</w:t>
            </w: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Common Equity/Partnership Interest</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18,005,844</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25,829,532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540" w:type="dxa"/>
            <w:vAlign w:val="bottom"/>
            <w:gridSpan w:val="5"/>
          </w:tcPr>
          <w:p>
            <w:pPr>
              <w:spacing w:after="0" w:line="155" w:lineRule="exact"/>
              <w:rPr>
                <w:sz w:val="20"/>
                <w:szCs w:val="20"/>
                <w:color w:val="auto"/>
              </w:rPr>
            </w:pPr>
            <w:r>
              <w:rPr>
                <w:rFonts w:ascii="Arial" w:cs="Arial" w:eastAsia="Arial" w:hAnsi="Arial"/>
                <w:sz w:val="14"/>
                <w:szCs w:val="14"/>
                <w:b w:val="1"/>
                <w:bCs w:val="1"/>
                <w:color w:val="auto"/>
              </w:rPr>
              <w:t>Total Investments in Non-Controlled, Affiliated Portfolio Companies</w:t>
            </w:r>
          </w:p>
        </w:tc>
        <w:tc>
          <w:tcPr>
            <w:tcW w:w="1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72,576,858</w:t>
            </w:r>
          </w:p>
        </w:tc>
        <w:tc>
          <w:tcPr>
            <w:tcW w:w="3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80,955,257</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7"/>
              </w:rPr>
              <w:t xml:space="preserve">Investments in Controlled, Affiliated Portfolio Companies—5.6% </w:t>
            </w:r>
            <w:r>
              <w:rPr>
                <w:rFonts w:ascii="Arial" w:cs="Arial" w:eastAsia="Arial" w:hAnsi="Arial"/>
                <w:sz w:val="12"/>
                <w:szCs w:val="12"/>
                <w:b w:val="1"/>
                <w:bCs w:val="1"/>
                <w:color w:val="auto"/>
                <w:w w:val="97"/>
              </w:rPr>
              <w:t>(1),(2)</w:t>
            </w:r>
          </w:p>
        </w:tc>
        <w:tc>
          <w:tcPr>
            <w:tcW w:w="1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First Lien Secured Debt—1.9%</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SuttonPark Holdings, Inc.</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06/30/2020</w:t>
            </w:r>
          </w:p>
        </w:tc>
        <w:tc>
          <w:tcPr>
            <w:tcW w:w="22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90"/>
              </w:rPr>
              <w:t>Business Services</w:t>
            </w:r>
          </w:p>
        </w:tc>
        <w:tc>
          <w:tcPr>
            <w:tcW w:w="11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14.00%</w:t>
            </w:r>
            <w:r>
              <w:rPr>
                <w:rFonts w:ascii="Arial" w:cs="Arial" w:eastAsia="Arial" w:hAnsi="Arial"/>
                <w:sz w:val="12"/>
                <w:szCs w:val="12"/>
                <w:color w:val="auto"/>
              </w:rPr>
              <w:t>(7)</w:t>
            </w:r>
          </w:p>
        </w:tc>
        <w:tc>
          <w:tcPr>
            <w:tcW w:w="98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94"/>
              </w:rPr>
              <w:t>10,800,000</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10,800,000</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10,800,000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UP Support Services, Inc. </w:t>
            </w:r>
            <w:r>
              <w:rPr>
                <w:rFonts w:ascii="Arial" w:cs="Arial" w:eastAsia="Arial" w:hAnsi="Arial"/>
                <w:sz w:val="12"/>
                <w:szCs w:val="12"/>
                <w:color w:val="auto"/>
              </w:rPr>
              <w:t>(9)</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12/31/2015</w:t>
            </w:r>
          </w:p>
        </w:tc>
        <w:tc>
          <w:tcPr>
            <w:tcW w:w="220" w:type="dxa"/>
            <w:vAlign w:val="bottom"/>
          </w:tcPr>
          <w:p>
            <w:pPr>
              <w:spacing w:after="0"/>
              <w:rPr>
                <w:sz w:val="12"/>
                <w:szCs w:val="12"/>
                <w:color w:val="auto"/>
              </w:rPr>
            </w:pPr>
          </w:p>
        </w:tc>
        <w:tc>
          <w:tcPr>
            <w:tcW w:w="15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1"/>
              </w:rPr>
              <w:t>Oil and Gas</w:t>
            </w:r>
          </w:p>
        </w:tc>
        <w:tc>
          <w:tcPr>
            <w:tcW w:w="11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743,187</w:t>
            </w:r>
          </w:p>
        </w:tc>
        <w:tc>
          <w:tcPr>
            <w:tcW w:w="80" w:type="dxa"/>
            <w:vAlign w:val="bottom"/>
          </w:tcPr>
          <w:p>
            <w:pPr>
              <w:spacing w:after="0"/>
              <w:rPr>
                <w:sz w:val="12"/>
                <w:szCs w:val="12"/>
                <w:color w:val="auto"/>
              </w:rPr>
            </w:pPr>
          </w:p>
        </w:tc>
        <w:tc>
          <w:tcPr>
            <w:tcW w:w="11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668,632</w:t>
            </w:r>
          </w:p>
        </w:tc>
        <w:tc>
          <w:tcPr>
            <w:tcW w:w="80" w:type="dxa"/>
            <w:vAlign w:val="bottom"/>
          </w:tcPr>
          <w:p>
            <w:pPr>
              <w:spacing w:after="0"/>
              <w:rPr>
                <w:sz w:val="12"/>
                <w:szCs w:val="12"/>
                <w:color w:val="auto"/>
              </w:rPr>
            </w:pPr>
          </w:p>
        </w:tc>
        <w:tc>
          <w:tcPr>
            <w:tcW w:w="9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743,187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UP Support Services, Inc. </w:t>
            </w:r>
            <w:r>
              <w:rPr>
                <w:rFonts w:ascii="Arial" w:cs="Arial" w:eastAsia="Arial" w:hAnsi="Arial"/>
                <w:sz w:val="12"/>
                <w:szCs w:val="12"/>
                <w:color w:val="auto"/>
              </w:rPr>
              <w:t>(9)</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12/31/2015</w:t>
            </w:r>
          </w:p>
        </w:tc>
        <w:tc>
          <w:tcPr>
            <w:tcW w:w="22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91"/>
              </w:rPr>
              <w:t>Oil and Gas</w:t>
            </w:r>
          </w:p>
        </w:tc>
        <w:tc>
          <w:tcPr>
            <w:tcW w:w="11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1,173,479</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1,068,059</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1,173,479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6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First Lien Secured Debt</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12,536,691</w:t>
            </w:r>
          </w:p>
        </w:tc>
        <w:tc>
          <w:tcPr>
            <w:tcW w:w="3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12,716,666</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Second Lien Secured Debt—2.1%</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00" w:type="dxa"/>
            <w:vAlign w:val="bottom"/>
            <w:gridSpan w:val="2"/>
          </w:tcPr>
          <w:p>
            <w:pPr>
              <w:spacing w:after="0" w:line="130" w:lineRule="exact"/>
              <w:rPr>
                <w:sz w:val="20"/>
                <w:szCs w:val="20"/>
                <w:color w:val="auto"/>
              </w:rPr>
            </w:pPr>
            <w:r>
              <w:rPr>
                <w:rFonts w:ascii="Arial" w:cs="Arial" w:eastAsia="Arial" w:hAnsi="Arial"/>
                <w:sz w:val="14"/>
                <w:szCs w:val="14"/>
                <w:color w:val="auto"/>
              </w:rPr>
              <w:t>UP Support Services, Inc.</w:t>
            </w:r>
          </w:p>
        </w:tc>
        <w:tc>
          <w:tcPr>
            <w:tcW w:w="700" w:type="dxa"/>
            <w:vAlign w:val="bottom"/>
          </w:tcPr>
          <w:p>
            <w:pPr>
              <w:jc w:val="right"/>
              <w:spacing w:after="0" w:line="130" w:lineRule="exact"/>
              <w:rPr>
                <w:sz w:val="20"/>
                <w:szCs w:val="20"/>
                <w:color w:val="auto"/>
              </w:rPr>
            </w:pPr>
            <w:r>
              <w:rPr>
                <w:rFonts w:ascii="Arial" w:cs="Arial" w:eastAsia="Arial" w:hAnsi="Arial"/>
                <w:sz w:val="14"/>
                <w:szCs w:val="14"/>
                <w:color w:val="auto"/>
                <w:w w:val="96"/>
              </w:rPr>
              <w:t>12/31/2015</w:t>
            </w:r>
          </w:p>
        </w:tc>
        <w:tc>
          <w:tcPr>
            <w:tcW w:w="220" w:type="dxa"/>
            <w:vAlign w:val="bottom"/>
          </w:tcPr>
          <w:p>
            <w:pPr>
              <w:spacing w:after="0"/>
              <w:rPr>
                <w:sz w:val="11"/>
                <w:szCs w:val="11"/>
                <w:color w:val="auto"/>
              </w:rPr>
            </w:pPr>
          </w:p>
        </w:tc>
        <w:tc>
          <w:tcPr>
            <w:tcW w:w="1540" w:type="dxa"/>
            <w:vAlign w:val="bottom"/>
            <w:gridSpan w:val="2"/>
          </w:tcPr>
          <w:p>
            <w:pPr>
              <w:jc w:val="center"/>
              <w:ind w:right="140"/>
              <w:spacing w:after="0" w:line="130" w:lineRule="exact"/>
              <w:rPr>
                <w:sz w:val="20"/>
                <w:szCs w:val="20"/>
                <w:color w:val="auto"/>
              </w:rPr>
            </w:pPr>
            <w:r>
              <w:rPr>
                <w:rFonts w:ascii="Arial" w:cs="Arial" w:eastAsia="Arial" w:hAnsi="Arial"/>
                <w:sz w:val="14"/>
                <w:szCs w:val="14"/>
                <w:color w:val="auto"/>
                <w:w w:val="91"/>
              </w:rPr>
              <w:t>Oil and Gas</w:t>
            </w:r>
          </w:p>
        </w:tc>
        <w:tc>
          <w:tcPr>
            <w:tcW w:w="1160" w:type="dxa"/>
            <w:vAlign w:val="bottom"/>
            <w:gridSpan w:val="2"/>
          </w:tcPr>
          <w:p>
            <w:pPr>
              <w:jc w:val="right"/>
              <w:ind w:right="340"/>
              <w:spacing w:after="0" w:line="130" w:lineRule="exact"/>
              <w:rPr>
                <w:sz w:val="20"/>
                <w:szCs w:val="20"/>
                <w:color w:val="auto"/>
              </w:rPr>
            </w:pPr>
            <w:r>
              <w:rPr>
                <w:rFonts w:ascii="Arial" w:cs="Arial" w:eastAsia="Arial" w:hAnsi="Arial"/>
                <w:sz w:val="14"/>
                <w:szCs w:val="14"/>
                <w:color w:val="auto"/>
              </w:rPr>
              <w:t>15.00%</w:t>
            </w:r>
          </w:p>
        </w:tc>
        <w:tc>
          <w:tcPr>
            <w:tcW w:w="980" w:type="dxa"/>
            <w:vAlign w:val="bottom"/>
            <w:gridSpan w:val="2"/>
          </w:tcPr>
          <w:p>
            <w:pPr>
              <w:ind w:left="460"/>
              <w:spacing w:after="0" w:line="130"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00"/>
              <w:spacing w:after="0" w:line="130" w:lineRule="exact"/>
              <w:rPr>
                <w:sz w:val="20"/>
                <w:szCs w:val="20"/>
                <w:color w:val="auto"/>
              </w:rPr>
            </w:pPr>
            <w:r>
              <w:rPr>
                <w:rFonts w:ascii="Arial" w:cs="Arial" w:eastAsia="Arial" w:hAnsi="Arial"/>
                <w:sz w:val="14"/>
                <w:szCs w:val="14"/>
                <w:color w:val="auto"/>
                <w:w w:val="94"/>
              </w:rPr>
              <w:t>14,300,282</w:t>
            </w:r>
          </w:p>
        </w:tc>
        <w:tc>
          <w:tcPr>
            <w:tcW w:w="80" w:type="dxa"/>
            <w:vAlign w:val="bottom"/>
          </w:tcPr>
          <w:p>
            <w:pPr>
              <w:spacing w:after="0"/>
              <w:rPr>
                <w:sz w:val="11"/>
                <w:szCs w:val="11"/>
                <w:color w:val="auto"/>
              </w:rPr>
            </w:pPr>
          </w:p>
        </w:tc>
        <w:tc>
          <w:tcPr>
            <w:tcW w:w="1140" w:type="dxa"/>
            <w:vAlign w:val="bottom"/>
            <w:gridSpan w:val="2"/>
          </w:tcPr>
          <w:p>
            <w:pPr>
              <w:jc w:val="right"/>
              <w:ind w:right="300"/>
              <w:spacing w:after="0" w:line="130" w:lineRule="exact"/>
              <w:rPr>
                <w:sz w:val="20"/>
                <w:szCs w:val="20"/>
                <w:color w:val="auto"/>
              </w:rPr>
            </w:pPr>
            <w:r>
              <w:rPr>
                <w:rFonts w:ascii="Arial" w:cs="Arial" w:eastAsia="Arial" w:hAnsi="Arial"/>
                <w:sz w:val="14"/>
                <w:szCs w:val="14"/>
                <w:color w:val="auto"/>
              </w:rPr>
              <w:t>11,809,647</w:t>
            </w:r>
          </w:p>
        </w:tc>
        <w:tc>
          <w:tcPr>
            <w:tcW w:w="80" w:type="dxa"/>
            <w:vAlign w:val="bottom"/>
          </w:tcPr>
          <w:p>
            <w:pPr>
              <w:spacing w:after="0"/>
              <w:rPr>
                <w:sz w:val="11"/>
                <w:szCs w:val="11"/>
                <w:color w:val="auto"/>
              </w:rPr>
            </w:pPr>
          </w:p>
        </w:tc>
        <w:tc>
          <w:tcPr>
            <w:tcW w:w="800" w:type="dxa"/>
            <w:vAlign w:val="bottom"/>
            <w:gridSpan w:val="2"/>
          </w:tcPr>
          <w:p>
            <w:pPr>
              <w:jc w:val="right"/>
              <w:ind w:right="20"/>
              <w:spacing w:after="0" w:line="130" w:lineRule="exact"/>
              <w:rPr>
                <w:sz w:val="20"/>
                <w:szCs w:val="20"/>
                <w:color w:val="auto"/>
              </w:rPr>
            </w:pPr>
            <w:r>
              <w:rPr>
                <w:rFonts w:ascii="Arial" w:cs="Arial" w:eastAsia="Arial" w:hAnsi="Arial"/>
                <w:sz w:val="14"/>
                <w:szCs w:val="14"/>
                <w:color w:val="auto"/>
              </w:rPr>
              <w:t>14,300,282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color w:val="auto"/>
              </w:rPr>
              <w:t>(PIK 15.00)%</w:t>
            </w: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Subordinated Debt/Corporate Notes—0.3%</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4"/>
                <w:szCs w:val="14"/>
                <w:color w:val="auto"/>
              </w:rPr>
              <w:t>SuttonPark Holdings, Inc.</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06/30/2020</w:t>
            </w:r>
          </w:p>
        </w:tc>
        <w:tc>
          <w:tcPr>
            <w:tcW w:w="220" w:type="dxa"/>
            <w:vAlign w:val="bottom"/>
          </w:tcPr>
          <w:p>
            <w:pPr>
              <w:spacing w:after="0"/>
              <w:rPr>
                <w:sz w:val="13"/>
                <w:szCs w:val="13"/>
                <w:color w:val="auto"/>
              </w:rPr>
            </w:pPr>
          </w:p>
        </w:tc>
        <w:tc>
          <w:tcPr>
            <w:tcW w:w="15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0"/>
              </w:rPr>
              <w:t>Business Services</w:t>
            </w:r>
          </w:p>
        </w:tc>
        <w:tc>
          <w:tcPr>
            <w:tcW w:w="11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14.00%</w:t>
            </w:r>
            <w:r>
              <w:rPr>
                <w:rFonts w:ascii="Arial" w:cs="Arial" w:eastAsia="Arial" w:hAnsi="Arial"/>
                <w:sz w:val="12"/>
                <w:szCs w:val="12"/>
                <w:color w:val="auto"/>
              </w:rPr>
              <w:t>(7)</w:t>
            </w:r>
          </w:p>
        </w:tc>
        <w:tc>
          <w:tcPr>
            <w:tcW w:w="9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2,700,000</w:t>
            </w:r>
          </w:p>
        </w:tc>
        <w:tc>
          <w:tcPr>
            <w:tcW w:w="80" w:type="dxa"/>
            <w:vAlign w:val="bottom"/>
          </w:tcPr>
          <w:p>
            <w:pPr>
              <w:spacing w:after="0"/>
              <w:rPr>
                <w:sz w:val="13"/>
                <w:szCs w:val="13"/>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2,700,000</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2,158,053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Preferred Equity—1.3%</w:t>
            </w:r>
            <w:r>
              <w:rPr>
                <w:rFonts w:ascii="Arial" w:cs="Arial" w:eastAsia="Arial" w:hAnsi="Arial"/>
                <w:sz w:val="12"/>
                <w:szCs w:val="12"/>
                <w:b w:val="1"/>
                <w:bCs w:val="1"/>
                <w:color w:val="auto"/>
              </w:rPr>
              <w:t>(6)</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4"/>
                <w:szCs w:val="14"/>
                <w:color w:val="auto"/>
              </w:rPr>
              <w:t>SuttonPark Holdings, Inc.</w:t>
            </w: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9"/>
              </w:rPr>
              <w:t>—</w:t>
            </w:r>
          </w:p>
        </w:tc>
        <w:tc>
          <w:tcPr>
            <w:tcW w:w="15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0"/>
              </w:rPr>
              <w:t>Business Services</w:t>
            </w:r>
          </w:p>
        </w:tc>
        <w:tc>
          <w:tcPr>
            <w:tcW w:w="11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14.00%</w:t>
            </w:r>
          </w:p>
        </w:tc>
        <w:tc>
          <w:tcPr>
            <w:tcW w:w="9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2,000</w:t>
            </w: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2,000,000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216,947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Universal Pegasus International Holdings, Inc.</w:t>
            </w:r>
          </w:p>
        </w:tc>
        <w:tc>
          <w:tcPr>
            <w:tcW w:w="92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9"/>
              </w:rPr>
              <w:t>—</w:t>
            </w:r>
          </w:p>
        </w:tc>
        <w:tc>
          <w:tcPr>
            <w:tcW w:w="154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91"/>
              </w:rPr>
              <w:t>Oil and Gas</w:t>
            </w:r>
          </w:p>
        </w:tc>
        <w:tc>
          <w:tcPr>
            <w:tcW w:w="11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8.00%</w:t>
            </w:r>
          </w:p>
        </w:tc>
        <w:tc>
          <w:tcPr>
            <w:tcW w:w="98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411,988</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35,120,613</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8,239,760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6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Preferred Equity</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37,120,613</w:t>
            </w:r>
          </w:p>
        </w:tc>
        <w:tc>
          <w:tcPr>
            <w:tcW w:w="3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8,456,707</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 xml:space="preserve">Common Equity—0.0% </w:t>
            </w:r>
            <w:r>
              <w:rPr>
                <w:rFonts w:ascii="Arial" w:cs="Arial" w:eastAsia="Arial" w:hAnsi="Arial"/>
                <w:sz w:val="12"/>
                <w:szCs w:val="12"/>
                <w:b w:val="1"/>
                <w:bCs w:val="1"/>
                <w:color w:val="auto"/>
              </w:rPr>
              <w:t>(6)</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4"/>
                <w:szCs w:val="14"/>
                <w:color w:val="auto"/>
              </w:rPr>
              <w:t>SuttonPark Holdings, Inc.</w:t>
            </w: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9"/>
              </w:rPr>
              <w:t>—</w:t>
            </w:r>
          </w:p>
        </w:tc>
        <w:tc>
          <w:tcPr>
            <w:tcW w:w="15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0"/>
              </w:rPr>
              <w:t>Business Services</w:t>
            </w:r>
          </w:p>
        </w:tc>
        <w:tc>
          <w:tcPr>
            <w:tcW w:w="11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100</w:t>
            </w: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100</w:t>
            </w:r>
          </w:p>
        </w:tc>
        <w:tc>
          <w:tcPr>
            <w:tcW w:w="3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 in Controlled, Affiliated Portfolio Companies</w:t>
            </w:r>
          </w:p>
        </w:tc>
        <w:tc>
          <w:tcPr>
            <w:tcW w:w="1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64,167,051</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37,631,708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6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Investments—147.9%</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1"/>
              </w:rPr>
              <w:t>1,008,611,862</w:t>
            </w:r>
          </w:p>
        </w:tc>
        <w:tc>
          <w:tcPr>
            <w:tcW w:w="3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990,479,710</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Equivalents—1.1%</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7,559,453</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7,559,453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6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Investments and Cash Equivalents—149.0%</w:t>
            </w: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1"/>
              </w:rPr>
              <w:t>1,016,171,315</w:t>
            </w:r>
          </w:p>
        </w:tc>
        <w:tc>
          <w:tcPr>
            <w:tcW w:w="300" w:type="dxa"/>
            <w:vAlign w:val="bottom"/>
          </w:tcPr>
          <w:p>
            <w:pPr>
              <w:spacing w:after="0"/>
              <w:rPr>
                <w:sz w:val="13"/>
                <w:szCs w:val="13"/>
                <w:color w:val="auto"/>
              </w:rPr>
            </w:pPr>
          </w:p>
        </w:tc>
        <w:tc>
          <w:tcPr>
            <w:tcW w:w="8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998,039,163</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Liabilities in Excess of Other Assets—(49.0%)</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w w:val="91"/>
              </w:rPr>
              <w:t>(328,322,116)</w:t>
            </w:r>
          </w:p>
        </w:tc>
        <w:tc>
          <w:tcPr>
            <w:tcW w:w="0" w:type="dxa"/>
            <w:vAlign w:val="bottom"/>
          </w:tcPr>
          <w:p>
            <w:pPr>
              <w:spacing w:after="0"/>
              <w:rPr>
                <w:sz w:val="1"/>
                <w:szCs w:val="1"/>
                <w:color w:val="auto"/>
              </w:rPr>
            </w:pPr>
          </w:p>
        </w:tc>
      </w:tr>
      <w:tr>
        <w:trPr>
          <w:trHeight w:val="156"/>
        </w:trPr>
        <w:tc>
          <w:tcPr>
            <w:tcW w:w="36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Net Assets—100.0%</w:t>
            </w: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669,717,047</w:t>
            </w:r>
          </w:p>
        </w:tc>
        <w:tc>
          <w:tcPr>
            <w:tcW w:w="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59" w:right="23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80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CONSOLIDATED SCHEDULE OF INVESTMENTS (CONTINUED) SEPTEMBER 30,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226695</wp:posOffset>
            </wp:positionV>
            <wp:extent cx="72898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72" w:lineRule="exact"/>
        <w:rPr>
          <w:sz w:val="20"/>
          <w:szCs w:val="20"/>
          <w:color w:val="auto"/>
        </w:rPr>
      </w:pPr>
    </w:p>
    <w:p>
      <w:pPr>
        <w:ind w:left="340" w:hanging="332"/>
        <w:spacing w:after="0" w:line="248" w:lineRule="auto"/>
        <w:tabs>
          <w:tab w:leader="none" w:pos="340" w:val="left"/>
        </w:tabs>
        <w:numPr>
          <w:ilvl w:val="0"/>
          <w:numId w:val="118"/>
        </w:numPr>
        <w:rPr>
          <w:rFonts w:ascii="Arial" w:cs="Arial" w:eastAsia="Arial" w:hAnsi="Arial"/>
          <w:sz w:val="13"/>
          <w:szCs w:val="13"/>
          <w:color w:val="auto"/>
        </w:rPr>
      </w:pPr>
      <w:r>
        <w:rPr>
          <w:rFonts w:ascii="Arial" w:cs="Arial" w:eastAsia="Arial" w:hAnsi="Arial"/>
          <w:sz w:val="13"/>
          <w:szCs w:val="13"/>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340" w:right="380" w:hanging="332"/>
        <w:spacing w:after="0" w:line="238" w:lineRule="auto"/>
        <w:tabs>
          <w:tab w:leader="none" w:pos="340" w:val="left"/>
        </w:tabs>
        <w:numPr>
          <w:ilvl w:val="0"/>
          <w:numId w:val="118"/>
        </w:numPr>
        <w:rPr>
          <w:rFonts w:ascii="Arial" w:cs="Arial" w:eastAsia="Arial" w:hAnsi="Arial"/>
          <w:sz w:val="13"/>
          <w:szCs w:val="13"/>
          <w:color w:val="auto"/>
        </w:rPr>
      </w:pPr>
      <w:r>
        <w:rPr>
          <w:rFonts w:ascii="Arial" w:cs="Arial" w:eastAsia="Arial" w:hAnsi="Arial"/>
          <w:sz w:val="13"/>
          <w:szCs w:val="13"/>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ind w:left="340" w:hanging="332"/>
        <w:spacing w:after="0" w:line="221" w:lineRule="auto"/>
        <w:tabs>
          <w:tab w:leader="none" w:pos="34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Valued based on our accounting policy (see Note 2).</w:t>
      </w:r>
    </w:p>
    <w:p>
      <w:pPr>
        <w:ind w:left="340" w:hanging="332"/>
        <w:spacing w:after="0" w:line="221" w:lineRule="auto"/>
        <w:tabs>
          <w:tab w:leader="none" w:pos="34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Represents floating rate instruments that accrue interest at a predetermined spread relative to an index, typically the applicable LIBOR or “L”, or Prime or “P”, rate.</w:t>
      </w:r>
    </w:p>
    <w:p>
      <w:pPr>
        <w:ind w:left="340" w:right="40" w:hanging="332"/>
        <w:spacing w:after="0" w:line="221" w:lineRule="auto"/>
        <w:tabs>
          <w:tab w:leader="none" w:pos="34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The security may be resold in transactions that are exempt from registration, normally to qualified institutional buyers.</w:t>
      </w:r>
    </w:p>
    <w:p>
      <w:pPr>
        <w:ind w:left="340" w:hanging="332"/>
        <w:spacing w:after="0" w:line="221" w:lineRule="auto"/>
        <w:tabs>
          <w:tab w:leader="none" w:pos="34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Non-income producing securities.</w:t>
      </w:r>
    </w:p>
    <w:p>
      <w:pPr>
        <w:ind w:left="340" w:hanging="332"/>
        <w:spacing w:after="0" w:line="221" w:lineRule="auto"/>
        <w:tabs>
          <w:tab w:leader="none" w:pos="34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Coupon is payable in cash and/or PIK.</w:t>
      </w:r>
    </w:p>
    <w:p>
      <w:pPr>
        <w:ind w:left="340" w:hanging="332"/>
        <w:spacing w:after="0" w:line="221" w:lineRule="auto"/>
        <w:tabs>
          <w:tab w:leader="none" w:pos="34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Coupon is subject to a LIBOR or Prime rate floor.</w:t>
      </w:r>
    </w:p>
    <w:p>
      <w:pPr>
        <w:ind w:left="340" w:hanging="332"/>
        <w:spacing w:after="0" w:line="221" w:lineRule="auto"/>
        <w:tabs>
          <w:tab w:leader="none" w:pos="34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Represents the purchase of a security with delayed settlement (unfunded investments). This security does not have a basis point spread above an index.</w:t>
      </w:r>
    </w:p>
    <w:p>
      <w:pPr>
        <w:ind w:left="340" w:hanging="332"/>
        <w:spacing w:after="0" w:line="221" w:lineRule="auto"/>
        <w:tabs>
          <w:tab w:leader="none" w:pos="34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Non-U.S. company or principal place of business outside the U.S.</w:t>
      </w:r>
    </w:p>
    <w:p>
      <w:pPr>
        <w:ind w:left="340" w:hanging="332"/>
        <w:spacing w:after="0" w:line="221" w:lineRule="auto"/>
        <w:tabs>
          <w:tab w:leader="none" w:pos="34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Investment is held through PNNT CI (Galls) Prime Investment Holdings, LLC, a consolidated subsidiary.</w:t>
      </w:r>
    </w:p>
    <w:p>
      <w:pPr>
        <w:ind w:left="340" w:hanging="332"/>
        <w:spacing w:after="0" w:line="221" w:lineRule="auto"/>
        <w:tabs>
          <w:tab w:leader="none" w:pos="34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Investment is held through PNNT Acentia LLC, a consolidated subsidiary.</w:t>
      </w:r>
    </w:p>
    <w:p>
      <w:pPr>
        <w:ind w:left="340" w:hanging="332"/>
        <w:spacing w:after="0"/>
        <w:tabs>
          <w:tab w:leader="none" w:pos="34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Investment is held through PNNT Transportation 100 Holdco, LLC, a consolidated subsidiary.</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00"/>
          </w:cols>
          <w:pgMar w:left="240" w:top="460" w:right="25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80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 SEPTEMBER 30, 2013</w:t>
      </w:r>
    </w:p>
    <w:p>
      <w:pPr>
        <w:spacing w:after="0" w:line="72" w:lineRule="exact"/>
        <w:rPr>
          <w:sz w:val="20"/>
          <w:szCs w:val="20"/>
          <w:color w:val="auto"/>
        </w:rPr>
      </w:pPr>
    </w:p>
    <w:p>
      <w:pPr>
        <w:ind w:right="120" w:firstLine="456"/>
        <w:spacing w:after="0" w:line="272" w:lineRule="auto"/>
        <w:rPr>
          <w:sz w:val="20"/>
          <w:szCs w:val="20"/>
          <w:color w:val="auto"/>
        </w:rPr>
      </w:pPr>
      <w:r>
        <w:rPr>
          <w:rFonts w:ascii="Arial" w:cs="Arial" w:eastAsia="Arial" w:hAnsi="Arial"/>
          <w:sz w:val="17"/>
          <w:szCs w:val="17"/>
          <w:b w:val="1"/>
          <w:bCs w:val="1"/>
          <w:i w:val="1"/>
          <w:iCs w:val="1"/>
          <w:color w:val="auto"/>
        </w:rPr>
        <w:t>Except where the context suggests otherwise, “we,” “our” or “us” refer to PennantPark Investment Corporation and its consolidated subsidiaries. “PennantPark Investment” refers to only PennantPark Investment Corporation; “our SBIC Funds” refers collectively to our consolidated subsidiaries, PennantPark SBIC LP, or SBIC LP, and its general partner, PennantPark SBIC GP, LLC, and PennantPark SBIC II LP, or SBIC II, and its general partner, PennantPark SBIC GP II, LLC; “SBA” refers to the Small Business Administration; “Credit Facility” refers to our multi-currency, senior secured revolving credit facility; “2025 Notes” refers to our 6.25% senior notes due 2025; “BDC” refers to a business development company under the Investment Company Act of 1940, as amended, or the 1940 Act; “Code” refers to the Internal Revenue Code of 1986, as amended; “RIC” refers to a regulated investment company under the Code.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121"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PennantPark Investment Corporation was organized as a Maryland corporation in January 2007. PennantPark Investment is a closed-end, externally managed, non-diversified investment company that has elected to be treated as a BDC. PennantPark Investment’s objective is to generate both current income and capital appreciation through debt and equity investments. We invest primarily in U.S. middle-market companies in the form of senior secured loans, mezzanine debt and, to a lesser extent, equity investments. On April 24, 2007, we closed our initial public offering and our common stock trades on the NASDAQ Global Select Market under the symbol “PNNT.” Our 2025 Notes trade on the NYSE under the symbol “PNTA.”</w:t>
      </w:r>
    </w:p>
    <w:p>
      <w:pPr>
        <w:spacing w:after="0" w:line="173" w:lineRule="exact"/>
        <w:rPr>
          <w:sz w:val="20"/>
          <w:szCs w:val="20"/>
          <w:color w:val="auto"/>
        </w:rPr>
      </w:pPr>
    </w:p>
    <w:p>
      <w:pPr>
        <w:ind w:right="340" w:firstLine="456"/>
        <w:spacing w:after="0" w:line="273" w:lineRule="auto"/>
        <w:rPr>
          <w:sz w:val="20"/>
          <w:szCs w:val="20"/>
          <w:color w:val="auto"/>
        </w:rPr>
      </w:pPr>
      <w:r>
        <w:rPr>
          <w:rFonts w:ascii="Arial" w:cs="Arial" w:eastAsia="Arial" w:hAnsi="Arial"/>
          <w:sz w:val="17"/>
          <w:szCs w:val="17"/>
          <w:color w:val="auto"/>
        </w:rPr>
        <w:t>We have entered into an investment management agreement, or the Investment Management Agreement, with the Investment Adviser, an external adviser that manages our day-to-day operations. We have also entered into an administration agreement, or the Administration Agreement, with the Administrator, which provides the administrative services necessary for us to operate. PennantPark Investment, through the Investment Adviser, manages day-to-day operations of and provides investment advisory services to each of our SBIC Funds under separate investment management agreements. PennantPark Investment, through the Administrator, also provides similar services to each of our SBIC Funds and our controlled affiliate SuttonPark Holdings, Inc. and its subsidiaries, or SPH, under separate administration agreements. See Note 3.</w:t>
      </w:r>
    </w:p>
    <w:p>
      <w:pPr>
        <w:spacing w:after="0" w:line="17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Our wholly owned subsidiaries, SBIC LP and SBIC II, were organized as Delaware limited partnerships in May 2010 and July 2012, respectively. SBIC LP and SBIC II received licenses from the SBA to operate as small business investment companies, or SBICs, under Section 301(c) of the Small Business Investment Act of 1958, as amended, or the 1958 Act, in July 2010 and January 2013, respectively. Our SBIC Funds’ objectives are to generate both current income and capital appreciation through debt and equity investments generally by investing with us in SBA eligible businesses that meet the investment criteria used by PennantPark Investment.</w:t>
      </w:r>
    </w:p>
    <w:p>
      <w:pPr>
        <w:spacing w:after="0" w:line="188"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have formed and expect to continue to form certain taxable subsidiaries, or the Taxable Subsidiaries, which are taxed as corporations for federal income tax purposes. These Taxable Subsidiaries allow us to hold equity securities of portfolio companies organized as pass-through entities while continuing to satisfy the requirements of a RIC under the Code.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2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preparation of our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periods. Actual results could differ from these estimates. We may reclassify certain prior period amounts to conform to the current period presentation. We have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00"/>
          </w:cols>
          <w:pgMar w:left="240" w:top="460" w:right="25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 SEPTEMBER 30, 2013</w:t>
      </w:r>
    </w:p>
    <w:p>
      <w:pPr>
        <w:spacing w:after="0" w:line="8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eliminated all intercompany balances and transactions. References to the Accounting Standards Codification, or ASC, serve as a single source of accounting literature. Subsequent events are evaluated and disclosed as appropriate for events occurring through the date the Consolidated Financial Statements are issued. Changes in the economic and regulatory environment, financial markets and any other parameters used in determining such estimates could cause actual results to differ.</w:t>
      </w:r>
    </w:p>
    <w:p>
      <w:pPr>
        <w:spacing w:after="0" w:line="18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Our Consolidated Financial Statements are prepared in accordance with GAAP and pursuant to the requirements for reporting on Form 10-K/Q and Article 6 or 10 of Regulation S-X, as appropriate. In accordance with Article 6-09 of Regulation S-X, we have provided a Consolidated Statement of Changes in Net Assets in lieu of a Consolidated Statement of Changes in Stockholders’ Equity.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significant accounting policies consistently applied are as follows:</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Investment Valuations</w:t>
      </w:r>
    </w:p>
    <w:p>
      <w:pPr>
        <w:spacing w:after="0" w:line="11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otherwise by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165"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We expect that there will not be readily available market values for many of our investments which are or will be in our portfolio, and we value such investments at fair value as determined in good faith by or under the direction of our board of directors using a documented valuation policy, described in this Report,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182"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76" w:lineRule="exact"/>
        <w:rPr>
          <w:sz w:val="20"/>
          <w:szCs w:val="20"/>
          <w:color w:val="auto"/>
        </w:rPr>
      </w:pPr>
    </w:p>
    <w:p>
      <w:pPr>
        <w:ind w:left="900" w:right="200" w:hanging="446"/>
        <w:spacing w:after="0" w:line="277"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130" w:lineRule="exact"/>
        <w:rPr>
          <w:rFonts w:ascii="Arial" w:cs="Arial" w:eastAsia="Arial" w:hAnsi="Arial"/>
          <w:sz w:val="18"/>
          <w:szCs w:val="18"/>
          <w:color w:val="auto"/>
        </w:rPr>
      </w:pPr>
    </w:p>
    <w:p>
      <w:pPr>
        <w:ind w:left="900" w:right="640" w:hanging="446"/>
        <w:spacing w:after="0" w:line="264"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59" w:right="23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 SEPTEMBER 30, 2013</w:t>
      </w:r>
    </w:p>
    <w:p>
      <w:pPr>
        <w:spacing w:after="0" w:line="86" w:lineRule="exact"/>
        <w:rPr>
          <w:sz w:val="20"/>
          <w:szCs w:val="20"/>
          <w:color w:val="auto"/>
        </w:rPr>
      </w:pPr>
    </w:p>
    <w:p>
      <w:pPr>
        <w:ind w:left="920" w:right="220"/>
        <w:spacing w:after="0" w:line="277" w:lineRule="auto"/>
        <w:rPr>
          <w:sz w:val="20"/>
          <w:szCs w:val="20"/>
          <w:color w:val="auto"/>
        </w:rPr>
      </w:pPr>
      <w:r>
        <w:rPr>
          <w:rFonts w:ascii="Arial" w:cs="Arial" w:eastAsia="Arial" w:hAnsi="Arial"/>
          <w:sz w:val="18"/>
          <w:szCs w:val="18"/>
          <w:color w:val="auto"/>
        </w:rPr>
        <w:t>management’s preliminary valuations in light of their own independent assessment and also in light of any market quotations obtained from an independent pricing service, broker, dealer or market maker;</w:t>
      </w:r>
    </w:p>
    <w:p>
      <w:pPr>
        <w:spacing w:after="0" w:line="76" w:lineRule="exact"/>
        <w:rPr>
          <w:sz w:val="20"/>
          <w:szCs w:val="20"/>
          <w:color w:val="auto"/>
        </w:rPr>
      </w:pPr>
    </w:p>
    <w:p>
      <w:pPr>
        <w:ind w:left="900" w:right="260" w:hanging="446"/>
        <w:spacing w:after="0" w:line="286" w:lineRule="auto"/>
        <w:tabs>
          <w:tab w:leader="none" w:pos="900" w:val="left"/>
        </w:tabs>
        <w:numPr>
          <w:ilvl w:val="1"/>
          <w:numId w:val="120"/>
        </w:numPr>
        <w:rPr>
          <w:rFonts w:ascii="Arial" w:cs="Arial" w:eastAsia="Arial" w:hAnsi="Arial"/>
          <w:sz w:val="17"/>
          <w:szCs w:val="17"/>
          <w:color w:val="auto"/>
        </w:rPr>
      </w:pPr>
      <w:r>
        <w:rPr>
          <w:rFonts w:ascii="Arial" w:cs="Arial" w:eastAsia="Arial" w:hAnsi="Arial"/>
          <w:sz w:val="17"/>
          <w:szCs w:val="17"/>
          <w:color w:val="auto"/>
        </w:rPr>
        <w:t>The audit committee of our board of directors reviews the preliminary valuations of the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70" w:lineRule="exact"/>
        <w:rPr>
          <w:rFonts w:ascii="Arial" w:cs="Arial" w:eastAsia="Arial" w:hAnsi="Arial"/>
          <w:sz w:val="17"/>
          <w:szCs w:val="17"/>
          <w:color w:val="auto"/>
        </w:rPr>
      </w:pPr>
    </w:p>
    <w:p>
      <w:pPr>
        <w:ind w:left="900" w:right="400" w:hanging="446"/>
        <w:spacing w:after="0" w:line="277" w:lineRule="auto"/>
        <w:tabs>
          <w:tab w:leader="none" w:pos="90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278" w:lineRule="exact"/>
        <w:rPr>
          <w:rFonts w:ascii="Arial" w:cs="Arial" w:eastAsia="Arial" w:hAnsi="Arial"/>
          <w:sz w:val="18"/>
          <w:szCs w:val="18"/>
          <w:color w:val="auto"/>
        </w:rPr>
      </w:pPr>
    </w:p>
    <w:p>
      <w:pPr>
        <w:ind w:left="500" w:hanging="264"/>
        <w:spacing w:after="0"/>
        <w:tabs>
          <w:tab w:leader="none" w:pos="500" w:val="left"/>
        </w:tabs>
        <w:numPr>
          <w:ilvl w:val="0"/>
          <w:numId w:val="1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Security Transactions, Revenue Recognition, and Realized / Unrealized Gains or Losses</w:t>
      </w:r>
    </w:p>
    <w:p>
      <w:pPr>
        <w:spacing w:after="0" w:line="117" w:lineRule="exact"/>
        <w:rPr>
          <w:sz w:val="20"/>
          <w:szCs w:val="20"/>
          <w:color w:val="auto"/>
        </w:rPr>
      </w:pPr>
    </w:p>
    <w:p>
      <w:pPr>
        <w:ind w:right="260" w:firstLine="456"/>
        <w:spacing w:after="0" w:line="276" w:lineRule="auto"/>
        <w:rPr>
          <w:sz w:val="20"/>
          <w:szCs w:val="20"/>
          <w:color w:val="auto"/>
        </w:rPr>
      </w:pPr>
      <w:r>
        <w:rPr>
          <w:rFonts w:ascii="Arial" w:cs="Arial" w:eastAsia="Arial" w:hAnsi="Arial"/>
          <w:sz w:val="17"/>
          <w:szCs w:val="17"/>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the fair values of our portfolio investments and our Credit Facility during the reporting period, including any reversal of previously recorded unrealized appreciation or depreciation, when gains or losses are realized.</w:t>
      </w:r>
    </w:p>
    <w:p>
      <w:pPr>
        <w:spacing w:after="0" w:line="17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or OID, market discount or premium and deferred financing costs are capitalized and we then accrete or amortize such amounts using the effective interest method as interest income or interest expense as it relates to our deferred financing costs. We record prepayment penalties on loans and debt investments as income. Dividend income, if any, is recognized on an accrual basis on the ex-dividend date to the extent that we expect to collect such amounts.</w:t>
      </w:r>
    </w:p>
    <w:p>
      <w:pPr>
        <w:spacing w:after="0" w:line="167"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Loans are placed on non-accrual status when principal or interest payments are past due 30 days or more and/or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are paid and, in management’s judgment, are likely to remain current.</w:t>
      </w:r>
    </w:p>
    <w:p>
      <w:pPr>
        <w:spacing w:after="0" w:line="28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 Income Taxes</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We have complied with the requirements of Subchapter M of the Code and expect to be subject to tax as a RIC. As a result, we account for income taxes using the asset liability method prescribed by ASC 740, Income Taxes. Under this method, income taxes are provided for amounts currently payable and for amounts deferred as tax assets and liabilities based on differences between the financial statement carrying amounts and the tax basis of existing assets and liabilities. Based upon PennantPark Investment’s qualification and election to be subject to tax as a RIC, we do not anticipate paying any material level of federal income taxes in the future. Although we are not subject to tax as a RIC, we have elected to retain a portion of our calendar year income and accrued</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60" w:right="23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80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 SEPTEMBER 30, 2013</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color w:val="auto"/>
        </w:rPr>
        <w:t>estimated excise taxes of $(0.1) million, $0.3 million and $0.2 million for the fiscal years ended September 30, 2013, 2012 and 2011, respectively.</w:t>
      </w:r>
    </w:p>
    <w:p>
      <w:pPr>
        <w:spacing w:after="0" w:line="237"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PennantPark Investment recognizes in its Consolidated Financial Statements the effect of a tax position when it is more likely than not, based on the technical merits, that the position will be sustained upon examination. We did not have any uncertain tax positions that met the recognition or measurement criteria of ASC 740-10-25 nor did we have any unrecognized tax benefits as of the periods presented herein. Although we file federal and state tax returns, our major tax jurisdiction is federal. Our tax returns for each of our federal tax years since 2009 remain subject to examination by the Internal Revenue Service and the state department of revenue.</w:t>
      </w:r>
    </w:p>
    <w:p>
      <w:pPr>
        <w:spacing w:after="0" w:line="188"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 We do not consolidate the Taxable Subsidiaries for income tax purposes, but we do consolidate the results of these Taxable Subsidiaries for financial reporting purposes.</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 Distributions and Capital Transactions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Distributions to common stockholders are recorded on the ex-dividend date. The amount to be paid, if any, as a distribution is determined by the board of directors each quarter and is generally based upon the earnings estimated by management. Net realized capital gains, if any, are distributed at least annually. The tax attributes for distributions will generally include ordinary income and capital gains but may also include qualified dividends and/or return of capital.</w:t>
      </w:r>
    </w:p>
    <w:p>
      <w:pPr>
        <w:spacing w:after="0" w:line="187"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 Consolidation</w:t>
      </w:r>
    </w:p>
    <w:p>
      <w:pPr>
        <w:spacing w:after="0" w:line="117"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color w:val="auto"/>
        </w:rPr>
        <w:t>As permitted under Regulation S-X and as explained by ASC 946-810-45, PennantPark Investment will generally not consolidate its investment in a company other than an investment company subsidiary or a controlled operating company whose business consists of providing services to us. Accordingly, we have consolidated the results of SBIC LP, SBIC GP and our Taxable Subsidiaries in our Consolidated Financial Statements.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w:t>
      </w:r>
    </w:p>
    <w:p>
      <w:pPr>
        <w:spacing w:after="0" w:line="12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Investment Management Agreement with the Investment Adviser was re-approved by our board of directors, including a majority of our directors who are not interested persons of us or the Investment Adviser, in February 2013. Under the Investment Management Agreement the Investment Adviser, subject to the overall supervision of our board of directors, manages the day-to-day operations of and provides investment advisory services to, PennantPark Investment. Our SBIC Funds’ investment management agreements do not affect the management or incentive fees that we pay to the Investment Adviser on a consolidated basis. For providing these services, the Investment Adviser receives a fee from us, consisting of two components—a base management fee and an incentive fee.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00"/>
          </w:cols>
          <w:pgMar w:left="240" w:top="459" w:right="25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80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 SEPTEMBER 30, 2013</w:t>
      </w:r>
    </w:p>
    <w:p>
      <w:pPr>
        <w:spacing w:after="0" w:line="86" w:lineRule="exact"/>
        <w:rPr>
          <w:sz w:val="20"/>
          <w:szCs w:val="20"/>
          <w:color w:val="auto"/>
        </w:rPr>
      </w:pPr>
    </w:p>
    <w:p>
      <w:pPr>
        <w:ind w:right="100" w:firstLine="456"/>
        <w:spacing w:after="0" w:line="271" w:lineRule="auto"/>
        <w:rPr>
          <w:sz w:val="20"/>
          <w:szCs w:val="20"/>
          <w:color w:val="auto"/>
        </w:rPr>
      </w:pPr>
      <w:r>
        <w:rPr>
          <w:rFonts w:ascii="Arial" w:cs="Arial" w:eastAsia="Arial" w:hAnsi="Arial"/>
          <w:sz w:val="17"/>
          <w:szCs w:val="17"/>
          <w:color w:val="auto"/>
        </w:rPr>
        <w:t>The base management fee is calculated at an annual rate of 2.00% of our “average adjusted gross assets” (net of U.S. Treasury Bills and/or temporary draws under any credit facility, repurchase agreements or other balance sheet transactions undertaken at the end of a fiscal quarter for purposes of preserving investment flexibility for the next quarter, if any)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the fiscal years ended September 30, 2013, 2012 and 2011, the Investment Adviser earned base management fees of $21.3 million, $17.5 million and $14.9 million, respectively, from us.</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has two parts, as follows:</w:t>
      </w:r>
    </w:p>
    <w:p>
      <w:pPr>
        <w:spacing w:after="0" w:line="225" w:lineRule="exact"/>
        <w:rPr>
          <w:sz w:val="20"/>
          <w:szCs w:val="20"/>
          <w:color w:val="auto"/>
        </w:rPr>
      </w:pPr>
    </w:p>
    <w:p>
      <w:pPr>
        <w:ind w:right="160" w:firstLine="456"/>
        <w:spacing w:after="0" w:line="283" w:lineRule="auto"/>
        <w:rPr>
          <w:sz w:val="20"/>
          <w:szCs w:val="20"/>
          <w:color w:val="auto"/>
        </w:rPr>
      </w:pPr>
      <w:r>
        <w:rPr>
          <w:rFonts w:ascii="Arial" w:cs="Arial" w:eastAsia="Arial" w:hAnsi="Arial"/>
          <w:sz w:val="16"/>
          <w:szCs w:val="16"/>
          <w:color w:val="auto"/>
        </w:rPr>
        <w:t>One part is calculated and payable quarterly in arrears based on our Pre-Incentive Fee Net Investment Income for the immediately preceding calendar quarter. For this purpose, Pre-Incentive Fee Net Investment Income means interest income, distribution income and any other income, including any other fees other than fees for providing managerial assistance, such as commitment, origination,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deferred interest feature (such as OID, debt instruments with PIK interest and zero coupon securities), accrued income not yet received in cash. Pre-Incentive Fee Net Investment Income does not include any realized capital gains, realized capital losses or unrealized capital appreciation or depreciation. Pre-Incentive Fee Net Investment Income, expressed as a rate of return on the value of our net assets at the end of the immediately preceding calendar quarter, is compared to the hurdle rate of</w:t>
      </w:r>
    </w:p>
    <w:p>
      <w:pPr>
        <w:spacing w:after="0" w:line="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100% of our Pre-Incentive Fee Net Investment Income with respect to that portion of such Pre-Incentive Fee Net Investment Income, if any, that exceeds the hurdle rate but is less than 2.1875% in any calendar quarter (8.75% annualized), and (3) 20% of the amount of our Pre-Incentive Fee Net Investment Income, if any, that exceeds 2.1875% in any calendar quarter. These calculations are adjusted for any share issuances or repurchases during the relevant quarter. For the fiscal years ended September 30, 2013, 2012 and 2011, the Investment Adviser received an incentive fee of $16.8 million, $14.2 million and $13.2 million, respectively, from us.</w:t>
      </w:r>
    </w:p>
    <w:p>
      <w:pPr>
        <w:spacing w:after="0" w:line="193"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The second part of the incentive fee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the fiscal years ended September 30, 2013, 2012 and 2011 the Investment Adviser did not earn an incentive fee on capital gains as calculated under the Investment Management Agreement (as described above).</w:t>
      </w:r>
    </w:p>
    <w:p>
      <w:pPr>
        <w:spacing w:after="0" w:line="173"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00"/>
          </w:cols>
          <w:pgMar w:left="240" w:top="460" w:right="25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 SEPTEMBER 30, 2013</w:t>
      </w:r>
    </w:p>
    <w:p>
      <w:pPr>
        <w:spacing w:after="0" w:line="8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aggregate cumulative unrealized capital appreciation or depreciation. If such amount is positive at the end of a period, then we record a capital gains incentive fee equal to 20% of such amount, less the aggregate amount of actual capital gains related incentive fees paid in all prior years. If such amount is negative, then there is no accrual for such year. There can be no assurance that such unrealized capital appreciation will be realized in the future. For the years ended September 30, 2013, 2012 and 2011, our unrealized and realized capital gains did not exceed our cumulative realized and unrealized losses and resulted in no accrual under GAAP.</w:t>
      </w:r>
    </w:p>
    <w:p>
      <w:pPr>
        <w:spacing w:after="0" w:line="16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Administration Agreement with the Administrator was reapproved by our board of directors, including a majority of our directors who are not interested persons of us, in February 2013. Under the Administration Agreement, the Administrator provides administrative services and office facilities to us. The Administrator provides similar services to our SBIC Funds under each of their administration agreements with PennantPark Investment. For providing these services, facilities and personnel, PennantPark Investment has agreed to reimburse the Administrator for our allocable portion of overhead and other expenses incurred by the Administrator in performing its obligations under our Administration Agreement, including rent, technology systems, insurance and PennantPark Investment’s allocable portion of the costs of compensation and related expenses for its Chief Compliance Officer, Chief Financial Officer and their respective staffs. The Administrator also offers, on PennantPark Investment’s behalf, managerial assistance to portfolio companies to which PennantPark Investment is required to offer such assistance. Reimbursement for certain of these costs is included in administrative services expenses in the Consolidated Statement of Operations. For the fiscal years ended September 30, 2013, 2012 and 2011, the Investment Adviser and Administrator, collectively, were reimbursed $2.9 million, $3.6 million and $2.6 million, respectively, from us, including expenses incurred on behalf of the Administrator, for the services described above.</w:t>
      </w:r>
    </w:p>
    <w:p>
      <w:pPr>
        <w:spacing w:after="0" w:line="183" w:lineRule="exact"/>
        <w:rPr>
          <w:sz w:val="20"/>
          <w:szCs w:val="20"/>
          <w:color w:val="auto"/>
        </w:rPr>
      </w:pPr>
    </w:p>
    <w:p>
      <w:pPr>
        <w:ind w:right="100" w:firstLine="456"/>
        <w:spacing w:after="0" w:line="271" w:lineRule="auto"/>
        <w:rPr>
          <w:sz w:val="20"/>
          <w:szCs w:val="20"/>
          <w:color w:val="auto"/>
        </w:rPr>
      </w:pPr>
      <w:r>
        <w:rPr>
          <w:rFonts w:ascii="Arial" w:cs="Arial" w:eastAsia="Arial" w:hAnsi="Arial"/>
          <w:sz w:val="17"/>
          <w:szCs w:val="17"/>
          <w:color w:val="auto"/>
        </w:rPr>
        <w:t>PennantPark Investment has entered into an administration agreement with its controlled affiliate SPH. Under the administration agreement with SPH, or the SPH Administration Agreement, PennantPark Investment through the Administrator furnishes SPH with office facilities, equipment and clerical, bookkeeping and record keeping services at such facilities. Additionally, the Administrator performs or oversees the performance of SPH’s required administrative services, which include, among other things, maintaining financial records, preparing financial reports and filing tax returns. Payments under the SPH Administration Agreement are equal to an amount based upon SPH’s allocable portion of the Administrator’s overhead in performing its obligations under the SPH Administration Agreement, including rent and allocable portion of the cost of compensation and related expenses of our Chief Financial Officer and his staff. For the fiscal years ended September 30, 2013, 2012 and 2011, PennantPark Investment was reimbursed $0.4 million, $0.7 million and $0.5 million, respectively, for the services described above.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w:t>
      </w:r>
    </w:p>
    <w:p>
      <w:pPr>
        <w:spacing w:after="0" w:line="121" w:lineRule="exact"/>
        <w:rPr>
          <w:sz w:val="20"/>
          <w:szCs w:val="20"/>
          <w:color w:val="auto"/>
        </w:rPr>
      </w:pPr>
    </w:p>
    <w:p>
      <w:pPr>
        <w:jc w:val="both"/>
        <w:ind w:right="500" w:firstLine="456"/>
        <w:spacing w:after="0" w:line="264" w:lineRule="auto"/>
        <w:rPr>
          <w:sz w:val="20"/>
          <w:szCs w:val="20"/>
          <w:color w:val="auto"/>
        </w:rPr>
      </w:pPr>
      <w:r>
        <w:rPr>
          <w:rFonts w:ascii="Arial" w:cs="Arial" w:eastAsia="Arial" w:hAnsi="Arial"/>
          <w:sz w:val="18"/>
          <w:szCs w:val="18"/>
          <w:color w:val="auto"/>
        </w:rPr>
        <w:t>Purchases of long-term investments, including PIK, for the fiscal years ended September 30, 2013, 2012 and 2011 totaled $516.2 million, $337.3 million and $490.6 million, respectively. Sales and repayments of long-term investments for the fiscal years ended September 30, 2013, 2012 and 2011 totaled $437.1 million, $201.7 million and $304.0 million, respectively.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460" w:right="23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 SEPTEMBER 30, 2013</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and cash equivalents consisted of the following:</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Investment Classification</w:t>
            </w:r>
          </w:p>
        </w:tc>
        <w:tc>
          <w:tcPr>
            <w:tcW w:w="160" w:type="dxa"/>
            <w:vAlign w:val="bottom"/>
          </w:tcPr>
          <w:p>
            <w:pPr>
              <w:spacing w:after="0"/>
              <w:rPr>
                <w:sz w:val="14"/>
                <w:szCs w:val="14"/>
                <w:color w:val="auto"/>
              </w:rPr>
            </w:pPr>
          </w:p>
        </w:tc>
        <w:tc>
          <w:tcPr>
            <w:tcW w:w="2980" w:type="dxa"/>
            <w:vAlign w:val="bottom"/>
            <w:gridSpan w:val="6"/>
          </w:tcPr>
          <w:p>
            <w:pPr>
              <w:jc w:val="right"/>
              <w:ind w:right="1080"/>
              <w:spacing w:after="0"/>
              <w:rPr>
                <w:sz w:val="20"/>
                <w:szCs w:val="20"/>
                <w:color w:val="auto"/>
              </w:rPr>
            </w:pPr>
            <w:r>
              <w:rPr>
                <w:rFonts w:ascii="Arial" w:cs="Arial" w:eastAsia="Arial" w:hAnsi="Arial"/>
                <w:sz w:val="14"/>
                <w:szCs w:val="14"/>
                <w:b w:val="1"/>
                <w:bCs w:val="1"/>
                <w:color w:val="auto"/>
              </w:rPr>
              <w:t>September 30, 2013</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80" w:type="dxa"/>
            <w:vAlign w:val="bottom"/>
            <w:gridSpan w:val="5"/>
          </w:tcPr>
          <w:p>
            <w:pPr>
              <w:ind w:left="640"/>
              <w:spacing w:after="0"/>
              <w:rPr>
                <w:sz w:val="20"/>
                <w:szCs w:val="20"/>
                <w:color w:val="auto"/>
              </w:rPr>
            </w:pPr>
            <w:r>
              <w:rPr>
                <w:rFonts w:ascii="Arial" w:cs="Arial" w:eastAsia="Arial" w:hAnsi="Arial"/>
                <w:sz w:val="14"/>
                <w:szCs w:val="14"/>
                <w:b w:val="1"/>
                <w:bCs w:val="1"/>
                <w:color w:val="auto"/>
              </w:rPr>
              <w:t>September 30, 2012</w:t>
            </w:r>
          </w:p>
        </w:tc>
        <w:tc>
          <w:tcPr>
            <w:tcW w:w="0" w:type="dxa"/>
            <w:vAlign w:val="bottom"/>
          </w:tcPr>
          <w:p>
            <w:pPr>
              <w:spacing w:after="0"/>
              <w:rPr>
                <w:sz w:val="1"/>
                <w:szCs w:val="1"/>
                <w:color w:val="auto"/>
              </w:rPr>
            </w:pPr>
          </w:p>
        </w:tc>
      </w:tr>
      <w:tr>
        <w:trPr>
          <w:trHeight w:val="142"/>
        </w:trPr>
        <w:tc>
          <w:tcPr>
            <w:tcW w:w="5120" w:type="dxa"/>
            <w:vAlign w:val="bottom"/>
            <w:gridSpan w:val="2"/>
            <w:vMerge w:val="continue"/>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3"/>
          </w:tcPr>
          <w:p>
            <w:pPr>
              <w:ind w:left="320"/>
              <w:spacing w:after="0" w:line="142" w:lineRule="exact"/>
              <w:rPr>
                <w:sz w:val="20"/>
                <w:szCs w:val="20"/>
                <w:color w:val="auto"/>
              </w:rPr>
            </w:pPr>
            <w:r>
              <w:rPr>
                <w:rFonts w:ascii="Arial" w:cs="Arial" w:eastAsia="Arial" w:hAnsi="Arial"/>
                <w:sz w:val="14"/>
                <w:szCs w:val="14"/>
                <w:b w:val="1"/>
                <w:bCs w:val="1"/>
                <w:color w:val="auto"/>
              </w:rPr>
              <w:t>Cost</w:t>
            </w:r>
          </w:p>
        </w:tc>
        <w:tc>
          <w:tcPr>
            <w:tcW w:w="1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2"/>
          </w:tcPr>
          <w:p>
            <w:pPr>
              <w:ind w:left="320"/>
              <w:spacing w:after="0" w:line="142" w:lineRule="exact"/>
              <w:rPr>
                <w:sz w:val="20"/>
                <w:szCs w:val="20"/>
                <w:color w:val="auto"/>
              </w:rPr>
            </w:pPr>
            <w:r>
              <w:rPr>
                <w:rFonts w:ascii="Arial" w:cs="Arial" w:eastAsia="Arial" w:hAnsi="Arial"/>
                <w:sz w:val="14"/>
                <w:szCs w:val="14"/>
                <w:b w:val="1"/>
                <w:bCs w:val="1"/>
                <w:color w:val="auto"/>
              </w:rPr>
              <w:t>Cost</w:t>
            </w: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First lien</w:t>
            </w:r>
          </w:p>
        </w:tc>
        <w:tc>
          <w:tcPr>
            <w:tcW w:w="35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290,000,430</w:t>
            </w: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299,516,291</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289,964,255</w:t>
            </w:r>
          </w:p>
        </w:tc>
        <w:tc>
          <w:tcPr>
            <w:tcW w:w="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291,677,553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Second lien</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346,717,448</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357,543,217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208,454,615</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191,339,241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debt / corporate notes</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311,240,637</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302,447,308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404,507,916</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400,682,637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Preferred equity and partnership interests</w:t>
            </w:r>
          </w:p>
        </w:tc>
        <w:tc>
          <w:tcPr>
            <w:tcW w:w="1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65,943,244</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12,830,669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420"/>
              <w:spacing w:after="0"/>
              <w:rPr>
                <w:sz w:val="20"/>
                <w:szCs w:val="20"/>
                <w:color w:val="auto"/>
              </w:rPr>
            </w:pPr>
            <w:r>
              <w:rPr>
                <w:rFonts w:ascii="Arial" w:cs="Arial" w:eastAsia="Arial" w:hAnsi="Arial"/>
                <w:sz w:val="18"/>
                <w:szCs w:val="18"/>
                <w:color w:val="auto"/>
              </w:rPr>
              <w:t>49,222,034</w:t>
            </w: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19,634,989</w:t>
            </w: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equity and partnership interests</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77,616,126</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105,838,068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56,463,042</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87,145,290</w:t>
            </w:r>
          </w:p>
        </w:tc>
        <w:tc>
          <w:tcPr>
            <w:tcW w:w="0" w:type="dxa"/>
            <w:vAlign w:val="bottom"/>
          </w:tcPr>
          <w:p>
            <w:pPr>
              <w:spacing w:after="0"/>
              <w:rPr>
                <w:sz w:val="1"/>
                <w:szCs w:val="1"/>
                <w:color w:val="auto"/>
              </w:rPr>
            </w:pPr>
          </w:p>
        </w:tc>
      </w:tr>
      <w:tr>
        <w:trPr>
          <w:trHeight w:val="223"/>
        </w:trPr>
        <w:tc>
          <w:tcPr>
            <w:tcW w:w="5120" w:type="dxa"/>
            <w:vAlign w:val="bottom"/>
            <w:gridSpan w:val="2"/>
          </w:tcPr>
          <w:p>
            <w:pPr>
              <w:spacing w:after="0"/>
              <w:rPr>
                <w:sz w:val="20"/>
                <w:szCs w:val="20"/>
                <w:color w:val="auto"/>
              </w:rPr>
            </w:pPr>
            <w:r>
              <w:rPr>
                <w:rFonts w:ascii="Arial" w:cs="Arial" w:eastAsia="Arial" w:hAnsi="Arial"/>
                <w:sz w:val="18"/>
                <w:szCs w:val="18"/>
                <w:color w:val="auto"/>
              </w:rPr>
              <w:t>Total investments</w:t>
            </w: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1,091,517,885</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1,078,175,553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1,008,611,862</w:t>
            </w:r>
          </w:p>
        </w:tc>
        <w:tc>
          <w:tcPr>
            <w:tcW w:w="4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990,479,710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58,440,829</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58,440,829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7,559,453</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7,559,453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20" w:type="dxa"/>
            <w:vAlign w:val="bottom"/>
            <w:gridSpan w:val="2"/>
          </w:tcPr>
          <w:p>
            <w:pPr>
              <w:spacing w:after="0"/>
              <w:rPr>
                <w:sz w:val="20"/>
                <w:szCs w:val="20"/>
                <w:color w:val="auto"/>
              </w:rPr>
            </w:pPr>
            <w:r>
              <w:rPr>
                <w:rFonts w:ascii="Arial" w:cs="Arial" w:eastAsia="Arial" w:hAnsi="Arial"/>
                <w:sz w:val="18"/>
                <w:szCs w:val="18"/>
                <w:color w:val="auto"/>
              </w:rPr>
              <w:t>Total investments, cash and cash equivalents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1,149,958,714</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1,136,616,382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1,016,171,315</w:t>
            </w:r>
          </w:p>
        </w:tc>
        <w:tc>
          <w:tcPr>
            <w:tcW w:w="4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998,039,163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table below describes investments by industry classification and enumerates the percentage, by fair value, of the total portfolio assets (excluding cash equivalents) in such industries:</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1420" w:type="dxa"/>
            <w:vAlign w:val="bottom"/>
            <w:vMerge w:val="restart"/>
          </w:tcPr>
          <w:p>
            <w:pPr>
              <w:spacing w:after="0"/>
              <w:rPr>
                <w:sz w:val="20"/>
                <w:szCs w:val="20"/>
                <w:color w:val="auto"/>
              </w:rPr>
            </w:pPr>
            <w:r>
              <w:rPr>
                <w:rFonts w:ascii="Arial" w:cs="Arial" w:eastAsia="Arial" w:hAnsi="Arial"/>
                <w:sz w:val="14"/>
                <w:szCs w:val="14"/>
                <w:b w:val="1"/>
                <w:bCs w:val="1"/>
                <w:color w:val="auto"/>
                <w:w w:val="93"/>
              </w:rPr>
              <w:t>Industry Classification</w:t>
            </w:r>
          </w:p>
        </w:tc>
        <w:tc>
          <w:tcPr>
            <w:tcW w:w="3100" w:type="dxa"/>
            <w:vAlign w:val="bottom"/>
            <w:vMerge w:val="restart"/>
          </w:tcPr>
          <w:p>
            <w:pPr>
              <w:spacing w:after="0"/>
              <w:rPr>
                <w:sz w:val="14"/>
                <w:szCs w:val="14"/>
                <w:color w:val="auto"/>
              </w:rPr>
            </w:pPr>
          </w:p>
        </w:tc>
        <w:tc>
          <w:tcPr>
            <w:tcW w:w="3100" w:type="dxa"/>
            <w:vAlign w:val="bottom"/>
          </w:tcPr>
          <w:p>
            <w:pPr>
              <w:spacing w:after="0"/>
              <w:rPr>
                <w:sz w:val="14"/>
                <w:szCs w:val="14"/>
                <w:color w:val="auto"/>
              </w:rPr>
            </w:pPr>
          </w:p>
        </w:tc>
        <w:tc>
          <w:tcPr>
            <w:tcW w:w="196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As of September 30,</w:t>
            </w:r>
          </w:p>
        </w:tc>
        <w:tc>
          <w:tcPr>
            <w:tcW w:w="0" w:type="dxa"/>
            <w:vAlign w:val="bottom"/>
          </w:tcPr>
          <w:p>
            <w:pPr>
              <w:spacing w:after="0"/>
              <w:rPr>
                <w:sz w:val="1"/>
                <w:szCs w:val="1"/>
                <w:color w:val="auto"/>
              </w:rPr>
            </w:pPr>
          </w:p>
        </w:tc>
      </w:tr>
      <w:tr>
        <w:trPr>
          <w:trHeight w:val="142"/>
        </w:trPr>
        <w:tc>
          <w:tcPr>
            <w:tcW w:w="1420" w:type="dxa"/>
            <w:vAlign w:val="bottom"/>
            <w:tcBorders>
              <w:bottom w:val="single" w:sz="8" w:color="auto"/>
            </w:tcBorders>
            <w:vMerge w:val="continue"/>
          </w:tcPr>
          <w:p>
            <w:pPr>
              <w:spacing w:after="0"/>
              <w:rPr>
                <w:sz w:val="12"/>
                <w:szCs w:val="12"/>
                <w:color w:val="auto"/>
              </w:rPr>
            </w:pPr>
          </w:p>
        </w:tc>
        <w:tc>
          <w:tcPr>
            <w:tcW w:w="3100" w:type="dxa"/>
            <w:vAlign w:val="bottom"/>
            <w:tcBorders>
              <w:bottom w:val="single" w:sz="8" w:color="CCEEFF"/>
            </w:tcBorders>
            <w:vMerge w:val="continue"/>
          </w:tcPr>
          <w:p>
            <w:pPr>
              <w:spacing w:after="0"/>
              <w:rPr>
                <w:sz w:val="12"/>
                <w:szCs w:val="12"/>
                <w:color w:val="auto"/>
              </w:rPr>
            </w:pPr>
          </w:p>
        </w:tc>
        <w:tc>
          <w:tcPr>
            <w:tcW w:w="3100" w:type="dxa"/>
            <w:vAlign w:val="bottom"/>
            <w:tcBorders>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86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w w:val="89"/>
              </w:rPr>
              <w:t>Personal, Food and</w:t>
            </w:r>
          </w:p>
        </w:tc>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Miscellaneous Services</w:t>
            </w:r>
          </w:p>
        </w:tc>
        <w:tc>
          <w:tcPr>
            <w:tcW w:w="3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11%</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Printing and Publishing</w:t>
            </w:r>
          </w:p>
        </w:tc>
        <w:tc>
          <w:tcPr>
            <w:tcW w:w="4400" w:type="dxa"/>
            <w:vAlign w:val="bottom"/>
            <w:gridSpan w:val="3"/>
          </w:tcPr>
          <w:p>
            <w:pPr>
              <w:jc w:val="right"/>
              <w:ind w:right="860"/>
              <w:spacing w:after="0"/>
              <w:rPr>
                <w:sz w:val="20"/>
                <w:szCs w:val="20"/>
                <w:color w:val="auto"/>
              </w:rPr>
            </w:pPr>
            <w:r>
              <w:rPr>
                <w:rFonts w:ascii="Arial" w:cs="Arial" w:eastAsia="Arial" w:hAnsi="Arial"/>
                <w:sz w:val="18"/>
                <w:szCs w:val="18"/>
                <w:color w:val="auto"/>
              </w:rPr>
              <w:t>9</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440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8</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Electronics</w:t>
            </w:r>
          </w:p>
        </w:tc>
        <w:tc>
          <w:tcPr>
            <w:tcW w:w="4400" w:type="dxa"/>
            <w:vAlign w:val="bottom"/>
            <w:gridSpan w:val="3"/>
          </w:tcPr>
          <w:p>
            <w:pPr>
              <w:jc w:val="right"/>
              <w:ind w:right="860"/>
              <w:spacing w:after="0"/>
              <w:rPr>
                <w:sz w:val="20"/>
                <w:szCs w:val="20"/>
                <w:color w:val="auto"/>
              </w:rPr>
            </w:pPr>
            <w:r>
              <w:rPr>
                <w:rFonts w:ascii="Arial" w:cs="Arial" w:eastAsia="Arial" w:hAnsi="Arial"/>
                <w:sz w:val="18"/>
                <w:szCs w:val="18"/>
                <w:color w:val="auto"/>
              </w:rPr>
              <w:t>8</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Energy/Utilities</w:t>
            </w:r>
          </w:p>
        </w:tc>
        <w:tc>
          <w:tcPr>
            <w:tcW w:w="440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8</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Healthcare, Education and Childcare</w:t>
            </w:r>
          </w:p>
        </w:tc>
        <w:tc>
          <w:tcPr>
            <w:tcW w:w="4400" w:type="dxa"/>
            <w:vAlign w:val="bottom"/>
            <w:gridSpan w:val="3"/>
          </w:tcPr>
          <w:p>
            <w:pPr>
              <w:jc w:val="right"/>
              <w:ind w:right="860"/>
              <w:spacing w:after="0"/>
              <w:rPr>
                <w:sz w:val="20"/>
                <w:szCs w:val="20"/>
                <w:color w:val="auto"/>
              </w:rPr>
            </w:pPr>
            <w:r>
              <w:rPr>
                <w:rFonts w:ascii="Arial" w:cs="Arial" w:eastAsia="Arial" w:hAnsi="Arial"/>
                <w:sz w:val="18"/>
                <w:szCs w:val="18"/>
                <w:color w:val="auto"/>
              </w:rPr>
              <w:t>7</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Oil and Gas</w:t>
            </w:r>
          </w:p>
        </w:tc>
        <w:tc>
          <w:tcPr>
            <w:tcW w:w="440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7</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Chemicals, Plastics and Rubber</w:t>
            </w:r>
          </w:p>
        </w:tc>
        <w:tc>
          <w:tcPr>
            <w:tcW w:w="4400" w:type="dxa"/>
            <w:vAlign w:val="bottom"/>
            <w:gridSpan w:val="3"/>
          </w:tcPr>
          <w:p>
            <w:pPr>
              <w:jc w:val="right"/>
              <w:ind w:right="860"/>
              <w:spacing w:after="0"/>
              <w:rPr>
                <w:sz w:val="20"/>
                <w:szCs w:val="20"/>
                <w:color w:val="auto"/>
              </w:rPr>
            </w:pPr>
            <w:r>
              <w:rPr>
                <w:rFonts w:ascii="Arial" w:cs="Arial" w:eastAsia="Arial" w:hAnsi="Arial"/>
                <w:sz w:val="18"/>
                <w:szCs w:val="18"/>
                <w:color w:val="auto"/>
              </w:rPr>
              <w:t>6</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Products</w:t>
            </w:r>
          </w:p>
        </w:tc>
        <w:tc>
          <w:tcPr>
            <w:tcW w:w="440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5</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Hotels, Motels, Inns and Gaming</w:t>
            </w:r>
          </w:p>
        </w:tc>
        <w:tc>
          <w:tcPr>
            <w:tcW w:w="4400" w:type="dxa"/>
            <w:vAlign w:val="bottom"/>
            <w:gridSpan w:val="3"/>
          </w:tcPr>
          <w:p>
            <w:pPr>
              <w:jc w:val="right"/>
              <w:ind w:right="860"/>
              <w:spacing w:after="0"/>
              <w:rPr>
                <w:sz w:val="20"/>
                <w:szCs w:val="20"/>
                <w:color w:val="auto"/>
              </w:rPr>
            </w:pPr>
            <w:r>
              <w:rPr>
                <w:rFonts w:ascii="Arial" w:cs="Arial" w:eastAsia="Arial" w:hAnsi="Arial"/>
                <w:sz w:val="18"/>
                <w:szCs w:val="18"/>
                <w:color w:val="auto"/>
              </w:rPr>
              <w:t>5</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Media</w:t>
            </w:r>
          </w:p>
        </w:tc>
        <w:tc>
          <w:tcPr>
            <w:tcW w:w="440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5</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Auto Sector</w:t>
            </w:r>
          </w:p>
        </w:tc>
        <w:tc>
          <w:tcPr>
            <w:tcW w:w="4400" w:type="dxa"/>
            <w:vAlign w:val="bottom"/>
            <w:gridSpan w:val="3"/>
          </w:tcPr>
          <w:p>
            <w:pPr>
              <w:jc w:val="right"/>
              <w:ind w:right="860"/>
              <w:spacing w:after="0"/>
              <w:rPr>
                <w:sz w:val="20"/>
                <w:szCs w:val="20"/>
                <w:color w:val="auto"/>
              </w:rPr>
            </w:pPr>
            <w:r>
              <w:rPr>
                <w:rFonts w:ascii="Arial" w:cs="Arial" w:eastAsia="Arial" w:hAnsi="Arial"/>
                <w:sz w:val="18"/>
                <w:szCs w:val="18"/>
                <w:color w:val="auto"/>
              </w:rPr>
              <w:t>4</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Communication</w:t>
            </w:r>
          </w:p>
        </w:tc>
        <w:tc>
          <w:tcPr>
            <w:tcW w:w="440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3</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Distribution</w:t>
            </w:r>
          </w:p>
        </w:tc>
        <w:tc>
          <w:tcPr>
            <w:tcW w:w="4400" w:type="dxa"/>
            <w:vAlign w:val="bottom"/>
            <w:gridSpan w:val="3"/>
          </w:tcPr>
          <w:p>
            <w:pPr>
              <w:jc w:val="right"/>
              <w:ind w:right="860"/>
              <w:spacing w:after="0"/>
              <w:rPr>
                <w:sz w:val="20"/>
                <w:szCs w:val="20"/>
                <w:color w:val="auto"/>
              </w:rPr>
            </w:pPr>
            <w:r>
              <w:rPr>
                <w:rFonts w:ascii="Arial" w:cs="Arial" w:eastAsia="Arial" w:hAnsi="Arial"/>
                <w:sz w:val="18"/>
                <w:szCs w:val="18"/>
                <w:color w:val="auto"/>
              </w:rPr>
              <w:t>2</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Diversified Natural Resources, Precious Metals and Minerals</w:t>
            </w:r>
          </w:p>
        </w:tc>
        <w:tc>
          <w:tcPr>
            <w:tcW w:w="440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2</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Environmental Services</w:t>
            </w:r>
          </w:p>
        </w:tc>
        <w:tc>
          <w:tcPr>
            <w:tcW w:w="4400" w:type="dxa"/>
            <w:vAlign w:val="bottom"/>
            <w:gridSpan w:val="3"/>
          </w:tcPr>
          <w:p>
            <w:pPr>
              <w:jc w:val="right"/>
              <w:ind w:right="860"/>
              <w:spacing w:after="0"/>
              <w:rPr>
                <w:sz w:val="20"/>
                <w:szCs w:val="20"/>
                <w:color w:val="auto"/>
              </w:rPr>
            </w:pPr>
            <w:r>
              <w:rPr>
                <w:rFonts w:ascii="Arial" w:cs="Arial" w:eastAsia="Arial" w:hAnsi="Arial"/>
                <w:sz w:val="18"/>
                <w:szCs w:val="18"/>
                <w:color w:val="auto"/>
              </w:rPr>
              <w:t>2</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Cargo Transport</w:t>
            </w:r>
          </w:p>
        </w:tc>
        <w:tc>
          <w:tcPr>
            <w:tcW w:w="440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1</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Education</w:t>
            </w:r>
          </w:p>
        </w:tc>
        <w:tc>
          <w:tcPr>
            <w:tcW w:w="4400" w:type="dxa"/>
            <w:vAlign w:val="bottom"/>
            <w:gridSpan w:val="3"/>
          </w:tcPr>
          <w:p>
            <w:pPr>
              <w:jc w:val="right"/>
              <w:ind w:right="860"/>
              <w:spacing w:after="0"/>
              <w:rPr>
                <w:sz w:val="20"/>
                <w:szCs w:val="20"/>
                <w:color w:val="auto"/>
              </w:rPr>
            </w:pPr>
            <w:r>
              <w:rPr>
                <w:rFonts w:ascii="Arial" w:cs="Arial" w:eastAsia="Arial" w:hAnsi="Arial"/>
                <w:sz w:val="18"/>
                <w:szCs w:val="18"/>
                <w:color w:val="auto"/>
              </w:rPr>
              <w:t>1</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Mining, Steel, Iron and Non-Precious Metals</w:t>
            </w:r>
          </w:p>
        </w:tc>
        <w:tc>
          <w:tcPr>
            <w:tcW w:w="440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1</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Insurance</w:t>
            </w:r>
          </w:p>
        </w:tc>
        <w:tc>
          <w:tcPr>
            <w:tcW w:w="4400" w:type="dxa"/>
            <w:vAlign w:val="bottom"/>
            <w:gridSpan w:val="3"/>
          </w:tcPr>
          <w:p>
            <w:pPr>
              <w:jc w:val="right"/>
              <w:ind w:right="860"/>
              <w:spacing w:after="0"/>
              <w:rPr>
                <w:sz w:val="20"/>
                <w:szCs w:val="20"/>
                <w:color w:val="auto"/>
              </w:rPr>
            </w:pPr>
            <w:r>
              <w:rPr>
                <w:rFonts w:ascii="Arial" w:cs="Arial" w:eastAsia="Arial" w:hAnsi="Arial"/>
                <w:sz w:val="18"/>
                <w:szCs w:val="18"/>
                <w:color w:val="auto"/>
              </w:rPr>
              <w:t>1</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3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Buildings and Real Estate</w:t>
            </w:r>
          </w:p>
        </w:tc>
        <w:tc>
          <w:tcPr>
            <w:tcW w:w="3100" w:type="dxa"/>
            <w:vAlign w:val="bottom"/>
          </w:tcPr>
          <w:p>
            <w:pPr>
              <w:spacing w:after="0"/>
              <w:rPr>
                <w:sz w:val="18"/>
                <w:szCs w:val="18"/>
                <w:color w:val="auto"/>
              </w:rPr>
            </w:pPr>
          </w:p>
        </w:tc>
        <w:tc>
          <w:tcPr>
            <w:tcW w:w="1300" w:type="dxa"/>
            <w:vAlign w:val="bottom"/>
            <w:gridSpan w:val="2"/>
          </w:tcPr>
          <w:p>
            <w:pPr>
              <w:jc w:val="right"/>
              <w:ind w:right="9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Leisure, Amusement, Motion Pictures, Entertainment</w:t>
            </w:r>
          </w:p>
        </w:tc>
        <w:tc>
          <w:tcPr>
            <w:tcW w:w="3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Telecommunications</w:t>
            </w:r>
          </w:p>
        </w:tc>
        <w:tc>
          <w:tcPr>
            <w:tcW w:w="3100" w:type="dxa"/>
            <w:vAlign w:val="bottom"/>
          </w:tcPr>
          <w:p>
            <w:pPr>
              <w:spacing w:after="0"/>
              <w:rPr>
                <w:sz w:val="18"/>
                <w:szCs w:val="18"/>
                <w:color w:val="auto"/>
              </w:rPr>
            </w:pPr>
          </w:p>
        </w:tc>
        <w:tc>
          <w:tcPr>
            <w:tcW w:w="1300" w:type="dxa"/>
            <w:vAlign w:val="bottom"/>
            <w:gridSpan w:val="2"/>
          </w:tcPr>
          <w:p>
            <w:pPr>
              <w:jc w:val="right"/>
              <w:ind w:right="9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3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20" w:type="dxa"/>
            <w:vAlign w:val="bottom"/>
            <w:gridSpan w:val="2"/>
          </w:tcPr>
          <w:p>
            <w:pPr>
              <w:spacing w:after="0"/>
              <w:rPr>
                <w:sz w:val="20"/>
                <w:szCs w:val="20"/>
                <w:color w:val="auto"/>
              </w:rPr>
            </w:pPr>
            <w:r>
              <w:rPr>
                <w:rFonts w:ascii="Arial" w:cs="Arial" w:eastAsia="Arial" w:hAnsi="Arial"/>
                <w:sz w:val="18"/>
                <w:szCs w:val="18"/>
                <w:color w:val="auto"/>
              </w:rPr>
              <w:t>Total</w:t>
            </w:r>
          </w:p>
        </w:tc>
        <w:tc>
          <w:tcPr>
            <w:tcW w:w="3100" w:type="dxa"/>
            <w:vAlign w:val="bottom"/>
          </w:tcPr>
          <w:p>
            <w:pPr>
              <w:spacing w:after="0"/>
              <w:rPr>
                <w:sz w:val="19"/>
                <w:szCs w:val="19"/>
                <w:color w:val="auto"/>
              </w:rPr>
            </w:pPr>
          </w:p>
        </w:tc>
        <w:tc>
          <w:tcPr>
            <w:tcW w:w="1300" w:type="dxa"/>
            <w:vAlign w:val="bottom"/>
            <w:gridSpan w:val="2"/>
          </w:tcPr>
          <w:p>
            <w:pPr>
              <w:jc w:val="right"/>
              <w:ind w:right="720"/>
              <w:spacing w:after="0"/>
              <w:rPr>
                <w:sz w:val="20"/>
                <w:szCs w:val="20"/>
                <w:color w:val="auto"/>
              </w:rPr>
            </w:pPr>
            <w:r>
              <w:rPr>
                <w:rFonts w:ascii="Arial" w:cs="Arial" w:eastAsia="Arial" w:hAnsi="Arial"/>
                <w:sz w:val="18"/>
                <w:szCs w:val="18"/>
                <w:color w:val="auto"/>
              </w:rPr>
              <w:t>100%</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372"/>
        </w:trPr>
        <w:tc>
          <w:tcPr>
            <w:tcW w:w="14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3100" w:type="dxa"/>
            <w:vAlign w:val="bottom"/>
          </w:tcPr>
          <w:p>
            <w:pPr>
              <w:ind w:left="100"/>
              <w:spacing w:after="0"/>
              <w:rPr>
                <w:sz w:val="20"/>
                <w:szCs w:val="20"/>
                <w:color w:val="auto"/>
              </w:rPr>
            </w:pPr>
            <w:r>
              <w:rPr>
                <w:rFonts w:ascii="Arial" w:cs="Arial" w:eastAsia="Arial" w:hAnsi="Arial"/>
                <w:sz w:val="18"/>
                <w:szCs w:val="18"/>
                <w:color w:val="auto"/>
              </w:rPr>
              <w:t>F-24</w:t>
            </w:r>
          </w:p>
        </w:tc>
        <w:tc>
          <w:tcPr>
            <w:tcW w:w="440" w:type="dxa"/>
            <w:vAlign w:val="bottom"/>
            <w:tcBorders>
              <w:top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80" w:right="278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 SEPTEMBER 30, 2013</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12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131" w:lineRule="exact"/>
        <w:rPr>
          <w:sz w:val="20"/>
          <w:szCs w:val="20"/>
          <w:color w:val="auto"/>
        </w:rPr>
      </w:pPr>
    </w:p>
    <w:p>
      <w:pPr>
        <w:ind w:left="1520" w:right="620" w:hanging="1052"/>
        <w:spacing w:after="0" w:line="277" w:lineRule="auto"/>
        <w:tabs>
          <w:tab w:leader="none" w:pos="15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Inputs that are quoted prices (unadjusted) in active markets for identical assets or liabilities, accessible by us at the measurement date.</w:t>
      </w:r>
    </w:p>
    <w:p>
      <w:pPr>
        <w:spacing w:after="0" w:line="130" w:lineRule="exact"/>
        <w:rPr>
          <w:sz w:val="20"/>
          <w:szCs w:val="20"/>
          <w:color w:val="auto"/>
        </w:rPr>
      </w:pPr>
    </w:p>
    <w:p>
      <w:pPr>
        <w:ind w:left="1520" w:right="440" w:hanging="1052"/>
        <w:spacing w:after="0" w:line="264" w:lineRule="auto"/>
        <w:tabs>
          <w:tab w:leader="none" w:pos="150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141" w:lineRule="exact"/>
        <w:rPr>
          <w:sz w:val="20"/>
          <w:szCs w:val="20"/>
          <w:color w:val="auto"/>
        </w:rPr>
      </w:pPr>
    </w:p>
    <w:p>
      <w:pPr>
        <w:ind w:left="1520" w:right="440" w:hanging="1052"/>
        <w:spacing w:after="0" w:line="277" w:lineRule="auto"/>
        <w:tabs>
          <w:tab w:leader="none" w:pos="150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Inputs that are unobservable for an asset or liability because they are based on our own assumptions about how market participants would price the asset or liability.</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and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8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inputs into the determination of fair value may require significant management judgment or estimation. Even if observable market data are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was available. Corroborating evidence that would result in classifying these non-binding broker/dealer bids as a Level 2 asset includes observable market-based transactions for the same or similar assets or other relevant observable market based inputs that may be used in pricing an asset.</w:t>
      </w:r>
    </w:p>
    <w:p>
      <w:pPr>
        <w:spacing w:after="0" w:line="19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Our investments are generally structured as debt and equity investments in the form of senior secured loans, mezzanine debt and equity co-investments. The transaction price, excluding transaction costs, is typically the best estimate of fair value at inception. When evidence supports a subsequent change to the carrying value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Within our fair value hierarchy table, our investments are generally categorized as first lien, second lien, subordinated debt and preferred and common equity investments. The companies in which we invest are typically highly leveraged, and, in most cases, are not rated by national rating agencies. If</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380"/>
          </w:cols>
          <w:pgMar w:left="240" w:top="460" w:right="27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80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 SEPTEMBER 30, 2013</w:t>
      </w:r>
    </w:p>
    <w:p>
      <w:pPr>
        <w:spacing w:after="0" w:line="8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such companies were rated, we believe that they would typically receive a rating below investment grade (between BB and CCC under the Standard &amp; Poor’s system) from the national rating agencies.</w:t>
      </w:r>
    </w:p>
    <w:p>
      <w:pPr>
        <w:spacing w:after="0" w:line="170"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During the fiscal year ended September 30, 2013, our ability to observe valuation inputs has resulted in a reclassification of an investment from Level 3 to 2 with no other reclassifications of assets between levels. During the fiscal year ended September 30, 2012, our ability to observe valuation inputs resulted in no reclassification of assets between levels.</w:t>
      </w:r>
    </w:p>
    <w:p>
      <w:pPr>
        <w:spacing w:after="0" w:line="173"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In addition to using the above inputs in cash equivalents, investments, the 2025 Notes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181"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As outlined in the table below, some of our Level 3 investments using a market approach valuation technique are valued using the average of the bids from brokers or dealers. The bids include a disclaimer, may not have corroborating evidence and may be the result of consensus pricing. The Investment Adviser assesses the source and reliability of bids from brokers or dealers. If the board of directors has a bona fide reason to believe any such bids do not reflect the fair value on an investment it may independently value such investment by using the valuation procedure that it uses with respect to assets for which market quotations are not readily available.</w:t>
      </w:r>
    </w:p>
    <w:p>
      <w:pPr>
        <w:spacing w:after="0" w:line="188" w:lineRule="exact"/>
        <w:rPr>
          <w:sz w:val="20"/>
          <w:szCs w:val="20"/>
          <w:color w:val="auto"/>
        </w:rPr>
      </w:pPr>
    </w:p>
    <w:p>
      <w:pPr>
        <w:ind w:right="100" w:firstLine="456"/>
        <w:spacing w:after="0" w:line="270" w:lineRule="auto"/>
        <w:rPr>
          <w:sz w:val="20"/>
          <w:szCs w:val="20"/>
          <w:color w:val="auto"/>
        </w:rPr>
      </w:pPr>
      <w:r>
        <w:rPr>
          <w:rFonts w:ascii="Arial" w:cs="Arial" w:eastAsia="Arial" w:hAnsi="Arial"/>
          <w:sz w:val="17"/>
          <w:szCs w:val="17"/>
          <w:color w:val="auto"/>
        </w:rPr>
        <w:t>The remainder of our portfolio, including our long-term Credit Facility, classified as Level 3 was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is used to corroborate the valuation. When using earnings multiples to value a portfolio company, the multiple used requires the use of judgment and estimates in determining how a market participant would price such an asset.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00"/>
          </w:cols>
          <w:pgMar w:left="240" w:top="459" w:right="25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 SEPTEMBER 30, 2013</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120" w:type="dxa"/>
            <w:vAlign w:val="bottom"/>
          </w:tcPr>
          <w:p>
            <w:pPr>
              <w:spacing w:after="0"/>
              <w:rPr>
                <w:sz w:val="14"/>
                <w:szCs w:val="14"/>
                <w:color w:val="auto"/>
              </w:rPr>
            </w:pPr>
          </w:p>
        </w:tc>
        <w:tc>
          <w:tcPr>
            <w:tcW w:w="17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Fair Value at</w:t>
            </w:r>
          </w:p>
        </w:tc>
        <w:tc>
          <w:tcPr>
            <w:tcW w:w="22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Valuation Technique</w:t>
            </w:r>
          </w:p>
        </w:tc>
        <w:tc>
          <w:tcPr>
            <w:tcW w:w="23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Unobservable Input</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5"/>
              </w:rPr>
              <w:t>Range of Input</w:t>
            </w:r>
          </w:p>
        </w:tc>
        <w:tc>
          <w:tcPr>
            <w:tcW w:w="0" w:type="dxa"/>
            <w:vAlign w:val="bottom"/>
          </w:tcPr>
          <w:p>
            <w:pPr>
              <w:spacing w:after="0"/>
              <w:rPr>
                <w:sz w:val="1"/>
                <w:szCs w:val="1"/>
                <w:color w:val="auto"/>
              </w:rPr>
            </w:pPr>
          </w:p>
        </w:tc>
      </w:tr>
      <w:tr>
        <w:trPr>
          <w:trHeight w:val="171"/>
        </w:trPr>
        <w:tc>
          <w:tcPr>
            <w:tcW w:w="31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September 30, 2013</w:t>
            </w:r>
          </w:p>
        </w:tc>
        <w:tc>
          <w:tcPr>
            <w:tcW w:w="2240" w:type="dxa"/>
            <w:vAlign w:val="bottom"/>
            <w:gridSpan w:val="2"/>
            <w:vMerge w:val="continue"/>
          </w:tcPr>
          <w:p>
            <w:pPr>
              <w:spacing w:after="0"/>
              <w:rPr>
                <w:sz w:val="14"/>
                <w:szCs w:val="14"/>
                <w:color w:val="auto"/>
              </w:rPr>
            </w:pPr>
          </w:p>
        </w:tc>
        <w:tc>
          <w:tcPr>
            <w:tcW w:w="2320" w:type="dxa"/>
            <w:vAlign w:val="bottom"/>
            <w:gridSpan w:val="2"/>
            <w:vMerge w:val="continue"/>
          </w:tcPr>
          <w:p>
            <w:pPr>
              <w:spacing w:after="0"/>
              <w:rPr>
                <w:sz w:val="14"/>
                <w:szCs w:val="14"/>
                <w:color w:val="auto"/>
              </w:rPr>
            </w:pP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2"/>
              </w:rPr>
              <w:t>(Weighted Average)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3160" w:type="dxa"/>
            <w:vAlign w:val="bottom"/>
            <w:gridSpan w:val="2"/>
            <w:shd w:val="clear" w:color="auto" w:fill="CCEEFF"/>
          </w:tcPr>
          <w:p>
            <w:pPr>
              <w:spacing w:after="0" w:line="173" w:lineRule="exact"/>
              <w:rPr>
                <w:sz w:val="20"/>
                <w:szCs w:val="20"/>
                <w:color w:val="auto"/>
              </w:rPr>
            </w:pPr>
            <w:r>
              <w:rPr>
                <w:rFonts w:ascii="Arial" w:cs="Arial" w:eastAsia="Arial" w:hAnsi="Arial"/>
                <w:sz w:val="16"/>
                <w:szCs w:val="16"/>
                <w:color w:val="auto"/>
              </w:rPr>
              <w:t>First lien, second lien, subordinated</w:t>
            </w:r>
          </w:p>
        </w:tc>
        <w:tc>
          <w:tcPr>
            <w:tcW w:w="1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1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debt/corporate notes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448,842,465</w:t>
            </w:r>
          </w:p>
        </w:tc>
        <w:tc>
          <w:tcPr>
            <w:tcW w:w="224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2"/>
              </w:rPr>
              <w:t>Market Comparable</w:t>
            </w:r>
          </w:p>
        </w:tc>
        <w:tc>
          <w:tcPr>
            <w:tcW w:w="2320" w:type="dxa"/>
            <w:vAlign w:val="bottom"/>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2"/>
              </w:rPr>
              <w:t>Broker/Dealer bid quotes</w:t>
            </w: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160" w:type="dxa"/>
            <w:vAlign w:val="bottom"/>
            <w:gridSpan w:val="2"/>
          </w:tcPr>
          <w:p>
            <w:pPr>
              <w:spacing w:after="0"/>
              <w:rPr>
                <w:sz w:val="20"/>
                <w:szCs w:val="20"/>
                <w:color w:val="auto"/>
              </w:rPr>
            </w:pPr>
            <w:r>
              <w:rPr>
                <w:rFonts w:ascii="Arial" w:cs="Arial" w:eastAsia="Arial" w:hAnsi="Arial"/>
                <w:sz w:val="16"/>
                <w:szCs w:val="16"/>
                <w:color w:val="auto"/>
              </w:rPr>
              <w:t>First lien, second lien, subordinated</w:t>
            </w: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160" w:type="dxa"/>
            <w:vAlign w:val="bottom"/>
            <w:gridSpan w:val="2"/>
          </w:tcPr>
          <w:p>
            <w:pPr>
              <w:ind w:left="160"/>
              <w:spacing w:after="0"/>
              <w:rPr>
                <w:sz w:val="20"/>
                <w:szCs w:val="20"/>
                <w:color w:val="auto"/>
              </w:rPr>
            </w:pPr>
            <w:r>
              <w:rPr>
                <w:rFonts w:ascii="Arial" w:cs="Arial" w:eastAsia="Arial" w:hAnsi="Arial"/>
                <w:sz w:val="16"/>
                <w:szCs w:val="16"/>
                <w:color w:val="auto"/>
              </w:rPr>
              <w:t>debt/corporate notes</w:t>
            </w:r>
          </w:p>
        </w:tc>
        <w:tc>
          <w:tcPr>
            <w:tcW w:w="120" w:type="dxa"/>
            <w:vAlign w:val="bottom"/>
          </w:tcPr>
          <w:p>
            <w:pPr>
              <w:spacing w:after="0"/>
              <w:rPr>
                <w:sz w:val="17"/>
                <w:szCs w:val="17"/>
                <w:color w:val="auto"/>
              </w:rPr>
            </w:pPr>
          </w:p>
        </w:tc>
        <w:tc>
          <w:tcPr>
            <w:tcW w:w="1700" w:type="dxa"/>
            <w:vAlign w:val="bottom"/>
            <w:gridSpan w:val="2"/>
          </w:tcPr>
          <w:p>
            <w:pPr>
              <w:jc w:val="right"/>
              <w:ind w:right="300"/>
              <w:spacing w:after="0"/>
              <w:rPr>
                <w:sz w:val="20"/>
                <w:szCs w:val="20"/>
                <w:color w:val="auto"/>
              </w:rPr>
            </w:pPr>
            <w:r>
              <w:rPr>
                <w:rFonts w:ascii="Arial" w:cs="Arial" w:eastAsia="Arial" w:hAnsi="Arial"/>
                <w:sz w:val="16"/>
                <w:szCs w:val="16"/>
                <w:color w:val="auto"/>
              </w:rPr>
              <w:t>466,571,947</w:t>
            </w:r>
          </w:p>
        </w:tc>
        <w:tc>
          <w:tcPr>
            <w:tcW w:w="2240" w:type="dxa"/>
            <w:vAlign w:val="bottom"/>
            <w:gridSpan w:val="2"/>
          </w:tcPr>
          <w:p>
            <w:pPr>
              <w:jc w:val="center"/>
              <w:ind w:right="220"/>
              <w:spacing w:after="0"/>
              <w:rPr>
                <w:sz w:val="20"/>
                <w:szCs w:val="20"/>
                <w:color w:val="auto"/>
              </w:rPr>
            </w:pPr>
            <w:r>
              <w:rPr>
                <w:rFonts w:ascii="Arial" w:cs="Arial" w:eastAsia="Arial" w:hAnsi="Arial"/>
                <w:sz w:val="16"/>
                <w:szCs w:val="16"/>
                <w:color w:val="auto"/>
                <w:w w:val="92"/>
              </w:rPr>
              <w:t>Market Comparable</w:t>
            </w:r>
          </w:p>
        </w:tc>
        <w:tc>
          <w:tcPr>
            <w:tcW w:w="2320" w:type="dxa"/>
            <w:vAlign w:val="bottom"/>
            <w:gridSpan w:val="2"/>
          </w:tcPr>
          <w:p>
            <w:pPr>
              <w:jc w:val="center"/>
              <w:ind w:right="220"/>
              <w:spacing w:after="0"/>
              <w:rPr>
                <w:sz w:val="20"/>
                <w:szCs w:val="20"/>
                <w:color w:val="auto"/>
              </w:rPr>
            </w:pPr>
            <w:r>
              <w:rPr>
                <w:rFonts w:ascii="Arial" w:cs="Arial" w:eastAsia="Arial" w:hAnsi="Arial"/>
                <w:sz w:val="16"/>
                <w:szCs w:val="16"/>
                <w:color w:val="auto"/>
                <w:w w:val="96"/>
              </w:rPr>
              <w:t>Market Yield</w:t>
            </w:r>
          </w:p>
        </w:tc>
        <w:tc>
          <w:tcPr>
            <w:tcW w:w="1860" w:type="dxa"/>
            <w:vAlign w:val="bottom"/>
          </w:tcPr>
          <w:p>
            <w:pPr>
              <w:jc w:val="center"/>
              <w:spacing w:after="0"/>
              <w:rPr>
                <w:sz w:val="20"/>
                <w:szCs w:val="20"/>
                <w:color w:val="auto"/>
              </w:rPr>
            </w:pPr>
            <w:r>
              <w:rPr>
                <w:rFonts w:ascii="Arial" w:cs="Arial" w:eastAsia="Arial" w:hAnsi="Arial"/>
                <w:sz w:val="16"/>
                <w:szCs w:val="16"/>
                <w:color w:val="auto"/>
                <w:w w:val="93"/>
              </w:rPr>
              <w:t>9.5% - 21.5% (13.5%)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Preferred and common equity</w:t>
            </w:r>
          </w:p>
        </w:tc>
        <w:tc>
          <w:tcPr>
            <w:tcW w:w="1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110,923,754</w:t>
            </w:r>
          </w:p>
        </w:tc>
        <w:tc>
          <w:tcPr>
            <w:tcW w:w="30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2"/>
              </w:rPr>
              <w:t>Enterprise Market Value</w:t>
            </w:r>
          </w:p>
        </w:tc>
        <w:tc>
          <w:tcPr>
            <w:tcW w:w="2320" w:type="dxa"/>
            <w:vAlign w:val="bottom"/>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8"/>
              </w:rPr>
              <w:t>EBITDA multiple</w:t>
            </w: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6.0 - 15.0 (9.0)</w:t>
            </w:r>
          </w:p>
        </w:tc>
        <w:tc>
          <w:tcPr>
            <w:tcW w:w="0" w:type="dxa"/>
            <w:vAlign w:val="bottom"/>
          </w:tcPr>
          <w:p>
            <w:pPr>
              <w:spacing w:after="0"/>
              <w:rPr>
                <w:sz w:val="1"/>
                <w:szCs w:val="1"/>
                <w:color w:val="auto"/>
              </w:rPr>
            </w:pPr>
          </w:p>
        </w:tc>
      </w:tr>
      <w:tr>
        <w:trPr>
          <w:trHeight w:val="217"/>
        </w:trPr>
        <w:tc>
          <w:tcPr>
            <w:tcW w:w="3180" w:type="dxa"/>
            <w:vAlign w:val="bottom"/>
            <w:gridSpan w:val="3"/>
          </w:tcPr>
          <w:p>
            <w:pPr>
              <w:spacing w:after="0"/>
              <w:rPr>
                <w:sz w:val="20"/>
                <w:szCs w:val="20"/>
                <w:color w:val="auto"/>
              </w:rPr>
            </w:pPr>
            <w:r>
              <w:rPr>
                <w:rFonts w:ascii="Arial" w:cs="Arial" w:eastAsia="Arial" w:hAnsi="Arial"/>
                <w:sz w:val="16"/>
                <w:szCs w:val="16"/>
                <w:color w:val="auto"/>
              </w:rPr>
              <w:t>Total Level 3 investments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1,026,338,166</w:t>
            </w:r>
          </w:p>
        </w:tc>
        <w:tc>
          <w:tcPr>
            <w:tcW w:w="3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Long-Term Credit Facility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117,500,000</w:t>
            </w:r>
          </w:p>
        </w:tc>
        <w:tc>
          <w:tcPr>
            <w:tcW w:w="300" w:type="dxa"/>
            <w:vAlign w:val="bottom"/>
            <w:shd w:val="clear" w:color="auto" w:fill="CCEEFF"/>
          </w:tcPr>
          <w:p>
            <w:pPr>
              <w:spacing w:after="0"/>
              <w:rPr>
                <w:sz w:val="17"/>
                <w:szCs w:val="17"/>
                <w:color w:val="auto"/>
              </w:rPr>
            </w:pPr>
          </w:p>
        </w:tc>
        <w:tc>
          <w:tcPr>
            <w:tcW w:w="224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2"/>
              </w:rPr>
              <w:t>Market Comparable</w:t>
            </w:r>
          </w:p>
        </w:tc>
        <w:tc>
          <w:tcPr>
            <w:tcW w:w="232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1"/>
              </w:rPr>
              <w:t>Discount rate</w:t>
            </w: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3.6%</w:t>
            </w:r>
          </w:p>
        </w:tc>
        <w:tc>
          <w:tcPr>
            <w:tcW w:w="0" w:type="dxa"/>
            <w:vAlign w:val="bottom"/>
          </w:tcPr>
          <w:p>
            <w:pPr>
              <w:spacing w:after="0"/>
              <w:rPr>
                <w:sz w:val="1"/>
                <w:szCs w:val="1"/>
                <w:color w:val="auto"/>
              </w:rPr>
            </w:pPr>
          </w:p>
        </w:tc>
      </w:tr>
      <w:tr>
        <w:trPr>
          <w:trHeight w:val="349"/>
        </w:trPr>
        <w:tc>
          <w:tcPr>
            <w:tcW w:w="3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120" w:type="dxa"/>
            <w:vAlign w:val="bottom"/>
          </w:tcPr>
          <w:p>
            <w:pPr>
              <w:spacing w:after="0"/>
              <w:rPr>
                <w:sz w:val="24"/>
                <w:szCs w:val="24"/>
                <w:color w:val="auto"/>
              </w:rPr>
            </w:pPr>
          </w:p>
        </w:tc>
        <w:tc>
          <w:tcPr>
            <w:tcW w:w="17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Fair Value at</w:t>
            </w:r>
          </w:p>
        </w:tc>
        <w:tc>
          <w:tcPr>
            <w:tcW w:w="22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Valuation Technique</w:t>
            </w:r>
          </w:p>
        </w:tc>
        <w:tc>
          <w:tcPr>
            <w:tcW w:w="23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Unobservable Input</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5"/>
              </w:rPr>
              <w:t>Range of Input</w:t>
            </w:r>
          </w:p>
        </w:tc>
        <w:tc>
          <w:tcPr>
            <w:tcW w:w="0" w:type="dxa"/>
            <w:vAlign w:val="bottom"/>
          </w:tcPr>
          <w:p>
            <w:pPr>
              <w:spacing w:after="0"/>
              <w:rPr>
                <w:sz w:val="1"/>
                <w:szCs w:val="1"/>
                <w:color w:val="auto"/>
              </w:rPr>
            </w:pPr>
          </w:p>
        </w:tc>
      </w:tr>
      <w:tr>
        <w:trPr>
          <w:trHeight w:val="171"/>
        </w:trPr>
        <w:tc>
          <w:tcPr>
            <w:tcW w:w="31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September 30, 2012</w:t>
            </w:r>
          </w:p>
        </w:tc>
        <w:tc>
          <w:tcPr>
            <w:tcW w:w="2240" w:type="dxa"/>
            <w:vAlign w:val="bottom"/>
            <w:gridSpan w:val="2"/>
            <w:vMerge w:val="continue"/>
          </w:tcPr>
          <w:p>
            <w:pPr>
              <w:spacing w:after="0"/>
              <w:rPr>
                <w:sz w:val="14"/>
                <w:szCs w:val="14"/>
                <w:color w:val="auto"/>
              </w:rPr>
            </w:pPr>
          </w:p>
        </w:tc>
        <w:tc>
          <w:tcPr>
            <w:tcW w:w="2320" w:type="dxa"/>
            <w:vAlign w:val="bottom"/>
            <w:gridSpan w:val="2"/>
            <w:vMerge w:val="continue"/>
          </w:tcPr>
          <w:p>
            <w:pPr>
              <w:spacing w:after="0"/>
              <w:rPr>
                <w:sz w:val="14"/>
                <w:szCs w:val="14"/>
                <w:color w:val="auto"/>
              </w:rPr>
            </w:pP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2"/>
              </w:rPr>
              <w:t>(Weighted Average)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3160" w:type="dxa"/>
            <w:vAlign w:val="bottom"/>
            <w:gridSpan w:val="2"/>
            <w:shd w:val="clear" w:color="auto" w:fill="CCEEFF"/>
          </w:tcPr>
          <w:p>
            <w:pPr>
              <w:spacing w:after="0" w:line="173" w:lineRule="exact"/>
              <w:rPr>
                <w:sz w:val="20"/>
                <w:szCs w:val="20"/>
                <w:color w:val="auto"/>
              </w:rPr>
            </w:pPr>
            <w:r>
              <w:rPr>
                <w:rFonts w:ascii="Arial" w:cs="Arial" w:eastAsia="Arial" w:hAnsi="Arial"/>
                <w:sz w:val="16"/>
                <w:szCs w:val="16"/>
                <w:color w:val="auto"/>
              </w:rPr>
              <w:t>First lien, second lien, subordinated</w:t>
            </w:r>
          </w:p>
        </w:tc>
        <w:tc>
          <w:tcPr>
            <w:tcW w:w="1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1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debt/corporate notes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258,617,082</w:t>
            </w:r>
          </w:p>
        </w:tc>
        <w:tc>
          <w:tcPr>
            <w:tcW w:w="224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2"/>
              </w:rPr>
              <w:t>Market Comparable</w:t>
            </w:r>
          </w:p>
        </w:tc>
        <w:tc>
          <w:tcPr>
            <w:tcW w:w="2320" w:type="dxa"/>
            <w:vAlign w:val="bottom"/>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2"/>
              </w:rPr>
              <w:t>Broker/Dealer bid quotes</w:t>
            </w: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160" w:type="dxa"/>
            <w:vAlign w:val="bottom"/>
            <w:gridSpan w:val="2"/>
          </w:tcPr>
          <w:p>
            <w:pPr>
              <w:spacing w:after="0"/>
              <w:rPr>
                <w:sz w:val="20"/>
                <w:szCs w:val="20"/>
                <w:color w:val="auto"/>
              </w:rPr>
            </w:pPr>
            <w:r>
              <w:rPr>
                <w:rFonts w:ascii="Arial" w:cs="Arial" w:eastAsia="Arial" w:hAnsi="Arial"/>
                <w:sz w:val="16"/>
                <w:szCs w:val="16"/>
                <w:color w:val="auto"/>
              </w:rPr>
              <w:t>First lien, second lien, subordinated</w:t>
            </w: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160" w:type="dxa"/>
            <w:vAlign w:val="bottom"/>
            <w:gridSpan w:val="2"/>
          </w:tcPr>
          <w:p>
            <w:pPr>
              <w:ind w:left="160"/>
              <w:spacing w:after="0"/>
              <w:rPr>
                <w:sz w:val="20"/>
                <w:szCs w:val="20"/>
                <w:color w:val="auto"/>
              </w:rPr>
            </w:pPr>
            <w:r>
              <w:rPr>
                <w:rFonts w:ascii="Arial" w:cs="Arial" w:eastAsia="Arial" w:hAnsi="Arial"/>
                <w:sz w:val="16"/>
                <w:szCs w:val="16"/>
                <w:color w:val="auto"/>
              </w:rPr>
              <w:t>debt/corporate notes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gridSpan w:val="2"/>
          </w:tcPr>
          <w:p>
            <w:pPr>
              <w:jc w:val="right"/>
              <w:ind w:right="300"/>
              <w:spacing w:after="0"/>
              <w:rPr>
                <w:sz w:val="20"/>
                <w:szCs w:val="20"/>
                <w:color w:val="auto"/>
              </w:rPr>
            </w:pPr>
            <w:r>
              <w:rPr>
                <w:rFonts w:ascii="Arial" w:cs="Arial" w:eastAsia="Arial" w:hAnsi="Arial"/>
                <w:sz w:val="16"/>
                <w:szCs w:val="16"/>
                <w:color w:val="auto"/>
              </w:rPr>
              <w:t>589,806,989</w:t>
            </w:r>
          </w:p>
        </w:tc>
        <w:tc>
          <w:tcPr>
            <w:tcW w:w="2240" w:type="dxa"/>
            <w:vAlign w:val="bottom"/>
            <w:gridSpan w:val="2"/>
          </w:tcPr>
          <w:p>
            <w:pPr>
              <w:jc w:val="center"/>
              <w:ind w:right="220"/>
              <w:spacing w:after="0"/>
              <w:rPr>
                <w:sz w:val="20"/>
                <w:szCs w:val="20"/>
                <w:color w:val="auto"/>
              </w:rPr>
            </w:pPr>
            <w:r>
              <w:rPr>
                <w:rFonts w:ascii="Arial" w:cs="Arial" w:eastAsia="Arial" w:hAnsi="Arial"/>
                <w:sz w:val="16"/>
                <w:szCs w:val="16"/>
                <w:color w:val="auto"/>
                <w:w w:val="92"/>
              </w:rPr>
              <w:t>Market Comparable</w:t>
            </w:r>
          </w:p>
        </w:tc>
        <w:tc>
          <w:tcPr>
            <w:tcW w:w="2320" w:type="dxa"/>
            <w:vAlign w:val="bottom"/>
            <w:gridSpan w:val="2"/>
          </w:tcPr>
          <w:p>
            <w:pPr>
              <w:jc w:val="center"/>
              <w:ind w:right="220"/>
              <w:spacing w:after="0"/>
              <w:rPr>
                <w:sz w:val="20"/>
                <w:szCs w:val="20"/>
                <w:color w:val="auto"/>
              </w:rPr>
            </w:pPr>
            <w:r>
              <w:rPr>
                <w:rFonts w:ascii="Arial" w:cs="Arial" w:eastAsia="Arial" w:hAnsi="Arial"/>
                <w:sz w:val="16"/>
                <w:szCs w:val="16"/>
                <w:color w:val="auto"/>
                <w:w w:val="96"/>
              </w:rPr>
              <w:t>Market Yield</w:t>
            </w:r>
          </w:p>
        </w:tc>
        <w:tc>
          <w:tcPr>
            <w:tcW w:w="1860" w:type="dxa"/>
            <w:vAlign w:val="bottom"/>
          </w:tcPr>
          <w:p>
            <w:pPr>
              <w:jc w:val="center"/>
              <w:spacing w:after="0"/>
              <w:rPr>
                <w:sz w:val="20"/>
                <w:szCs w:val="20"/>
                <w:color w:val="auto"/>
              </w:rPr>
            </w:pPr>
            <w:r>
              <w:rPr>
                <w:rFonts w:ascii="Arial" w:cs="Arial" w:eastAsia="Arial" w:hAnsi="Arial"/>
                <w:sz w:val="16"/>
                <w:szCs w:val="16"/>
                <w:color w:val="auto"/>
                <w:w w:val="93"/>
              </w:rPr>
              <w:t>8.4% - 19.0% (14.1%)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Preferred and common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101,323,123</w:t>
            </w:r>
          </w:p>
        </w:tc>
        <w:tc>
          <w:tcPr>
            <w:tcW w:w="30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2"/>
              </w:rPr>
              <w:t>Enterprise Market Value</w:t>
            </w:r>
          </w:p>
        </w:tc>
        <w:tc>
          <w:tcPr>
            <w:tcW w:w="2320" w:type="dxa"/>
            <w:vAlign w:val="bottom"/>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8"/>
              </w:rPr>
              <w:t>EBITDA multiple</w:t>
            </w: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4.3x - 15.5x (8.5x)</w:t>
            </w:r>
          </w:p>
        </w:tc>
        <w:tc>
          <w:tcPr>
            <w:tcW w:w="0" w:type="dxa"/>
            <w:vAlign w:val="bottom"/>
          </w:tcPr>
          <w:p>
            <w:pPr>
              <w:spacing w:after="0"/>
              <w:rPr>
                <w:sz w:val="1"/>
                <w:szCs w:val="1"/>
                <w:color w:val="auto"/>
              </w:rPr>
            </w:pPr>
          </w:p>
        </w:tc>
      </w:tr>
      <w:tr>
        <w:trPr>
          <w:trHeight w:val="217"/>
        </w:trPr>
        <w:tc>
          <w:tcPr>
            <w:tcW w:w="3180" w:type="dxa"/>
            <w:vAlign w:val="bottom"/>
            <w:gridSpan w:val="3"/>
          </w:tcPr>
          <w:p>
            <w:pPr>
              <w:spacing w:after="0"/>
              <w:rPr>
                <w:sz w:val="20"/>
                <w:szCs w:val="20"/>
                <w:color w:val="auto"/>
              </w:rPr>
            </w:pPr>
            <w:r>
              <w:rPr>
                <w:rFonts w:ascii="Arial" w:cs="Arial" w:eastAsia="Arial" w:hAnsi="Arial"/>
                <w:sz w:val="16"/>
                <w:szCs w:val="16"/>
                <w:color w:val="auto"/>
              </w:rPr>
              <w:t>Total Level 3 investments</w:t>
            </w: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949,747,194</w:t>
            </w:r>
          </w:p>
        </w:tc>
        <w:tc>
          <w:tcPr>
            <w:tcW w:w="3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Long-Term Credit Facility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144,452,500</w:t>
            </w:r>
          </w:p>
        </w:tc>
        <w:tc>
          <w:tcPr>
            <w:tcW w:w="300" w:type="dxa"/>
            <w:vAlign w:val="bottom"/>
            <w:shd w:val="clear" w:color="auto" w:fill="CCEEFF"/>
          </w:tcPr>
          <w:p>
            <w:pPr>
              <w:spacing w:after="0"/>
              <w:rPr>
                <w:sz w:val="17"/>
                <w:szCs w:val="17"/>
                <w:color w:val="auto"/>
              </w:rPr>
            </w:pPr>
          </w:p>
        </w:tc>
        <w:tc>
          <w:tcPr>
            <w:tcW w:w="224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2"/>
              </w:rPr>
              <w:t>Market Comparable</w:t>
            </w:r>
          </w:p>
        </w:tc>
        <w:tc>
          <w:tcPr>
            <w:tcW w:w="232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1"/>
              </w:rPr>
              <w:t>Discount rate</w:t>
            </w: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3.5%</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60" w:right="23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 SEPTEMBER 30, 2013</w:t>
      </w:r>
    </w:p>
    <w:p>
      <w:pPr>
        <w:spacing w:after="0" w:line="86"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Our cash equivalents, 2025 Notes and investments and our Credit Facility were categorized as follows in the fair value hierarchy for ASC 820 purposes: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0" w:type="dxa"/>
            <w:vAlign w:val="bottom"/>
            <w:gridSpan w:val="7"/>
          </w:tcPr>
          <w:p>
            <w:pPr>
              <w:ind w:left="40"/>
              <w:spacing w:after="0"/>
              <w:rPr>
                <w:sz w:val="20"/>
                <w:szCs w:val="20"/>
                <w:color w:val="auto"/>
              </w:rPr>
            </w:pPr>
            <w:r>
              <w:rPr>
                <w:rFonts w:ascii="Arial" w:cs="Arial" w:eastAsia="Arial" w:hAnsi="Arial"/>
                <w:sz w:val="14"/>
                <w:szCs w:val="14"/>
                <w:b w:val="1"/>
                <w:bCs w:val="1"/>
                <w:color w:val="auto"/>
              </w:rPr>
              <w:t>Fair Value at September 30, 2013</w:t>
            </w:r>
          </w:p>
        </w:tc>
        <w:tc>
          <w:tcPr>
            <w:tcW w:w="0" w:type="dxa"/>
            <w:vAlign w:val="bottom"/>
          </w:tcPr>
          <w:p>
            <w:pPr>
              <w:spacing w:after="0"/>
              <w:rPr>
                <w:sz w:val="1"/>
                <w:szCs w:val="1"/>
                <w:color w:val="auto"/>
              </w:rPr>
            </w:pPr>
          </w:p>
        </w:tc>
      </w:tr>
      <w:tr>
        <w:trPr>
          <w:trHeight w:val="142"/>
        </w:trPr>
        <w:tc>
          <w:tcPr>
            <w:tcW w:w="55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3"/>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Level 1</w:t>
            </w:r>
          </w:p>
        </w:tc>
        <w:tc>
          <w:tcPr>
            <w:tcW w:w="4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2"/>
          </w:tcPr>
          <w:p>
            <w:pPr>
              <w:jc w:val="right"/>
              <w:ind w:right="700"/>
              <w:spacing w:after="0" w:line="142" w:lineRule="exact"/>
              <w:rPr>
                <w:sz w:val="20"/>
                <w:szCs w:val="20"/>
                <w:color w:val="auto"/>
              </w:rPr>
            </w:pPr>
            <w:r>
              <w:rPr>
                <w:rFonts w:ascii="Arial" w:cs="Arial" w:eastAsia="Arial" w:hAnsi="Arial"/>
                <w:sz w:val="14"/>
                <w:szCs w:val="14"/>
                <w:b w:val="1"/>
                <w:bCs w:val="1"/>
                <w:color w:val="auto"/>
              </w:rPr>
              <w:t>Level 2</w:t>
            </w:r>
          </w:p>
        </w:tc>
        <w:tc>
          <w:tcPr>
            <w:tcW w:w="1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3"/>
              </w:rPr>
              <w:t>Loan and</w:t>
            </w:r>
          </w:p>
        </w:tc>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debt investments</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959,506,815</w:t>
            </w: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1"/>
              </w:rPr>
              <w:t>$ 44,092,400</w:t>
            </w:r>
          </w:p>
        </w:tc>
        <w:tc>
          <w:tcPr>
            <w:tcW w:w="4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915,414,415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118,668,738</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7,539,320</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205,667</w:t>
            </w: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110,923,751</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4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investments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w w:val="92"/>
              </w:rPr>
              <w:t>1,078,175,553</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7,539,320</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0"/>
              </w:rPr>
              <w:t>44,298,067</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1,026,338,166</w:t>
            </w: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58,440,829</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58,440,829</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4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investments, cash and cash equivalents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w w:val="92"/>
              </w:rPr>
              <w:t>1,136,616,382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65,980,149</w:t>
            </w:r>
          </w:p>
        </w:tc>
        <w:tc>
          <w:tcPr>
            <w:tcW w:w="184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$ 44,298,067</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1,026,338,166</w:t>
            </w:r>
          </w:p>
        </w:tc>
        <w:tc>
          <w:tcPr>
            <w:tcW w:w="0" w:type="dxa"/>
            <w:vAlign w:val="bottom"/>
          </w:tcPr>
          <w:p>
            <w:pPr>
              <w:spacing w:after="0"/>
              <w:rPr>
                <w:sz w:val="1"/>
                <w:szCs w:val="1"/>
                <w:color w:val="auto"/>
              </w:rPr>
            </w:pPr>
          </w:p>
        </w:tc>
      </w:tr>
      <w:tr>
        <w:trPr>
          <w:trHeight w:val="223"/>
        </w:trPr>
        <w:tc>
          <w:tcPr>
            <w:tcW w:w="5580" w:type="dxa"/>
            <w:vAlign w:val="bottom"/>
            <w:gridSpan w:val="2"/>
          </w:tcPr>
          <w:p>
            <w:pPr>
              <w:spacing w:after="0"/>
              <w:rPr>
                <w:sz w:val="20"/>
                <w:szCs w:val="20"/>
                <w:color w:val="auto"/>
              </w:rPr>
            </w:pPr>
            <w:r>
              <w:rPr>
                <w:rFonts w:ascii="Arial" w:cs="Arial" w:eastAsia="Arial" w:hAnsi="Arial"/>
                <w:sz w:val="18"/>
                <w:szCs w:val="18"/>
                <w:color w:val="auto"/>
              </w:rPr>
              <w:t>Long-Term Credit Facility (excluding temporary draw of $28.0 million)</w:t>
            </w:r>
          </w:p>
        </w:tc>
        <w:tc>
          <w:tcPr>
            <w:tcW w:w="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117,500,000</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117,500,000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2025 Notes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68,400,000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68,400,000</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580" w:type="dxa"/>
            <w:vAlign w:val="bottom"/>
            <w:gridSpan w:val="2"/>
          </w:tcPr>
          <w:p>
            <w:pPr>
              <w:spacing w:after="0"/>
              <w:rPr>
                <w:sz w:val="20"/>
                <w:szCs w:val="20"/>
                <w:color w:val="auto"/>
              </w:rPr>
            </w:pPr>
            <w:r>
              <w:rPr>
                <w:rFonts w:ascii="Arial" w:cs="Arial" w:eastAsia="Arial" w:hAnsi="Arial"/>
                <w:sz w:val="18"/>
                <w:szCs w:val="18"/>
                <w:color w:val="auto"/>
              </w:rPr>
              <w:t>Total debt</w:t>
            </w: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185,900,000</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68,400,000</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117,500,000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5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0" w:type="dxa"/>
            <w:vAlign w:val="bottom"/>
            <w:gridSpan w:val="7"/>
          </w:tcPr>
          <w:p>
            <w:pPr>
              <w:ind w:left="40"/>
              <w:spacing w:after="0"/>
              <w:rPr>
                <w:sz w:val="20"/>
                <w:szCs w:val="20"/>
                <w:color w:val="auto"/>
              </w:rPr>
            </w:pPr>
            <w:r>
              <w:rPr>
                <w:rFonts w:ascii="Arial" w:cs="Arial" w:eastAsia="Arial" w:hAnsi="Arial"/>
                <w:sz w:val="14"/>
                <w:szCs w:val="14"/>
                <w:b w:val="1"/>
                <w:bCs w:val="1"/>
                <w:color w:val="auto"/>
              </w:rPr>
              <w:t>Fair Value at September 30, 2012</w:t>
            </w:r>
          </w:p>
        </w:tc>
        <w:tc>
          <w:tcPr>
            <w:tcW w:w="0" w:type="dxa"/>
            <w:vAlign w:val="bottom"/>
          </w:tcPr>
          <w:p>
            <w:pPr>
              <w:spacing w:after="0"/>
              <w:rPr>
                <w:sz w:val="1"/>
                <w:szCs w:val="1"/>
                <w:color w:val="auto"/>
              </w:rPr>
            </w:pPr>
          </w:p>
        </w:tc>
      </w:tr>
      <w:tr>
        <w:trPr>
          <w:trHeight w:val="142"/>
        </w:trPr>
        <w:tc>
          <w:tcPr>
            <w:tcW w:w="55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3"/>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Level 1</w:t>
            </w:r>
          </w:p>
        </w:tc>
        <w:tc>
          <w:tcPr>
            <w:tcW w:w="4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2"/>
          </w:tcPr>
          <w:p>
            <w:pPr>
              <w:jc w:val="right"/>
              <w:ind w:right="700"/>
              <w:spacing w:after="0" w:line="142" w:lineRule="exact"/>
              <w:rPr>
                <w:sz w:val="20"/>
                <w:szCs w:val="20"/>
                <w:color w:val="auto"/>
              </w:rPr>
            </w:pPr>
            <w:r>
              <w:rPr>
                <w:rFonts w:ascii="Arial" w:cs="Arial" w:eastAsia="Arial" w:hAnsi="Arial"/>
                <w:sz w:val="14"/>
                <w:szCs w:val="14"/>
                <w:b w:val="1"/>
                <w:bCs w:val="1"/>
                <w:color w:val="auto"/>
              </w:rPr>
              <w:t>Level 2</w:t>
            </w:r>
          </w:p>
        </w:tc>
        <w:tc>
          <w:tcPr>
            <w:tcW w:w="1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3"/>
              </w:rPr>
              <w:t>Loan and</w:t>
            </w:r>
          </w:p>
        </w:tc>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debt investments</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883,699,431</w:t>
            </w: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1"/>
              </w:rPr>
              <w:t>$ 35,275,360</w:t>
            </w:r>
          </w:p>
        </w:tc>
        <w:tc>
          <w:tcPr>
            <w:tcW w:w="4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848,424,071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106,780,279</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5,425,378</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31,778</w:t>
            </w: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101,323,123</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4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investments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990,479,710</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5,425,378</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0"/>
              </w:rPr>
              <w:t>35,307,138</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949,747,194</w:t>
            </w: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7,559,453</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7,559,453</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4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investments, cash and cash equivalents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998,039,163</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12,984,831</w:t>
            </w:r>
          </w:p>
        </w:tc>
        <w:tc>
          <w:tcPr>
            <w:tcW w:w="184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$ 35,307,138</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949,747,194</w:t>
            </w:r>
          </w:p>
        </w:tc>
        <w:tc>
          <w:tcPr>
            <w:tcW w:w="0" w:type="dxa"/>
            <w:vAlign w:val="bottom"/>
          </w:tcPr>
          <w:p>
            <w:pPr>
              <w:spacing w:after="0"/>
              <w:rPr>
                <w:sz w:val="1"/>
                <w:szCs w:val="1"/>
                <w:color w:val="auto"/>
              </w:rPr>
            </w:pPr>
          </w:p>
        </w:tc>
      </w:tr>
      <w:tr>
        <w:trPr>
          <w:trHeight w:val="223"/>
        </w:trPr>
        <w:tc>
          <w:tcPr>
            <w:tcW w:w="5580" w:type="dxa"/>
            <w:vAlign w:val="bottom"/>
            <w:gridSpan w:val="2"/>
          </w:tcPr>
          <w:p>
            <w:pPr>
              <w:spacing w:after="0"/>
              <w:rPr>
                <w:sz w:val="20"/>
                <w:szCs w:val="20"/>
                <w:color w:val="auto"/>
              </w:rPr>
            </w:pPr>
            <w:r>
              <w:rPr>
                <w:rFonts w:ascii="Arial" w:cs="Arial" w:eastAsia="Arial" w:hAnsi="Arial"/>
                <w:sz w:val="18"/>
                <w:szCs w:val="18"/>
                <w:color w:val="auto"/>
              </w:rPr>
              <w:t>Long-Term Credit Facility (excluding temporary draw of $35.5 million)</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108,952,500</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108,952,500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following tables show a reconciliation of the beginning and ending balances for fair valued investments measured using significant unobservable inputs (Level 3):</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2"/>
              </w:rPr>
              <w:t>Year Ended September 30, 2013</w:t>
            </w:r>
          </w:p>
        </w:tc>
        <w:tc>
          <w:tcPr>
            <w:tcW w:w="10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60" w:type="dxa"/>
            <w:vAlign w:val="bottom"/>
            <w:gridSpan w:val="2"/>
          </w:tcPr>
          <w:p>
            <w:pPr>
              <w:jc w:val="right"/>
              <w:ind w:right="468"/>
              <w:spacing w:after="0" w:line="119" w:lineRule="exact"/>
              <w:rPr>
                <w:sz w:val="20"/>
                <w:szCs w:val="20"/>
                <w:color w:val="auto"/>
              </w:rPr>
            </w:pPr>
            <w:r>
              <w:rPr>
                <w:rFonts w:ascii="Arial" w:cs="Arial" w:eastAsia="Arial" w:hAnsi="Arial"/>
                <w:sz w:val="13"/>
                <w:szCs w:val="13"/>
                <w:b w:val="1"/>
                <w:bCs w:val="1"/>
                <w:color w:val="auto"/>
              </w:rPr>
              <w:t>Loan and debt</w:t>
            </w:r>
          </w:p>
        </w:tc>
        <w:tc>
          <w:tcPr>
            <w:tcW w:w="1480" w:type="dxa"/>
            <w:vAlign w:val="bottom"/>
            <w:gridSpan w:val="2"/>
          </w:tcPr>
          <w:p>
            <w:pPr>
              <w:jc w:val="right"/>
              <w:ind w:right="740"/>
              <w:spacing w:after="0" w:line="119" w:lineRule="exact"/>
              <w:rPr>
                <w:sz w:val="20"/>
                <w:szCs w:val="20"/>
                <w:color w:val="auto"/>
              </w:rPr>
            </w:pPr>
            <w:r>
              <w:rPr>
                <w:rFonts w:ascii="Arial" w:cs="Arial" w:eastAsia="Arial" w:hAnsi="Arial"/>
                <w:sz w:val="13"/>
                <w:szCs w:val="13"/>
                <w:b w:val="1"/>
                <w:bCs w:val="1"/>
                <w:color w:val="auto"/>
              </w:rPr>
              <w:t>Equity</w:t>
            </w:r>
          </w:p>
        </w:tc>
        <w:tc>
          <w:tcPr>
            <w:tcW w:w="140" w:type="dxa"/>
            <w:vAlign w:val="bottom"/>
          </w:tcPr>
          <w:p>
            <w:pPr>
              <w:spacing w:after="0"/>
              <w:rPr>
                <w:sz w:val="10"/>
                <w:szCs w:val="10"/>
                <w:color w:val="auto"/>
              </w:rPr>
            </w:pPr>
          </w:p>
        </w:tc>
        <w:tc>
          <w:tcPr>
            <w:tcW w:w="118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680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2"/>
          </w:tcPr>
          <w:p>
            <w:pPr>
              <w:jc w:val="right"/>
              <w:ind w:right="568"/>
              <w:spacing w:after="0"/>
              <w:rPr>
                <w:sz w:val="20"/>
                <w:szCs w:val="20"/>
                <w:color w:val="auto"/>
              </w:rPr>
            </w:pPr>
            <w:r>
              <w:rPr>
                <w:rFonts w:ascii="Arial" w:cs="Arial" w:eastAsia="Arial" w:hAnsi="Arial"/>
                <w:sz w:val="14"/>
                <w:szCs w:val="14"/>
                <w:b w:val="1"/>
                <w:bCs w:val="1"/>
                <w:color w:val="auto"/>
                <w:w w:val="97"/>
              </w:rPr>
              <w:t>investments</w:t>
            </w:r>
          </w:p>
        </w:tc>
        <w:tc>
          <w:tcPr>
            <w:tcW w:w="14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investments</w:t>
            </w:r>
          </w:p>
        </w:tc>
        <w:tc>
          <w:tcPr>
            <w:tcW w:w="1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4"/>
              </w:rPr>
              <w:t>Beginning</w:t>
            </w:r>
          </w:p>
        </w:tc>
        <w:tc>
          <w:tcPr>
            <w:tcW w:w="608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Balance, September 30, 2012</w:t>
            </w: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848,424,071</w:t>
            </w:r>
          </w:p>
        </w:tc>
        <w:tc>
          <w:tcPr>
            <w:tcW w:w="4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$ 101,323,123</w:t>
            </w: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949,747,194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ind w:left="340"/>
              <w:spacing w:after="0"/>
              <w:rPr>
                <w:sz w:val="20"/>
                <w:szCs w:val="20"/>
                <w:color w:val="auto"/>
              </w:rPr>
            </w:pPr>
            <w:r>
              <w:rPr>
                <w:rFonts w:ascii="Arial" w:cs="Arial" w:eastAsia="Arial" w:hAnsi="Arial"/>
                <w:sz w:val="18"/>
                <w:szCs w:val="18"/>
                <w:color w:val="auto"/>
              </w:rPr>
              <w:t>Realized gains (losses)</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368"/>
              <w:spacing w:after="0"/>
              <w:rPr>
                <w:sz w:val="20"/>
                <w:szCs w:val="20"/>
                <w:color w:val="auto"/>
              </w:rPr>
            </w:pPr>
            <w:r>
              <w:rPr>
                <w:rFonts w:ascii="Arial" w:cs="Arial" w:eastAsia="Arial" w:hAnsi="Arial"/>
                <w:sz w:val="18"/>
                <w:szCs w:val="18"/>
                <w:color w:val="auto"/>
              </w:rPr>
              <w:t>6,721,638</w:t>
            </w: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rPr>
              <w:t>3,311,652</w:t>
            </w:r>
          </w:p>
        </w:tc>
        <w:tc>
          <w:tcPr>
            <w:tcW w:w="1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10,033,290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Unrealized appreciation</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35,227,586</w:t>
            </w: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(28,273,765)</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6,953,821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ind w:left="340"/>
              <w:spacing w:after="0"/>
              <w:rPr>
                <w:sz w:val="20"/>
                <w:szCs w:val="20"/>
                <w:color w:val="auto"/>
              </w:rPr>
            </w:pPr>
            <w:r>
              <w:rPr>
                <w:rFonts w:ascii="Arial" w:cs="Arial" w:eastAsia="Arial" w:hAnsi="Arial"/>
                <w:sz w:val="18"/>
                <w:szCs w:val="18"/>
                <w:color w:val="auto"/>
              </w:rPr>
              <w:t>Purchases, PIK, net discount accretion and non-cash exchanges</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368"/>
              <w:spacing w:after="0"/>
              <w:rPr>
                <w:sz w:val="20"/>
                <w:szCs w:val="20"/>
                <w:color w:val="auto"/>
              </w:rPr>
            </w:pPr>
            <w:r>
              <w:rPr>
                <w:rFonts w:ascii="Arial" w:cs="Arial" w:eastAsia="Arial" w:hAnsi="Arial"/>
                <w:sz w:val="18"/>
                <w:szCs w:val="18"/>
                <w:color w:val="auto"/>
                <w:w w:val="99"/>
              </w:rPr>
              <w:t>512,045,145</w:t>
            </w: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rPr>
              <w:t>46,647,608</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558,692,753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Sales / repayments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w w:val="94"/>
              </w:rPr>
              <w:t>(474,164,025)</w:t>
            </w: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(12,084,867)</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(486,248,892)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ind w:left="340"/>
              <w:spacing w:after="0"/>
              <w:rPr>
                <w:sz w:val="20"/>
                <w:szCs w:val="20"/>
                <w:color w:val="auto"/>
              </w:rPr>
            </w:pPr>
            <w:r>
              <w:rPr>
                <w:rFonts w:ascii="Arial" w:cs="Arial" w:eastAsia="Arial" w:hAnsi="Arial"/>
                <w:sz w:val="18"/>
                <w:szCs w:val="18"/>
                <w:color w:val="auto"/>
              </w:rPr>
              <w:t>Transfers in or out of Level 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308"/>
              <w:spacing w:after="0"/>
              <w:rPr>
                <w:sz w:val="20"/>
                <w:szCs w:val="20"/>
                <w:color w:val="auto"/>
              </w:rPr>
            </w:pPr>
            <w:r>
              <w:rPr>
                <w:rFonts w:ascii="Arial" w:cs="Arial" w:eastAsia="Arial" w:hAnsi="Arial"/>
                <w:sz w:val="18"/>
                <w:szCs w:val="18"/>
                <w:color w:val="auto"/>
              </w:rPr>
              <w:t>(12,840,000)</w:t>
            </w: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(12,840,000)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 September 30, 2013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w w:val="99"/>
              </w:rPr>
              <w:t>915,414,415</w:t>
            </w: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8"/>
              </w:rPr>
              <w:t>$ 110,923,751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1,026,338,166</w:t>
            </w:r>
          </w:p>
        </w:tc>
        <w:tc>
          <w:tcPr>
            <w:tcW w:w="0" w:type="dxa"/>
            <w:vAlign w:val="bottom"/>
          </w:tcPr>
          <w:p>
            <w:pPr>
              <w:spacing w:after="0"/>
              <w:rPr>
                <w:sz w:val="1"/>
                <w:szCs w:val="1"/>
                <w:color w:val="auto"/>
              </w:rPr>
            </w:pPr>
          </w:p>
        </w:tc>
      </w:tr>
      <w:tr>
        <w:trPr>
          <w:trHeight w:val="209"/>
        </w:trPr>
        <w:tc>
          <w:tcPr>
            <w:tcW w:w="6800" w:type="dxa"/>
            <w:vAlign w:val="bottom"/>
            <w:gridSpan w:val="3"/>
          </w:tcPr>
          <w:p>
            <w:pPr>
              <w:spacing w:after="0"/>
              <w:rPr>
                <w:sz w:val="20"/>
                <w:szCs w:val="20"/>
                <w:color w:val="auto"/>
              </w:rPr>
            </w:pPr>
            <w:r>
              <w:rPr>
                <w:rFonts w:ascii="Arial" w:cs="Arial" w:eastAsia="Arial" w:hAnsi="Arial"/>
                <w:sz w:val="18"/>
                <w:szCs w:val="18"/>
                <w:color w:val="auto"/>
                <w:w w:val="95"/>
              </w:rPr>
              <w:t>Net change in unrealized appreciation (depreciation) for the fiscal year reported within the</w:t>
            </w:r>
          </w:p>
        </w:tc>
        <w:tc>
          <w:tcPr>
            <w:tcW w:w="2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ind w:left="160"/>
              <w:spacing w:after="0"/>
              <w:rPr>
                <w:sz w:val="20"/>
                <w:szCs w:val="20"/>
                <w:color w:val="auto"/>
              </w:rPr>
            </w:pPr>
            <w:r>
              <w:rPr>
                <w:rFonts w:ascii="Arial" w:cs="Arial" w:eastAsia="Arial" w:hAnsi="Arial"/>
                <w:sz w:val="18"/>
                <w:szCs w:val="18"/>
                <w:color w:val="auto"/>
                <w:w w:val="94"/>
              </w:rPr>
              <w:t>net change in unrealized appreciation (depreciation) on investments in our Consolidated</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80" w:type="dxa"/>
            <w:vAlign w:val="bottom"/>
            <w:gridSpan w:val="2"/>
          </w:tcPr>
          <w:p>
            <w:pPr>
              <w:ind w:left="160"/>
              <w:spacing w:after="0"/>
              <w:rPr>
                <w:sz w:val="20"/>
                <w:szCs w:val="20"/>
                <w:color w:val="auto"/>
              </w:rPr>
            </w:pPr>
            <w:r>
              <w:rPr>
                <w:rFonts w:ascii="Arial" w:cs="Arial" w:eastAsia="Arial" w:hAnsi="Arial"/>
                <w:sz w:val="18"/>
                <w:szCs w:val="18"/>
                <w:color w:val="auto"/>
                <w:w w:val="94"/>
              </w:rPr>
              <w:t>Statement of Operations attributable to our Level 3 assets still held at the reporting date</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368"/>
              <w:spacing w:after="0"/>
              <w:rPr>
                <w:sz w:val="20"/>
                <w:szCs w:val="20"/>
                <w:color w:val="auto"/>
              </w:rPr>
            </w:pPr>
            <w:r>
              <w:rPr>
                <w:rFonts w:ascii="Arial" w:cs="Arial" w:eastAsia="Arial" w:hAnsi="Arial"/>
                <w:sz w:val="18"/>
                <w:szCs w:val="18"/>
                <w:color w:val="auto"/>
              </w:rPr>
              <w:t>33,158,082</w:t>
            </w:r>
          </w:p>
        </w:tc>
        <w:tc>
          <w:tcPr>
            <w:tcW w:w="1480" w:type="dxa"/>
            <w:vAlign w:val="bottom"/>
            <w:gridSpan w:val="2"/>
          </w:tcPr>
          <w:p>
            <w:pPr>
              <w:jc w:val="right"/>
              <w:ind w:right="380"/>
              <w:spacing w:after="0"/>
              <w:rPr>
                <w:sz w:val="20"/>
                <w:szCs w:val="20"/>
                <w:color w:val="auto"/>
              </w:rPr>
            </w:pPr>
            <w:r>
              <w:rPr>
                <w:rFonts w:ascii="Arial" w:cs="Arial" w:eastAsia="Arial" w:hAnsi="Arial"/>
                <w:sz w:val="18"/>
                <w:szCs w:val="18"/>
                <w:color w:val="auto"/>
                <w:w w:val="92"/>
              </w:rPr>
              <w:t>$ (30,958,706)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2,199,376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80" w:type="dxa"/>
            <w:vAlign w:val="bottom"/>
          </w:tcPr>
          <w:p>
            <w:pPr>
              <w:ind w:left="4820"/>
              <w:spacing w:after="0"/>
              <w:rPr>
                <w:sz w:val="20"/>
                <w:szCs w:val="20"/>
                <w:color w:val="auto"/>
              </w:rPr>
            </w:pPr>
            <w:r>
              <w:rPr>
                <w:rFonts w:ascii="Arial" w:cs="Arial" w:eastAsia="Arial" w:hAnsi="Arial"/>
                <w:sz w:val="18"/>
                <w:szCs w:val="18"/>
                <w:color w:val="auto"/>
              </w:rPr>
              <w:t>F-28</w:t>
            </w:r>
          </w:p>
        </w:tc>
        <w:tc>
          <w:tcPr>
            <w:tcW w:w="2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 SEPTEMBER 30, 2013</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Year Ended September 30, 2012</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100" w:type="dxa"/>
            <w:vAlign w:val="bottom"/>
            <w:gridSpan w:val="3"/>
          </w:tcPr>
          <w:p>
            <w:pPr>
              <w:jc w:val="right"/>
              <w:ind w:right="140"/>
              <w:spacing w:after="0" w:line="119" w:lineRule="exact"/>
              <w:rPr>
                <w:sz w:val="20"/>
                <w:szCs w:val="20"/>
                <w:color w:val="auto"/>
              </w:rPr>
            </w:pPr>
            <w:r>
              <w:rPr>
                <w:rFonts w:ascii="Arial" w:cs="Arial" w:eastAsia="Arial" w:hAnsi="Arial"/>
                <w:sz w:val="13"/>
                <w:szCs w:val="13"/>
                <w:b w:val="1"/>
                <w:bCs w:val="1"/>
                <w:color w:val="auto"/>
              </w:rPr>
              <w:t>Loan and debt</w:t>
            </w: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20" w:type="dxa"/>
            <w:vAlign w:val="bottom"/>
            <w:gridSpan w:val="2"/>
          </w:tcPr>
          <w:p>
            <w:pPr>
              <w:jc w:val="center"/>
              <w:ind w:right="600"/>
              <w:spacing w:after="0" w:line="119" w:lineRule="exact"/>
              <w:rPr>
                <w:sz w:val="20"/>
                <w:szCs w:val="20"/>
                <w:color w:val="auto"/>
              </w:rPr>
            </w:pPr>
            <w:r>
              <w:rPr>
                <w:rFonts w:ascii="Arial" w:cs="Arial" w:eastAsia="Arial" w:hAnsi="Arial"/>
                <w:sz w:val="13"/>
                <w:szCs w:val="13"/>
                <w:b w:val="1"/>
                <w:bCs w:val="1"/>
                <w:color w:val="auto"/>
              </w:rPr>
              <w:t>Equity</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710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5"/>
              </w:rPr>
              <w:t>investments</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0"/>
              </w:rPr>
              <w:t>investments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4"/>
              </w:rPr>
              <w:t>Beginning</w:t>
            </w:r>
          </w:p>
        </w:tc>
        <w:tc>
          <w:tcPr>
            <w:tcW w:w="6380" w:type="dxa"/>
            <w:vAlign w:val="bottom"/>
            <w:tcBorders>
              <w:top w:val="single" w:sz="8" w:color="CCEEFF"/>
              <w:right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Balance, September 30, 2011</w:t>
            </w: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732,694,451</w:t>
            </w:r>
          </w:p>
        </w:tc>
        <w:tc>
          <w:tcPr>
            <w:tcW w:w="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52,353,328</w:t>
            </w:r>
          </w:p>
        </w:tc>
        <w:tc>
          <w:tcPr>
            <w:tcW w:w="5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785,047,779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gridSpan w:val="2"/>
          </w:tcPr>
          <w:p>
            <w:pPr>
              <w:ind w:left="340"/>
              <w:spacing w:after="0"/>
              <w:rPr>
                <w:sz w:val="20"/>
                <w:szCs w:val="20"/>
                <w:color w:val="auto"/>
              </w:rPr>
            </w:pPr>
            <w:r>
              <w:rPr>
                <w:rFonts w:ascii="Arial" w:cs="Arial" w:eastAsia="Arial" w:hAnsi="Arial"/>
                <w:sz w:val="18"/>
                <w:szCs w:val="18"/>
                <w:color w:val="auto"/>
              </w:rPr>
              <w:t>Realized gains (losses)</w:t>
            </w:r>
          </w:p>
        </w:tc>
        <w:tc>
          <w:tcPr>
            <w:tcW w:w="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(1,893,297)</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8"/>
                <w:szCs w:val="18"/>
                <w:color w:val="auto"/>
              </w:rPr>
              <w:t>(865,772)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(2,759,069)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Borders>
              <w:right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Unrealized appreciation</w:t>
            </w:r>
          </w:p>
        </w:tc>
        <w:tc>
          <w:tcPr>
            <w:tcW w:w="6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23,034,558</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(11,283,219)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11,751,339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gridSpan w:val="2"/>
          </w:tcPr>
          <w:p>
            <w:pPr>
              <w:ind w:left="340"/>
              <w:spacing w:after="0"/>
              <w:rPr>
                <w:sz w:val="20"/>
                <w:szCs w:val="20"/>
                <w:color w:val="auto"/>
              </w:rPr>
            </w:pPr>
            <w:r>
              <w:rPr>
                <w:rFonts w:ascii="Arial" w:cs="Arial" w:eastAsia="Arial" w:hAnsi="Arial"/>
                <w:sz w:val="18"/>
                <w:szCs w:val="18"/>
                <w:color w:val="auto"/>
              </w:rPr>
              <w:t>Purchases, PIK, net discount accretion and non-cash exchanges</w:t>
            </w:r>
          </w:p>
        </w:tc>
        <w:tc>
          <w:tcPr>
            <w:tcW w:w="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5"/>
              </w:rPr>
              <w:t>288,868,017</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w w:val="99"/>
              </w:rPr>
              <w:t>66,892,499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355,760,516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Borders>
              <w:right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Sales / repayments</w:t>
            </w:r>
          </w:p>
        </w:tc>
        <w:tc>
          <w:tcPr>
            <w:tcW w:w="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(194,279,658)</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(5,773,713)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(200,053,371)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80" w:type="dxa"/>
            <w:vAlign w:val="bottom"/>
            <w:gridSpan w:val="2"/>
          </w:tcPr>
          <w:p>
            <w:pPr>
              <w:ind w:left="340"/>
              <w:spacing w:after="0"/>
              <w:rPr>
                <w:sz w:val="20"/>
                <w:szCs w:val="20"/>
                <w:color w:val="auto"/>
              </w:rPr>
            </w:pPr>
            <w:r>
              <w:rPr>
                <w:rFonts w:ascii="Arial" w:cs="Arial" w:eastAsia="Arial" w:hAnsi="Arial"/>
                <w:sz w:val="18"/>
                <w:szCs w:val="18"/>
                <w:color w:val="auto"/>
              </w:rPr>
              <w:t>Transfers in or out of Level 3</w:t>
            </w:r>
          </w:p>
        </w:tc>
        <w:tc>
          <w:tcPr>
            <w:tcW w:w="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Ending Balance, September 30, 2012</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848,424,071</w:t>
            </w:r>
          </w:p>
        </w:tc>
        <w:tc>
          <w:tcPr>
            <w:tcW w:w="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9"/>
              </w:rPr>
              <w:t>101,323,123</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949,747,194</w:t>
            </w:r>
          </w:p>
        </w:tc>
        <w:tc>
          <w:tcPr>
            <w:tcW w:w="0" w:type="dxa"/>
            <w:vAlign w:val="bottom"/>
          </w:tcPr>
          <w:p>
            <w:pPr>
              <w:spacing w:after="0"/>
              <w:rPr>
                <w:sz w:val="1"/>
                <w:szCs w:val="1"/>
                <w:color w:val="auto"/>
              </w:rPr>
            </w:pPr>
          </w:p>
        </w:tc>
      </w:tr>
      <w:tr>
        <w:trPr>
          <w:trHeight w:val="209"/>
        </w:trPr>
        <w:tc>
          <w:tcPr>
            <w:tcW w:w="7100" w:type="dxa"/>
            <w:vAlign w:val="bottom"/>
            <w:gridSpan w:val="3"/>
          </w:tcPr>
          <w:p>
            <w:pPr>
              <w:spacing w:after="0"/>
              <w:rPr>
                <w:sz w:val="20"/>
                <w:szCs w:val="20"/>
                <w:color w:val="auto"/>
              </w:rPr>
            </w:pPr>
            <w:r>
              <w:rPr>
                <w:rFonts w:ascii="Arial" w:cs="Arial" w:eastAsia="Arial" w:hAnsi="Arial"/>
                <w:sz w:val="18"/>
                <w:szCs w:val="18"/>
                <w:color w:val="auto"/>
                <w:w w:val="99"/>
              </w:rPr>
              <w:t>Net change in unrealized appreciation (depreciation) for the fiscal year reported within the</w:t>
            </w:r>
          </w:p>
        </w:tc>
        <w:tc>
          <w:tcPr>
            <w:tcW w:w="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gridSpan w:val="2"/>
          </w:tcPr>
          <w:p>
            <w:pPr>
              <w:ind w:left="160"/>
              <w:spacing w:after="0"/>
              <w:rPr>
                <w:sz w:val="20"/>
                <w:szCs w:val="20"/>
                <w:color w:val="auto"/>
              </w:rPr>
            </w:pPr>
            <w:r>
              <w:rPr>
                <w:rFonts w:ascii="Arial" w:cs="Arial" w:eastAsia="Arial" w:hAnsi="Arial"/>
                <w:sz w:val="18"/>
                <w:szCs w:val="18"/>
                <w:color w:val="auto"/>
                <w:w w:val="98"/>
              </w:rPr>
              <w:t>net change in unrealized appreciation (depreciation) on investments in our Consolidated</w:t>
            </w: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80" w:type="dxa"/>
            <w:vAlign w:val="bottom"/>
            <w:gridSpan w:val="2"/>
          </w:tcPr>
          <w:p>
            <w:pPr>
              <w:ind w:left="160"/>
              <w:spacing w:after="0"/>
              <w:rPr>
                <w:sz w:val="20"/>
                <w:szCs w:val="20"/>
                <w:color w:val="auto"/>
              </w:rPr>
            </w:pPr>
            <w:r>
              <w:rPr>
                <w:rFonts w:ascii="Arial" w:cs="Arial" w:eastAsia="Arial" w:hAnsi="Arial"/>
                <w:sz w:val="18"/>
                <w:szCs w:val="18"/>
                <w:color w:val="auto"/>
                <w:w w:val="98"/>
              </w:rPr>
              <w:t>Statement of Operations attributable to our Level 3 assets still held at the reporting date</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25,864,375</w:t>
            </w:r>
          </w:p>
        </w:tc>
        <w:tc>
          <w:tcPr>
            <w:tcW w:w="4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440"/>
              <w:spacing w:after="0"/>
              <w:rPr>
                <w:sz w:val="20"/>
                <w:szCs w:val="20"/>
                <w:color w:val="auto"/>
              </w:rPr>
            </w:pPr>
            <w:r>
              <w:rPr>
                <w:rFonts w:ascii="Arial" w:cs="Arial" w:eastAsia="Arial" w:hAnsi="Arial"/>
                <w:sz w:val="18"/>
                <w:szCs w:val="18"/>
                <w:color w:val="auto"/>
              </w:rPr>
              <w:t>(9,858,219)</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16,006,156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38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The following table shows a reconciliation of the beginning and ending balances for fair valued liabilities measured using significant unobservable inputs (Level 3):</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120" w:type="dxa"/>
            <w:vAlign w:val="bottom"/>
            <w:gridSpan w:val="6"/>
          </w:tcPr>
          <w:p>
            <w:pPr>
              <w:jc w:val="right"/>
              <w:ind w:right="1040"/>
              <w:spacing w:after="0"/>
              <w:rPr>
                <w:sz w:val="20"/>
                <w:szCs w:val="20"/>
                <w:color w:val="auto"/>
              </w:rPr>
            </w:pPr>
            <w:r>
              <w:rPr>
                <w:rFonts w:ascii="Arial" w:cs="Arial" w:eastAsia="Arial" w:hAnsi="Arial"/>
                <w:sz w:val="14"/>
                <w:szCs w:val="14"/>
                <w:b w:val="1"/>
                <w:bCs w:val="1"/>
                <w:color w:val="auto"/>
              </w:rPr>
              <w:t>Carrying / Fair Value</w:t>
            </w:r>
          </w:p>
        </w:tc>
        <w:tc>
          <w:tcPr>
            <w:tcW w:w="0" w:type="dxa"/>
            <w:vAlign w:val="bottom"/>
          </w:tcPr>
          <w:p>
            <w:pPr>
              <w:spacing w:after="0"/>
              <w:rPr>
                <w:sz w:val="1"/>
                <w:szCs w:val="1"/>
                <w:color w:val="auto"/>
              </w:rPr>
            </w:pPr>
          </w:p>
        </w:tc>
      </w:tr>
      <w:tr>
        <w:trPr>
          <w:trHeight w:val="119"/>
        </w:trPr>
        <w:tc>
          <w:tcPr>
            <w:tcW w:w="8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Credit Facility</w:t>
            </w:r>
          </w:p>
        </w:tc>
        <w:tc>
          <w:tcPr>
            <w:tcW w:w="160" w:type="dxa"/>
            <w:vAlign w:val="bottom"/>
            <w:tcBorders>
              <w:top w:val="single" w:sz="8" w:color="auto"/>
            </w:tcBorders>
          </w:tcPr>
          <w:p>
            <w:pPr>
              <w:spacing w:after="0"/>
              <w:rPr>
                <w:sz w:val="10"/>
                <w:szCs w:val="10"/>
                <w:color w:val="auto"/>
              </w:rPr>
            </w:pPr>
          </w:p>
        </w:tc>
        <w:tc>
          <w:tcPr>
            <w:tcW w:w="1800" w:type="dxa"/>
            <w:vAlign w:val="bottom"/>
            <w:tcBorders>
              <w:top w:val="single" w:sz="8" w:color="auto"/>
            </w:tcBorders>
            <w:gridSpan w:val="3"/>
          </w:tcPr>
          <w:p>
            <w:pPr>
              <w:jc w:val="right"/>
              <w:ind w:right="1000"/>
              <w:spacing w:after="0" w:line="119" w:lineRule="exact"/>
              <w:rPr>
                <w:sz w:val="20"/>
                <w:szCs w:val="20"/>
                <w:color w:val="auto"/>
              </w:rPr>
            </w:pPr>
            <w:r>
              <w:rPr>
                <w:rFonts w:ascii="Arial" w:cs="Arial" w:eastAsia="Arial" w:hAnsi="Arial"/>
                <w:sz w:val="13"/>
                <w:szCs w:val="13"/>
                <w:b w:val="1"/>
                <w:bCs w:val="1"/>
                <w:color w:val="auto"/>
              </w:rPr>
              <w:t>Year Ended</w:t>
            </w:r>
          </w:p>
        </w:tc>
        <w:tc>
          <w:tcPr>
            <w:tcW w:w="18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right"/>
              <w:ind w:right="153"/>
              <w:spacing w:after="0" w:line="119" w:lineRule="exact"/>
              <w:rPr>
                <w:sz w:val="20"/>
                <w:szCs w:val="20"/>
                <w:color w:val="auto"/>
              </w:rPr>
            </w:pPr>
            <w:r>
              <w:rPr>
                <w:rFonts w:ascii="Arial" w:cs="Arial" w:eastAsia="Arial" w:hAnsi="Arial"/>
                <w:sz w:val="13"/>
                <w:szCs w:val="13"/>
                <w:b w:val="1"/>
                <w:bCs w:val="1"/>
                <w:color w:val="auto"/>
              </w:rPr>
              <w:t>Year Ended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140" w:type="dxa"/>
            <w:vAlign w:val="bottom"/>
            <w:gridSpan w:val="2"/>
            <w:vMerge w:val="continue"/>
          </w:tcPr>
          <w:p>
            <w:pPr>
              <w:spacing w:after="0"/>
              <w:rPr>
                <w:sz w:val="14"/>
                <w:szCs w:val="14"/>
                <w:color w:val="auto"/>
              </w:rPr>
            </w:pPr>
          </w:p>
        </w:tc>
        <w:tc>
          <w:tcPr>
            <w:tcW w:w="1960" w:type="dxa"/>
            <w:vAlign w:val="bottom"/>
            <w:gridSpan w:val="4"/>
          </w:tcPr>
          <w:p>
            <w:pPr>
              <w:spacing w:after="0"/>
              <w:rPr>
                <w:sz w:val="20"/>
                <w:szCs w:val="20"/>
                <w:color w:val="auto"/>
              </w:rPr>
            </w:pPr>
            <w:r>
              <w:rPr>
                <w:rFonts w:ascii="Arial" w:cs="Arial" w:eastAsia="Arial" w:hAnsi="Arial"/>
                <w:sz w:val="14"/>
                <w:szCs w:val="14"/>
                <w:b w:val="1"/>
                <w:bCs w:val="1"/>
                <w:color w:val="auto"/>
              </w:rPr>
              <w:t>September 30, 2013</w:t>
            </w: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September 30, 2012</w:t>
            </w:r>
          </w:p>
        </w:tc>
        <w:tc>
          <w:tcPr>
            <w:tcW w:w="0" w:type="dxa"/>
            <w:vAlign w:val="bottom"/>
          </w:tcPr>
          <w:p>
            <w:pPr>
              <w:spacing w:after="0"/>
              <w:rPr>
                <w:sz w:val="1"/>
                <w:szCs w:val="1"/>
                <w:color w:val="auto"/>
              </w:rPr>
            </w:pPr>
          </w:p>
        </w:tc>
      </w:tr>
      <w:tr>
        <w:trPr>
          <w:trHeight w:val="210"/>
        </w:trPr>
        <w:tc>
          <w:tcPr>
            <w:tcW w:w="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Beginning</w:t>
            </w:r>
          </w:p>
        </w:tc>
        <w:tc>
          <w:tcPr>
            <w:tcW w:w="7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(Cost – $109,500,000 and $240,900,000, respectively)</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108,952,500</w:t>
            </w:r>
          </w:p>
        </w:tc>
        <w:tc>
          <w:tcPr>
            <w:tcW w:w="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238,792,125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gridSpan w:val="2"/>
          </w:tcPr>
          <w:p>
            <w:pPr>
              <w:ind w:left="360"/>
              <w:spacing w:after="0"/>
              <w:rPr>
                <w:sz w:val="20"/>
                <w:szCs w:val="20"/>
                <w:color w:val="auto"/>
              </w:rPr>
            </w:pPr>
            <w:r>
              <w:rPr>
                <w:rFonts w:ascii="Arial" w:cs="Arial" w:eastAsia="Arial" w:hAnsi="Arial"/>
                <w:sz w:val="18"/>
                <w:szCs w:val="18"/>
                <w:color w:val="auto"/>
              </w:rPr>
              <w:t>Total unrealized depreciation (appreciation) included in earnings</w:t>
            </w:r>
          </w:p>
        </w:tc>
        <w:tc>
          <w:tcPr>
            <w:tcW w:w="1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547,500</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1,560,375</w:t>
            </w:r>
          </w:p>
        </w:tc>
        <w:tc>
          <w:tcPr>
            <w:tcW w:w="0" w:type="dxa"/>
            <w:vAlign w:val="bottom"/>
          </w:tcPr>
          <w:p>
            <w:pPr>
              <w:spacing w:after="0"/>
              <w:rPr>
                <w:sz w:val="1"/>
                <w:szCs w:val="1"/>
                <w:color w:val="auto"/>
              </w:rPr>
            </w:pPr>
          </w:p>
        </w:tc>
      </w:tr>
      <w:tr>
        <w:trPr>
          <w:trHeight w:val="216"/>
        </w:trPr>
        <w:tc>
          <w:tcPr>
            <w:tcW w:w="8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Borrowings</w:t>
            </w:r>
            <w:r>
              <w:rPr>
                <w:rFonts w:ascii="Arial" w:cs="Arial" w:eastAsia="Arial" w:hAnsi="Arial"/>
                <w:sz w:val="15"/>
                <w:szCs w:val="15"/>
                <w:color w:val="auto"/>
              </w:rPr>
              <w:t>(1)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660,800,000</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556,800,000</w:t>
            </w:r>
          </w:p>
        </w:tc>
        <w:tc>
          <w:tcPr>
            <w:tcW w:w="0" w:type="dxa"/>
            <w:vAlign w:val="bottom"/>
          </w:tcPr>
          <w:p>
            <w:pPr>
              <w:spacing w:after="0"/>
              <w:rPr>
                <w:sz w:val="1"/>
                <w:szCs w:val="1"/>
                <w:color w:val="auto"/>
              </w:rPr>
            </w:pPr>
          </w:p>
        </w:tc>
      </w:tr>
      <w:tr>
        <w:trPr>
          <w:trHeight w:val="216"/>
        </w:trPr>
        <w:tc>
          <w:tcPr>
            <w:tcW w:w="8140" w:type="dxa"/>
            <w:vAlign w:val="bottom"/>
            <w:gridSpan w:val="2"/>
          </w:tcPr>
          <w:p>
            <w:pPr>
              <w:ind w:left="360"/>
              <w:spacing w:after="0"/>
              <w:rPr>
                <w:sz w:val="20"/>
                <w:szCs w:val="20"/>
                <w:color w:val="auto"/>
              </w:rPr>
            </w:pPr>
            <w:r>
              <w:rPr>
                <w:rFonts w:ascii="Arial" w:cs="Arial" w:eastAsia="Arial" w:hAnsi="Arial"/>
                <w:sz w:val="18"/>
                <w:szCs w:val="18"/>
                <w:color w:val="auto"/>
              </w:rPr>
              <w:t>Repayments</w:t>
            </w:r>
            <w:r>
              <w:rPr>
                <w:rFonts w:ascii="Arial" w:cs="Arial" w:eastAsia="Arial" w:hAnsi="Arial"/>
                <w:sz w:val="15"/>
                <w:szCs w:val="15"/>
                <w:color w:val="auto"/>
              </w:rPr>
              <w:t>(1)</w:t>
            </w:r>
          </w:p>
        </w:tc>
        <w:tc>
          <w:tcPr>
            <w:tcW w:w="160" w:type="dxa"/>
            <w:vAlign w:val="bottom"/>
          </w:tcPr>
          <w:p>
            <w:pPr>
              <w:spacing w:after="0"/>
              <w:rPr>
                <w:sz w:val="18"/>
                <w:szCs w:val="18"/>
                <w:color w:val="auto"/>
              </w:rPr>
            </w:pPr>
          </w:p>
        </w:tc>
        <w:tc>
          <w:tcPr>
            <w:tcW w:w="1800" w:type="dxa"/>
            <w:vAlign w:val="bottom"/>
            <w:gridSpan w:val="3"/>
          </w:tcPr>
          <w:p>
            <w:pPr>
              <w:jc w:val="right"/>
              <w:ind w:right="700"/>
              <w:spacing w:after="0"/>
              <w:rPr>
                <w:sz w:val="20"/>
                <w:szCs w:val="20"/>
                <w:color w:val="auto"/>
              </w:rPr>
            </w:pPr>
            <w:r>
              <w:rPr>
                <w:rFonts w:ascii="Arial" w:cs="Arial" w:eastAsia="Arial" w:hAnsi="Arial"/>
                <w:sz w:val="18"/>
                <w:szCs w:val="18"/>
                <w:color w:val="auto"/>
                <w:w w:val="96"/>
              </w:rPr>
              <w:t>(652,800,000)</w:t>
            </w:r>
          </w:p>
        </w:tc>
        <w:tc>
          <w:tcPr>
            <w:tcW w:w="18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w w:val="96"/>
              </w:rPr>
              <w:t>(688,200,000)</w:t>
            </w:r>
          </w:p>
        </w:tc>
        <w:tc>
          <w:tcPr>
            <w:tcW w:w="0" w:type="dxa"/>
            <w:vAlign w:val="bottom"/>
          </w:tcPr>
          <w:p>
            <w:pPr>
              <w:spacing w:after="0"/>
              <w:rPr>
                <w:sz w:val="1"/>
                <w:szCs w:val="1"/>
                <w:color w:val="auto"/>
              </w:rPr>
            </w:pPr>
          </w:p>
        </w:tc>
      </w:tr>
      <w:tr>
        <w:trPr>
          <w:trHeight w:val="216"/>
        </w:trPr>
        <w:tc>
          <w:tcPr>
            <w:tcW w:w="8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Transfers in and/or out of Level 3</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8140" w:type="dxa"/>
            <w:vAlign w:val="bottom"/>
            <w:gridSpan w:val="2"/>
          </w:tcPr>
          <w:p>
            <w:pPr>
              <w:spacing w:after="0"/>
              <w:rPr>
                <w:sz w:val="20"/>
                <w:szCs w:val="20"/>
                <w:color w:val="auto"/>
              </w:rPr>
            </w:pPr>
            <w:r>
              <w:rPr>
                <w:rFonts w:ascii="Arial" w:cs="Arial" w:eastAsia="Arial" w:hAnsi="Arial"/>
                <w:sz w:val="18"/>
                <w:szCs w:val="18"/>
                <w:color w:val="auto"/>
              </w:rPr>
              <w:t>Ending Balance (Cost – $117,500,000 and $109,500,000, respectively)</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117,500,000</w:t>
            </w:r>
          </w:p>
        </w:tc>
        <w:tc>
          <w:tcPr>
            <w:tcW w:w="74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108,952,500</w:t>
            </w:r>
          </w:p>
        </w:tc>
        <w:tc>
          <w:tcPr>
            <w:tcW w:w="0" w:type="dxa"/>
            <w:vAlign w:val="bottom"/>
          </w:tcPr>
          <w:p>
            <w:pPr>
              <w:spacing w:after="0"/>
              <w:rPr>
                <w:sz w:val="1"/>
                <w:szCs w:val="1"/>
                <w:color w:val="auto"/>
              </w:rPr>
            </w:pPr>
          </w:p>
        </w:tc>
      </w:tr>
      <w:tr>
        <w:trPr>
          <w:trHeight w:val="216"/>
        </w:trPr>
        <w:tc>
          <w:tcPr>
            <w:tcW w:w="8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Temporary draw outstanding, at cost</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28,000,000</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8140" w:type="dxa"/>
            <w:vAlign w:val="bottom"/>
            <w:gridSpan w:val="2"/>
          </w:tcPr>
          <w:p>
            <w:pPr>
              <w:spacing w:after="0"/>
              <w:rPr>
                <w:sz w:val="20"/>
                <w:szCs w:val="20"/>
                <w:color w:val="auto"/>
              </w:rPr>
            </w:pPr>
            <w:r>
              <w:rPr>
                <w:rFonts w:ascii="Arial" w:cs="Arial" w:eastAsia="Arial" w:hAnsi="Arial"/>
                <w:sz w:val="18"/>
                <w:szCs w:val="18"/>
                <w:color w:val="auto"/>
              </w:rPr>
              <w:t>Ending Balance (Cost – $145,500,000 and 145,000,000, respectively)</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145,500,000</w:t>
            </w:r>
          </w:p>
        </w:tc>
        <w:tc>
          <w:tcPr>
            <w:tcW w:w="740" w:type="dxa"/>
            <w:vAlign w:val="bottom"/>
          </w:tcPr>
          <w:p>
            <w:pPr>
              <w:spacing w:after="0"/>
              <w:rPr>
                <w:sz w:val="24"/>
                <w:szCs w:val="24"/>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144,452,500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ind w:left="340" w:hanging="332"/>
        <w:spacing w:after="0"/>
        <w:tabs>
          <w:tab w:leader="none" w:pos="340" w:val="left"/>
        </w:tabs>
        <w:numPr>
          <w:ilvl w:val="0"/>
          <w:numId w:val="122"/>
        </w:numPr>
        <w:rPr>
          <w:rFonts w:ascii="Arial" w:cs="Arial" w:eastAsia="Arial" w:hAnsi="Arial"/>
          <w:sz w:val="12"/>
          <w:szCs w:val="12"/>
          <w:color w:val="auto"/>
        </w:rPr>
      </w:pPr>
      <w:r>
        <w:rPr>
          <w:rFonts w:ascii="Arial" w:cs="Arial" w:eastAsia="Arial" w:hAnsi="Arial"/>
          <w:sz w:val="14"/>
          <w:szCs w:val="14"/>
          <w:color w:val="auto"/>
        </w:rPr>
        <w:t>Excludes temporary draws.</w:t>
      </w:r>
    </w:p>
    <w:p>
      <w:pPr>
        <w:spacing w:after="0" w:line="20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adopted ASC 825-10, which provides companies with an option to report selected financial assets and liabilities at fair value, and made an irrevocable election to apply ASC 825-10 to our Credit Facility and our 2025 Notes. We elected to use the fair value option for the Credit Facility and the 2025 Notes to align the measurement attributes of both our assets and liabilities while mitigating volatility in earnings from using different measurement attributes. Due to that election and in accordance with GAAP, we incurred $2.8 million, $5.4 million and zero debt issuance costs during the year ended September 30, 2013, 2012 and 2011, respectively.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 of Assets and Liabilities and changes in fair value of the Credit Facility and 2025 Notes are reported in our Consolidated Statement of Operations. We elected not to apply ASC 825-10 to any other financial assets or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460" w:right="23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 SEPTEMBER 30, 2013</w:t>
      </w:r>
    </w:p>
    <w:p>
      <w:pPr>
        <w:spacing w:after="0" w:line="8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liabilities, including the SBA debentures. For the fiscal years ended September 30, 2013 and 2012, our Credit Facility and 2025 Notes had a net change in unrealized depreciation (appreciation) of $2.3 million and $(1.6) million, respectively. As of September 30, 2013 and 2012, net unrealized depreciation on our Credit Facility and 2025 Notes totaled $2.8 million and $0.5 million, respectively. We use a nationally recognized independent valuation service to fair value our Credit Facility in a manner consistent with the valuation process that the board of directors approves to value investments. Our 2025 Notes trade on the NYSE and we use the closing price on the exchange to determine their fair value.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TRANSACTIONS WITH AND INCOME ACCRUED FROM AFFILIATED COMPANIES</w:t>
      </w:r>
    </w:p>
    <w:p>
      <w:pPr>
        <w:spacing w:after="0" w:line="121"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An affiliated company is a company in which we have ownership of 5% or more of its voting securities. A controlled affiliate is a company in which we own 25% or more of its voting securities. Transactions and accrued income related to our investments with both controlled and non-controlled affiliates for the year ended September 30, 2013 were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8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gridSpan w:val="3"/>
          </w:tcPr>
          <w:p>
            <w:pPr>
              <w:jc w:val="center"/>
              <w:ind w:right="280"/>
              <w:spacing w:after="0"/>
              <w:rPr>
                <w:sz w:val="20"/>
                <w:szCs w:val="20"/>
                <w:color w:val="auto"/>
              </w:rPr>
            </w:pPr>
            <w:r>
              <w:rPr>
                <w:rFonts w:ascii="Arial" w:cs="Arial" w:eastAsia="Arial" w:hAnsi="Arial"/>
                <w:sz w:val="13"/>
                <w:szCs w:val="13"/>
                <w:b w:val="1"/>
                <w:bCs w:val="1"/>
                <w:color w:val="auto"/>
                <w:w w:val="83"/>
              </w:rPr>
              <w:t>Purchases of /</w:t>
            </w:r>
          </w:p>
        </w:tc>
        <w:tc>
          <w:tcPr>
            <w:tcW w:w="100" w:type="dxa"/>
            <w:vAlign w:val="bottom"/>
          </w:tcPr>
          <w:p>
            <w:pPr>
              <w:spacing w:after="0"/>
              <w:rPr>
                <w:sz w:val="13"/>
                <w:szCs w:val="13"/>
                <w:color w:val="auto"/>
              </w:rPr>
            </w:pPr>
          </w:p>
        </w:tc>
        <w:tc>
          <w:tcPr>
            <w:tcW w:w="920" w:type="dxa"/>
            <w:vAlign w:val="bottom"/>
            <w:gridSpan w:val="2"/>
          </w:tcPr>
          <w:p>
            <w:pPr>
              <w:jc w:val="center"/>
              <w:ind w:right="239"/>
              <w:spacing w:after="0"/>
              <w:rPr>
                <w:sz w:val="20"/>
                <w:szCs w:val="20"/>
                <w:color w:val="auto"/>
              </w:rPr>
            </w:pPr>
            <w:r>
              <w:rPr>
                <w:rFonts w:ascii="Arial" w:cs="Arial" w:eastAsia="Arial" w:hAnsi="Arial"/>
                <w:sz w:val="13"/>
                <w:szCs w:val="13"/>
                <w:b w:val="1"/>
                <w:bCs w:val="1"/>
                <w:color w:val="auto"/>
                <w:w w:val="88"/>
              </w:rPr>
              <w:t>Sale of /</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2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 of Investment</w:t>
            </w:r>
          </w:p>
        </w:tc>
        <w:tc>
          <w:tcPr>
            <w:tcW w:w="140" w:type="dxa"/>
            <w:vAlign w:val="bottom"/>
          </w:tcPr>
          <w:p>
            <w:pPr>
              <w:spacing w:after="0"/>
              <w:rPr>
                <w:sz w:val="11"/>
                <w:szCs w:val="11"/>
                <w:color w:val="auto"/>
              </w:rPr>
            </w:pPr>
          </w:p>
        </w:tc>
        <w:tc>
          <w:tcPr>
            <w:tcW w:w="1000" w:type="dxa"/>
            <w:vAlign w:val="bottom"/>
          </w:tcPr>
          <w:p>
            <w:pPr>
              <w:jc w:val="right"/>
              <w:ind w:right="149"/>
              <w:spacing w:after="0" w:line="135" w:lineRule="exact"/>
              <w:rPr>
                <w:sz w:val="20"/>
                <w:szCs w:val="20"/>
                <w:color w:val="auto"/>
              </w:rPr>
            </w:pPr>
            <w:r>
              <w:rPr>
                <w:rFonts w:ascii="Arial" w:cs="Arial" w:eastAsia="Arial" w:hAnsi="Arial"/>
                <w:sz w:val="13"/>
                <w:szCs w:val="13"/>
                <w:b w:val="1"/>
                <w:bCs w:val="1"/>
                <w:color w:val="auto"/>
                <w:w w:val="98"/>
              </w:rPr>
              <w:t>Fair Value at</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85"/>
              </w:rPr>
              <w:t>Advances to</w:t>
            </w:r>
          </w:p>
        </w:tc>
        <w:tc>
          <w:tcPr>
            <w:tcW w:w="1020" w:type="dxa"/>
            <w:vAlign w:val="bottom"/>
            <w:gridSpan w:val="3"/>
          </w:tcPr>
          <w:p>
            <w:pPr>
              <w:jc w:val="center"/>
              <w:ind w:right="139"/>
              <w:spacing w:after="0" w:line="135" w:lineRule="exact"/>
              <w:rPr>
                <w:sz w:val="20"/>
                <w:szCs w:val="20"/>
                <w:color w:val="auto"/>
              </w:rPr>
            </w:pPr>
            <w:r>
              <w:rPr>
                <w:rFonts w:ascii="Arial" w:cs="Arial" w:eastAsia="Arial" w:hAnsi="Arial"/>
                <w:sz w:val="13"/>
                <w:szCs w:val="13"/>
                <w:b w:val="1"/>
                <w:bCs w:val="1"/>
                <w:color w:val="auto"/>
                <w:w w:val="89"/>
              </w:rPr>
              <w:t>Distributions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400"/>
              <w:spacing w:after="0" w:line="135" w:lineRule="exact"/>
              <w:rPr>
                <w:sz w:val="20"/>
                <w:szCs w:val="20"/>
                <w:color w:val="auto"/>
              </w:rPr>
            </w:pPr>
            <w:r>
              <w:rPr>
                <w:rFonts w:ascii="Arial" w:cs="Arial" w:eastAsia="Arial" w:hAnsi="Arial"/>
                <w:sz w:val="13"/>
                <w:szCs w:val="13"/>
                <w:b w:val="1"/>
                <w:bCs w:val="1"/>
                <w:color w:val="auto"/>
                <w:w w:val="87"/>
              </w:rPr>
              <w:t>Income</w:t>
            </w:r>
          </w:p>
        </w:tc>
        <w:tc>
          <w:tcPr>
            <w:tcW w:w="160" w:type="dxa"/>
            <w:vAlign w:val="bottom"/>
          </w:tcPr>
          <w:p>
            <w:pPr>
              <w:spacing w:after="0"/>
              <w:rPr>
                <w:sz w:val="11"/>
                <w:szCs w:val="11"/>
                <w:color w:val="auto"/>
              </w:rPr>
            </w:pPr>
          </w:p>
        </w:tc>
        <w:tc>
          <w:tcPr>
            <w:tcW w:w="1300" w:type="dxa"/>
            <w:vAlign w:val="bottom"/>
            <w:gridSpan w:val="2"/>
          </w:tcPr>
          <w:p>
            <w:pPr>
              <w:jc w:val="center"/>
              <w:ind w:right="440"/>
              <w:spacing w:after="0" w:line="135" w:lineRule="exact"/>
              <w:rPr>
                <w:sz w:val="20"/>
                <w:szCs w:val="20"/>
                <w:color w:val="auto"/>
              </w:rPr>
            </w:pPr>
            <w:r>
              <w:rPr>
                <w:rFonts w:ascii="Arial" w:cs="Arial" w:eastAsia="Arial" w:hAnsi="Arial"/>
                <w:sz w:val="13"/>
                <w:szCs w:val="13"/>
                <w:b w:val="1"/>
                <w:bCs w:val="1"/>
                <w:color w:val="auto"/>
                <w:w w:val="90"/>
              </w:rPr>
              <w:t>Fair Value at</w:t>
            </w:r>
          </w:p>
        </w:tc>
        <w:tc>
          <w:tcPr>
            <w:tcW w:w="1020" w:type="dxa"/>
            <w:vAlign w:val="bottom"/>
            <w:gridSpan w:val="3"/>
          </w:tcPr>
          <w:p>
            <w:pPr>
              <w:jc w:val="right"/>
              <w:ind w:right="119"/>
              <w:spacing w:after="0" w:line="135" w:lineRule="exact"/>
              <w:rPr>
                <w:sz w:val="20"/>
                <w:szCs w:val="20"/>
                <w:color w:val="auto"/>
              </w:rPr>
            </w:pPr>
            <w:r>
              <w:rPr>
                <w:rFonts w:ascii="Arial" w:cs="Arial" w:eastAsia="Arial" w:hAnsi="Arial"/>
                <w:sz w:val="13"/>
                <w:szCs w:val="13"/>
                <w:b w:val="1"/>
                <w:bCs w:val="1"/>
                <w:color w:val="auto"/>
                <w:w w:val="92"/>
              </w:rPr>
              <w:t>Capital Gains /</w:t>
            </w:r>
          </w:p>
        </w:tc>
        <w:tc>
          <w:tcPr>
            <w:tcW w:w="0" w:type="dxa"/>
            <w:vAlign w:val="bottom"/>
          </w:tcPr>
          <w:p>
            <w:pPr>
              <w:spacing w:after="0"/>
              <w:rPr>
                <w:sz w:val="1"/>
                <w:szCs w:val="1"/>
                <w:color w:val="auto"/>
              </w:rPr>
            </w:pPr>
          </w:p>
        </w:tc>
      </w:tr>
      <w:tr>
        <w:trPr>
          <w:trHeight w:val="153"/>
        </w:trPr>
        <w:tc>
          <w:tcPr>
            <w:tcW w:w="4200" w:type="dxa"/>
            <w:vAlign w:val="bottom"/>
            <w:gridSpan w:val="2"/>
            <w:vMerge w:val="continue"/>
          </w:tcPr>
          <w:p>
            <w:pPr>
              <w:spacing w:after="0"/>
              <w:rPr>
                <w:sz w:val="13"/>
                <w:szCs w:val="13"/>
                <w:color w:val="auto"/>
              </w:rPr>
            </w:pPr>
          </w:p>
        </w:tc>
        <w:tc>
          <w:tcPr>
            <w:tcW w:w="1140" w:type="dxa"/>
            <w:vAlign w:val="bottom"/>
            <w:gridSpan w:val="2"/>
          </w:tcPr>
          <w:p>
            <w:pPr>
              <w:jc w:val="right"/>
              <w:spacing w:after="0"/>
              <w:rPr>
                <w:sz w:val="20"/>
                <w:szCs w:val="20"/>
                <w:color w:val="auto"/>
              </w:rPr>
            </w:pPr>
            <w:r>
              <w:rPr>
                <w:rFonts w:ascii="Arial" w:cs="Arial" w:eastAsia="Arial" w:hAnsi="Arial"/>
                <w:sz w:val="13"/>
                <w:szCs w:val="13"/>
                <w:b w:val="1"/>
                <w:bCs w:val="1"/>
                <w:color w:val="auto"/>
                <w:w w:val="88"/>
              </w:rPr>
              <w:t>September 30, 2012</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87"/>
              </w:rPr>
              <w:t>Affiliates</w:t>
            </w:r>
          </w:p>
        </w:tc>
        <w:tc>
          <w:tcPr>
            <w:tcW w:w="1020" w:type="dxa"/>
            <w:vAlign w:val="bottom"/>
            <w:gridSpan w:val="3"/>
          </w:tcPr>
          <w:p>
            <w:pPr>
              <w:jc w:val="center"/>
              <w:ind w:right="159"/>
              <w:spacing w:after="0"/>
              <w:rPr>
                <w:sz w:val="20"/>
                <w:szCs w:val="20"/>
                <w:color w:val="auto"/>
              </w:rPr>
            </w:pPr>
            <w:r>
              <w:rPr>
                <w:rFonts w:ascii="Arial" w:cs="Arial" w:eastAsia="Arial" w:hAnsi="Arial"/>
                <w:sz w:val="13"/>
                <w:szCs w:val="13"/>
                <w:b w:val="1"/>
                <w:bCs w:val="1"/>
                <w:color w:val="auto"/>
                <w:w w:val="89"/>
              </w:rPr>
              <w:t>from Affiliates</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84"/>
              </w:rPr>
              <w:t>Accrued</w:t>
            </w:r>
          </w:p>
        </w:tc>
        <w:tc>
          <w:tcPr>
            <w:tcW w:w="1460" w:type="dxa"/>
            <w:vAlign w:val="bottom"/>
            <w:gridSpan w:val="3"/>
          </w:tcPr>
          <w:p>
            <w:pPr>
              <w:jc w:val="center"/>
              <w:ind w:right="300"/>
              <w:spacing w:after="0"/>
              <w:rPr>
                <w:sz w:val="20"/>
                <w:szCs w:val="20"/>
                <w:color w:val="auto"/>
              </w:rPr>
            </w:pPr>
            <w:r>
              <w:rPr>
                <w:rFonts w:ascii="Arial" w:cs="Arial" w:eastAsia="Arial" w:hAnsi="Arial"/>
                <w:sz w:val="13"/>
                <w:szCs w:val="13"/>
                <w:b w:val="1"/>
                <w:bCs w:val="1"/>
                <w:color w:val="auto"/>
                <w:w w:val="85"/>
              </w:rPr>
              <w:t>September 30, 2013</w:t>
            </w:r>
          </w:p>
        </w:tc>
        <w:tc>
          <w:tcPr>
            <w:tcW w:w="160" w:type="dxa"/>
            <w:vAlign w:val="bottom"/>
          </w:tcPr>
          <w:p>
            <w:pPr>
              <w:spacing w:after="0"/>
              <w:rPr>
                <w:sz w:val="13"/>
                <w:szCs w:val="13"/>
                <w:color w:val="auto"/>
              </w:rPr>
            </w:pPr>
          </w:p>
        </w:tc>
        <w:tc>
          <w:tcPr>
            <w:tcW w:w="860" w:type="dxa"/>
            <w:vAlign w:val="bottom"/>
            <w:gridSpan w:val="2"/>
          </w:tcPr>
          <w:p>
            <w:pPr>
              <w:jc w:val="right"/>
              <w:ind w:right="319"/>
              <w:spacing w:after="0"/>
              <w:rPr>
                <w:sz w:val="20"/>
                <w:szCs w:val="20"/>
                <w:color w:val="auto"/>
              </w:rPr>
            </w:pPr>
            <w:r>
              <w:rPr>
                <w:rFonts w:ascii="Arial" w:cs="Arial" w:eastAsia="Arial" w:hAnsi="Arial"/>
                <w:sz w:val="13"/>
                <w:szCs w:val="13"/>
                <w:b w:val="1"/>
                <w:bCs w:val="1"/>
                <w:color w:val="auto"/>
                <w:w w:val="89"/>
              </w:rPr>
              <w:t>(Losses)</w:t>
            </w: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3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tcBorders>
              <w:right w:val="single" w:sz="8" w:color="CCEEFF"/>
            </w:tcBorders>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200" w:type="dxa"/>
            <w:vAlign w:val="bottom"/>
            <w:gridSpan w:val="2"/>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Controlled Affiliates</w:t>
            </w:r>
          </w:p>
        </w:tc>
        <w:tc>
          <w:tcPr>
            <w:tcW w:w="140" w:type="dxa"/>
            <w:vAlign w:val="bottom"/>
            <w:shd w:val="clear" w:color="auto" w:fill="CCEEFF"/>
          </w:tcPr>
          <w:p>
            <w:pPr>
              <w:spacing w:after="0"/>
              <w:rPr>
                <w:sz w:val="11"/>
                <w:szCs w:val="11"/>
                <w:color w:val="auto"/>
              </w:rPr>
            </w:pPr>
          </w:p>
        </w:tc>
        <w:tc>
          <w:tcPr>
            <w:tcW w:w="1000" w:type="dxa"/>
            <w:vAlign w:val="bottom"/>
            <w:tcBorders>
              <w:right w:val="single" w:sz="8" w:color="CCEEFF"/>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200" w:type="dxa"/>
            <w:vAlign w:val="bottom"/>
            <w:gridSpan w:val="2"/>
          </w:tcPr>
          <w:p>
            <w:pPr>
              <w:spacing w:after="0" w:line="149" w:lineRule="exact"/>
              <w:rPr>
                <w:sz w:val="20"/>
                <w:szCs w:val="20"/>
                <w:color w:val="auto"/>
              </w:rPr>
            </w:pPr>
            <w:r>
              <w:rPr>
                <w:rFonts w:ascii="Arial" w:cs="Arial" w:eastAsia="Arial" w:hAnsi="Arial"/>
                <w:sz w:val="14"/>
                <w:szCs w:val="14"/>
                <w:color w:val="auto"/>
              </w:rPr>
              <w:t>SuttonPark Holdings, Inc.</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13,175,000</w:t>
            </w: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5,500,000</w:t>
            </w:r>
          </w:p>
        </w:tc>
        <w:tc>
          <w:tcPr>
            <w:tcW w:w="30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99"/>
              <w:spacing w:after="0" w:line="149" w:lineRule="exact"/>
              <w:rPr>
                <w:sz w:val="20"/>
                <w:szCs w:val="20"/>
                <w:color w:val="auto"/>
              </w:rPr>
            </w:pPr>
            <w:r>
              <w:rPr>
                <w:rFonts w:ascii="Arial" w:cs="Arial" w:eastAsia="Arial" w:hAnsi="Arial"/>
                <w:sz w:val="14"/>
                <w:szCs w:val="14"/>
                <w:color w:val="auto"/>
              </w:rPr>
              <w:t>(7,500,000)</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1,798,319</w:t>
            </w:r>
          </w:p>
        </w:tc>
        <w:tc>
          <w:tcPr>
            <w:tcW w:w="160" w:type="dxa"/>
            <w:vAlign w:val="bottom"/>
          </w:tcPr>
          <w:p>
            <w:pPr>
              <w:jc w:val="right"/>
              <w:ind w:right="11"/>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13,500,000</w:t>
            </w:r>
          </w:p>
        </w:tc>
        <w:tc>
          <w:tcPr>
            <w:tcW w:w="300" w:type="dxa"/>
            <w:vAlign w:val="bottom"/>
          </w:tcPr>
          <w:p>
            <w:pPr>
              <w:spacing w:after="0"/>
              <w:rPr>
                <w:sz w:val="12"/>
                <w:szCs w:val="12"/>
                <w:color w:val="auto"/>
              </w:rPr>
            </w:pPr>
          </w:p>
        </w:tc>
        <w:tc>
          <w:tcPr>
            <w:tcW w:w="160" w:type="dxa"/>
            <w:vAlign w:val="bottom"/>
          </w:tcPr>
          <w:p>
            <w:pPr>
              <w:jc w:val="right"/>
              <w:ind w:right="45"/>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Universal Pegasus International, LLC</w:t>
            </w:r>
          </w:p>
        </w:tc>
        <w:tc>
          <w:tcPr>
            <w:tcW w:w="140" w:type="dxa"/>
            <w:vAlign w:val="bottom"/>
            <w:shd w:val="clear" w:color="auto" w:fill="CCEEFF"/>
          </w:tcPr>
          <w:p>
            <w:pPr>
              <w:spacing w:after="0"/>
              <w:rPr>
                <w:sz w:val="12"/>
                <w:szCs w:val="12"/>
                <w:color w:val="auto"/>
              </w:rPr>
            </w:pPr>
          </w:p>
        </w:tc>
        <w:tc>
          <w:tcPr>
            <w:tcW w:w="10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24,456,708</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1,341,667</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99"/>
              <w:spacing w:after="0" w:line="149" w:lineRule="exact"/>
              <w:rPr>
                <w:sz w:val="20"/>
                <w:szCs w:val="20"/>
                <w:color w:val="auto"/>
              </w:rPr>
            </w:pPr>
            <w:r>
              <w:rPr>
                <w:rFonts w:ascii="Arial" w:cs="Arial" w:eastAsia="Arial" w:hAnsi="Arial"/>
                <w:sz w:val="14"/>
                <w:szCs w:val="14"/>
                <w:color w:val="auto"/>
              </w:rPr>
              <w:t>(2,041,667)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3,008,010</w:t>
            </w:r>
          </w:p>
        </w:tc>
        <w:tc>
          <w:tcPr>
            <w:tcW w:w="16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19,468,711</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4"/>
                <w:szCs w:val="14"/>
                <w:b w:val="1"/>
                <w:bCs w:val="1"/>
                <w:color w:val="auto"/>
              </w:rPr>
              <w:t>Non-Controlled Affiliates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4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Direct Buy Holdings, Inc.**</w:t>
            </w:r>
          </w:p>
        </w:tc>
        <w:tc>
          <w:tcPr>
            <w:tcW w:w="140" w:type="dxa"/>
            <w:vAlign w:val="bottom"/>
            <w:shd w:val="clear" w:color="auto" w:fill="CCEEFF"/>
          </w:tcPr>
          <w:p>
            <w:pPr>
              <w:spacing w:after="0"/>
              <w:rPr>
                <w:sz w:val="12"/>
                <w:szCs w:val="12"/>
                <w:color w:val="auto"/>
              </w:rPr>
            </w:pPr>
          </w:p>
        </w:tc>
        <w:tc>
          <w:tcPr>
            <w:tcW w:w="10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10,880,000</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956,224</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19"/>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1,412,589</w:t>
            </w: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17,805,936</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(1,350,000)</w:t>
            </w:r>
          </w:p>
        </w:tc>
        <w:tc>
          <w:tcPr>
            <w:tcW w:w="0" w:type="dxa"/>
            <w:vAlign w:val="bottom"/>
          </w:tcPr>
          <w:p>
            <w:pPr>
              <w:spacing w:after="0"/>
              <w:rPr>
                <w:sz w:val="1"/>
                <w:szCs w:val="1"/>
                <w:color w:val="auto"/>
              </w:rPr>
            </w:pPr>
          </w:p>
        </w:tc>
      </w:tr>
      <w:tr>
        <w:trPr>
          <w:trHeight w:val="149"/>
        </w:trPr>
        <w:tc>
          <w:tcPr>
            <w:tcW w:w="4200" w:type="dxa"/>
            <w:vAlign w:val="bottom"/>
            <w:gridSpan w:val="2"/>
          </w:tcPr>
          <w:p>
            <w:pPr>
              <w:spacing w:after="0" w:line="149" w:lineRule="exact"/>
              <w:rPr>
                <w:sz w:val="20"/>
                <w:szCs w:val="20"/>
                <w:color w:val="auto"/>
              </w:rPr>
            </w:pPr>
            <w:r>
              <w:rPr>
                <w:rFonts w:ascii="Arial" w:cs="Arial" w:eastAsia="Arial" w:hAnsi="Arial"/>
                <w:sz w:val="14"/>
                <w:szCs w:val="14"/>
                <w:color w:val="auto"/>
              </w:rPr>
              <w:t>Envirosolutions, Inc.</w:t>
            </w:r>
          </w:p>
        </w:tc>
        <w:tc>
          <w:tcPr>
            <w:tcW w:w="14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18,425,519</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1,835,978</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219"/>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21,265,345</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PAS International Holdings, Inc.*</w:t>
            </w:r>
          </w:p>
        </w:tc>
        <w:tc>
          <w:tcPr>
            <w:tcW w:w="140" w:type="dxa"/>
            <w:vAlign w:val="bottom"/>
            <w:shd w:val="clear" w:color="auto" w:fill="CCEEFF"/>
          </w:tcPr>
          <w:p>
            <w:pPr>
              <w:spacing w:after="0"/>
              <w:rPr>
                <w:sz w:val="12"/>
                <w:szCs w:val="12"/>
                <w:color w:val="auto"/>
              </w:rPr>
            </w:pPr>
          </w:p>
        </w:tc>
        <w:tc>
          <w:tcPr>
            <w:tcW w:w="10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17,946,928</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3,000,000</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19"/>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77,584</w:t>
            </w: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1,694,296</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(1,999,960)</w:t>
            </w:r>
          </w:p>
        </w:tc>
        <w:tc>
          <w:tcPr>
            <w:tcW w:w="0" w:type="dxa"/>
            <w:vAlign w:val="bottom"/>
          </w:tcPr>
          <w:p>
            <w:pPr>
              <w:spacing w:after="0"/>
              <w:rPr>
                <w:sz w:val="1"/>
                <w:szCs w:val="1"/>
                <w:color w:val="auto"/>
              </w:rPr>
            </w:pPr>
          </w:p>
        </w:tc>
      </w:tr>
      <w:tr>
        <w:trPr>
          <w:trHeight w:val="149"/>
        </w:trPr>
        <w:tc>
          <w:tcPr>
            <w:tcW w:w="4200" w:type="dxa"/>
            <w:vAlign w:val="bottom"/>
            <w:gridSpan w:val="2"/>
          </w:tcPr>
          <w:p>
            <w:pPr>
              <w:spacing w:after="0" w:line="149" w:lineRule="exact"/>
              <w:rPr>
                <w:sz w:val="20"/>
                <w:szCs w:val="20"/>
                <w:color w:val="auto"/>
              </w:rPr>
            </w:pPr>
            <w:r>
              <w:rPr>
                <w:rFonts w:ascii="Arial" w:cs="Arial" w:eastAsia="Arial" w:hAnsi="Arial"/>
                <w:sz w:val="14"/>
                <w:szCs w:val="14"/>
                <w:color w:val="auto"/>
              </w:rPr>
              <w:t>Performance Holdings, Inc.</w:t>
            </w:r>
          </w:p>
        </w:tc>
        <w:tc>
          <w:tcPr>
            <w:tcW w:w="14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18,028,080</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20" w:type="dxa"/>
            <w:vAlign w:val="bottom"/>
            <w:gridSpan w:val="2"/>
          </w:tcPr>
          <w:p>
            <w:pPr>
              <w:jc w:val="right"/>
              <w:ind w:right="99"/>
              <w:spacing w:after="0" w:line="149" w:lineRule="exact"/>
              <w:rPr>
                <w:sz w:val="20"/>
                <w:szCs w:val="20"/>
                <w:color w:val="auto"/>
              </w:rPr>
            </w:pPr>
            <w:r>
              <w:rPr>
                <w:rFonts w:ascii="Arial" w:cs="Arial" w:eastAsia="Arial" w:hAnsi="Arial"/>
                <w:sz w:val="14"/>
                <w:szCs w:val="14"/>
                <w:color w:val="auto"/>
                <w:w w:val="95"/>
              </w:rPr>
              <w:t>(15,851,005)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1,408,352</w:t>
            </w:r>
          </w:p>
        </w:tc>
        <w:tc>
          <w:tcPr>
            <w:tcW w:w="1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2,500,165</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107,804</w:t>
            </w:r>
          </w:p>
        </w:tc>
        <w:tc>
          <w:tcPr>
            <w:tcW w:w="0" w:type="dxa"/>
            <w:vAlign w:val="bottom"/>
          </w:tcPr>
          <w:p>
            <w:pPr>
              <w:spacing w:after="0"/>
              <w:rPr>
                <w:sz w:val="1"/>
                <w:szCs w:val="1"/>
                <w:color w:val="auto"/>
              </w:rPr>
            </w:pPr>
          </w:p>
        </w:tc>
      </w:tr>
      <w:tr>
        <w:trPr>
          <w:trHeight w:val="149"/>
        </w:trPr>
        <w:tc>
          <w:tcPr>
            <w:tcW w:w="4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Service Champ, Inc.</w:t>
            </w:r>
          </w:p>
        </w:tc>
        <w:tc>
          <w:tcPr>
            <w:tcW w:w="140" w:type="dxa"/>
            <w:vAlign w:val="bottom"/>
            <w:shd w:val="clear" w:color="auto" w:fill="CCEEFF"/>
          </w:tcPr>
          <w:p>
            <w:pPr>
              <w:spacing w:after="0"/>
              <w:rPr>
                <w:sz w:val="12"/>
                <w:szCs w:val="12"/>
                <w:color w:val="auto"/>
              </w:rPr>
            </w:pPr>
          </w:p>
        </w:tc>
        <w:tc>
          <w:tcPr>
            <w:tcW w:w="10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44,501,658</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3,910,000</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99"/>
              <w:spacing w:after="0" w:line="149" w:lineRule="exact"/>
              <w:rPr>
                <w:sz w:val="20"/>
                <w:szCs w:val="20"/>
                <w:color w:val="auto"/>
              </w:rPr>
            </w:pPr>
            <w:r>
              <w:rPr>
                <w:rFonts w:ascii="Arial" w:cs="Arial" w:eastAsia="Arial" w:hAnsi="Arial"/>
                <w:sz w:val="14"/>
                <w:szCs w:val="14"/>
                <w:color w:val="auto"/>
              </w:rPr>
              <w:t>(1,478,400)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3,540,001</w:t>
            </w: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33,470,058</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42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Total Controlled and Non-Controlled Affiliates</w:t>
            </w: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147,413,893</w:t>
            </w:r>
          </w:p>
        </w:tc>
        <w:tc>
          <w:tcPr>
            <w:tcW w:w="2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16,543,869</w:t>
            </w:r>
          </w:p>
        </w:tc>
        <w:tc>
          <w:tcPr>
            <w:tcW w:w="3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(26,871,072</w:t>
            </w:r>
          </w:p>
        </w:tc>
        <w:tc>
          <w:tcPr>
            <w:tcW w:w="180" w:type="dxa"/>
            <w:vAlign w:val="bottom"/>
          </w:tcPr>
          <w:p>
            <w:pPr>
              <w:jc w:val="right"/>
              <w:ind w:right="99"/>
              <w:spacing w:after="0"/>
              <w:rPr>
                <w:sz w:val="20"/>
                <w:szCs w:val="20"/>
                <w:color w:val="auto"/>
              </w:rPr>
            </w:pPr>
            <w:r>
              <w:rPr>
                <w:rFonts w:ascii="Arial" w:cs="Arial" w:eastAsia="Arial" w:hAnsi="Arial"/>
                <w:sz w:val="8"/>
                <w:szCs w:val="8"/>
                <w:color w:val="auto"/>
                <w:w w:val="73"/>
              </w:rPr>
              <w:t>)</w:t>
            </w:r>
          </w:p>
        </w:tc>
        <w:tc>
          <w:tcPr>
            <w:tcW w:w="12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11,244,855</w:t>
            </w:r>
          </w:p>
        </w:tc>
        <w:tc>
          <w:tcPr>
            <w:tcW w:w="28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1"/>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109,704,511</w:t>
            </w:r>
          </w:p>
        </w:tc>
        <w:tc>
          <w:tcPr>
            <w:tcW w:w="3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(3,242,156</w:t>
            </w:r>
          </w:p>
        </w:tc>
        <w:tc>
          <w:tcPr>
            <w:tcW w:w="100" w:type="dxa"/>
            <w:vAlign w:val="bottom"/>
          </w:tcPr>
          <w:p>
            <w:pPr>
              <w:jc w:val="right"/>
              <w:ind w:right="1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ind w:right="6160" w:firstLine="8"/>
        <w:spacing w:after="0" w:line="291" w:lineRule="auto"/>
        <w:tabs>
          <w:tab w:leader="none" w:pos="338" w:val="left"/>
        </w:tabs>
        <w:numPr>
          <w:ilvl w:val="0"/>
          <w:numId w:val="123"/>
        </w:numPr>
        <w:rPr>
          <w:rFonts w:ascii="Arial" w:cs="Arial" w:eastAsia="Arial" w:hAnsi="Arial"/>
          <w:sz w:val="13"/>
          <w:szCs w:val="13"/>
          <w:color w:val="auto"/>
        </w:rPr>
      </w:pPr>
      <w:r>
        <w:rPr>
          <w:rFonts w:ascii="Arial" w:cs="Arial" w:eastAsia="Arial" w:hAnsi="Arial"/>
          <w:sz w:val="13"/>
          <w:szCs w:val="13"/>
          <w:color w:val="auto"/>
        </w:rPr>
        <w:t>Became a non-controlled affiliate during the three months ended March 31, 2013. ** Became a non-controlled affiliate during the three months ended December 31, 2012.</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CHANGE IN NET ASSETS FROM OPERATIONS PER COMMON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sets forth the computation of basic and diluted per share net increase in net assets resulting from operations: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Class and Year</w:t>
            </w:r>
          </w:p>
        </w:tc>
        <w:tc>
          <w:tcPr>
            <w:tcW w:w="426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7"/>
              </w:rPr>
              <w:t>Years ended September 30,</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Borders>
              <w:bottom w:val="single" w:sz="8" w:color="auto"/>
            </w:tcBorders>
            <w:gridSpan w:val="2"/>
            <w:vMerge w:val="continue"/>
          </w:tcPr>
          <w:p>
            <w:pPr>
              <w:spacing w:after="0"/>
              <w:rPr>
                <w:sz w:val="12"/>
                <w:szCs w:val="12"/>
                <w:color w:val="auto"/>
              </w:rPr>
            </w:pPr>
          </w:p>
        </w:tc>
        <w:tc>
          <w:tcPr>
            <w:tcW w:w="42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ind w:right="214"/>
              <w:spacing w:after="0" w:line="129" w:lineRule="exact"/>
              <w:rPr>
                <w:sz w:val="20"/>
                <w:szCs w:val="20"/>
                <w:color w:val="auto"/>
              </w:rPr>
            </w:pPr>
            <w:r>
              <w:rPr>
                <w:rFonts w:ascii="Arial" w:cs="Arial" w:eastAsia="Arial" w:hAnsi="Arial"/>
                <w:sz w:val="14"/>
                <w:szCs w:val="14"/>
                <w:b w:val="1"/>
                <w:bCs w:val="1"/>
                <w:color w:val="auto"/>
              </w:rPr>
              <w:t>2013</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ind w:right="214"/>
              <w:spacing w:after="0" w:line="129" w:lineRule="exact"/>
              <w:rPr>
                <w:sz w:val="20"/>
                <w:szCs w:val="20"/>
                <w:color w:val="auto"/>
              </w:rPr>
            </w:pPr>
            <w:r>
              <w:rPr>
                <w:rFonts w:ascii="Arial" w:cs="Arial" w:eastAsia="Arial" w:hAnsi="Arial"/>
                <w:sz w:val="14"/>
                <w:szCs w:val="14"/>
                <w:b w:val="1"/>
                <w:bCs w:val="1"/>
                <w:color w:val="auto"/>
              </w:rPr>
              <w:t>2012</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ind w:right="234"/>
              <w:spacing w:after="0" w:line="129"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w w:val="98"/>
              </w:rPr>
              <w:t>Numerator for net increase in net assets resulting from operations</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91,777,652</w:t>
            </w:r>
          </w:p>
        </w:tc>
        <w:tc>
          <w:tcPr>
            <w:tcW w:w="1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ind w:left="20"/>
              <w:spacing w:after="0" w:line="203" w:lineRule="exact"/>
              <w:rPr>
                <w:sz w:val="20"/>
                <w:szCs w:val="20"/>
                <w:color w:val="auto"/>
              </w:rPr>
            </w:pPr>
            <w:r>
              <w:rPr>
                <w:rFonts w:ascii="Arial" w:cs="Arial" w:eastAsia="Arial" w:hAnsi="Arial"/>
                <w:sz w:val="18"/>
                <w:szCs w:val="18"/>
                <w:color w:val="auto"/>
                <w:w w:val="86"/>
              </w:rPr>
              <w:t>63,353,100</w:t>
            </w:r>
          </w:p>
        </w:tc>
        <w:tc>
          <w:tcPr>
            <w:tcW w:w="4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10,263,474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0" w:type="dxa"/>
            <w:vAlign w:val="bottom"/>
            <w:gridSpan w:val="3"/>
          </w:tcPr>
          <w:p>
            <w:pPr>
              <w:spacing w:after="0"/>
              <w:rPr>
                <w:sz w:val="20"/>
                <w:szCs w:val="20"/>
                <w:color w:val="auto"/>
              </w:rPr>
            </w:pPr>
            <w:r>
              <w:rPr>
                <w:rFonts w:ascii="Arial" w:cs="Arial" w:eastAsia="Arial" w:hAnsi="Arial"/>
                <w:sz w:val="18"/>
                <w:szCs w:val="18"/>
                <w:color w:val="auto"/>
              </w:rPr>
              <w:t>Denominator for basic/diluted and weighted average shares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66,380,829</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ind w:left="20"/>
              <w:spacing w:after="0"/>
              <w:rPr>
                <w:sz w:val="20"/>
                <w:szCs w:val="20"/>
                <w:color w:val="auto"/>
              </w:rPr>
            </w:pPr>
            <w:r>
              <w:rPr>
                <w:rFonts w:ascii="Arial" w:cs="Arial" w:eastAsia="Arial" w:hAnsi="Arial"/>
                <w:sz w:val="18"/>
                <w:szCs w:val="18"/>
                <w:color w:val="auto"/>
              </w:rPr>
              <w:t>52,969,278*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42,196,076</w:t>
            </w:r>
          </w:p>
        </w:tc>
        <w:tc>
          <w:tcPr>
            <w:tcW w:w="0" w:type="dxa"/>
            <w:vAlign w:val="bottom"/>
          </w:tcPr>
          <w:p>
            <w:pPr>
              <w:spacing w:after="0"/>
              <w:rPr>
                <w:sz w:val="1"/>
                <w:szCs w:val="1"/>
                <w:color w:val="auto"/>
              </w:rPr>
            </w:pPr>
          </w:p>
        </w:tc>
      </w:tr>
      <w:tr>
        <w:trPr>
          <w:trHeight w:val="202"/>
        </w:trPr>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Basic/diluted net increase in net assets per share resulting from</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operations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1.39</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135"/>
        </w:trPr>
        <w:tc>
          <w:tcPr>
            <w:tcW w:w="2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gridSpan w:val="2"/>
          </w:tcPr>
          <w:p>
            <w:pPr>
              <w:spacing w:after="0"/>
              <w:rPr>
                <w:sz w:val="11"/>
                <w:szCs w:val="11"/>
                <w:color w:val="auto"/>
              </w:rPr>
            </w:pPr>
          </w:p>
        </w:tc>
        <w:tc>
          <w:tcPr>
            <w:tcW w:w="4960" w:type="dxa"/>
            <w:vAlign w:val="bottom"/>
            <w:gridSpan w:val="2"/>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5900" w:type="dxa"/>
            <w:vAlign w:val="bottom"/>
            <w:gridSpan w:val="4"/>
          </w:tcPr>
          <w:p>
            <w:pPr>
              <w:ind w:left="120"/>
              <w:spacing w:after="0"/>
              <w:rPr>
                <w:sz w:val="20"/>
                <w:szCs w:val="20"/>
                <w:color w:val="auto"/>
              </w:rPr>
            </w:pPr>
            <w:r>
              <w:rPr>
                <w:rFonts w:ascii="Arial" w:cs="Arial" w:eastAsia="Arial" w:hAnsi="Arial"/>
                <w:sz w:val="14"/>
                <w:szCs w:val="14"/>
                <w:color w:val="auto"/>
              </w:rPr>
              <w:t>The denominator for diluted weighted average shares was 52,975,015 shares.</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0"/>
        </w:trPr>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60" w:type="dxa"/>
            <w:vAlign w:val="bottom"/>
          </w:tcPr>
          <w:p>
            <w:pPr>
              <w:ind w:left="3680"/>
              <w:spacing w:after="0"/>
              <w:rPr>
                <w:sz w:val="20"/>
                <w:szCs w:val="20"/>
                <w:color w:val="auto"/>
              </w:rPr>
            </w:pPr>
            <w:r>
              <w:rPr>
                <w:rFonts w:ascii="Arial" w:cs="Arial" w:eastAsia="Arial" w:hAnsi="Arial"/>
                <w:sz w:val="18"/>
                <w:szCs w:val="18"/>
                <w:color w:val="auto"/>
              </w:rPr>
              <w:t>F-30</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 SEPTEMBER 30, 2013</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TAXES AND DISTRIBUTIONS</w:t>
      </w:r>
    </w:p>
    <w:p>
      <w:pPr>
        <w:spacing w:after="0" w:line="12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Dividends from net investment income and net realized capital gains are determined in accordance with U.S. federal tax regulations, which may differ materially from amounts determined in accordance with GAAP. These book-to-tax differences are either temporary or permanent in nature. To the extent these differences are permanent they are reclassified to undistributed net investment income, accumulated net realized loss or paid-in-capital, as appropriate in the period that the difference arises. The following differences were reclassified for tax purposes for the years ended September 30, 2013, 2012 and 2011:</w:t>
      </w:r>
    </w:p>
    <w:p>
      <w:pPr>
        <w:spacing w:after="0" w:line="173"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04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2013</w:t>
            </w:r>
          </w:p>
        </w:tc>
        <w:tc>
          <w:tcPr>
            <w:tcW w:w="6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2012</w:t>
            </w:r>
          </w:p>
        </w:tc>
        <w:tc>
          <w:tcPr>
            <w:tcW w:w="68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CCEEFF"/>
            </w:tcBorders>
          </w:tcPr>
          <w:p>
            <w:pPr>
              <w:spacing w:after="0"/>
              <w:rPr>
                <w:sz w:val="14"/>
                <w:szCs w:val="14"/>
                <w:color w:val="auto"/>
              </w:rPr>
            </w:pPr>
          </w:p>
        </w:tc>
      </w:tr>
      <w:tr>
        <w:trPr>
          <w:trHeight w:val="210"/>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paid-in capital</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903,627</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276,902</w:t>
            </w:r>
          </w:p>
        </w:tc>
        <w:tc>
          <w:tcPr>
            <w:tcW w:w="68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$(228,824)</w:t>
            </w:r>
          </w:p>
        </w:tc>
        <w:tc>
          <w:tcPr>
            <w:tcW w:w="100" w:type="dxa"/>
            <w:vAlign w:val="bottom"/>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Increase (Decrease) in accumulated net realized loss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w w:val="88"/>
              </w:rPr>
              <w:t>(824,021)</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2,176,918</w:t>
            </w:r>
          </w:p>
        </w:tc>
        <w:tc>
          <w:tcPr>
            <w:tcW w:w="680" w:type="dxa"/>
            <w:vAlign w:val="bottom"/>
          </w:tcPr>
          <w:p>
            <w:pPr>
              <w:spacing w:after="0"/>
              <w:rPr>
                <w:sz w:val="18"/>
                <w:szCs w:val="18"/>
                <w:color w:val="auto"/>
              </w:rPr>
            </w:pPr>
          </w:p>
        </w:tc>
        <w:tc>
          <w:tcPr>
            <w:tcW w:w="840" w:type="dxa"/>
            <w:vAlign w:val="bottom"/>
            <w:gridSpan w:val="2"/>
          </w:tcPr>
          <w:p>
            <w:pPr>
              <w:ind w:left="460"/>
              <w:spacing w:after="0"/>
              <w:rPr>
                <w:sz w:val="20"/>
                <w:szCs w:val="20"/>
                <w:color w:val="auto"/>
              </w:rPr>
            </w:pPr>
            <w:r>
              <w:rPr>
                <w:rFonts w:ascii="Arial" w:cs="Arial" w:eastAsia="Arial" w:hAnsi="Arial"/>
                <w:sz w:val="18"/>
                <w:szCs w:val="18"/>
                <w:color w:val="auto"/>
              </w:rPr>
              <w:t>—</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(Decrease) Increase in undistributed net investment income</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(79,606)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9"/>
              </w:rPr>
              <w:t>(2,453,820)</w:t>
            </w:r>
          </w:p>
        </w:tc>
        <w:tc>
          <w:tcPr>
            <w:tcW w:w="8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$ 228,824</w:t>
            </w:r>
          </w:p>
        </w:tc>
      </w:tr>
    </w:tbl>
    <w:p>
      <w:pPr>
        <w:spacing w:after="0" w:line="202"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As of September 30, 2013 and 2012, the cost of investments for federal income tax purposes was $1,089.8 million and $1,006.8 million, respectively, resulting in a gross unrealized appreciation of $76.8 million and $59.9 million, respectively, and gross unrealized depreciation of $88.4 million and $76.3 million, respectively.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reconciles net increase in net assets resulting from operations to taxable income:</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4"/>
                <w:szCs w:val="14"/>
                <w:b w:val="1"/>
                <w:bCs w:val="1"/>
                <w:color w:val="auto"/>
                <w:w w:val="98"/>
              </w:rPr>
              <w:t>Years Ended September 30,</w:t>
            </w: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Pr>
          <w:p>
            <w:pPr>
              <w:jc w:val="right"/>
              <w:ind w:right="256"/>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Pr>
          <w:p>
            <w:pPr>
              <w:spacing w:after="0"/>
              <w:rPr>
                <w:sz w:val="12"/>
                <w:szCs w:val="12"/>
                <w:color w:val="auto"/>
              </w:rPr>
            </w:pPr>
          </w:p>
        </w:tc>
        <w:tc>
          <w:tcPr>
            <w:tcW w:w="1460" w:type="dxa"/>
            <w:vAlign w:val="bottom"/>
            <w:gridSpan w:val="2"/>
          </w:tcPr>
          <w:p>
            <w:pPr>
              <w:jc w:val="right"/>
              <w:ind w:right="250"/>
              <w:spacing w:after="0" w:line="142" w:lineRule="exact"/>
              <w:rPr>
                <w:sz w:val="20"/>
                <w:szCs w:val="20"/>
                <w:color w:val="auto"/>
              </w:rPr>
            </w:pPr>
            <w:r>
              <w:rPr>
                <w:rFonts w:ascii="Arial" w:cs="Arial" w:eastAsia="Arial" w:hAnsi="Arial"/>
                <w:sz w:val="14"/>
                <w:szCs w:val="14"/>
                <w:b w:val="1"/>
                <w:bCs w:val="1"/>
                <w:color w:val="auto"/>
              </w:rPr>
              <w:t>2012</w:t>
            </w:r>
          </w:p>
        </w:tc>
        <w:tc>
          <w:tcPr>
            <w:tcW w:w="680" w:type="dxa"/>
            <w:vAlign w:val="bottom"/>
          </w:tcPr>
          <w:p>
            <w:pPr>
              <w:spacing w:after="0"/>
              <w:rPr>
                <w:sz w:val="12"/>
                <w:szCs w:val="12"/>
                <w:color w:val="auto"/>
              </w:rPr>
            </w:pPr>
          </w:p>
        </w:tc>
        <w:tc>
          <w:tcPr>
            <w:tcW w:w="980" w:type="dxa"/>
            <w:vAlign w:val="bottom"/>
          </w:tcPr>
          <w:p>
            <w:pPr>
              <w:jc w:val="right"/>
              <w:ind w:right="27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210"/>
        </w:trPr>
        <w:tc>
          <w:tcPr>
            <w:tcW w:w="4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8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$ 91,777,652</w:t>
            </w:r>
          </w:p>
        </w:tc>
        <w:tc>
          <w:tcPr>
            <w:tcW w:w="1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$ 63,353,100</w:t>
            </w:r>
          </w:p>
        </w:tc>
        <w:tc>
          <w:tcPr>
            <w:tcW w:w="6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$ 10,263,474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Net realized (gain) loss on investments not taxable</w:t>
            </w:r>
          </w:p>
        </w:tc>
        <w:tc>
          <w:tcPr>
            <w:tcW w:w="1940" w:type="dxa"/>
            <w:vAlign w:val="bottom"/>
            <w:gridSpan w:val="3"/>
          </w:tcPr>
          <w:p>
            <w:pPr>
              <w:jc w:val="right"/>
              <w:ind w:right="120"/>
              <w:spacing w:after="0"/>
              <w:rPr>
                <w:sz w:val="20"/>
                <w:szCs w:val="20"/>
                <w:color w:val="auto"/>
              </w:rPr>
            </w:pPr>
            <w:r>
              <w:rPr>
                <w:rFonts w:ascii="Arial" w:cs="Arial" w:eastAsia="Arial" w:hAnsi="Arial"/>
                <w:sz w:val="18"/>
                <w:szCs w:val="18"/>
                <w:color w:val="auto"/>
              </w:rPr>
              <w:t>(17,687,211)</w:t>
            </w:r>
          </w:p>
        </w:tc>
        <w:tc>
          <w:tcPr>
            <w:tcW w:w="2140" w:type="dxa"/>
            <w:vAlign w:val="bottom"/>
            <w:gridSpan w:val="3"/>
          </w:tcPr>
          <w:p>
            <w:pPr>
              <w:jc w:val="right"/>
              <w:ind w:right="680"/>
              <w:spacing w:after="0"/>
              <w:rPr>
                <w:sz w:val="20"/>
                <w:szCs w:val="20"/>
                <w:color w:val="auto"/>
              </w:rPr>
            </w:pPr>
            <w:r>
              <w:rPr>
                <w:rFonts w:ascii="Arial" w:cs="Arial" w:eastAsia="Arial" w:hAnsi="Arial"/>
                <w:sz w:val="18"/>
                <w:szCs w:val="18"/>
                <w:color w:val="auto"/>
              </w:rPr>
              <w:t>12,798,035</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(16,259,622)</w:t>
            </w:r>
          </w:p>
        </w:tc>
      </w:tr>
      <w:tr>
        <w:trPr>
          <w:trHeight w:val="202"/>
        </w:trPr>
        <w:tc>
          <w:tcPr>
            <w:tcW w:w="4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Net unrealized (appreciation) depreciation on investments,</w:t>
            </w:r>
          </w:p>
        </w:tc>
        <w:tc>
          <w:tcPr>
            <w:tcW w:w="8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Credit Facility and 2025 Notes</w:t>
            </w:r>
          </w:p>
        </w:tc>
        <w:tc>
          <w:tcPr>
            <w:tcW w:w="1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(7,092,320)</w:t>
            </w:r>
          </w:p>
        </w:tc>
        <w:tc>
          <w:tcPr>
            <w:tcW w:w="21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(19,081,794)</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58,641,223</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Other temporary book-to-tax differences</w:t>
            </w:r>
          </w:p>
        </w:tc>
        <w:tc>
          <w:tcPr>
            <w:tcW w:w="1940" w:type="dxa"/>
            <w:vAlign w:val="bottom"/>
            <w:gridSpan w:val="3"/>
          </w:tcPr>
          <w:p>
            <w:pPr>
              <w:jc w:val="right"/>
              <w:ind w:right="120"/>
              <w:spacing w:after="0"/>
              <w:rPr>
                <w:sz w:val="20"/>
                <w:szCs w:val="20"/>
                <w:color w:val="auto"/>
              </w:rPr>
            </w:pPr>
            <w:r>
              <w:rPr>
                <w:rFonts w:ascii="Arial" w:cs="Arial" w:eastAsia="Arial" w:hAnsi="Arial"/>
                <w:sz w:val="18"/>
                <w:szCs w:val="18"/>
                <w:color w:val="auto"/>
              </w:rPr>
              <w:t>(3,035,861)</w:t>
            </w:r>
          </w:p>
        </w:tc>
        <w:tc>
          <w:tcPr>
            <w:tcW w:w="2140" w:type="dxa"/>
            <w:vAlign w:val="bottom"/>
            <w:gridSpan w:val="3"/>
          </w:tcPr>
          <w:p>
            <w:pPr>
              <w:jc w:val="right"/>
              <w:ind w:right="680"/>
              <w:spacing w:after="0"/>
              <w:rPr>
                <w:sz w:val="20"/>
                <w:szCs w:val="20"/>
                <w:color w:val="auto"/>
              </w:rPr>
            </w:pPr>
            <w:r>
              <w:rPr>
                <w:rFonts w:ascii="Arial" w:cs="Arial" w:eastAsia="Arial" w:hAnsi="Arial"/>
                <w:sz w:val="18"/>
                <w:szCs w:val="18"/>
                <w:color w:val="auto"/>
              </w:rPr>
              <w:t>2,444,817</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(3,178,194)</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Other non-deductible expenses</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2,715,980</w:t>
            </w:r>
          </w:p>
        </w:tc>
        <w:tc>
          <w:tcPr>
            <w:tcW w:w="180" w:type="dxa"/>
            <w:vAlign w:val="bottom"/>
            <w:shd w:val="clear" w:color="auto" w:fill="CCEEFF"/>
          </w:tcPr>
          <w:p>
            <w:pPr>
              <w:spacing w:after="0"/>
              <w:rPr>
                <w:sz w:val="18"/>
                <w:szCs w:val="18"/>
                <w:color w:val="auto"/>
              </w:rPr>
            </w:pPr>
          </w:p>
        </w:tc>
        <w:tc>
          <w:tcPr>
            <w:tcW w:w="214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307,990</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228,824</w:t>
            </w:r>
          </w:p>
        </w:tc>
      </w:tr>
      <w:tr>
        <w:trPr>
          <w:trHeight w:val="223"/>
        </w:trPr>
        <w:tc>
          <w:tcPr>
            <w:tcW w:w="4420" w:type="dxa"/>
            <w:vAlign w:val="bottom"/>
          </w:tcPr>
          <w:p>
            <w:pPr>
              <w:spacing w:after="0"/>
              <w:rPr>
                <w:sz w:val="20"/>
                <w:szCs w:val="20"/>
                <w:color w:val="auto"/>
              </w:rPr>
            </w:pPr>
            <w:r>
              <w:rPr>
                <w:rFonts w:ascii="Arial" w:cs="Arial" w:eastAsia="Arial" w:hAnsi="Arial"/>
                <w:sz w:val="18"/>
                <w:szCs w:val="18"/>
                <w:color w:val="auto"/>
              </w:rPr>
              <w:t>Taxable income before deductions for distributions</w:t>
            </w:r>
          </w:p>
        </w:tc>
        <w:tc>
          <w:tcPr>
            <w:tcW w:w="80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$ 66,678,240</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$ 59,822,148</w:t>
            </w:r>
          </w:p>
        </w:tc>
        <w:tc>
          <w:tcPr>
            <w:tcW w:w="68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$ 49,695,705</w:t>
            </w:r>
          </w:p>
        </w:tc>
        <w:tc>
          <w:tcPr>
            <w:tcW w:w="100" w:type="dxa"/>
            <w:vAlign w:val="bottom"/>
          </w:tcPr>
          <w:p>
            <w:pPr>
              <w:spacing w:after="0"/>
              <w:rPr>
                <w:sz w:val="19"/>
                <w:szCs w:val="19"/>
                <w:color w:val="auto"/>
              </w:rPr>
            </w:pPr>
          </w:p>
        </w:tc>
      </w:tr>
      <w:tr>
        <w:trPr>
          <w:trHeight w:val="372"/>
        </w:trPr>
        <w:tc>
          <w:tcPr>
            <w:tcW w:w="4420" w:type="dxa"/>
            <w:vAlign w:val="bottom"/>
          </w:tcPr>
          <w:p>
            <w:pPr>
              <w:spacing w:after="0"/>
              <w:rPr>
                <w:sz w:val="24"/>
                <w:szCs w:val="24"/>
                <w:color w:val="auto"/>
              </w:rPr>
            </w:pPr>
          </w:p>
        </w:tc>
        <w:tc>
          <w:tcPr>
            <w:tcW w:w="1940" w:type="dxa"/>
            <w:vAlign w:val="bottom"/>
            <w:gridSpan w:val="3"/>
          </w:tcPr>
          <w:p>
            <w:pPr>
              <w:jc w:val="right"/>
              <w:ind w:right="1400"/>
              <w:spacing w:after="0"/>
              <w:rPr>
                <w:sz w:val="20"/>
                <w:szCs w:val="20"/>
                <w:color w:val="auto"/>
              </w:rPr>
            </w:pPr>
            <w:r>
              <w:rPr>
                <w:rFonts w:ascii="Arial" w:cs="Arial" w:eastAsia="Arial" w:hAnsi="Arial"/>
                <w:sz w:val="18"/>
                <w:szCs w:val="18"/>
                <w:color w:val="auto"/>
              </w:rPr>
              <w:t>F-31</w:t>
            </w: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80" w:right="278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 SEPTEMBER 30, 2013</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accumulated surplus on tax basis and reconciliation to accumulated deficit on a book basis are as follows: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jc w:val="right"/>
              <w:ind w:right="540"/>
              <w:spacing w:after="0"/>
              <w:rPr>
                <w:sz w:val="20"/>
                <w:szCs w:val="20"/>
                <w:color w:val="auto"/>
              </w:rPr>
            </w:pPr>
            <w:r>
              <w:rPr>
                <w:rFonts w:ascii="Arial" w:cs="Arial" w:eastAsia="Arial" w:hAnsi="Arial"/>
                <w:sz w:val="14"/>
                <w:szCs w:val="14"/>
                <w:b w:val="1"/>
                <w:bCs w:val="1"/>
                <w:color w:val="auto"/>
              </w:rPr>
              <w:t>As of September 30,</w:t>
            </w: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200" w:type="dxa"/>
            <w:vAlign w:val="bottom"/>
          </w:tcPr>
          <w:p>
            <w:pPr>
              <w:spacing w:after="0"/>
              <w:rPr>
                <w:sz w:val="12"/>
                <w:szCs w:val="12"/>
                <w:color w:val="auto"/>
              </w:rPr>
            </w:pPr>
          </w:p>
        </w:tc>
        <w:tc>
          <w:tcPr>
            <w:tcW w:w="980" w:type="dxa"/>
            <w:vAlign w:val="bottom"/>
          </w:tcPr>
          <w:p>
            <w:pPr>
              <w:jc w:val="right"/>
              <w:ind w:right="252"/>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2"/>
                <w:szCs w:val="12"/>
                <w:color w:val="auto"/>
              </w:rPr>
            </w:pPr>
          </w:p>
        </w:tc>
        <w:tc>
          <w:tcPr>
            <w:tcW w:w="1340" w:type="dxa"/>
            <w:vAlign w:val="bottom"/>
            <w:gridSpan w:val="2"/>
          </w:tcPr>
          <w:p>
            <w:pPr>
              <w:jc w:val="right"/>
              <w:ind w:right="250"/>
              <w:spacing w:after="0" w:line="142" w:lineRule="exact"/>
              <w:rPr>
                <w:sz w:val="20"/>
                <w:szCs w:val="20"/>
                <w:color w:val="auto"/>
              </w:rPr>
            </w:pPr>
            <w:r>
              <w:rPr>
                <w:rFonts w:ascii="Arial" w:cs="Arial" w:eastAsia="Arial" w:hAnsi="Arial"/>
                <w:sz w:val="14"/>
                <w:szCs w:val="14"/>
                <w:b w:val="1"/>
                <w:bCs w:val="1"/>
                <w:color w:val="auto"/>
              </w:rPr>
              <w:t>2012</w:t>
            </w:r>
          </w:p>
        </w:tc>
        <w:tc>
          <w:tcPr>
            <w:tcW w:w="680" w:type="dxa"/>
            <w:vAlign w:val="bottom"/>
          </w:tcPr>
          <w:p>
            <w:pPr>
              <w:spacing w:after="0"/>
              <w:rPr>
                <w:sz w:val="12"/>
                <w:szCs w:val="12"/>
                <w:color w:val="auto"/>
              </w:rPr>
            </w:pPr>
          </w:p>
        </w:tc>
        <w:tc>
          <w:tcPr>
            <w:tcW w:w="980" w:type="dxa"/>
            <w:vAlign w:val="bottom"/>
          </w:tcPr>
          <w:p>
            <w:pPr>
              <w:jc w:val="right"/>
              <w:ind w:right="27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210"/>
        </w:trPr>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Undistributed ordinary income – tax basis</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$ 15,325,379</w:t>
            </w:r>
          </w:p>
        </w:tc>
        <w:tc>
          <w:tcPr>
            <w:tcW w:w="3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$ 18,634,553</w:t>
            </w:r>
          </w:p>
        </w:tc>
        <w:tc>
          <w:tcPr>
            <w:tcW w:w="6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$ 17,639,482</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5200" w:type="dxa"/>
            <w:vAlign w:val="bottom"/>
          </w:tcPr>
          <w:p>
            <w:pPr>
              <w:spacing w:after="0"/>
              <w:rPr>
                <w:sz w:val="20"/>
                <w:szCs w:val="20"/>
                <w:color w:val="auto"/>
              </w:rPr>
            </w:pPr>
            <w:r>
              <w:rPr>
                <w:rFonts w:ascii="Arial" w:cs="Arial" w:eastAsia="Arial" w:hAnsi="Arial"/>
                <w:sz w:val="18"/>
                <w:szCs w:val="18"/>
                <w:color w:val="auto"/>
              </w:rPr>
              <w:t>Undistributed long-term net capital gains</w:t>
            </w: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Total undistributed taxable income</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15,325,379</w:t>
            </w:r>
          </w:p>
        </w:tc>
        <w:tc>
          <w:tcPr>
            <w:tcW w:w="20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18,634,553</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17,639,482</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Capital loss carry forwards</w:t>
            </w:r>
            <w:r>
              <w:rPr>
                <w:rFonts w:ascii="Arial" w:cs="Arial" w:eastAsia="Arial" w:hAnsi="Arial"/>
                <w:sz w:val="15"/>
                <w:szCs w:val="15"/>
                <w:color w:val="auto"/>
              </w:rPr>
              <w:t>(1) (2)</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(39,216,288)</w:t>
            </w:r>
          </w:p>
        </w:tc>
        <w:tc>
          <w:tcPr>
            <w:tcW w:w="2020" w:type="dxa"/>
            <w:vAlign w:val="bottom"/>
            <w:gridSpan w:val="3"/>
          </w:tcPr>
          <w:p>
            <w:pPr>
              <w:jc w:val="right"/>
              <w:ind w:right="620"/>
              <w:spacing w:after="0"/>
              <w:rPr>
                <w:sz w:val="20"/>
                <w:szCs w:val="20"/>
                <w:color w:val="auto"/>
              </w:rPr>
            </w:pPr>
            <w:r>
              <w:rPr>
                <w:rFonts w:ascii="Arial" w:cs="Arial" w:eastAsia="Arial" w:hAnsi="Arial"/>
                <w:sz w:val="18"/>
                <w:szCs w:val="18"/>
                <w:color w:val="auto"/>
              </w:rPr>
              <w:t>(56,786,282)</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(47,030,821)</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Dividends payable and other temporary differences</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(26,021,069)</w:t>
            </w:r>
          </w:p>
        </w:tc>
        <w:tc>
          <w:tcPr>
            <w:tcW w:w="20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(21,086,425)</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(12,477,778)</w:t>
            </w:r>
          </w:p>
        </w:tc>
      </w:tr>
      <w:tr>
        <w:trPr>
          <w:trHeight w:val="202"/>
        </w:trPr>
        <w:tc>
          <w:tcPr>
            <w:tcW w:w="5200" w:type="dxa"/>
            <w:vAlign w:val="bottom"/>
          </w:tcPr>
          <w:p>
            <w:pPr>
              <w:spacing w:after="0" w:line="201" w:lineRule="exact"/>
              <w:rPr>
                <w:sz w:val="20"/>
                <w:szCs w:val="20"/>
                <w:color w:val="auto"/>
              </w:rPr>
            </w:pPr>
            <w:r>
              <w:rPr>
                <w:rFonts w:ascii="Arial" w:cs="Arial" w:eastAsia="Arial" w:hAnsi="Arial"/>
                <w:sz w:val="18"/>
                <w:szCs w:val="18"/>
                <w:color w:val="auto"/>
              </w:rPr>
              <w:t>Net unrealized appreciation (depreciation) of investments,</w:t>
            </w: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200" w:type="dxa"/>
            <w:vAlign w:val="bottom"/>
          </w:tcPr>
          <w:p>
            <w:pPr>
              <w:ind w:left="180"/>
              <w:spacing w:after="0"/>
              <w:rPr>
                <w:sz w:val="20"/>
                <w:szCs w:val="20"/>
                <w:color w:val="auto"/>
              </w:rPr>
            </w:pPr>
            <w:r>
              <w:rPr>
                <w:rFonts w:ascii="Arial" w:cs="Arial" w:eastAsia="Arial" w:hAnsi="Arial"/>
                <w:sz w:val="18"/>
                <w:szCs w:val="18"/>
                <w:color w:val="auto"/>
              </w:rPr>
              <w:t>Credit Facility and 2025 Notes</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(8,727,689)</w:t>
            </w:r>
          </w:p>
        </w:tc>
        <w:tc>
          <w:tcPr>
            <w:tcW w:w="2020" w:type="dxa"/>
            <w:vAlign w:val="bottom"/>
            <w:gridSpan w:val="3"/>
          </w:tcPr>
          <w:p>
            <w:pPr>
              <w:jc w:val="right"/>
              <w:ind w:right="620"/>
              <w:spacing w:after="0"/>
              <w:rPr>
                <w:sz w:val="20"/>
                <w:szCs w:val="20"/>
                <w:color w:val="auto"/>
              </w:rPr>
            </w:pPr>
            <w:r>
              <w:rPr>
                <w:rFonts w:ascii="Arial" w:cs="Arial" w:eastAsia="Arial" w:hAnsi="Arial"/>
                <w:sz w:val="18"/>
                <w:szCs w:val="18"/>
                <w:color w:val="auto"/>
              </w:rPr>
              <w:t>(15,815,138)</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(36,122,397)</w:t>
            </w:r>
          </w:p>
        </w:tc>
      </w:tr>
      <w:tr>
        <w:trPr>
          <w:trHeight w:val="27"/>
        </w:trPr>
        <w:tc>
          <w:tcPr>
            <w:tcW w:w="52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Total accumulated deficit – book basis</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(58,639,667)</w:t>
            </w:r>
          </w:p>
        </w:tc>
        <w:tc>
          <w:tcPr>
            <w:tcW w:w="20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(75,053,292)</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(77,991,514)</w:t>
            </w:r>
          </w:p>
        </w:tc>
      </w:tr>
      <w:tr>
        <w:trPr>
          <w:trHeight w:val="20"/>
        </w:trPr>
        <w:tc>
          <w:tcPr>
            <w:tcW w:w="52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3" w:lineRule="exact"/>
        <w:rPr>
          <w:sz w:val="20"/>
          <w:szCs w:val="20"/>
          <w:color w:val="auto"/>
        </w:rPr>
      </w:pPr>
    </w:p>
    <w:p>
      <w:pPr>
        <w:ind w:left="340" w:hanging="332"/>
        <w:spacing w:after="0"/>
        <w:tabs>
          <w:tab w:leader="none" w:pos="340" w:val="left"/>
        </w:tabs>
        <w:numPr>
          <w:ilvl w:val="0"/>
          <w:numId w:val="124"/>
        </w:numPr>
        <w:rPr>
          <w:rFonts w:ascii="Arial" w:cs="Arial" w:eastAsia="Arial" w:hAnsi="Arial"/>
          <w:sz w:val="14"/>
          <w:szCs w:val="14"/>
          <w:color w:val="auto"/>
        </w:rPr>
      </w:pPr>
      <w:r>
        <w:rPr>
          <w:rFonts w:ascii="Arial" w:cs="Arial" w:eastAsia="Arial" w:hAnsi="Arial"/>
          <w:sz w:val="14"/>
          <w:szCs w:val="14"/>
          <w:color w:val="auto"/>
        </w:rPr>
        <w:t>As of September 30, 2013, the capital loss carry forward of $39.2 million expires, if not utilized against future capital gains, as follows: $39.2 million in 2018.</w:t>
      </w:r>
    </w:p>
    <w:p>
      <w:pPr>
        <w:ind w:left="340" w:right="220" w:hanging="332"/>
        <w:spacing w:after="0" w:line="237" w:lineRule="auto"/>
        <w:tabs>
          <w:tab w:leader="none" w:pos="340" w:val="left"/>
        </w:tabs>
        <w:numPr>
          <w:ilvl w:val="0"/>
          <w:numId w:val="124"/>
        </w:numPr>
        <w:rPr>
          <w:rFonts w:ascii="Arial" w:cs="Arial" w:eastAsia="Arial" w:hAnsi="Arial"/>
          <w:sz w:val="14"/>
          <w:szCs w:val="14"/>
          <w:color w:val="auto"/>
        </w:rPr>
      </w:pPr>
      <w:r>
        <w:rPr>
          <w:rFonts w:ascii="Arial" w:cs="Arial" w:eastAsia="Arial" w:hAnsi="Arial"/>
          <w:sz w:val="14"/>
          <w:szCs w:val="14"/>
          <w:color w:val="auto"/>
        </w:rPr>
        <w:t>Under the recently enacted Regulated Investment Company Modernization Act of 2010, capital losses incurred by us after September 30, 2011 will not be subject to expiration. In addition, those losses must be utilized prior to the losses incurred in pre-enactment taxable years.</w:t>
      </w:r>
    </w:p>
    <w:p>
      <w:pPr>
        <w:spacing w:after="0" w:line="188"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color w:val="auto"/>
        </w:rPr>
        <w:t>The tax characteristics of dividends declared during the fiscal years ended September 30, 2013, 2012 and 2011 were solely from ordinary income and totaled $74.4 million, or $1.12 per share, $60.1 million, or $1.13 per share and $46.3 million, or $1.10 per share, respectively.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CASH EQUIVALENTS</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Cash equivalents represent cash in money market funds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 end. We may accomplish this in several ways, including purchasing U.S. Treasury Bills and closing out our positions on a net cash basis after quarter-end, temporarily drawing down on the Credit Facility, or utilizing repurchase agreements or other balance sheet transactions as are deemed appropriate for this purpose. These amounts are excluded from average adjusted gross assets for purposes of computing the Investment Adviser’s management fee. U.S. Treasury Bills with maturities greater than 60 days from the time of purchase are valued consistent with our valuation policy. As of September 30, 2013 and 2012, cash and cash equivalents consisted of $58.4 million and $7.6 million, respectively.</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380"/>
          </w:cols>
          <w:pgMar w:left="240" w:top="460" w:right="27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 SEPTEMBER 30, 2013</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FINANCIAL HIGHLIGHTS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Below are the financial highlights for the years ended September 30:</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2012</w:t>
            </w:r>
          </w:p>
        </w:tc>
        <w:tc>
          <w:tcPr>
            <w:tcW w:w="2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2010</w:t>
            </w: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2009</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10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Per Share Data:</w:t>
            </w: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line="149" w:lineRule="exact"/>
              <w:rPr>
                <w:sz w:val="20"/>
                <w:szCs w:val="20"/>
                <w:color w:val="auto"/>
              </w:rPr>
            </w:pPr>
            <w:r>
              <w:rPr>
                <w:rFonts w:ascii="Arial" w:cs="Arial" w:eastAsia="Arial" w:hAnsi="Arial"/>
                <w:sz w:val="14"/>
                <w:szCs w:val="14"/>
                <w:color w:val="auto"/>
              </w:rPr>
              <w:t>Net asset value, beginning of year</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10.22</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10.13</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10.69</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11.85</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Cumulative effect of adoption of fair value option</w:t>
            </w:r>
            <w:r>
              <w:rPr>
                <w:rFonts w:ascii="Arial" w:cs="Arial" w:eastAsia="Arial" w:hAnsi="Arial"/>
                <w:sz w:val="12"/>
                <w:szCs w:val="12"/>
                <w:color w:val="auto"/>
              </w:rPr>
              <w:t>(1)</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1.99</w:t>
            </w:r>
          </w:p>
        </w:tc>
        <w:tc>
          <w:tcPr>
            <w:tcW w:w="0" w:type="dxa"/>
            <w:vAlign w:val="bottom"/>
          </w:tcPr>
          <w:p>
            <w:pPr>
              <w:spacing w:after="0"/>
              <w:rPr>
                <w:sz w:val="1"/>
                <w:szCs w:val="1"/>
                <w:color w:val="auto"/>
              </w:rPr>
            </w:pPr>
          </w:p>
        </w:tc>
      </w:tr>
      <w:tr>
        <w:trPr>
          <w:trHeight w:val="156"/>
        </w:trPr>
        <w:tc>
          <w:tcPr>
            <w:tcW w:w="6120" w:type="dxa"/>
            <w:vAlign w:val="bottom"/>
            <w:gridSpan w:val="2"/>
          </w:tcPr>
          <w:p>
            <w:pPr>
              <w:spacing w:after="0" w:line="155" w:lineRule="exact"/>
              <w:rPr>
                <w:sz w:val="20"/>
                <w:szCs w:val="20"/>
                <w:color w:val="auto"/>
              </w:rPr>
            </w:pPr>
            <w:r>
              <w:rPr>
                <w:rFonts w:ascii="Arial" w:cs="Arial" w:eastAsia="Arial" w:hAnsi="Arial"/>
                <w:sz w:val="14"/>
                <w:szCs w:val="14"/>
                <w:color w:val="auto"/>
              </w:rPr>
              <w:t>Adjusted NAV, beginning of year</w:t>
            </w:r>
          </w:p>
        </w:tc>
        <w:tc>
          <w:tcPr>
            <w:tcW w:w="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10.22</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10.13</w:t>
            </w:r>
          </w:p>
        </w:tc>
        <w:tc>
          <w:tcPr>
            <w:tcW w:w="2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10.69</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11.85</w:t>
            </w:r>
          </w:p>
        </w:tc>
        <w:tc>
          <w:tcPr>
            <w:tcW w:w="2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11.99</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investment income</w:t>
            </w:r>
            <w:r>
              <w:rPr>
                <w:rFonts w:ascii="Arial" w:cs="Arial" w:eastAsia="Arial" w:hAnsi="Arial"/>
                <w:sz w:val="12"/>
                <w:szCs w:val="12"/>
                <w:color w:val="auto"/>
              </w:rPr>
              <w:t>(2)</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1.08</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1.09</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line="149" w:lineRule="exact"/>
              <w:rPr>
                <w:sz w:val="20"/>
                <w:szCs w:val="20"/>
                <w:color w:val="auto"/>
              </w:rPr>
            </w:pPr>
            <w:r>
              <w:rPr>
                <w:rFonts w:ascii="Arial" w:cs="Arial" w:eastAsia="Arial" w:hAnsi="Arial"/>
                <w:sz w:val="14"/>
                <w:szCs w:val="14"/>
                <w:color w:val="auto"/>
              </w:rPr>
              <w:t>Net realized and unrealized gain (loss)</w:t>
            </w:r>
            <w:r>
              <w:rPr>
                <w:rFonts w:ascii="Arial" w:cs="Arial" w:eastAsia="Arial" w:hAnsi="Arial"/>
                <w:sz w:val="12"/>
                <w:szCs w:val="12"/>
                <w:color w:val="auto"/>
              </w:rPr>
              <w:t>(2)</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0.38</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0.12</w:t>
            </w:r>
          </w:p>
        </w:tc>
        <w:tc>
          <w:tcPr>
            <w:tcW w:w="8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(0.53)</w:t>
            </w:r>
          </w:p>
        </w:tc>
        <w:tc>
          <w:tcPr>
            <w:tcW w:w="8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0.62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increase (decrease) in net assets resulting from operations</w:t>
            </w:r>
            <w:r>
              <w:rPr>
                <w:rFonts w:ascii="Arial" w:cs="Arial" w:eastAsia="Arial" w:hAnsi="Arial"/>
                <w:sz w:val="12"/>
                <w:szCs w:val="12"/>
                <w:color w:val="auto"/>
              </w:rPr>
              <w:t>(2)</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1.20</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0.24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0.56</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line="149" w:lineRule="exact"/>
              <w:rPr>
                <w:sz w:val="20"/>
                <w:szCs w:val="20"/>
                <w:color w:val="auto"/>
              </w:rPr>
            </w:pPr>
            <w:r>
              <w:rPr>
                <w:rFonts w:ascii="Arial" w:cs="Arial" w:eastAsia="Arial" w:hAnsi="Arial"/>
                <w:sz w:val="14"/>
                <w:szCs w:val="14"/>
                <w:color w:val="auto"/>
              </w:rPr>
              <w:t>Distributions to stockholders</w:t>
            </w:r>
            <w:r>
              <w:rPr>
                <w:rFonts w:ascii="Arial" w:cs="Arial" w:eastAsia="Arial" w:hAnsi="Arial"/>
                <w:sz w:val="12"/>
                <w:szCs w:val="12"/>
                <w:color w:val="auto"/>
              </w:rPr>
              <w:t>(2),(3)</w:t>
            </w:r>
          </w:p>
        </w:tc>
        <w:tc>
          <w:tcPr>
            <w:tcW w:w="8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(1.13)</w:t>
            </w:r>
          </w:p>
        </w:tc>
        <w:tc>
          <w:tcPr>
            <w:tcW w:w="8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(1.09)</w:t>
            </w:r>
          </w:p>
        </w:tc>
        <w:tc>
          <w:tcPr>
            <w:tcW w:w="8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Offering costs</w:t>
            </w:r>
            <w:r>
              <w:rPr>
                <w:rFonts w:ascii="Arial" w:cs="Arial" w:eastAsia="Arial" w:hAnsi="Arial"/>
                <w:sz w:val="12"/>
                <w:szCs w:val="12"/>
                <w:color w:val="auto"/>
              </w:rPr>
              <w:t>(2)</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(0.15)</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(0.14)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(0.20)</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line="149" w:lineRule="exact"/>
              <w:rPr>
                <w:sz w:val="20"/>
                <w:szCs w:val="20"/>
                <w:color w:val="auto"/>
              </w:rPr>
            </w:pPr>
            <w:r>
              <w:rPr>
                <w:rFonts w:ascii="Arial" w:cs="Arial" w:eastAsia="Arial" w:hAnsi="Arial"/>
                <w:sz w:val="14"/>
                <w:szCs w:val="14"/>
                <w:color w:val="auto"/>
              </w:rPr>
              <w:t>Accretive (Dilutive) effect of common stock issuance</w:t>
            </w:r>
            <w:r>
              <w:rPr>
                <w:rFonts w:ascii="Arial" w:cs="Arial" w:eastAsia="Arial" w:hAnsi="Arial"/>
                <w:sz w:val="12"/>
                <w:szCs w:val="12"/>
                <w:color w:val="auto"/>
              </w:rPr>
              <w:t>(2)</w:t>
            </w:r>
          </w:p>
        </w:tc>
        <w:tc>
          <w:tcPr>
            <w:tcW w:w="80" w:type="dxa"/>
            <w:vAlign w:val="bottom"/>
          </w:tcPr>
          <w:p>
            <w:pPr>
              <w:spacing w:after="0"/>
              <w:rPr>
                <w:sz w:val="12"/>
                <w:szCs w:val="12"/>
                <w:color w:val="auto"/>
              </w:rPr>
            </w:pPr>
          </w:p>
        </w:tc>
        <w:tc>
          <w:tcPr>
            <w:tcW w:w="74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0.17</w:t>
            </w:r>
          </w:p>
        </w:tc>
        <w:tc>
          <w:tcPr>
            <w:tcW w:w="8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0.44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(0.43)</w:t>
            </w:r>
          </w:p>
        </w:tc>
        <w:tc>
          <w:tcPr>
            <w:tcW w:w="8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asset value, end of year</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10.49</w:t>
            </w:r>
          </w:p>
        </w:tc>
        <w:tc>
          <w:tcPr>
            <w:tcW w:w="18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10.22</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10.13</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10.69</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11.85</w:t>
            </w:r>
          </w:p>
        </w:tc>
        <w:tc>
          <w:tcPr>
            <w:tcW w:w="0" w:type="dxa"/>
            <w:vAlign w:val="bottom"/>
          </w:tcPr>
          <w:p>
            <w:pPr>
              <w:spacing w:after="0"/>
              <w:rPr>
                <w:sz w:val="1"/>
                <w:szCs w:val="1"/>
                <w:color w:val="auto"/>
              </w:rPr>
            </w:pPr>
          </w:p>
        </w:tc>
      </w:tr>
      <w:tr>
        <w:trPr>
          <w:trHeight w:val="156"/>
        </w:trPr>
        <w:tc>
          <w:tcPr>
            <w:tcW w:w="6120" w:type="dxa"/>
            <w:vAlign w:val="bottom"/>
            <w:gridSpan w:val="2"/>
          </w:tcPr>
          <w:p>
            <w:pPr>
              <w:spacing w:after="0" w:line="155" w:lineRule="exact"/>
              <w:rPr>
                <w:sz w:val="20"/>
                <w:szCs w:val="20"/>
                <w:color w:val="auto"/>
              </w:rPr>
            </w:pPr>
            <w:r>
              <w:rPr>
                <w:rFonts w:ascii="Arial" w:cs="Arial" w:eastAsia="Arial" w:hAnsi="Arial"/>
                <w:sz w:val="14"/>
                <w:szCs w:val="14"/>
                <w:color w:val="auto"/>
              </w:rPr>
              <w:t>Per share market value, end of year</w:t>
            </w:r>
          </w:p>
        </w:tc>
        <w:tc>
          <w:tcPr>
            <w:tcW w:w="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11.28</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10.61</w:t>
            </w:r>
          </w:p>
        </w:tc>
        <w:tc>
          <w:tcPr>
            <w:tcW w:w="260" w:type="dxa"/>
            <w:vAlign w:val="bottom"/>
          </w:tcPr>
          <w:p>
            <w:pPr>
              <w:spacing w:after="0"/>
              <w:rPr>
                <w:sz w:val="13"/>
                <w:szCs w:val="13"/>
                <w:color w:val="auto"/>
              </w:rPr>
            </w:pPr>
          </w:p>
        </w:tc>
        <w:tc>
          <w:tcPr>
            <w:tcW w:w="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8.92</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10.61</w:t>
            </w:r>
          </w:p>
        </w:tc>
        <w:tc>
          <w:tcPr>
            <w:tcW w:w="240" w:type="dxa"/>
            <w:vAlign w:val="bottom"/>
          </w:tcPr>
          <w:p>
            <w:pPr>
              <w:spacing w:after="0"/>
              <w:rPr>
                <w:sz w:val="13"/>
                <w:szCs w:val="13"/>
                <w:color w:val="auto"/>
              </w:rPr>
            </w:pPr>
          </w:p>
        </w:tc>
        <w:tc>
          <w:tcPr>
            <w:tcW w:w="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8.11</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return</w:t>
            </w:r>
            <w:r>
              <w:rPr>
                <w:rFonts w:ascii="Arial" w:cs="Arial" w:eastAsia="Arial" w:hAnsi="Arial"/>
                <w:sz w:val="12"/>
                <w:szCs w:val="12"/>
                <w:color w:val="auto"/>
              </w:rPr>
              <w:t>(4)</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17.37%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28.71%</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(7.37)%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44.79%</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30.39%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line="149" w:lineRule="exact"/>
              <w:rPr>
                <w:sz w:val="20"/>
                <w:szCs w:val="20"/>
                <w:color w:val="auto"/>
              </w:rPr>
            </w:pPr>
            <w:r>
              <w:rPr>
                <w:rFonts w:ascii="Arial" w:cs="Arial" w:eastAsia="Arial" w:hAnsi="Arial"/>
                <w:sz w:val="14"/>
                <w:szCs w:val="14"/>
                <w:color w:val="auto"/>
              </w:rPr>
              <w:t>Shares outstanding at end of year</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66,499,327</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9"/>
              </w:rPr>
              <w:t>65,514,503</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45,689,781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36,158,772</w:t>
            </w:r>
          </w:p>
        </w:tc>
        <w:tc>
          <w:tcPr>
            <w:tcW w:w="8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25,368,772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Ratio / Supplemental Data:</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line="149" w:lineRule="exact"/>
              <w:rPr>
                <w:sz w:val="20"/>
                <w:szCs w:val="20"/>
                <w:color w:val="auto"/>
              </w:rPr>
            </w:pPr>
            <w:r>
              <w:rPr>
                <w:rFonts w:ascii="Arial" w:cs="Arial" w:eastAsia="Arial" w:hAnsi="Arial"/>
                <w:sz w:val="14"/>
                <w:szCs w:val="14"/>
                <w:color w:val="auto"/>
              </w:rPr>
              <w:t>Ratio of operating expenses to average net assets</w:t>
            </w:r>
            <w:r>
              <w:rPr>
                <w:rFonts w:ascii="Arial" w:cs="Arial" w:eastAsia="Arial" w:hAnsi="Arial"/>
                <w:sz w:val="12"/>
                <w:szCs w:val="12"/>
                <w:color w:val="auto"/>
              </w:rPr>
              <w:t>(5),(6)</w:t>
            </w:r>
          </w:p>
        </w:tc>
        <w:tc>
          <w:tcPr>
            <w:tcW w:w="80" w:type="dxa"/>
            <w:vAlign w:val="bottom"/>
          </w:tcPr>
          <w:p>
            <w:pPr>
              <w:spacing w:after="0"/>
              <w:rPr>
                <w:sz w:val="12"/>
                <w:szCs w:val="12"/>
                <w:color w:val="auto"/>
              </w:rPr>
            </w:pPr>
          </w:p>
        </w:tc>
        <w:tc>
          <w:tcPr>
            <w:tcW w:w="9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6.31%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7.11%</w:t>
            </w:r>
          </w:p>
        </w:tc>
        <w:tc>
          <w:tcPr>
            <w:tcW w:w="8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7.28%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7.16%</w:t>
            </w:r>
          </w:p>
        </w:tc>
        <w:tc>
          <w:tcPr>
            <w:tcW w:w="80" w:type="dxa"/>
            <w:vAlign w:val="bottom"/>
          </w:tcPr>
          <w:p>
            <w:pPr>
              <w:spacing w:after="0"/>
              <w:rPr>
                <w:sz w:val="12"/>
                <w:szCs w:val="12"/>
                <w:color w:val="auto"/>
              </w:rPr>
            </w:pP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Ratio of Credit Facility related expenses to average net assets</w:t>
            </w:r>
            <w:r>
              <w:rPr>
                <w:rFonts w:ascii="Arial" w:cs="Arial" w:eastAsia="Arial" w:hAnsi="Arial"/>
                <w:sz w:val="12"/>
                <w:szCs w:val="12"/>
                <w:color w:val="auto"/>
              </w:rPr>
              <w:t>(8)</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2.60%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3.08%</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1.08%</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1.93%</w:t>
            </w: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spacing w:after="0"/>
              <w:rPr>
                <w:sz w:val="20"/>
                <w:szCs w:val="20"/>
                <w:color w:val="auto"/>
              </w:rPr>
            </w:pPr>
            <w:r>
              <w:rPr>
                <w:rFonts w:ascii="Arial" w:cs="Arial" w:eastAsia="Arial" w:hAnsi="Arial"/>
                <w:sz w:val="14"/>
                <w:szCs w:val="14"/>
                <w:color w:val="auto"/>
              </w:rPr>
              <w:t>Ratio of total expenses to average net assets</w:t>
            </w:r>
            <w:r>
              <w:rPr>
                <w:rFonts w:ascii="Arial" w:cs="Arial" w:eastAsia="Arial" w:hAnsi="Arial"/>
                <w:sz w:val="12"/>
                <w:szCs w:val="12"/>
                <w:color w:val="auto"/>
              </w:rPr>
              <w:t>(7),(8)</w:t>
            </w: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1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8.91%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10.19%</w:t>
            </w:r>
          </w:p>
        </w:tc>
        <w:tc>
          <w:tcPr>
            <w:tcW w:w="80" w:type="dxa"/>
            <w:vAlign w:val="bottom"/>
          </w:tcPr>
          <w:p>
            <w:pPr>
              <w:spacing w:after="0"/>
              <w:rPr>
                <w:sz w:val="13"/>
                <w:szCs w:val="13"/>
                <w:color w:val="auto"/>
              </w:rPr>
            </w:pPr>
          </w:p>
        </w:tc>
        <w:tc>
          <w:tcPr>
            <w:tcW w:w="96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8.43%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8.24%</w:t>
            </w:r>
          </w:p>
        </w:tc>
        <w:tc>
          <w:tcPr>
            <w:tcW w:w="80" w:type="dxa"/>
            <w:vAlign w:val="bottom"/>
          </w:tcPr>
          <w:p>
            <w:pPr>
              <w:spacing w:after="0"/>
              <w:rPr>
                <w:sz w:val="13"/>
                <w:szCs w:val="13"/>
                <w:color w:val="auto"/>
              </w:rPr>
            </w:pPr>
          </w:p>
        </w:tc>
        <w:tc>
          <w:tcPr>
            <w:tcW w:w="9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9.35%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Ratio of net investment income to average net assets</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9.60%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10.32%</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11.35%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9.45%</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line="149" w:lineRule="exact"/>
              <w:rPr>
                <w:sz w:val="20"/>
                <w:szCs w:val="20"/>
                <w:color w:val="auto"/>
              </w:rPr>
            </w:pPr>
            <w:r>
              <w:rPr>
                <w:rFonts w:ascii="Arial" w:cs="Arial" w:eastAsia="Arial" w:hAnsi="Arial"/>
                <w:sz w:val="14"/>
                <w:szCs w:val="14"/>
                <w:color w:val="auto"/>
              </w:rPr>
              <w:t>Net assets at end of year</w:t>
            </w:r>
            <w:r>
              <w:rPr>
                <w:rFonts w:ascii="Arial" w:cs="Arial" w:eastAsia="Arial" w:hAnsi="Arial"/>
                <w:sz w:val="12"/>
                <w:szCs w:val="12"/>
                <w:color w:val="auto"/>
              </w:rPr>
              <w:t>(8)</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w w:val="92"/>
              </w:rPr>
              <w:t>697,506,199</w:t>
            </w:r>
          </w:p>
        </w:tc>
        <w:tc>
          <w:tcPr>
            <w:tcW w:w="18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89"/>
              </w:rPr>
              <w:t>669,717,047</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w w:val="92"/>
              </w:rPr>
              <w:t>462,657,196</w:t>
            </w:r>
          </w:p>
        </w:tc>
        <w:tc>
          <w:tcPr>
            <w:tcW w:w="22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2"/>
              </w:rPr>
              <w:t>386,575,223</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2"/>
              </w:rPr>
              <w:t>300,580,268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Weighted average debt outstanding</w:t>
            </w:r>
            <w:r>
              <w:rPr>
                <w:rFonts w:ascii="Arial" w:cs="Arial" w:eastAsia="Arial" w:hAnsi="Arial"/>
                <w:sz w:val="12"/>
                <w:szCs w:val="12"/>
                <w:color w:val="auto"/>
              </w:rPr>
              <w:t>(8)</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363,246,849</w:t>
            </w:r>
          </w:p>
        </w:tc>
        <w:tc>
          <w:tcPr>
            <w:tcW w:w="18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89"/>
              </w:rPr>
              <w:t>340,868,033</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278,294,433</w:t>
            </w:r>
          </w:p>
        </w:tc>
        <w:tc>
          <w:tcPr>
            <w:tcW w:w="22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2"/>
              </w:rPr>
              <w:t>246,216,548</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2"/>
              </w:rPr>
              <w:t>182,490,685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line="149" w:lineRule="exact"/>
              <w:rPr>
                <w:sz w:val="20"/>
                <w:szCs w:val="20"/>
                <w:color w:val="auto"/>
              </w:rPr>
            </w:pPr>
            <w:r>
              <w:rPr>
                <w:rFonts w:ascii="Arial" w:cs="Arial" w:eastAsia="Arial" w:hAnsi="Arial"/>
                <w:sz w:val="14"/>
                <w:szCs w:val="14"/>
                <w:color w:val="auto"/>
              </w:rPr>
              <w:t>Weighted average debt per share</w:t>
            </w:r>
            <w:r>
              <w:rPr>
                <w:rFonts w:ascii="Arial" w:cs="Arial" w:eastAsia="Arial" w:hAnsi="Arial"/>
                <w:sz w:val="12"/>
                <w:szCs w:val="12"/>
                <w:color w:val="auto"/>
              </w:rPr>
              <w:t>(8)</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5.47</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6.44</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6.60</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8.33</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Asset coverage per unit</w:t>
            </w:r>
            <w:r>
              <w:rPr>
                <w:rFonts w:ascii="Arial" w:cs="Arial" w:eastAsia="Arial" w:hAnsi="Arial"/>
                <w:sz w:val="12"/>
                <w:szCs w:val="12"/>
                <w:color w:val="auto"/>
              </w:rPr>
              <w:t>(9)</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4,261</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5,636</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2,937</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2,655</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2,713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line="149" w:lineRule="exact"/>
              <w:rPr>
                <w:sz w:val="20"/>
                <w:szCs w:val="20"/>
                <w:color w:val="auto"/>
              </w:rPr>
            </w:pPr>
            <w:r>
              <w:rPr>
                <w:rFonts w:ascii="Arial" w:cs="Arial" w:eastAsia="Arial" w:hAnsi="Arial"/>
                <w:sz w:val="14"/>
                <w:szCs w:val="14"/>
                <w:color w:val="auto"/>
              </w:rPr>
              <w:t>Average market value per unit</w:t>
            </w:r>
            <w:r>
              <w:rPr>
                <w:rFonts w:ascii="Arial" w:cs="Arial" w:eastAsia="Arial" w:hAnsi="Arial"/>
                <w:sz w:val="12"/>
                <w:szCs w:val="12"/>
                <w:color w:val="auto"/>
              </w:rPr>
              <w:t>(10)</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24.79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N/A</w:t>
            </w:r>
          </w:p>
        </w:tc>
        <w:tc>
          <w:tcPr>
            <w:tcW w:w="8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N/A</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N/A</w:t>
            </w:r>
          </w:p>
        </w:tc>
        <w:tc>
          <w:tcPr>
            <w:tcW w:w="8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Portfolio turnover ratio</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40.91%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22.81%</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40.89%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25.97%</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7.47%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0" w:lineRule="exact"/>
        <w:rPr>
          <w:sz w:val="20"/>
          <w:szCs w:val="20"/>
          <w:color w:val="auto"/>
        </w:rPr>
      </w:pPr>
    </w:p>
    <w:p>
      <w:pPr>
        <w:ind w:left="340" w:right="40" w:hanging="332"/>
        <w:spacing w:after="0" w:line="230" w:lineRule="auto"/>
        <w:tabs>
          <w:tab w:leader="none" w:pos="34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On October 1, 2008, PennantPark Investment adopted ASC 825 and made an irrevocable election to apply the fair value option to our long-term Credit Facility. Upon adoption, NAV increased $41.8 million, or $1.99 per share, due to the fair value adjustment related to our Credit Facility.</w:t>
      </w:r>
    </w:p>
    <w:p>
      <w:pPr>
        <w:ind w:left="340" w:hanging="332"/>
        <w:spacing w:after="0" w:line="221" w:lineRule="auto"/>
        <w:tabs>
          <w:tab w:leader="none" w:pos="34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Calculated based on the weighted average shares outstanding for the respective periods.</w:t>
      </w:r>
    </w:p>
    <w:p>
      <w:pPr>
        <w:ind w:left="340" w:hanging="332"/>
        <w:spacing w:after="0" w:line="221" w:lineRule="auto"/>
        <w:tabs>
          <w:tab w:leader="none" w:pos="34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Based on taxable income calculated in accordance with income tax regulations and may differ from amounts determined under GAAP.</w:t>
      </w:r>
    </w:p>
    <w:p>
      <w:pPr>
        <w:ind w:left="340" w:hanging="332"/>
        <w:spacing w:after="0" w:line="221" w:lineRule="auto"/>
        <w:tabs>
          <w:tab w:leader="none" w:pos="34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Based on the change in market price per share during the periods and takes into account distributions, if any, reinvested in accordance with our dividend reinvestment plan.</w:t>
      </w:r>
    </w:p>
    <w:p>
      <w:pPr>
        <w:ind w:left="340" w:hanging="332"/>
        <w:spacing w:after="0" w:line="221" w:lineRule="auto"/>
        <w:tabs>
          <w:tab w:leader="none" w:pos="34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Excludes Credit Facility interest and amendment costs.</w:t>
      </w:r>
    </w:p>
    <w:p>
      <w:pPr>
        <w:ind w:left="340" w:hanging="332"/>
        <w:spacing w:after="0" w:line="221" w:lineRule="auto"/>
        <w:tabs>
          <w:tab w:leader="none" w:pos="34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Before adoption of ASC 825 for the fiscal years ended September 30, 2013, 2012, 2011, 2010 and 2009, the ratios were 6.32%, 7.11%, 7.38%, 7.95% and 9.32%, respectively.</w:t>
      </w:r>
    </w:p>
    <w:p>
      <w:pPr>
        <w:ind w:left="340" w:hanging="332"/>
        <w:spacing w:after="0" w:line="221" w:lineRule="auto"/>
        <w:tabs>
          <w:tab w:leader="none" w:pos="34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Before adoption of ASC 825 for the fiscal years ended September 30, 2013, 2012, 2011, 2010 and 2009, the ratios were 8.92%, 10.20%, 8.55%, 9.15% and (1.75%), respectively.</w:t>
      </w:r>
    </w:p>
    <w:p>
      <w:pPr>
        <w:ind w:left="340" w:hanging="332"/>
        <w:spacing w:after="0" w:line="221" w:lineRule="auto"/>
        <w:tabs>
          <w:tab w:leader="none" w:pos="34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Includes SBA debentures outstanding.</w:t>
      </w:r>
    </w:p>
    <w:p>
      <w:pPr>
        <w:ind w:left="340" w:right="180" w:hanging="332"/>
        <w:spacing w:after="0" w:line="238" w:lineRule="auto"/>
        <w:tabs>
          <w:tab w:leader="none" w:pos="340" w:val="left"/>
        </w:tabs>
        <w:numPr>
          <w:ilvl w:val="0"/>
          <w:numId w:val="125"/>
        </w:numPr>
        <w:rPr>
          <w:rFonts w:ascii="Arial" w:cs="Arial" w:eastAsia="Arial" w:hAnsi="Arial"/>
          <w:sz w:val="13"/>
          <w:szCs w:val="13"/>
          <w:color w:val="auto"/>
        </w:rPr>
      </w:pPr>
      <w:r>
        <w:rPr>
          <w:rFonts w:ascii="Arial" w:cs="Arial" w:eastAsia="Arial" w:hAnsi="Arial"/>
          <w:sz w:val="13"/>
          <w:szCs w:val="13"/>
          <w:color w:val="auto"/>
        </w:rPr>
        <w:t>The asset coverage ratio for a class of senior securities representing indebtedness is calculated as our consolidated total assets, less all liabilities and indebtedness not represented by senior securities, divided by the senior securities representing indebtedness. This asset coverage ratio is multiplied by $1,000 to determine the asset coverage per unit. These amounts exclude SBIC LP’s SBA debentures from our asset coverage per unit computation pursuant to an Exemptive relief letter provided by the SEC in June 2011.</w:t>
      </w:r>
    </w:p>
    <w:p>
      <w:pPr>
        <w:ind w:left="340" w:right="180" w:hanging="332"/>
        <w:spacing w:after="0" w:line="237" w:lineRule="auto"/>
        <w:tabs>
          <w:tab w:leader="none" w:pos="34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The average market value per unit is derived based on the monthly average closing price of the 2025 Notes trading on NYSE under the symbol “PNTA” since issuance, which were issued in increments of $25 per unit.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460" w:right="23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80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 SEPTEMBER 30, 2013</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DEBT</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Credit Facility</w:t>
      </w:r>
    </w:p>
    <w:p>
      <w:pPr>
        <w:spacing w:after="0" w:line="117"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We have a $430 million multi-currency Credit Facility with certain lenders and SunTrust Bank, acting as administrative agent, and JPMorgan Chase Bank, N.A., acting as syndication agent for the lenders. As of September 30, 2013 and 2012, there was $145.5 million (including a temporary draw of $28.0 million) and $145.0 million (including a temporary draw of $35.5 million), respectively, in outstanding borrowings under the Credit Facility, with a weighted average interest rate at the time of 3.33% and 3.49%, exclusive of the fee on undrawn commitments of 0.50%. The Credit Facility is a four-year revolving facility, with a stated maturity date of February 21, 2016, with a one-year term-out period following its third year and pricing is set at 275 basis points over LIBOR. The Credit Facility is secured by substantially all of the assets of the Company excluding assets held by our SBIC Funds.</w:t>
      </w:r>
    </w:p>
    <w:p>
      <w:pPr>
        <w:spacing w:after="0" w:line="165"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In accordance with the 1940 Act, with certain limited exceptions, we are only allowed to borrow amounts such that we are in compliance with our asset coverage requirement, excluding SBA debentures, pursuant to exemptive relief from the SEC received in June 2011.</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SBA Debentures</w:t>
      </w:r>
    </w:p>
    <w:p>
      <w:pPr>
        <w:spacing w:after="0" w:line="11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SBIC LP is able to borrow funds from the SBA against regulatory capital (which approximates equity capital) that is paid-in and is subject to customary regulatory requirements including an examination by the SBA. We have funded SBIC LP with $75.0 million of equity capital and had SBA debentures outstanding of $150.0 million as of September 30, 2013. In January 2013, our wholly-owned subsidiary, SBIC II, received a license from the SBA to operate as an SBIC under the 1958 Act. We have funded SBIC II with $2.5 million of seed capital. Our SBIC Funds are subject to a variety of regulations and oversight by the SBA concerning, among other things, the size and nature of the companies in which they may invest as well as the structure of those investments. SBA debentures are non-recourse to us, have a 10-year maturity, and may be prepaid at any time without penalty. The interest rate of SBA debentures is fixed at the time of issuance, often referred to as pooling, at a market-driven spread over 10-year U.S. Treasury Notes. Under current SBA regulations SBIC LP may borrow to a maximum of $150.0 million, which is up to twice its potential regulatory capital, and as part of a group of SBICs under common control may borrow a maximum of $225 million. SBIC LP has accessed the maximum borrowing with its $75.0 million in regulatory capital.</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of September 30, 2013, $150.0 million in debt commitments were fully drawn with a weighted average interest rate of 3.70%, exclusive of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3.43% in upfront fees which are amortized over the life of the loan (4.04% after upfront fees). Our fixed rate SBA debentures as of September 30, 2013 were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 follows:</w:t>
      </w:r>
    </w:p>
    <w:p>
      <w:pPr>
        <w:spacing w:after="0" w:line="21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5"/>
              </w:rPr>
              <w:t>Fixed All-in</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Principal</w:t>
            </w:r>
          </w:p>
        </w:tc>
        <w:tc>
          <w:tcPr>
            <w:tcW w:w="0" w:type="dxa"/>
            <w:vAlign w:val="bottom"/>
          </w:tcPr>
          <w:p>
            <w:pPr>
              <w:spacing w:after="0"/>
              <w:rPr>
                <w:sz w:val="1"/>
                <w:szCs w:val="1"/>
                <w:color w:val="auto"/>
              </w:rPr>
            </w:pPr>
          </w:p>
        </w:tc>
      </w:tr>
      <w:tr>
        <w:trPr>
          <w:trHeight w:val="144"/>
        </w:trPr>
        <w:tc>
          <w:tcPr>
            <w:tcW w:w="920" w:type="dxa"/>
            <w:vAlign w:val="bottom"/>
            <w:vMerge w:val="restart"/>
          </w:tcPr>
          <w:p>
            <w:pPr>
              <w:spacing w:after="0"/>
              <w:rPr>
                <w:sz w:val="20"/>
                <w:szCs w:val="20"/>
                <w:color w:val="auto"/>
              </w:rPr>
            </w:pPr>
            <w:r>
              <w:rPr>
                <w:rFonts w:ascii="Arial" w:cs="Arial" w:eastAsia="Arial" w:hAnsi="Arial"/>
                <w:sz w:val="14"/>
                <w:szCs w:val="14"/>
                <w:b w:val="1"/>
                <w:bCs w:val="1"/>
                <w:color w:val="auto"/>
                <w:w w:val="88"/>
              </w:rPr>
              <w:t>Issuance Dates</w:t>
            </w:r>
          </w:p>
        </w:tc>
        <w:tc>
          <w:tcPr>
            <w:tcW w:w="2500" w:type="dxa"/>
            <w:vAlign w:val="bottom"/>
            <w:vMerge w:val="restart"/>
          </w:tcPr>
          <w:p>
            <w:pPr>
              <w:spacing w:after="0"/>
              <w:rPr>
                <w:sz w:val="12"/>
                <w:szCs w:val="12"/>
                <w:color w:val="auto"/>
              </w:rPr>
            </w:pPr>
          </w:p>
        </w:tc>
        <w:tc>
          <w:tcPr>
            <w:tcW w:w="1280" w:type="dxa"/>
            <w:vAlign w:val="bottom"/>
          </w:tcPr>
          <w:p>
            <w:pPr>
              <w:spacing w:after="0"/>
              <w:rPr>
                <w:sz w:val="12"/>
                <w:szCs w:val="12"/>
                <w:color w:val="auto"/>
              </w:rPr>
            </w:pPr>
          </w:p>
        </w:tc>
        <w:tc>
          <w:tcPr>
            <w:tcW w:w="138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Maturity</w:t>
            </w:r>
          </w:p>
        </w:tc>
        <w:tc>
          <w:tcPr>
            <w:tcW w:w="720" w:type="dxa"/>
            <w:vAlign w:val="bottom"/>
            <w:vMerge w:val="restart"/>
          </w:tcPr>
          <w:p>
            <w:pPr>
              <w:spacing w:after="0"/>
              <w:rPr>
                <w:sz w:val="12"/>
                <w:szCs w:val="12"/>
                <w:color w:val="auto"/>
              </w:rPr>
            </w:pPr>
          </w:p>
        </w:tc>
        <w:tc>
          <w:tcPr>
            <w:tcW w:w="1340" w:type="dxa"/>
            <w:vAlign w:val="bottom"/>
            <w:gridSpan w:val="2"/>
          </w:tcPr>
          <w:p>
            <w:pPr>
              <w:jc w:val="center"/>
              <w:ind w:right="520"/>
              <w:spacing w:after="0" w:line="145" w:lineRule="exact"/>
              <w:rPr>
                <w:sz w:val="20"/>
                <w:szCs w:val="20"/>
                <w:color w:val="auto"/>
              </w:rPr>
            </w:pPr>
            <w:r>
              <w:rPr>
                <w:rFonts w:ascii="Arial" w:cs="Arial" w:eastAsia="Arial" w:hAnsi="Arial"/>
                <w:sz w:val="14"/>
                <w:szCs w:val="14"/>
                <w:b w:val="1"/>
                <w:bCs w:val="1"/>
                <w:color w:val="auto"/>
                <w:w w:val="94"/>
              </w:rPr>
              <w:t>Coupon Rate</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920" w:type="dxa"/>
            <w:vAlign w:val="bottom"/>
            <w:tcBorders>
              <w:bottom w:val="single" w:sz="8" w:color="auto"/>
            </w:tcBorders>
            <w:vMerge w:val="continue"/>
          </w:tcPr>
          <w:p>
            <w:pPr>
              <w:spacing w:after="0"/>
              <w:rPr>
                <w:sz w:val="14"/>
                <w:szCs w:val="14"/>
                <w:color w:val="auto"/>
              </w:rPr>
            </w:pPr>
          </w:p>
        </w:tc>
        <w:tc>
          <w:tcPr>
            <w:tcW w:w="2500" w:type="dxa"/>
            <w:vAlign w:val="bottom"/>
            <w:tcBorders>
              <w:bottom w:val="single" w:sz="8" w:color="CCEEFF"/>
            </w:tcBorders>
            <w:vMerge w:val="continue"/>
          </w:tcPr>
          <w:p>
            <w:pPr>
              <w:spacing w:after="0"/>
              <w:rPr>
                <w:sz w:val="14"/>
                <w:szCs w:val="14"/>
                <w:color w:val="auto"/>
              </w:rPr>
            </w:pPr>
          </w:p>
        </w:tc>
        <w:tc>
          <w:tcPr>
            <w:tcW w:w="128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vMerge w:val="continue"/>
          </w:tcPr>
          <w:p>
            <w:pPr>
              <w:spacing w:after="0"/>
              <w:rPr>
                <w:sz w:val="14"/>
                <w:szCs w:val="14"/>
                <w:color w:val="auto"/>
              </w:rPr>
            </w:pPr>
          </w:p>
        </w:tc>
        <w:tc>
          <w:tcPr>
            <w:tcW w:w="720" w:type="dxa"/>
            <w:vAlign w:val="bottom"/>
            <w:tcBorders>
              <w:bottom w:val="single" w:sz="8" w:color="CCEEFF"/>
            </w:tcBorders>
            <w:vMerge w:val="continue"/>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(1)</w:t>
            </w:r>
          </w:p>
        </w:tc>
        <w:tc>
          <w:tcPr>
            <w:tcW w:w="48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Balance</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22, 2010</w:t>
            </w:r>
          </w:p>
        </w:tc>
        <w:tc>
          <w:tcPr>
            <w:tcW w:w="1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w w:val="88"/>
              </w:rPr>
              <w:t>September 1, 2020</w:t>
            </w:r>
          </w:p>
        </w:tc>
        <w:tc>
          <w:tcPr>
            <w:tcW w:w="7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3.50%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March 29, 2011</w:t>
            </w:r>
          </w:p>
        </w:tc>
        <w:tc>
          <w:tcPr>
            <w:tcW w:w="3380" w:type="dxa"/>
            <w:vAlign w:val="bottom"/>
            <w:gridSpan w:val="3"/>
          </w:tcPr>
          <w:p>
            <w:pPr>
              <w:ind w:left="1280"/>
              <w:spacing w:after="0"/>
              <w:rPr>
                <w:sz w:val="20"/>
                <w:szCs w:val="20"/>
                <w:color w:val="auto"/>
              </w:rPr>
            </w:pPr>
            <w:r>
              <w:rPr>
                <w:rFonts w:ascii="Arial" w:cs="Arial" w:eastAsia="Arial" w:hAnsi="Arial"/>
                <w:sz w:val="18"/>
                <w:szCs w:val="18"/>
                <w:color w:val="auto"/>
              </w:rPr>
              <w:t>March 1, 2021</w:t>
            </w:r>
          </w:p>
        </w:tc>
        <w:tc>
          <w:tcPr>
            <w:tcW w:w="1340" w:type="dxa"/>
            <w:vAlign w:val="bottom"/>
            <w:gridSpan w:val="2"/>
          </w:tcPr>
          <w:p>
            <w:pPr>
              <w:ind w:left="540"/>
              <w:spacing w:after="0"/>
              <w:rPr>
                <w:sz w:val="20"/>
                <w:szCs w:val="20"/>
                <w:color w:val="auto"/>
              </w:rPr>
            </w:pPr>
            <w:r>
              <w:rPr>
                <w:rFonts w:ascii="Arial" w:cs="Arial" w:eastAsia="Arial" w:hAnsi="Arial"/>
                <w:sz w:val="18"/>
                <w:szCs w:val="18"/>
                <w:color w:val="auto"/>
              </w:rPr>
              <w:t>4.46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44,500,000</w:t>
            </w: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21, 2011</w:t>
            </w:r>
          </w:p>
        </w:tc>
        <w:tc>
          <w:tcPr>
            <w:tcW w:w="3380" w:type="dxa"/>
            <w:vAlign w:val="bottom"/>
            <w:gridSpan w:val="3"/>
            <w:shd w:val="clear" w:color="auto" w:fill="CCEEFF"/>
          </w:tcPr>
          <w:p>
            <w:pPr>
              <w:ind w:left="1280"/>
              <w:spacing w:after="0"/>
              <w:rPr>
                <w:sz w:val="20"/>
                <w:szCs w:val="20"/>
                <w:color w:val="auto"/>
              </w:rPr>
            </w:pPr>
            <w:r>
              <w:rPr>
                <w:rFonts w:ascii="Arial" w:cs="Arial" w:eastAsia="Arial" w:hAnsi="Arial"/>
                <w:sz w:val="18"/>
                <w:szCs w:val="18"/>
                <w:color w:val="auto"/>
              </w:rPr>
              <w:t>September 1, 2021</w:t>
            </w:r>
          </w:p>
        </w:tc>
        <w:tc>
          <w:tcPr>
            <w:tcW w:w="86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w w:val="85"/>
              </w:rPr>
              <w:t>3.38</w:t>
            </w: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105,000,000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20" w:type="dxa"/>
            <w:vAlign w:val="bottom"/>
            <w:gridSpan w:val="2"/>
          </w:tcPr>
          <w:p>
            <w:pPr>
              <w:spacing w:after="0"/>
              <w:rPr>
                <w:sz w:val="20"/>
                <w:szCs w:val="20"/>
                <w:color w:val="auto"/>
              </w:rPr>
            </w:pPr>
            <w:r>
              <w:rPr>
                <w:rFonts w:ascii="Arial" w:cs="Arial" w:eastAsia="Arial" w:hAnsi="Arial"/>
                <w:sz w:val="18"/>
                <w:szCs w:val="18"/>
                <w:color w:val="auto"/>
              </w:rPr>
              <w:t>Weighted average rate / Total</w:t>
            </w:r>
          </w:p>
        </w:tc>
        <w:tc>
          <w:tcPr>
            <w:tcW w:w="1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40" w:type="dxa"/>
            <w:vAlign w:val="bottom"/>
            <w:gridSpan w:val="2"/>
          </w:tcPr>
          <w:p>
            <w:pPr>
              <w:ind w:left="540"/>
              <w:spacing w:after="0"/>
              <w:rPr>
                <w:sz w:val="20"/>
                <w:szCs w:val="20"/>
                <w:color w:val="auto"/>
              </w:rPr>
            </w:pPr>
            <w:r>
              <w:rPr>
                <w:rFonts w:ascii="Arial" w:cs="Arial" w:eastAsia="Arial" w:hAnsi="Arial"/>
                <w:sz w:val="18"/>
                <w:szCs w:val="18"/>
                <w:color w:val="auto"/>
              </w:rPr>
              <w:t>3.70%</w:t>
            </w:r>
          </w:p>
        </w:tc>
        <w:tc>
          <w:tcPr>
            <w:tcW w:w="3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150,000,000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ind w:left="340" w:hanging="332"/>
        <w:spacing w:after="0"/>
        <w:tabs>
          <w:tab w:leader="none" w:pos="340" w:val="left"/>
        </w:tabs>
        <w:numPr>
          <w:ilvl w:val="0"/>
          <w:numId w:val="126"/>
        </w:numPr>
        <w:rPr>
          <w:rFonts w:ascii="Arial" w:cs="Arial" w:eastAsia="Arial" w:hAnsi="Arial"/>
          <w:sz w:val="12"/>
          <w:szCs w:val="12"/>
          <w:color w:val="auto"/>
        </w:rPr>
      </w:pPr>
      <w:r>
        <w:rPr>
          <w:rFonts w:ascii="Arial" w:cs="Arial" w:eastAsia="Arial" w:hAnsi="Arial"/>
          <w:sz w:val="14"/>
          <w:szCs w:val="14"/>
          <w:color w:val="auto"/>
        </w:rPr>
        <w:t>Excluding 3.43% of upfront fees.</w:t>
      </w:r>
    </w:p>
    <w:p>
      <w:pPr>
        <w:spacing w:after="0" w:line="208" w:lineRule="exact"/>
        <w:rPr>
          <w:sz w:val="20"/>
          <w:szCs w:val="20"/>
          <w:color w:val="auto"/>
        </w:rPr>
      </w:pPr>
    </w:p>
    <w:p>
      <w:pPr>
        <w:jc w:val="both"/>
        <w:ind w:firstLine="456"/>
        <w:spacing w:after="0" w:line="342" w:lineRule="auto"/>
        <w:rPr>
          <w:sz w:val="20"/>
          <w:szCs w:val="20"/>
          <w:color w:val="auto"/>
        </w:rPr>
      </w:pPr>
      <w:r>
        <w:rPr>
          <w:rFonts w:ascii="Arial" w:cs="Arial" w:eastAsia="Arial" w:hAnsi="Arial"/>
          <w:sz w:val="16"/>
          <w:szCs w:val="16"/>
          <w:color w:val="auto"/>
        </w:rPr>
        <w:t>Under SBA regulations, our SBIC Funds are subject to regulatory requirements, including making investments in SBA-eligible businesses, investing at least 25% of regulatory capital in eligible smaller businesses, as defined under the 1958 Act, placing certain limitations on the financing terms of investments,</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00"/>
          </w:cols>
          <w:pgMar w:left="240" w:top="460" w:right="25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80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 SEPTEMBER 30, 2013</w:t>
      </w:r>
    </w:p>
    <w:p>
      <w:pPr>
        <w:spacing w:after="0" w:line="86"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prohibiting investing in certain industries, requiring capitalization thresholds and being subject to periodic audits and examinations of their financial statements that are prepared on a basis of accounting other than GAAP (for example, fair value, as defined under ASC 820, is not required to be used for assets or liabilities for such compliance reporting). If our SBIC Funds fail to comply with applicable SBA regulations, the SBA could, depending on the severity of the violation, limit or prohibit their use of debentures, declare outstanding debentures immediately due and payable and/or limit them from making new investments. These actions by the SBA would, in turn, negatively affect us because our SBIC Funds are wholly-owned by us.</w:t>
      </w:r>
    </w:p>
    <w:p>
      <w:pPr>
        <w:spacing w:after="0" w:line="2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2025 Notes</w:t>
      </w:r>
    </w:p>
    <w:p>
      <w:pPr>
        <w:spacing w:after="0" w:line="11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In January 2013, we issued $71.3 million in aggregate principal amount of 2025 Notes, including the exercise of the over-allotment option, for net proceeds of $68.8 million after underwriting discounts and offering costs. Interest on the 2025 Notes is paid quarterly on February 1, May 1, August 1 and November 1, at a rate of 6.25% per year. The 2025 Notes mature on February 1, 2025. We may redeem the 2025 Notes in whole or in part at any time or from time to time on or after February 1, 2016. The 2025 Notes are general, unsecured obligations and rank equal in right of payment with all of our existing and future senior unsecured indebtedness. The 2025 Notes are structurally subordinated to our SBA debentures and the assets pledged or secured under our Credit Facility. Our 2025 Notes trade on the NYSE under the symbol “PNTA.”</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GUARANTEES AND CONTINGENCIES</w:t>
      </w:r>
    </w:p>
    <w:p>
      <w:pPr>
        <w:spacing w:after="0" w:line="121" w:lineRule="exact"/>
        <w:rPr>
          <w:sz w:val="20"/>
          <w:szCs w:val="20"/>
          <w:color w:val="auto"/>
        </w:rPr>
      </w:pPr>
    </w:p>
    <w:p>
      <w:pPr>
        <w:jc w:val="both"/>
        <w:ind w:right="200" w:firstLine="456"/>
        <w:spacing w:after="0" w:line="302" w:lineRule="auto"/>
        <w:rPr>
          <w:sz w:val="20"/>
          <w:szCs w:val="20"/>
          <w:color w:val="auto"/>
        </w:rPr>
      </w:pPr>
      <w:r>
        <w:rPr>
          <w:rFonts w:ascii="Arial" w:cs="Arial" w:eastAsia="Arial" w:hAnsi="Arial"/>
          <w:sz w:val="16"/>
          <w:szCs w:val="16"/>
          <w:color w:val="auto"/>
        </w:rPr>
        <w:t>From time to time, we,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investments described in the Consolidated Statement of Assets and Liabilities represent unfunded delayed draws on investments.</w:t>
      </w:r>
    </w:p>
    <w:p>
      <w:pPr>
        <w:spacing w:after="0" w:line="4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in the ordinary course of business, have guaranteed certain obligations of SPH. The guaranties are only triggered if there were administrative errors in acquiring assets which SPH subsequently sold or securitized. As of September 30, 2013 our maximum guaranty is $13.0 million. Based on SPH’s and industry historical loss rates we believe the risk of loss is remote, thus, we have not recorded a liability associated with the guaranties. The current guaranties will decline over time.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00"/>
          </w:cols>
          <w:pgMar w:left="240" w:top="459" w:right="259" w:bottom="1440" w:gutter="0" w:footer="0" w:header="0"/>
        </w:sectPr>
      </w:pPr>
    </w:p>
    <w:bookmarkStart w:id="251" w:name="page252"/>
    <w:bookmarkEnd w:id="25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246620" cy="260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2749550</wp:posOffset>
            </wp:positionH>
            <wp:positionV relativeFrom="paragraph">
              <wp:posOffset>648970</wp:posOffset>
            </wp:positionV>
            <wp:extent cx="1766570" cy="3771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766570" cy="377190"/>
                    </a:xfrm>
                    <a:prstGeom prst="rect">
                      <a:avLst/>
                    </a:prstGeom>
                    <a:noFill/>
                  </pic:spPr>
                </pic:pic>
              </a:graphicData>
            </a:graphic>
          </wp:anchor>
        </w:drawing>
      </w:r>
    </w:p>
    <w:p>
      <w:pPr>
        <w:sectPr>
          <w:pgSz w:w="11900" w:h="16838" w:orient="portrait"/>
          <w:cols w:equalWidth="0" w:num="1">
            <w:col w:w="10219"/>
          </w:cols>
          <w:pgMar w:left="240" w:top="46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720"/>
        <w:spacing w:after="0"/>
        <w:rPr>
          <w:sz w:val="20"/>
          <w:szCs w:val="20"/>
          <w:color w:val="auto"/>
        </w:rPr>
      </w:pPr>
      <w:r>
        <w:rPr>
          <w:rFonts w:ascii="Arial" w:cs="Arial" w:eastAsia="Arial" w:hAnsi="Arial"/>
          <w:sz w:val="29"/>
          <w:szCs w:val="29"/>
          <w:b w:val="1"/>
          <w:bCs w:val="1"/>
          <w:color w:val="auto"/>
        </w:rPr>
        <w:t>8,500,000 shares</w:t>
      </w:r>
    </w:p>
    <w:p>
      <w:pPr>
        <w:spacing w:after="0" w:line="200" w:lineRule="exact"/>
        <w:rPr>
          <w:sz w:val="20"/>
          <w:szCs w:val="20"/>
          <w:color w:val="auto"/>
        </w:rPr>
      </w:pPr>
    </w:p>
    <w:p>
      <w:pPr>
        <w:spacing w:after="0" w:line="241"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1600200</wp:posOffset>
            </wp:positionH>
            <wp:positionV relativeFrom="paragraph">
              <wp:posOffset>860425</wp:posOffset>
            </wp:positionV>
            <wp:extent cx="405638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40563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240"/>
        <w:spacing w:after="0"/>
        <w:rPr>
          <w:sz w:val="20"/>
          <w:szCs w:val="20"/>
          <w:color w:val="auto"/>
        </w:rPr>
      </w:pPr>
      <w:r>
        <w:rPr>
          <w:rFonts w:ascii="Arial" w:cs="Arial" w:eastAsia="Arial" w:hAnsi="Arial"/>
          <w:sz w:val="21"/>
          <w:szCs w:val="21"/>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1600200</wp:posOffset>
            </wp:positionH>
            <wp:positionV relativeFrom="paragraph">
              <wp:posOffset>241300</wp:posOffset>
            </wp:positionV>
            <wp:extent cx="405638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40563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Morgan Stanley</w:t>
      </w:r>
    </w:p>
    <w:p>
      <w:pPr>
        <w:spacing w:after="0" w:line="98"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Goldman, Sachs &amp; Co.</w:t>
      </w:r>
    </w:p>
    <w:p>
      <w:pPr>
        <w:spacing w:after="0" w:line="98"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J.P. Morgan</w:t>
      </w:r>
    </w:p>
    <w:p>
      <w:pPr>
        <w:spacing w:after="0" w:line="98"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UBS Investment Bank</w:t>
      </w:r>
    </w:p>
    <w:p>
      <w:pPr>
        <w:spacing w:after="0" w:line="98"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Keefe, Bruyette &amp; Woods</w:t>
      </w:r>
    </w:p>
    <w:p>
      <w:pPr>
        <w:spacing w:after="0" w:line="13" w:lineRule="exact"/>
        <w:rPr>
          <w:sz w:val="20"/>
          <w:szCs w:val="20"/>
          <w:color w:val="auto"/>
        </w:rPr>
      </w:pPr>
    </w:p>
    <w:p>
      <w:pPr>
        <w:ind w:left="5880"/>
        <w:spacing w:after="0"/>
        <w:rPr>
          <w:sz w:val="20"/>
          <w:szCs w:val="20"/>
          <w:color w:val="auto"/>
        </w:rPr>
      </w:pPr>
      <w:r>
        <w:rPr>
          <w:rFonts w:ascii="Arial" w:cs="Arial" w:eastAsia="Arial" w:hAnsi="Arial"/>
          <w:sz w:val="13"/>
          <w:szCs w:val="13"/>
          <w:i w:val="1"/>
          <w:iCs w:val="1"/>
          <w:color w:val="auto"/>
        </w:rPr>
        <w:t>A  Stifel  Company</w:t>
      </w:r>
    </w:p>
    <w:p>
      <w:pPr>
        <w:spacing w:after="0" w:line="70" w:lineRule="exact"/>
        <w:rPr>
          <w:sz w:val="20"/>
          <w:szCs w:val="20"/>
          <w:color w:val="auto"/>
        </w:rPr>
      </w:pPr>
    </w:p>
    <w:p>
      <w:pPr>
        <w:jc w:val="center"/>
        <w:ind w:right="-1200"/>
        <w:spacing w:after="0"/>
        <w:rPr>
          <w:sz w:val="20"/>
          <w:szCs w:val="20"/>
          <w:color w:val="auto"/>
        </w:rPr>
      </w:pPr>
      <w:r>
        <w:rPr>
          <w:rFonts w:ascii="Arial" w:cs="Arial" w:eastAsia="Arial" w:hAnsi="Arial"/>
          <w:sz w:val="19"/>
          <w:szCs w:val="19"/>
          <w:b w:val="1"/>
          <w:bCs w:val="1"/>
          <w:color w:val="auto"/>
        </w:rPr>
        <w:t>Ladenburg Thalmann &amp; Co. Inc.</w:t>
      </w:r>
    </w:p>
    <w:p>
      <w:pPr>
        <w:spacing w:after="0" w:line="133"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FBR</w:t>
      </w:r>
    </w:p>
    <w:p>
      <w:pPr>
        <w:spacing w:after="0" w:line="98"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JMP Securities</w:t>
      </w:r>
    </w:p>
    <w:p>
      <w:pPr>
        <w:spacing w:after="0" w:line="98"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ING</w:t>
      </w:r>
    </w:p>
    <w:p>
      <w:pPr>
        <w:spacing w:after="0" w:line="98"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Comerica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September 5,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724662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403225</wp:posOffset>
            </wp:positionV>
            <wp:extent cx="7246620" cy="260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0219"/>
      </w:cols>
      <w:pgMar w:left="240" w:top="46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79BE4F1"/>
    <w:multiLevelType w:val="hybridMultilevel"/>
    <w:lvl w:ilvl="0">
      <w:lvlJc w:val="left"/>
      <w:lvlText w:val="•"/>
      <w:numFmt w:val="bullet"/>
      <w:start w:val="1"/>
    </w:lvl>
  </w:abstractNum>
  <w:abstractNum w:abstractNumId="1">
    <w:nsid w:val="310C50B3"/>
    <w:multiLevelType w:val="hybridMultilevel"/>
    <w:lvl w:ilvl="0">
      <w:lvlJc w:val="left"/>
      <w:lvlText w:val="•"/>
      <w:numFmt w:val="bullet"/>
      <w:start w:val="1"/>
    </w:lvl>
  </w:abstractNum>
  <w:abstractNum w:abstractNumId="2">
    <w:nsid w:val="5FF87E05"/>
    <w:multiLevelType w:val="hybridMultilevel"/>
    <w:lvl w:ilvl="0">
      <w:lvlJc w:val="left"/>
      <w:lvlText w:val="%1"/>
      <w:numFmt w:val="lowerLetter"/>
      <w:start w:val="1"/>
    </w:lvl>
    <w:lvl w:ilvl="1">
      <w:lvlJc w:val="left"/>
      <w:lvlText w:val="•"/>
      <w:numFmt w:val="bullet"/>
      <w:start w:val="1"/>
    </w:lvl>
  </w:abstractNum>
  <w:abstractNum w:abstractNumId="3">
    <w:nsid w:val="2F305DEF"/>
    <w:multiLevelType w:val="hybridMultilevel"/>
    <w:lvl w:ilvl="0">
      <w:lvlJc w:val="left"/>
      <w:lvlText w:val="(%1)"/>
      <w:numFmt w:val="decimal"/>
      <w:start w:val="1"/>
    </w:lvl>
  </w:abstractNum>
  <w:abstractNum w:abstractNumId="4">
    <w:nsid w:val="25A70BF7"/>
    <w:multiLevelType w:val="hybridMultilevel"/>
    <w:lvl w:ilvl="0">
      <w:lvlJc w:val="left"/>
      <w:lvlText w:val="(%1)"/>
      <w:numFmt w:val="decimal"/>
      <w:start w:val="7"/>
    </w:lvl>
  </w:abstractNum>
  <w:abstractNum w:abstractNumId="5">
    <w:nsid w:val="1DBABF00"/>
    <w:multiLevelType w:val="hybridMultilevel"/>
    <w:lvl w:ilvl="0">
      <w:lvlJc w:val="left"/>
      <w:lvlText w:val="•"/>
      <w:numFmt w:val="bullet"/>
      <w:start w:val="1"/>
    </w:lvl>
  </w:abstractNum>
  <w:abstractNum w:abstractNumId="6">
    <w:nsid w:val="4AD084E9"/>
    <w:multiLevelType w:val="hybridMultilevel"/>
    <w:lvl w:ilvl="0">
      <w:lvlJc w:val="left"/>
      <w:lvlText w:val="•"/>
      <w:numFmt w:val="bullet"/>
      <w:start w:val="1"/>
    </w:lvl>
  </w:abstractNum>
  <w:abstractNum w:abstractNumId="7">
    <w:nsid w:val="1F48EAA1"/>
    <w:multiLevelType w:val="hybridMultilevel"/>
    <w:lvl w:ilvl="0">
      <w:lvlJc w:val="left"/>
      <w:lvlText w:val="•"/>
      <w:numFmt w:val="bullet"/>
      <w:start w:val="1"/>
    </w:lvl>
  </w:abstractNum>
  <w:abstractNum w:abstractNumId="8">
    <w:nsid w:val="1381823A"/>
    <w:multiLevelType w:val="hybridMultilevel"/>
    <w:lvl w:ilvl="0">
      <w:lvlJc w:val="left"/>
      <w:lvlText w:val="(%1)"/>
      <w:numFmt w:val="decimal"/>
      <w:start w:val="1"/>
    </w:lvl>
  </w:abstractNum>
  <w:abstractNum w:abstractNumId="9">
    <w:nsid w:val="5DB70AE5"/>
    <w:multiLevelType w:val="hybridMultilevel"/>
    <w:lvl w:ilvl="0">
      <w:lvlJc w:val="left"/>
      <w:lvlText w:val="(%1)"/>
      <w:numFmt w:val="decimal"/>
      <w:start w:val="1"/>
    </w:lvl>
  </w:abstractNum>
  <w:abstractNum w:abstractNumId="10">
    <w:nsid w:val="100F8FCA"/>
    <w:multiLevelType w:val="hybridMultilevel"/>
    <w:lvl w:ilvl="0">
      <w:lvlJc w:val="left"/>
      <w:lvlText w:val="(%1)"/>
      <w:numFmt w:val="decimal"/>
      <w:start w:val="1"/>
    </w:lvl>
  </w:abstractNum>
  <w:abstractNum w:abstractNumId="11">
    <w:nsid w:val="6590700B"/>
    <w:multiLevelType w:val="hybridMultilevel"/>
    <w:lvl w:ilvl="0">
      <w:lvlJc w:val="left"/>
      <w:lvlText w:val="•"/>
      <w:numFmt w:val="bullet"/>
      <w:start w:val="1"/>
    </w:lvl>
  </w:abstractNum>
  <w:abstractNum w:abstractNumId="12">
    <w:nsid w:val="15014ACB"/>
    <w:multiLevelType w:val="hybridMultilevel"/>
    <w:lvl w:ilvl="0">
      <w:lvlJc w:val="left"/>
      <w:lvlText w:val="•"/>
      <w:numFmt w:val="bullet"/>
      <w:start w:val="1"/>
    </w:lvl>
  </w:abstractNum>
  <w:abstractNum w:abstractNumId="13">
    <w:nsid w:val="5F5E7FD0"/>
    <w:multiLevelType w:val="hybridMultilevel"/>
    <w:lvl w:ilvl="0">
      <w:lvlJc w:val="left"/>
      <w:lvlText w:val="(%1)"/>
      <w:numFmt w:val="decimal"/>
      <w:start w:val="1"/>
    </w:lvl>
  </w:abstractNum>
  <w:abstractNum w:abstractNumId="14">
    <w:nsid w:val="98A3148"/>
    <w:multiLevelType w:val="hybridMultilevel"/>
    <w:lvl w:ilvl="0">
      <w:lvlJc w:val="left"/>
      <w:lvlText w:val="%1."/>
      <w:numFmt w:val="decimal"/>
      <w:start w:val="1"/>
    </w:lvl>
  </w:abstractNum>
  <w:abstractNum w:abstractNumId="15">
    <w:nsid w:val="799D0247"/>
    <w:multiLevelType w:val="hybridMultilevel"/>
    <w:lvl w:ilvl="0">
      <w:lvlJc w:val="left"/>
      <w:lvlText w:val="(%1)"/>
      <w:numFmt w:val="lowerLetter"/>
      <w:start w:val="2"/>
    </w:lvl>
  </w:abstractNum>
  <w:abstractNum w:abstractNumId="16">
    <w:nsid w:val="6B94764"/>
    <w:multiLevelType w:val="hybridMultilevel"/>
    <w:lvl w:ilvl="0">
      <w:lvlJc w:val="left"/>
      <w:lvlText w:val="(%1)"/>
      <w:numFmt w:val="decimal"/>
      <w:start w:val="1"/>
    </w:lvl>
  </w:abstractNum>
  <w:abstractNum w:abstractNumId="17">
    <w:nsid w:val="42C296BD"/>
    <w:multiLevelType w:val="hybridMultilevel"/>
    <w:lvl w:ilvl="0">
      <w:lvlJc w:val="left"/>
      <w:lvlText w:val="(%1)"/>
      <w:numFmt w:val="decimal"/>
      <w:start w:val="3"/>
    </w:lvl>
  </w:abstractNum>
  <w:abstractNum w:abstractNumId="18">
    <w:nsid w:val="168E121F"/>
    <w:multiLevelType w:val="hybridMultilevel"/>
    <w:lvl w:ilvl="0">
      <w:lvlJc w:val="left"/>
      <w:lvlText w:val="•"/>
      <w:numFmt w:val="bullet"/>
      <w:start w:val="1"/>
    </w:lvl>
  </w:abstractNum>
  <w:abstractNum w:abstractNumId="19">
    <w:nsid w:val="1EBA5D23"/>
    <w:multiLevelType w:val="hybridMultilevel"/>
    <w:lvl w:ilvl="0">
      <w:lvlJc w:val="left"/>
      <w:lvlText w:val="•"/>
      <w:numFmt w:val="bullet"/>
      <w:start w:val="1"/>
    </w:lvl>
  </w:abstractNum>
  <w:abstractNum w:abstractNumId="20">
    <w:nsid w:val="661E3F1E"/>
    <w:multiLevelType w:val="hybridMultilevel"/>
    <w:lvl w:ilvl="0">
      <w:lvlJc w:val="left"/>
      <w:lvlText w:val="(%1)"/>
      <w:numFmt w:val="decimal"/>
      <w:start w:val="1"/>
    </w:lvl>
  </w:abstractNum>
  <w:abstractNum w:abstractNumId="21">
    <w:nsid w:val="5DC79EA8"/>
    <w:multiLevelType w:val="hybridMultilevel"/>
    <w:lvl w:ilvl="0">
      <w:lvlJc w:val="left"/>
      <w:lvlText w:val="(%1)"/>
      <w:numFmt w:val="decimal"/>
      <w:start w:val="1"/>
    </w:lvl>
  </w:abstractNum>
  <w:abstractNum w:abstractNumId="22">
    <w:nsid w:val="540A471C"/>
    <w:multiLevelType w:val="hybridMultilevel"/>
    <w:lvl w:ilvl="0">
      <w:lvlJc w:val="left"/>
      <w:lvlText w:val="(%1)"/>
      <w:numFmt w:val="decimal"/>
      <w:start w:val="1"/>
    </w:lvl>
  </w:abstractNum>
  <w:abstractNum w:abstractNumId="23">
    <w:nsid w:val="7BD3EE7B"/>
    <w:multiLevelType w:val="hybridMultilevel"/>
    <w:lvl w:ilvl="0">
      <w:lvlJc w:val="left"/>
      <w:lvlText w:val="(%1)"/>
      <w:numFmt w:val="lowerLetter"/>
      <w:start w:val="5"/>
    </w:lvl>
    <w:lvl w:ilvl="1">
      <w:lvlJc w:val="left"/>
      <w:lvlText w:val="%2."/>
      <w:numFmt w:val="decimal"/>
      <w:start w:val="1"/>
    </w:lvl>
  </w:abstractNum>
  <w:abstractNum w:abstractNumId="24">
    <w:nsid w:val="51D9C564"/>
    <w:multiLevelType w:val="hybridMultilevel"/>
    <w:lvl w:ilvl="0">
      <w:lvlJc w:val="left"/>
      <w:lvlText w:val="%1."/>
      <w:numFmt w:val="decimal"/>
      <w:start w:val="9"/>
    </w:lvl>
  </w:abstractNum>
  <w:abstractNum w:abstractNumId="25">
    <w:nsid w:val="613EFDC5"/>
    <w:multiLevelType w:val="hybridMultilevel"/>
    <w:lvl w:ilvl="0">
      <w:lvlJc w:val="left"/>
      <w:lvlText w:val="*"/>
      <w:numFmt w:val="bullet"/>
      <w:start w:val="1"/>
    </w:lvl>
  </w:abstractNum>
  <w:abstractNum w:abstractNumId="26">
    <w:nsid w:val="BF72B14"/>
    <w:multiLevelType w:val="hybridMultilevel"/>
    <w:lvl w:ilvl="0">
      <w:lvlJc w:val="left"/>
      <w:lvlText w:val="(%1)"/>
      <w:numFmt w:val="decimal"/>
      <w:start w:val="1"/>
    </w:lvl>
  </w:abstractNum>
  <w:abstractNum w:abstractNumId="27">
    <w:nsid w:val="11447B73"/>
    <w:multiLevelType w:val="hybridMultilevel"/>
    <w:lvl w:ilvl="0">
      <w:lvlJc w:val="left"/>
      <w:lvlText w:val="(%1)"/>
      <w:numFmt w:val="decimal"/>
      <w:start w:val="1"/>
    </w:lvl>
  </w:abstractNum>
  <w:abstractNum w:abstractNumId="28">
    <w:nsid w:val="42963E5A"/>
    <w:multiLevelType w:val="hybridMultilevel"/>
    <w:lvl w:ilvl="0">
      <w:lvlJc w:val="left"/>
      <w:lvlText w:val="(%1)"/>
      <w:numFmt w:val="decimal"/>
      <w:start w:val="7"/>
    </w:lvl>
  </w:abstractNum>
  <w:abstractNum w:abstractNumId="29">
    <w:nsid w:val="A0382C5"/>
    <w:multiLevelType w:val="hybridMultilevel"/>
    <w:lvl w:ilvl="0">
      <w:lvlJc w:val="left"/>
      <w:lvlText w:val="•"/>
      <w:numFmt w:val="bullet"/>
      <w:start w:val="1"/>
    </w:lvl>
  </w:abstractNum>
  <w:abstractNum w:abstractNumId="30">
    <w:nsid w:val="8F2B15E"/>
    <w:multiLevelType w:val="hybridMultilevel"/>
    <w:lvl w:ilvl="0">
      <w:lvlJc w:val="left"/>
      <w:lvlText w:val="•"/>
      <w:numFmt w:val="bullet"/>
      <w:start w:val="1"/>
    </w:lvl>
  </w:abstractNum>
  <w:abstractNum w:abstractNumId="31">
    <w:nsid w:val="1A32234B"/>
    <w:multiLevelType w:val="hybridMultilevel"/>
    <w:lvl w:ilvl="0">
      <w:lvlJc w:val="left"/>
      <w:lvlText w:val="•"/>
      <w:numFmt w:val="bullet"/>
      <w:start w:val="1"/>
    </w:lvl>
  </w:abstractNum>
  <w:abstractNum w:abstractNumId="32">
    <w:nsid w:val="3B0FD379"/>
    <w:multiLevelType w:val="hybridMultilevel"/>
    <w:lvl w:ilvl="0">
      <w:lvlJc w:val="left"/>
      <w:lvlText w:val="(%1)"/>
      <w:numFmt w:val="decimal"/>
      <w:start w:val="1"/>
    </w:lvl>
  </w:abstractNum>
  <w:abstractNum w:abstractNumId="33">
    <w:nsid w:val="68EB2F63"/>
    <w:multiLevelType w:val="hybridMultilevel"/>
    <w:lvl w:ilvl="0">
      <w:lvlJc w:val="left"/>
      <w:lvlText w:val="•"/>
      <w:numFmt w:val="bullet"/>
      <w:start w:val="1"/>
    </w:lvl>
  </w:abstractNum>
  <w:abstractNum w:abstractNumId="34">
    <w:nsid w:val="4962813B"/>
    <w:multiLevelType w:val="hybridMultilevel"/>
    <w:lvl w:ilvl="0">
      <w:lvlJc w:val="left"/>
      <w:lvlText w:val="•"/>
      <w:numFmt w:val="bullet"/>
      <w:start w:val="1"/>
    </w:lvl>
  </w:abstractNum>
  <w:abstractNum w:abstractNumId="35">
    <w:nsid w:val="60B6DF70"/>
    <w:multiLevelType w:val="hybridMultilevel"/>
    <w:lvl w:ilvl="0">
      <w:lvlJc w:val="left"/>
      <w:lvlText w:val="•"/>
      <w:numFmt w:val="bullet"/>
      <w:start w:val="1"/>
    </w:lvl>
  </w:abstractNum>
  <w:abstractNum w:abstractNumId="36">
    <w:nsid w:val="6A5EE64"/>
    <w:multiLevelType w:val="hybridMultilevel"/>
    <w:lvl w:ilvl="0">
      <w:lvlJc w:val="left"/>
      <w:lvlText w:val="•"/>
      <w:numFmt w:val="bullet"/>
      <w:start w:val="1"/>
    </w:lvl>
  </w:abstractNum>
  <w:abstractNum w:abstractNumId="37">
    <w:nsid w:val="14330624"/>
    <w:multiLevelType w:val="hybridMultilevel"/>
    <w:lvl w:ilvl="0">
      <w:lvlJc w:val="left"/>
      <w:lvlText w:val="•"/>
      <w:numFmt w:val="bullet"/>
      <w:start w:val="1"/>
    </w:lvl>
  </w:abstractNum>
  <w:abstractNum w:abstractNumId="38">
    <w:nsid w:val="7FFFCA11"/>
    <w:multiLevelType w:val="hybridMultilevel"/>
    <w:lvl w:ilvl="0">
      <w:lvlJc w:val="left"/>
      <w:lvlText w:val="•"/>
      <w:numFmt w:val="bullet"/>
      <w:start w:val="1"/>
    </w:lvl>
  </w:abstractNum>
  <w:abstractNum w:abstractNumId="39">
    <w:nsid w:val="1A27709E"/>
    <w:multiLevelType w:val="hybridMultilevel"/>
    <w:lvl w:ilvl="0">
      <w:lvlJc w:val="left"/>
      <w:lvlText w:val="•"/>
      <w:numFmt w:val="bullet"/>
      <w:start w:val="1"/>
    </w:lvl>
  </w:abstractNum>
  <w:abstractNum w:abstractNumId="40">
    <w:nsid w:val="71EA1109"/>
    <w:multiLevelType w:val="hybridMultilevel"/>
    <w:lvl w:ilvl="0">
      <w:lvlJc w:val="left"/>
      <w:lvlText w:val="(%1)"/>
      <w:numFmt w:val="decimal"/>
      <w:start w:val="1"/>
    </w:lvl>
  </w:abstractNum>
  <w:abstractNum w:abstractNumId="41">
    <w:nsid w:val="100F59DC"/>
    <w:multiLevelType w:val="hybridMultilevel"/>
    <w:lvl w:ilvl="0">
      <w:lvlJc w:val="left"/>
      <w:lvlText w:val="•"/>
      <w:numFmt w:val="bullet"/>
      <w:start w:val="1"/>
    </w:lvl>
  </w:abstractNum>
  <w:abstractNum w:abstractNumId="42">
    <w:nsid w:val="7FB7E0AA"/>
    <w:multiLevelType w:val="hybridMultilevel"/>
    <w:lvl w:ilvl="0">
      <w:lvlJc w:val="left"/>
      <w:lvlText w:val="•"/>
      <w:numFmt w:val="bullet"/>
      <w:start w:val="1"/>
    </w:lvl>
  </w:abstractNum>
  <w:abstractNum w:abstractNumId="43">
    <w:nsid w:val="6EB5BD4"/>
    <w:multiLevelType w:val="hybridMultilevel"/>
    <w:lvl w:ilvl="0">
      <w:lvlJc w:val="left"/>
      <w:lvlText w:val="(%1)"/>
      <w:numFmt w:val="decimal"/>
      <w:start w:val="1"/>
    </w:lvl>
  </w:abstractNum>
  <w:abstractNum w:abstractNumId="44">
    <w:nsid w:val="6F6DD9AC"/>
    <w:multiLevelType w:val="hybridMultilevel"/>
    <w:lvl w:ilvl="0">
      <w:lvlJc w:val="left"/>
      <w:lvlText w:val="(%1)"/>
      <w:numFmt w:val="decimal"/>
      <w:start w:val="5"/>
    </w:lvl>
  </w:abstractNum>
  <w:abstractNum w:abstractNumId="45">
    <w:nsid w:val="94211F2"/>
    <w:multiLevelType w:val="hybridMultilevel"/>
    <w:lvl w:ilvl="0">
      <w:lvlJc w:val="left"/>
      <w:lvlText w:val="(%1)"/>
      <w:numFmt w:val="decimal"/>
      <w:start w:val="1"/>
    </w:lvl>
  </w:abstractNum>
  <w:abstractNum w:abstractNumId="46">
    <w:nsid w:val="885E1B"/>
    <w:multiLevelType w:val="hybridMultilevel"/>
    <w:lvl w:ilvl="0">
      <w:lvlJc w:val="left"/>
      <w:lvlText w:val="(%1)"/>
      <w:numFmt w:val="decimal"/>
      <w:start w:val="5"/>
    </w:lvl>
  </w:abstractNum>
  <w:abstractNum w:abstractNumId="47">
    <w:nsid w:val="76272110"/>
    <w:multiLevelType w:val="hybridMultilevel"/>
    <w:lvl w:ilvl="0">
      <w:lvlJc w:val="left"/>
      <w:lvlText w:val="(%1)"/>
      <w:numFmt w:val="decimal"/>
      <w:start w:val="1"/>
    </w:lvl>
  </w:abstractNum>
  <w:abstractNum w:abstractNumId="48">
    <w:nsid w:val="4C04A8AF"/>
    <w:multiLevelType w:val="hybridMultilevel"/>
    <w:lvl w:ilvl="0">
      <w:lvlJc w:val="left"/>
      <w:lvlText w:val="(%1)"/>
      <w:numFmt w:val="lowerLetter"/>
      <w:start w:val="1"/>
    </w:lvl>
  </w:abstractNum>
  <w:abstractNum w:abstractNumId="49">
    <w:nsid w:val="1716703B"/>
    <w:multiLevelType w:val="hybridMultilevel"/>
    <w:lvl w:ilvl="0">
      <w:lvlJc w:val="left"/>
      <w:lvlText w:val="(%1)"/>
      <w:numFmt w:val="decimal"/>
      <w:start w:val="1"/>
    </w:lvl>
  </w:abstractNum>
  <w:abstractNum w:abstractNumId="50">
    <w:nsid w:val="14E17E33"/>
    <w:multiLevelType w:val="hybridMultilevel"/>
    <w:lvl w:ilvl="0">
      <w:lvlJc w:val="left"/>
      <w:lvlText w:val="(%1)"/>
      <w:numFmt w:val="decimal"/>
      <w:start w:val="3"/>
    </w:lvl>
  </w:abstractNum>
  <w:abstractNum w:abstractNumId="51">
    <w:nsid w:val="3222E7CD"/>
    <w:multiLevelType w:val="hybridMultilevel"/>
    <w:lvl w:ilvl="0">
      <w:lvlJc w:val="left"/>
      <w:lvlText w:val="(%1)"/>
      <w:numFmt w:val="decimal"/>
      <w:start w:val="1"/>
    </w:lvl>
  </w:abstractNum>
  <w:abstractNum w:abstractNumId="52">
    <w:nsid w:val="74DE0EE3"/>
    <w:multiLevelType w:val="hybridMultilevel"/>
    <w:lvl w:ilvl="0">
      <w:lvlJc w:val="left"/>
      <w:lvlText w:val="(%1)"/>
      <w:numFmt w:val="decimal"/>
      <w:start w:val="1"/>
    </w:lvl>
  </w:abstractNum>
  <w:abstractNum w:abstractNumId="53">
    <w:nsid w:val="68EBC550"/>
    <w:multiLevelType w:val="hybridMultilevel"/>
    <w:lvl w:ilvl="0">
      <w:lvlJc w:val="left"/>
      <w:lvlText w:val="(%1)"/>
      <w:numFmt w:val="decimal"/>
      <w:start w:val="1"/>
    </w:lvl>
  </w:abstractNum>
  <w:abstractNum w:abstractNumId="54">
    <w:nsid w:val="2DF6D648"/>
    <w:multiLevelType w:val="hybridMultilevel"/>
    <w:lvl w:ilvl="0">
      <w:lvlJc w:val="left"/>
      <w:lvlText w:val="•"/>
      <w:numFmt w:val="bullet"/>
      <w:start w:val="1"/>
    </w:lvl>
  </w:abstractNum>
  <w:abstractNum w:abstractNumId="55">
    <w:nsid w:val="46B7D447"/>
    <w:multiLevelType w:val="hybridMultilevel"/>
    <w:lvl w:ilvl="0">
      <w:lvlJc w:val="left"/>
      <w:lvlText w:val="•"/>
      <w:numFmt w:val="bullet"/>
      <w:start w:val="1"/>
    </w:lvl>
  </w:abstractNum>
  <w:abstractNum w:abstractNumId="56">
    <w:nsid w:val="4A2AC315"/>
    <w:multiLevelType w:val="hybridMultilevel"/>
    <w:lvl w:ilvl="0">
      <w:lvlJc w:val="left"/>
      <w:lvlText w:val="•"/>
      <w:numFmt w:val="bullet"/>
      <w:start w:val="1"/>
    </w:lvl>
  </w:abstractNum>
  <w:abstractNum w:abstractNumId="57">
    <w:nsid w:val="39EE015C"/>
    <w:multiLevelType w:val="hybridMultilevel"/>
    <w:lvl w:ilvl="0">
      <w:lvlJc w:val="left"/>
      <w:lvlText w:val="%1)"/>
      <w:numFmt w:val="lowerLetter"/>
      <w:start w:val="1"/>
    </w:lvl>
  </w:abstractNum>
  <w:abstractNum w:abstractNumId="58">
    <w:nsid w:val="57FC4FBB"/>
    <w:multiLevelType w:val="hybridMultilevel"/>
    <w:lvl w:ilvl="0">
      <w:lvlJc w:val="left"/>
      <w:lvlText w:val="%1)"/>
      <w:numFmt w:val="lowerLetter"/>
      <w:start w:val="2"/>
    </w:lvl>
  </w:abstractNum>
  <w:abstractNum w:abstractNumId="59">
    <w:nsid w:val="CC1016F"/>
    <w:multiLevelType w:val="hybridMultilevel"/>
    <w:lvl w:ilvl="0">
      <w:lvlJc w:val="left"/>
      <w:lvlText w:val="%1)"/>
      <w:numFmt w:val="lowerLetter"/>
      <w:start w:val="2"/>
    </w:lvl>
    <w:lvl w:ilvl="1">
      <w:lvlJc w:val="left"/>
      <w:lvlText w:val="•"/>
      <w:numFmt w:val="bullet"/>
      <w:start w:val="1"/>
    </w:lvl>
  </w:abstractNum>
  <w:abstractNum w:abstractNumId="60">
    <w:nsid w:val="43F18422"/>
    <w:multiLevelType w:val="hybridMultilevel"/>
    <w:lvl w:ilvl="0">
      <w:lvlJc w:val="left"/>
      <w:lvlText w:val="%1)"/>
      <w:numFmt w:val="lowerLetter"/>
      <w:start w:val="4"/>
    </w:lvl>
  </w:abstractNum>
  <w:abstractNum w:abstractNumId="61">
    <w:nsid w:val="60EF0119"/>
    <w:multiLevelType w:val="hybridMultilevel"/>
    <w:lvl w:ilvl="0">
      <w:lvlJc w:val="left"/>
      <w:lvlText w:val="%1)"/>
      <w:numFmt w:val="lowerLetter"/>
      <w:start w:val="1"/>
    </w:lvl>
  </w:abstractNum>
  <w:abstractNum w:abstractNumId="62">
    <w:nsid w:val="26F324BA"/>
    <w:multiLevelType w:val="hybridMultilevel"/>
    <w:lvl w:ilvl="0">
      <w:lvlJc w:val="left"/>
      <w:lvlText w:val="%1)"/>
      <w:numFmt w:val="lowerLetter"/>
      <w:start w:val="2"/>
    </w:lvl>
  </w:abstractNum>
  <w:abstractNum w:abstractNumId="63">
    <w:nsid w:val="7F01579B"/>
    <w:multiLevelType w:val="hybridMultilevel"/>
    <w:lvl w:ilvl="0">
      <w:lvlJc w:val="left"/>
      <w:lvlText w:val="%1)"/>
      <w:numFmt w:val="lowerLetter"/>
      <w:start w:val="3"/>
    </w:lvl>
  </w:abstractNum>
  <w:abstractNum w:abstractNumId="64">
    <w:nsid w:val="49DA307D"/>
    <w:multiLevelType w:val="hybridMultilevel"/>
    <w:lvl w:ilvl="0">
      <w:lvlJc w:val="left"/>
      <w:lvlText w:val="%1)"/>
      <w:numFmt w:val="lowerLetter"/>
      <w:start w:val="4"/>
    </w:lvl>
  </w:abstractNum>
  <w:abstractNum w:abstractNumId="65">
    <w:nsid w:val="7055A5F5"/>
    <w:multiLevelType w:val="hybridMultilevel"/>
    <w:lvl w:ilvl="0">
      <w:lvlJc w:val="left"/>
      <w:lvlText w:val="%1)"/>
      <w:numFmt w:val="lowerLetter"/>
      <w:start w:val="5"/>
    </w:lvl>
  </w:abstractNum>
  <w:abstractNum w:abstractNumId="66">
    <w:nsid w:val="5FB8370B"/>
    <w:multiLevelType w:val="hybridMultilevel"/>
    <w:lvl w:ilvl="0">
      <w:lvlJc w:val="left"/>
      <w:lvlText w:val="%1)"/>
      <w:numFmt w:val="lowerLetter"/>
      <w:start w:val="6"/>
    </w:lvl>
  </w:abstractNum>
  <w:abstractNum w:abstractNumId="67">
    <w:nsid w:val="50801EE1"/>
    <w:multiLevelType w:val="hybridMultilevel"/>
    <w:lvl w:ilvl="0">
      <w:lvlJc w:val="left"/>
      <w:lvlText w:val="•"/>
      <w:numFmt w:val="bullet"/>
      <w:start w:val="1"/>
    </w:lvl>
  </w:abstractNum>
  <w:abstractNum w:abstractNumId="68">
    <w:nsid w:val="488AC1A"/>
    <w:multiLevelType w:val="hybridMultilevel"/>
    <w:lvl w:ilvl="0">
      <w:lvlJc w:val="left"/>
      <w:lvlText w:val="•"/>
      <w:numFmt w:val="bullet"/>
      <w:start w:val="1"/>
    </w:lvl>
  </w:abstractNum>
  <w:abstractNum w:abstractNumId="69">
    <w:nsid w:val="5FB8011C"/>
    <w:multiLevelType w:val="hybridMultilevel"/>
    <w:lvl w:ilvl="0">
      <w:lvlJc w:val="left"/>
      <w:lvlText w:val="•"/>
      <w:numFmt w:val="bullet"/>
      <w:start w:val="1"/>
    </w:lvl>
  </w:abstractNum>
  <w:abstractNum w:abstractNumId="70">
    <w:nsid w:val="6AA78F7F"/>
    <w:multiLevelType w:val="hybridMultilevel"/>
    <w:lvl w:ilvl="0">
      <w:lvlJc w:val="left"/>
      <w:lvlText w:val="(%1)"/>
      <w:numFmt w:val="decimal"/>
      <w:start w:val="1"/>
    </w:lvl>
  </w:abstractNum>
  <w:abstractNum w:abstractNumId="71">
    <w:nsid w:val="7672BD23"/>
    <w:multiLevelType w:val="hybridMultilevel"/>
    <w:lvl w:ilvl="0">
      <w:lvlJc w:val="left"/>
      <w:lvlText w:val="(%1)"/>
      <w:numFmt w:val="decimal"/>
      <w:start w:val="4"/>
    </w:lvl>
  </w:abstractNum>
  <w:abstractNum w:abstractNumId="72">
    <w:nsid w:val="6FC75AF8"/>
    <w:multiLevelType w:val="hybridMultilevel"/>
    <w:lvl w:ilvl="0">
      <w:lvlJc w:val="left"/>
      <w:lvlText w:val="(%1)"/>
      <w:numFmt w:val="decimal"/>
      <w:start w:val="1"/>
    </w:lvl>
  </w:abstractNum>
  <w:abstractNum w:abstractNumId="73">
    <w:nsid w:val="6A5F7029"/>
    <w:multiLevelType w:val="hybridMultilevel"/>
    <w:lvl w:ilvl="0">
      <w:lvlJc w:val="left"/>
      <w:lvlText w:val="(%1)"/>
      <w:numFmt w:val="decimal"/>
      <w:start w:val="1"/>
    </w:lvl>
  </w:abstractNum>
  <w:abstractNum w:abstractNumId="74">
    <w:nsid w:val="7D5E18F8"/>
    <w:multiLevelType w:val="hybridMultilevel"/>
    <w:lvl w:ilvl="0">
      <w:lvlJc w:val="left"/>
      <w:lvlText w:val="*"/>
      <w:numFmt w:val="bullet"/>
      <w:start w:val="1"/>
    </w:lvl>
  </w:abstractNum>
  <w:abstractNum w:abstractNumId="75">
    <w:nsid w:val="5F3534A4"/>
    <w:multiLevelType w:val="hybridMultilevel"/>
    <w:lvl w:ilvl="0">
      <w:lvlJc w:val="left"/>
      <w:lvlText w:val="(%1)"/>
      <w:numFmt w:val="decimal"/>
      <w:start w:val="1"/>
    </w:lvl>
  </w:abstractNum>
  <w:abstractNum w:abstractNumId="76">
    <w:nsid w:val="73A1821B"/>
    <w:multiLevelType w:val="hybridMultilevel"/>
    <w:lvl w:ilvl="0">
      <w:lvlJc w:val="left"/>
      <w:lvlText w:val="•"/>
      <w:numFmt w:val="bullet"/>
      <w:start w:val="1"/>
    </w:lvl>
  </w:abstractNum>
  <w:abstractNum w:abstractNumId="77">
    <w:nsid w:val="7DE67713"/>
    <w:multiLevelType w:val="hybridMultilevel"/>
    <w:lvl w:ilvl="0">
      <w:lvlJc w:val="left"/>
      <w:lvlText w:val="(%1)"/>
      <w:numFmt w:val="decimal"/>
      <w:start w:val="2"/>
    </w:lvl>
  </w:abstractNum>
  <w:abstractNum w:abstractNumId="78">
    <w:nsid w:val="555C55B5"/>
    <w:multiLevelType w:val="hybridMultilevel"/>
    <w:lvl w:ilvl="0">
      <w:lvlJc w:val="left"/>
      <w:lvlText w:val="="/>
      <w:numFmt w:val="bullet"/>
      <w:start w:val="1"/>
    </w:lvl>
  </w:abstractNum>
  <w:abstractNum w:abstractNumId="79">
    <w:nsid w:val="3FA62ACA"/>
    <w:multiLevelType w:val="hybridMultilevel"/>
    <w:lvl w:ilvl="0">
      <w:lvlJc w:val="left"/>
      <w:lvlText w:val="(*)"/>
      <w:numFmt w:val="bullet"/>
      <w:start w:val="1"/>
    </w:lvl>
    <w:lvl w:ilvl="1">
      <w:lvlJc w:val="left"/>
      <w:lvlText w:val="="/>
      <w:numFmt w:val="bullet"/>
      <w:start w:val="1"/>
    </w:lvl>
  </w:abstractNum>
  <w:abstractNum w:abstractNumId="80">
    <w:nsid w:val="14FCE74E"/>
    <w:multiLevelType w:val="hybridMultilevel"/>
    <w:lvl w:ilvl="0">
      <w:lvlJc w:val="left"/>
      <w:lvlText w:val="(%1)"/>
      <w:numFmt w:val="decimal"/>
      <w:start w:val="1"/>
    </w:lvl>
  </w:abstractNum>
  <w:abstractNum w:abstractNumId="81">
    <w:nsid w:val="6A3DD3E8"/>
    <w:multiLevelType w:val="hybridMultilevel"/>
    <w:lvl w:ilvl="0">
      <w:lvlJc w:val="left"/>
      <w:lvlText w:val="(%1)"/>
      <w:numFmt w:val="decimal"/>
      <w:start w:val="1"/>
    </w:lvl>
  </w:abstractNum>
  <w:abstractNum w:abstractNumId="82">
    <w:nsid w:val="71C91298"/>
    <w:multiLevelType w:val="hybridMultilevel"/>
    <w:lvl w:ilvl="0">
      <w:lvlJc w:val="left"/>
      <w:lvlText w:val="•"/>
      <w:numFmt w:val="bullet"/>
      <w:start w:val="1"/>
    </w:lvl>
  </w:abstractNum>
  <w:abstractNum w:abstractNumId="83">
    <w:nsid w:val="9DAF632"/>
    <w:multiLevelType w:val="hybridMultilevel"/>
    <w:lvl w:ilvl="0">
      <w:lvlJc w:val="left"/>
      <w:lvlText w:val="•"/>
      <w:numFmt w:val="bullet"/>
      <w:start w:val="1"/>
    </w:lvl>
  </w:abstractNum>
  <w:abstractNum w:abstractNumId="84">
    <w:nsid w:val="53299938"/>
    <w:multiLevelType w:val="hybridMultilevel"/>
    <w:lvl w:ilvl="0">
      <w:lvlJc w:val="left"/>
      <w:lvlText w:val="•"/>
      <w:numFmt w:val="bullet"/>
      <w:start w:val="1"/>
    </w:lvl>
  </w:abstractNum>
  <w:abstractNum w:abstractNumId="85">
    <w:nsid w:val="1FBFE8E0"/>
    <w:multiLevelType w:val="hybridMultilevel"/>
    <w:lvl w:ilvl="0">
      <w:lvlJc w:val="left"/>
      <w:lvlText w:val="•"/>
      <w:numFmt w:val="bullet"/>
      <w:start w:val="1"/>
    </w:lvl>
  </w:abstractNum>
  <w:abstractNum w:abstractNumId="86">
    <w:nsid w:val="5092CA79"/>
    <w:multiLevelType w:val="hybridMultilevel"/>
    <w:lvl w:ilvl="0">
      <w:lvlJc w:val="left"/>
      <w:lvlText w:val="•"/>
      <w:numFmt w:val="bullet"/>
      <w:start w:val="1"/>
    </w:lvl>
  </w:abstractNum>
  <w:abstractNum w:abstractNumId="87">
    <w:nsid w:val="1D545C4D"/>
    <w:multiLevelType w:val="hybridMultilevel"/>
    <w:lvl w:ilvl="0">
      <w:lvlJc w:val="left"/>
      <w:lvlText w:val="•"/>
      <w:numFmt w:val="bullet"/>
      <w:start w:val="1"/>
    </w:lvl>
  </w:abstractNum>
  <w:abstractNum w:abstractNumId="88">
    <w:nsid w:val="59ADEA3D"/>
    <w:multiLevelType w:val="hybridMultilevel"/>
    <w:lvl w:ilvl="0">
      <w:lvlJc w:val="left"/>
      <w:lvlText w:val="•"/>
      <w:numFmt w:val="bullet"/>
      <w:start w:val="1"/>
    </w:lvl>
  </w:abstractNum>
  <w:abstractNum w:abstractNumId="89">
    <w:nsid w:val="288F1A34"/>
    <w:multiLevelType w:val="hybridMultilevel"/>
    <w:lvl w:ilvl="0">
      <w:lvlJc w:val="left"/>
      <w:lvlText w:val="•"/>
      <w:numFmt w:val="bullet"/>
      <w:start w:val="1"/>
    </w:lvl>
  </w:abstractNum>
  <w:abstractNum w:abstractNumId="90">
    <w:nsid w:val="2A155DBC"/>
    <w:multiLevelType w:val="hybridMultilevel"/>
    <w:lvl w:ilvl="0">
      <w:lvlJc w:val="left"/>
      <w:lvlText w:val="•"/>
      <w:numFmt w:val="bullet"/>
      <w:start w:val="1"/>
    </w:lvl>
  </w:abstractNum>
  <w:abstractNum w:abstractNumId="91">
    <w:nsid w:val="1D9F6E5F"/>
    <w:multiLevelType w:val="hybridMultilevel"/>
    <w:lvl w:ilvl="0">
      <w:lvlJc w:val="left"/>
      <w:lvlText w:val="•"/>
      <w:numFmt w:val="bullet"/>
      <w:start w:val="1"/>
    </w:lvl>
  </w:abstractNum>
  <w:abstractNum w:abstractNumId="92">
    <w:nsid w:val="97E1B4E"/>
    <w:multiLevelType w:val="hybridMultilevel"/>
    <w:lvl w:ilvl="0">
      <w:lvlJc w:val="left"/>
      <w:lvlText w:val="•"/>
      <w:numFmt w:val="bullet"/>
      <w:start w:val="1"/>
    </w:lvl>
  </w:abstractNum>
  <w:abstractNum w:abstractNumId="93">
    <w:nsid w:val="51088277"/>
    <w:multiLevelType w:val="hybridMultilevel"/>
    <w:lvl w:ilvl="0">
      <w:lvlJc w:val="left"/>
      <w:lvlText w:val="•"/>
      <w:numFmt w:val="bullet"/>
      <w:start w:val="1"/>
    </w:lvl>
  </w:abstractNum>
  <w:abstractNum w:abstractNumId="94">
    <w:nsid w:val="1CA0C5FA"/>
    <w:multiLevelType w:val="hybridMultilevel"/>
    <w:lvl w:ilvl="0">
      <w:lvlJc w:val="left"/>
      <w:lvlText w:val="•"/>
      <w:numFmt w:val="bullet"/>
      <w:start w:val="1"/>
    </w:lvl>
  </w:abstractNum>
  <w:abstractNum w:abstractNumId="95">
    <w:nsid w:val="53584BCB"/>
    <w:multiLevelType w:val="hybridMultilevel"/>
    <w:lvl w:ilvl="0">
      <w:lvlJc w:val="left"/>
      <w:lvlText w:val="•"/>
      <w:numFmt w:val="bullet"/>
      <w:start w:val="1"/>
    </w:lvl>
  </w:abstractNum>
  <w:abstractNum w:abstractNumId="96">
    <w:nsid w:val="415E286C"/>
    <w:multiLevelType w:val="hybridMultilevel"/>
    <w:lvl w:ilvl="0">
      <w:lvlJc w:val="left"/>
      <w:lvlText w:val="•"/>
      <w:numFmt w:val="bullet"/>
      <w:start w:val="1"/>
    </w:lvl>
  </w:abstractNum>
  <w:abstractNum w:abstractNumId="97">
    <w:nsid w:val="7C58FD05"/>
    <w:multiLevelType w:val="hybridMultilevel"/>
    <w:lvl w:ilvl="0">
      <w:lvlJc w:val="left"/>
      <w:lvlText w:val="•"/>
      <w:numFmt w:val="bullet"/>
      <w:start w:val="1"/>
    </w:lvl>
  </w:abstractNum>
  <w:abstractNum w:abstractNumId="98">
    <w:nsid w:val="23D86AAC"/>
    <w:multiLevelType w:val="hybridMultilevel"/>
    <w:lvl w:ilvl="0">
      <w:lvlJc w:val="left"/>
      <w:lvlText w:val="•"/>
      <w:numFmt w:val="bullet"/>
      <w:start w:val="1"/>
    </w:lvl>
  </w:abstractNum>
  <w:abstractNum w:abstractNumId="99">
    <w:nsid w:val="45E6D486"/>
    <w:multiLevelType w:val="hybridMultilevel"/>
    <w:lvl w:ilvl="0">
      <w:lvlJc w:val="left"/>
      <w:lvlText w:val="•"/>
      <w:numFmt w:val="bullet"/>
      <w:start w:val="1"/>
    </w:lvl>
  </w:abstractNum>
  <w:abstractNum w:abstractNumId="100">
    <w:nsid w:val="5C10FE21"/>
    <w:multiLevelType w:val="hybridMultilevel"/>
    <w:lvl w:ilvl="0">
      <w:lvlJc w:val="left"/>
      <w:lvlText w:val="•"/>
      <w:numFmt w:val="bullet"/>
      <w:start w:val="1"/>
    </w:lvl>
  </w:abstractNum>
  <w:abstractNum w:abstractNumId="101">
    <w:nsid w:val="E7FFA2B"/>
    <w:multiLevelType w:val="hybridMultilevel"/>
    <w:lvl w:ilvl="0">
      <w:lvlJc w:val="left"/>
      <w:lvlText w:val="•"/>
      <w:numFmt w:val="bullet"/>
      <w:start w:val="1"/>
    </w:lvl>
  </w:abstractNum>
  <w:abstractNum w:abstractNumId="102">
    <w:nsid w:val="3C5991AA"/>
    <w:multiLevelType w:val="hybridMultilevel"/>
    <w:lvl w:ilvl="0">
      <w:lvlJc w:val="left"/>
      <w:lvlText w:val="•"/>
      <w:numFmt w:val="bullet"/>
      <w:start w:val="1"/>
    </w:lvl>
  </w:abstractNum>
  <w:abstractNum w:abstractNumId="103">
    <w:nsid w:val="4BD8591A"/>
    <w:multiLevelType w:val="hybridMultilevel"/>
    <w:lvl w:ilvl="0">
      <w:lvlJc w:val="left"/>
      <w:lvlText w:val="•"/>
      <w:numFmt w:val="bullet"/>
      <w:start w:val="1"/>
    </w:lvl>
  </w:abstractNum>
  <w:abstractNum w:abstractNumId="104">
    <w:nsid w:val="78DF6A55"/>
    <w:multiLevelType w:val="hybridMultilevel"/>
    <w:lvl w:ilvl="0">
      <w:lvlJc w:val="left"/>
      <w:lvlText w:val="•"/>
      <w:numFmt w:val="bullet"/>
      <w:start w:val="1"/>
    </w:lvl>
  </w:abstractNum>
  <w:abstractNum w:abstractNumId="105">
    <w:nsid w:val="39B7AAA2"/>
    <w:multiLevelType w:val="hybridMultilevel"/>
    <w:lvl w:ilvl="0">
      <w:lvlJc w:val="left"/>
      <w:lvlText w:val="•"/>
      <w:numFmt w:val="bullet"/>
      <w:start w:val="1"/>
    </w:lvl>
  </w:abstractNum>
  <w:abstractNum w:abstractNumId="106">
    <w:nsid w:val="2B0D8DBE"/>
    <w:multiLevelType w:val="hybridMultilevel"/>
    <w:lvl w:ilvl="0">
      <w:lvlJc w:val="left"/>
      <w:lvlText w:val="•"/>
      <w:numFmt w:val="bullet"/>
      <w:start w:val="1"/>
    </w:lvl>
  </w:abstractNum>
  <w:abstractNum w:abstractNumId="107">
    <w:nsid w:val="6C80EC70"/>
    <w:multiLevelType w:val="hybridMultilevel"/>
    <w:lvl w:ilvl="0">
      <w:lvlJc w:val="left"/>
      <w:lvlText w:val="•"/>
      <w:numFmt w:val="bullet"/>
      <w:start w:val="1"/>
    </w:lvl>
  </w:abstractNum>
  <w:abstractNum w:abstractNumId="108">
    <w:nsid w:val="379E21B5"/>
    <w:multiLevelType w:val="hybridMultilevel"/>
    <w:lvl w:ilvl="0">
      <w:lvlJc w:val="left"/>
      <w:lvlText w:val="•"/>
      <w:numFmt w:val="bullet"/>
      <w:start w:val="1"/>
    </w:lvl>
  </w:abstractNum>
  <w:abstractNum w:abstractNumId="109">
    <w:nsid w:val="69E37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10">
    <w:nsid w:val="2C27173B"/>
    <w:multiLevelType w:val="hybridMultilevel"/>
    <w:lvl w:ilvl="0">
      <w:lvlJc w:val="left"/>
      <w:lvlText w:val="(%1)"/>
      <w:numFmt w:val="decimal"/>
      <w:start w:val="3"/>
    </w:lvl>
  </w:abstractNum>
  <w:abstractNum w:abstractNumId="111">
    <w:nsid w:val="4C9B0904"/>
    <w:multiLevelType w:val="hybridMultilevel"/>
    <w:lvl w:ilvl="0">
      <w:lvlJc w:val="left"/>
      <w:lvlText w:val="•"/>
      <w:numFmt w:val="bullet"/>
      <w:start w:val="1"/>
    </w:lvl>
  </w:abstractNum>
  <w:abstractNum w:abstractNumId="112">
    <w:nsid w:val="6AA7B75C"/>
    <w:multiLevelType w:val="hybridMultilevel"/>
    <w:lvl w:ilvl="0">
      <w:lvlJc w:val="left"/>
      <w:lvlText w:val="•"/>
      <w:numFmt w:val="bullet"/>
      <w:start w:val="1"/>
    </w:lvl>
  </w:abstractNum>
  <w:abstractNum w:abstractNumId="113">
    <w:nsid w:val="1DF029D3"/>
    <w:multiLevelType w:val="hybridMultilevel"/>
    <w:lvl w:ilvl="0">
      <w:lvlJc w:val="left"/>
      <w:lvlText w:val="•"/>
      <w:numFmt w:val="bullet"/>
      <w:start w:val="1"/>
    </w:lvl>
  </w:abstractNum>
  <w:abstractNum w:abstractNumId="114">
    <w:nsid w:val="5675FF36"/>
    <w:multiLevelType w:val="hybridMultilevel"/>
    <w:lvl w:ilvl="0">
      <w:lvlJc w:val="left"/>
      <w:lvlText w:val="•"/>
      <w:numFmt w:val="bullet"/>
      <w:start w:val="1"/>
    </w:lvl>
    <w:lvl w:ilvl="1">
      <w:lvlJc w:val="left"/>
      <w:lvlText w:val="%2)"/>
      <w:numFmt w:val="decimal"/>
      <w:start w:val="1"/>
    </w:lvl>
  </w:abstractNum>
  <w:abstractNum w:abstractNumId="115">
    <w:nsid w:val="3DD15094"/>
    <w:multiLevelType w:val="hybridMultilevel"/>
    <w:lvl w:ilvl="0">
      <w:lvlJc w:val="left"/>
      <w:lvlText w:val="•"/>
      <w:numFmt w:val="bullet"/>
      <w:start w:val="1"/>
    </w:lvl>
  </w:abstractNum>
  <w:abstractNum w:abstractNumId="116">
    <w:nsid w:val="3DB012B3"/>
    <w:multiLevelType w:val="hybridMultilevel"/>
    <w:lvl w:ilvl="0">
      <w:lvlJc w:val="left"/>
      <w:lvlText w:val="(%1)"/>
      <w:numFmt w:val="decimal"/>
      <w:start w:val="1"/>
    </w:lvl>
  </w:abstractNum>
  <w:abstractNum w:abstractNumId="117">
    <w:nsid w:val="2708C9AF"/>
    <w:multiLevelType w:val="hybridMultilevel"/>
    <w:lvl w:ilvl="0">
      <w:lvlJc w:val="left"/>
      <w:lvlText w:val="(%1)"/>
      <w:numFmt w:val="decimal"/>
      <w:start w:val="1"/>
    </w:lvl>
  </w:abstractNum>
  <w:abstractNum w:abstractNumId="118">
    <w:nsid w:val="5B25ACE2"/>
    <w:multiLevelType w:val="hybridMultilevel"/>
    <w:lvl w:ilvl="0">
      <w:lvlJc w:val="left"/>
      <w:lvlText w:val="(%1)"/>
      <w:numFmt w:val="decimal"/>
      <w:start w:val="1"/>
    </w:lvl>
  </w:abstractNum>
  <w:abstractNum w:abstractNumId="119">
    <w:nsid w:val="175DFCF0"/>
    <w:multiLevelType w:val="hybridMultilevel"/>
    <w:lvl w:ilvl="0">
      <w:lvlJc w:val="left"/>
      <w:lvlText w:val="%1"/>
      <w:numFmt w:val="lowerLetter"/>
      <w:start w:val="1"/>
    </w:lvl>
    <w:lvl w:ilvl="1">
      <w:lvlJc w:val="left"/>
      <w:lvlText w:val="(%2)"/>
      <w:numFmt w:val="decimal"/>
      <w:start w:val="4"/>
    </w:lvl>
  </w:abstractNum>
  <w:abstractNum w:abstractNumId="120">
    <w:nsid w:val="4F97E3E4"/>
    <w:multiLevelType w:val="hybridMultilevel"/>
    <w:lvl w:ilvl="0">
      <w:lvlJc w:val="left"/>
      <w:lvlText w:val="(%1)"/>
      <w:numFmt w:val="lowerLetter"/>
      <w:start w:val="2"/>
    </w:lvl>
    <w:lvl w:ilvl="1">
      <w:lvlJc w:val="left"/>
      <w:lvlText w:val="%2"/>
      <w:numFmt w:val="decimal"/>
      <w:start w:val="1"/>
    </w:lvl>
  </w:abstractNum>
  <w:abstractNum w:abstractNumId="121">
    <w:nsid w:val="53B0A9E"/>
    <w:multiLevelType w:val="hybridMultilevel"/>
    <w:lvl w:ilvl="0">
      <w:lvlJc w:val="left"/>
      <w:lvlText w:val="(%1)"/>
      <w:numFmt w:val="decimal"/>
      <w:start w:val="1"/>
    </w:lvl>
  </w:abstractNum>
  <w:abstractNum w:abstractNumId="122">
    <w:nsid w:val="34FD6B4F"/>
    <w:multiLevelType w:val="hybridMultilevel"/>
    <w:lvl w:ilvl="0">
      <w:lvlJc w:val="left"/>
      <w:lvlText w:val="*"/>
      <w:numFmt w:val="bullet"/>
      <w:start w:val="1"/>
    </w:lvl>
  </w:abstractNum>
  <w:abstractNum w:abstractNumId="123">
    <w:nsid w:val="5915FF32"/>
    <w:multiLevelType w:val="hybridMultilevel"/>
    <w:lvl w:ilvl="0">
      <w:lvlJc w:val="left"/>
      <w:lvlText w:val="(%1)"/>
      <w:numFmt w:val="decimal"/>
      <w:start w:val="1"/>
    </w:lvl>
  </w:abstractNum>
  <w:abstractNum w:abstractNumId="124">
    <w:nsid w:val="56438D15"/>
    <w:multiLevelType w:val="hybridMultilevel"/>
    <w:lvl w:ilvl="0">
      <w:lvlJc w:val="left"/>
      <w:lvlText w:val="(%1)"/>
      <w:numFmt w:val="decimal"/>
      <w:start w:val="1"/>
    </w:lvl>
  </w:abstractNum>
  <w:abstractNum w:abstractNumId="125">
    <w:nsid w:val="519E314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jpe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2019-12-07T15:23:35Z</dcterms:created>
  <dcterms:modified xsi:type="dcterms:W3CDTF">2019-12-07T15:23:35Z</dcterms:modified>
</cp:coreProperties>
</file>