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36"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FORM 8-K</w:t>
      </w:r>
    </w:p>
    <w:p>
      <w:pPr>
        <w:spacing w:after="0" w:line="200" w:lineRule="exact"/>
        <w:rPr>
          <w:sz w:val="24"/>
          <w:szCs w:val="24"/>
          <w:color w:val="auto"/>
        </w:rPr>
      </w:pPr>
    </w:p>
    <w:p>
      <w:pPr>
        <w:spacing w:after="0" w:line="24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September 1, 2011</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18"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PennantPark Investment Corporation</w:t>
      </w:r>
    </w:p>
    <w:p>
      <w:pPr>
        <w:spacing w:after="0" w:line="26" w:lineRule="exact"/>
        <w:rPr>
          <w:sz w:val="24"/>
          <w:szCs w:val="24"/>
          <w:color w:val="auto"/>
        </w:rPr>
      </w:pPr>
    </w:p>
    <w:p>
      <w:pPr>
        <w:jc w:val="center"/>
        <w:ind w:right="-3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920"/>
          </w:cols>
          <w:pgMar w:left="320" w:top="684" w:right="65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Arial" w:cs="Arial" w:eastAsia="Arial" w:hAnsi="Arial"/>
          <w:sz w:val="14"/>
          <w:szCs w:val="14"/>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2500"/>
        <w:spacing w:after="0"/>
        <w:rPr>
          <w:sz w:val="20"/>
          <w:szCs w:val="20"/>
          <w:color w:val="auto"/>
        </w:rPr>
      </w:pPr>
      <w:r>
        <w:rPr>
          <w:rFonts w:ascii="Arial" w:cs="Arial" w:eastAsia="Arial" w:hAnsi="Arial"/>
          <w:sz w:val="12"/>
          <w:szCs w:val="12"/>
          <w:b w:val="1"/>
          <w:bCs w:val="1"/>
          <w:color w:val="auto"/>
        </w:rPr>
        <w:t>814-00736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20-8250744</w:t>
      </w:r>
    </w:p>
    <w:p>
      <w:pPr>
        <w:spacing w:after="0" w:line="57" w:lineRule="exact"/>
        <w:rPr>
          <w:sz w:val="24"/>
          <w:szCs w:val="24"/>
          <w:color w:val="auto"/>
        </w:rPr>
      </w:pPr>
    </w:p>
    <w:p>
      <w:pPr>
        <w:sectPr>
          <w:pgSz w:w="11900" w:h="16838" w:orient="portrait"/>
          <w:cols w:equalWidth="0" w:num="3">
            <w:col w:w="4540" w:space="720"/>
            <w:col w:w="3120" w:space="720"/>
            <w:col w:w="1820"/>
          </w:cols>
          <w:pgMar w:left="320" w:top="684" w:right="659" w:bottom="1440" w:gutter="0" w:footer="0" w:header="0"/>
          <w:type w:val="continuous"/>
        </w:sectPr>
      </w:pPr>
    </w:p>
    <w:p>
      <w:pPr>
        <w:ind w:left="1000"/>
        <w:spacing w:after="0"/>
        <w:rPr>
          <w:sz w:val="20"/>
          <w:szCs w:val="20"/>
          <w:color w:val="auto"/>
        </w:rPr>
      </w:pPr>
      <w:r>
        <w:rPr>
          <w:rFonts w:ascii="Arial" w:cs="Arial" w:eastAsia="Arial" w:hAnsi="Arial"/>
          <w:sz w:val="13"/>
          <w:szCs w:val="13"/>
          <w:color w:val="auto"/>
        </w:rPr>
        <w:t>(State or other jurisdiction</w:t>
      </w:r>
    </w:p>
    <w:p>
      <w:pPr>
        <w:spacing w:after="0" w:line="20" w:lineRule="exact"/>
        <w:rPr>
          <w:sz w:val="24"/>
          <w:szCs w:val="24"/>
          <w:color w:val="auto"/>
        </w:rPr>
      </w:pPr>
      <w:r>
        <w:rPr>
          <w:sz w:val="24"/>
          <w:szCs w:val="24"/>
          <w:color w:val="auto"/>
        </w:rPr>
        <w:br w:type="column"/>
      </w:r>
    </w:p>
    <w:p>
      <w:pPr>
        <w:jc w:val="center"/>
        <w:ind w:right="138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32" w:lineRule="exact"/>
        <w:rPr>
          <w:sz w:val="24"/>
          <w:szCs w:val="24"/>
          <w:color w:val="auto"/>
        </w:rPr>
      </w:pPr>
    </w:p>
    <w:p>
      <w:pPr>
        <w:sectPr>
          <w:pgSz w:w="11900" w:h="16838" w:orient="portrait"/>
          <w:cols w:equalWidth="0" w:num="3">
            <w:col w:w="4060" w:space="720"/>
            <w:col w:w="2960" w:space="720"/>
            <w:col w:w="2460"/>
          </w:cols>
          <w:pgMar w:left="320" w:top="684" w:right="659" w:bottom="1440" w:gutter="0" w:footer="0" w:header="0"/>
          <w:type w:val="continuous"/>
        </w:sectPr>
      </w:pPr>
    </w:p>
    <w:p>
      <w:pPr>
        <w:ind w:left="1280"/>
        <w:spacing w:after="0"/>
        <w:rPr>
          <w:sz w:val="20"/>
          <w:szCs w:val="20"/>
          <w:color w:val="auto"/>
        </w:rPr>
      </w:pPr>
      <w:r>
        <w:rPr>
          <w:rFonts w:ascii="Arial" w:cs="Arial" w:eastAsia="Arial" w:hAnsi="Arial"/>
          <w:sz w:val="13"/>
          <w:szCs w:val="13"/>
          <w:color w:val="auto"/>
        </w:rPr>
        <w:t>of incorporation)</w:t>
      </w:r>
    </w:p>
    <w:p>
      <w:pPr>
        <w:sectPr>
          <w:pgSz w:w="11900" w:h="16838" w:orient="portrait"/>
          <w:cols w:equalWidth="0" w:num="1">
            <w:col w:w="10920"/>
          </w:cols>
          <w:pgMar w:left="320" w:top="684" w:right="6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3220"/>
        <w:spacing w:after="0"/>
        <w:rPr>
          <w:sz w:val="20"/>
          <w:szCs w:val="20"/>
          <w:color w:val="auto"/>
        </w:rPr>
      </w:pPr>
      <w:r>
        <w:rPr>
          <w:rFonts w:ascii="Arial" w:cs="Arial" w:eastAsia="Arial" w:hAnsi="Arial"/>
          <w:sz w:val="13"/>
          <w:szCs w:val="13"/>
          <w:b w:val="1"/>
          <w:bCs w:val="1"/>
          <w:color w:val="auto"/>
        </w:rPr>
        <w:t>590 Madison Avenue, 15th Floor, 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10022</w:t>
      </w:r>
    </w:p>
    <w:p>
      <w:pPr>
        <w:spacing w:after="0" w:line="136" w:lineRule="exact"/>
        <w:rPr>
          <w:sz w:val="24"/>
          <w:szCs w:val="24"/>
          <w:color w:val="auto"/>
        </w:rPr>
      </w:pPr>
    </w:p>
    <w:p>
      <w:pPr>
        <w:sectPr>
          <w:pgSz w:w="11900" w:h="16838" w:orient="portrait"/>
          <w:cols w:equalWidth="0" w:num="2">
            <w:col w:w="7040" w:space="720"/>
            <w:col w:w="3160"/>
          </w:cols>
          <w:pgMar w:left="320" w:top="684" w:right="659" w:bottom="1440" w:gutter="0" w:footer="0" w:header="0"/>
          <w:type w:val="continuous"/>
        </w:sectPr>
      </w:pPr>
    </w:p>
    <w:p>
      <w:pPr>
        <w:ind w:left="354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84" w:lineRule="exact"/>
        <w:rPr>
          <w:sz w:val="24"/>
          <w:szCs w:val="24"/>
          <w:color w:val="auto"/>
        </w:rPr>
      </w:pPr>
    </w:p>
    <w:p>
      <w:pPr>
        <w:sectPr>
          <w:pgSz w:w="11900" w:h="16838" w:orient="portrait"/>
          <w:cols w:equalWidth="0" w:num="2">
            <w:col w:w="6900" w:space="720"/>
            <w:col w:w="3300"/>
          </w:cols>
          <w:pgMar w:left="320" w:top="684" w:right="659" w:bottom="1440" w:gutter="0" w:footer="0" w:header="0"/>
          <w:type w:val="continuous"/>
        </w:sectPr>
      </w:pPr>
    </w:p>
    <w:p>
      <w:pPr>
        <w:jc w:val="center"/>
        <w:ind w:right="-339"/>
        <w:spacing w:after="0"/>
        <w:rPr>
          <w:sz w:val="20"/>
          <w:szCs w:val="20"/>
          <w:color w:val="auto"/>
        </w:rPr>
      </w:pPr>
      <w:r>
        <w:rPr>
          <w:rFonts w:ascii="Arial" w:cs="Arial" w:eastAsia="Arial" w:hAnsi="Arial"/>
          <w:sz w:val="14"/>
          <w:szCs w:val="14"/>
          <w:b w:val="1"/>
          <w:bCs w:val="1"/>
          <w:color w:val="auto"/>
        </w:rPr>
        <w:t>212-905-1000</w:t>
      </w:r>
    </w:p>
    <w:p>
      <w:pPr>
        <w:spacing w:after="0" w:line="17" w:lineRule="exact"/>
        <w:rPr>
          <w:sz w:val="24"/>
          <w:szCs w:val="24"/>
          <w:color w:val="auto"/>
        </w:rPr>
      </w:pPr>
    </w:p>
    <w:p>
      <w:pPr>
        <w:jc w:val="center"/>
        <w:ind w:right="-339"/>
        <w:spacing w:after="0"/>
        <w:rPr>
          <w:sz w:val="20"/>
          <w:szCs w:val="20"/>
          <w:color w:val="auto"/>
        </w:rPr>
      </w:pPr>
      <w:r>
        <w:rPr>
          <w:rFonts w:ascii="Arial" w:cs="Arial" w:eastAsia="Arial" w:hAnsi="Arial"/>
          <w:sz w:val="14"/>
          <w:szCs w:val="14"/>
          <w:color w:val="auto"/>
        </w:rPr>
        <w:t>Registrant's telephone number, including area code</w:t>
      </w:r>
    </w:p>
    <w:p>
      <w:pPr>
        <w:spacing w:after="0" w:line="201"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Not Applicable</w:t>
      </w:r>
    </w:p>
    <w:p>
      <w:pPr>
        <w:spacing w:after="0" w:line="17" w:lineRule="exact"/>
        <w:rPr>
          <w:sz w:val="24"/>
          <w:szCs w:val="24"/>
          <w:color w:val="auto"/>
        </w:rPr>
      </w:pPr>
    </w:p>
    <w:p>
      <w:pPr>
        <w:jc w:val="center"/>
        <w:ind w:right="-3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367" w:lineRule="exact"/>
        <w:rPr>
          <w:sz w:val="24"/>
          <w:szCs w:val="24"/>
          <w:color w:val="auto"/>
        </w:rPr>
      </w:pPr>
    </w:p>
    <w:p>
      <w:pPr>
        <w:ind w:left="40"/>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620"/>
        <w:spacing w:after="0"/>
        <w:tabs>
          <w:tab w:leader="none" w:pos="1780" w:val="left"/>
          <w:tab w:leader="none" w:pos="2040" w:val="left"/>
        </w:tabs>
        <w:rPr>
          <w:sz w:val="20"/>
          <w:szCs w:val="20"/>
          <w:color w:val="auto"/>
        </w:rPr>
      </w:pPr>
      <w:r>
        <w:rPr>
          <w:rFonts w:ascii="Arial" w:cs="Arial" w:eastAsia="Arial" w:hAnsi="Arial"/>
          <w:sz w:val="14"/>
          <w:szCs w:val="14"/>
          <w:color w:val="auto"/>
        </w:rPr>
        <w:t>[</w:t>
        <w:tab/>
        <w:t>]</w:t>
      </w:r>
      <w:r>
        <w:rPr>
          <w:sz w:val="20"/>
          <w:szCs w:val="20"/>
          <w:color w:val="auto"/>
        </w:rPr>
        <w:tab/>
      </w:r>
      <w:r>
        <w:rPr>
          <w:rFonts w:ascii="Arial" w:cs="Arial" w:eastAsia="Arial" w:hAnsi="Arial"/>
          <w:sz w:val="13"/>
          <w:szCs w:val="13"/>
          <w:color w:val="auto"/>
        </w:rPr>
        <w:t>Written communications pursuant to Rule 425 under the Securities Act (17 CFR 230.425)</w:t>
      </w:r>
    </w:p>
    <w:p>
      <w:pPr>
        <w:spacing w:after="0" w:line="109" w:lineRule="exact"/>
        <w:rPr>
          <w:sz w:val="24"/>
          <w:szCs w:val="24"/>
          <w:color w:val="auto"/>
        </w:rPr>
      </w:pPr>
    </w:p>
    <w:p>
      <w:pPr>
        <w:ind w:left="1620"/>
        <w:spacing w:after="0"/>
        <w:tabs>
          <w:tab w:leader="none" w:pos="1780" w:val="left"/>
          <w:tab w:leader="none" w:pos="2040" w:val="left"/>
        </w:tabs>
        <w:rPr>
          <w:sz w:val="20"/>
          <w:szCs w:val="20"/>
          <w:color w:val="auto"/>
        </w:rPr>
      </w:pPr>
      <w:r>
        <w:rPr>
          <w:rFonts w:ascii="Arial" w:cs="Arial" w:eastAsia="Arial" w:hAnsi="Arial"/>
          <w:sz w:val="14"/>
          <w:szCs w:val="14"/>
          <w:color w:val="auto"/>
        </w:rPr>
        <w:t>[</w:t>
        <w:tab/>
        <w:t>]</w:t>
      </w:r>
      <w:r>
        <w:rPr>
          <w:sz w:val="20"/>
          <w:szCs w:val="20"/>
          <w:color w:val="auto"/>
        </w:rPr>
        <w:tab/>
      </w:r>
      <w:r>
        <w:rPr>
          <w:rFonts w:ascii="Arial" w:cs="Arial" w:eastAsia="Arial" w:hAnsi="Arial"/>
          <w:sz w:val="13"/>
          <w:szCs w:val="13"/>
          <w:color w:val="auto"/>
        </w:rPr>
        <w:t>Soliciting material pursuant to Rule 14a-12 under the Exchange Act (17 CFR 240.14a-12)</w:t>
      </w:r>
    </w:p>
    <w:p>
      <w:pPr>
        <w:spacing w:after="0" w:line="109" w:lineRule="exact"/>
        <w:rPr>
          <w:sz w:val="24"/>
          <w:szCs w:val="24"/>
          <w:color w:val="auto"/>
        </w:rPr>
      </w:pPr>
    </w:p>
    <w:p>
      <w:pPr>
        <w:ind w:left="1620"/>
        <w:spacing w:after="0"/>
        <w:tabs>
          <w:tab w:leader="none" w:pos="1780" w:val="left"/>
          <w:tab w:leader="none" w:pos="2040" w:val="left"/>
        </w:tabs>
        <w:rPr>
          <w:sz w:val="20"/>
          <w:szCs w:val="20"/>
          <w:color w:val="auto"/>
        </w:rPr>
      </w:pPr>
      <w:r>
        <w:rPr>
          <w:rFonts w:ascii="Arial" w:cs="Arial" w:eastAsia="Arial" w:hAnsi="Arial"/>
          <w:sz w:val="14"/>
          <w:szCs w:val="14"/>
          <w:color w:val="auto"/>
        </w:rPr>
        <w:t>[</w:t>
        <w:tab/>
        <w:t>]</w:t>
      </w:r>
      <w:r>
        <w:rPr>
          <w:sz w:val="20"/>
          <w:szCs w:val="20"/>
          <w:color w:val="auto"/>
        </w:rPr>
        <w:tab/>
      </w:r>
      <w:r>
        <w:rPr>
          <w:rFonts w:ascii="Arial" w:cs="Arial" w:eastAsia="Arial" w:hAnsi="Arial"/>
          <w:sz w:val="13"/>
          <w:szCs w:val="13"/>
          <w:color w:val="auto"/>
        </w:rPr>
        <w:t>Pre-commencement communications pursuant to Rule 14d-2(b) under the Exchange Act (17 CFR 240.14d-2(b))</w:t>
      </w:r>
    </w:p>
    <w:p>
      <w:pPr>
        <w:spacing w:after="0" w:line="109" w:lineRule="exact"/>
        <w:rPr>
          <w:sz w:val="24"/>
          <w:szCs w:val="24"/>
          <w:color w:val="auto"/>
        </w:rPr>
      </w:pPr>
    </w:p>
    <w:p>
      <w:pPr>
        <w:ind w:left="1620"/>
        <w:spacing w:after="0"/>
        <w:tabs>
          <w:tab w:leader="none" w:pos="1780" w:val="left"/>
          <w:tab w:leader="none" w:pos="2040" w:val="left"/>
        </w:tabs>
        <w:rPr>
          <w:sz w:val="20"/>
          <w:szCs w:val="20"/>
          <w:color w:val="auto"/>
        </w:rPr>
      </w:pPr>
      <w:r>
        <w:rPr>
          <w:rFonts w:ascii="Arial" w:cs="Arial" w:eastAsia="Arial" w:hAnsi="Arial"/>
          <w:sz w:val="14"/>
          <w:szCs w:val="14"/>
          <w:color w:val="auto"/>
        </w:rPr>
        <w:t>[</w:t>
        <w:tab/>
        <w:t>]</w:t>
      </w:r>
      <w:r>
        <w:rPr>
          <w:sz w:val="20"/>
          <w:szCs w:val="20"/>
          <w:color w:val="auto"/>
        </w:rPr>
        <w:tab/>
      </w:r>
      <w:r>
        <w:rPr>
          <w:rFonts w:ascii="Arial" w:cs="Arial" w:eastAsia="Arial" w:hAnsi="Arial"/>
          <w:sz w:val="12"/>
          <w:szCs w:val="12"/>
          <w:color w:val="auto"/>
        </w:rPr>
        <w:t>Pre-commencement communications pursuant to Rule 13e-4(c) under the Exchange Act (17 CFR 240.13e-4(c))</w:t>
      </w:r>
    </w:p>
    <w:p>
      <w:pPr>
        <w:sectPr>
          <w:pgSz w:w="11900" w:h="16838" w:orient="portrait"/>
          <w:cols w:equalWidth="0" w:num="1">
            <w:col w:w="10920"/>
          </w:cols>
          <w:pgMar w:left="320" w:top="684" w:right="659" w:bottom="1440" w:gutter="0" w:footer="0" w:header="0"/>
          <w:type w:val="continuous"/>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On September 1, 2011, PennantPark Investment Corporation issued a press release announcing its fourth fiscal quarter 2011 distribution. A copy of the press release is furnished as Exhibit 99.1 to this Form 8-K.</w:t>
      </w:r>
    </w:p>
    <w:p>
      <w:pPr>
        <w:spacing w:after="0" w:line="170"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Exchange Act of 1933, as amended, or the Exchange Act, except as shall be expressly set forth by specific reference in such filing.</w:t>
      </w:r>
    </w:p>
    <w:p>
      <w:pPr>
        <w:sectPr>
          <w:pgSz w:w="11900" w:h="16838" w:orient="portrait"/>
          <w:cols w:equalWidth="0" w:num="1">
            <w:col w:w="10920"/>
          </w:cols>
          <w:pgMar w:left="320" w:top="684" w:right="6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40" w:right="9340" w:hanging="232"/>
        <w:spacing w:after="0" w:line="282" w:lineRule="auto"/>
        <w:tabs>
          <w:tab w:leader="none" w:pos="27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40" w:right="8440" w:hanging="232"/>
        <w:spacing w:after="0" w:line="282"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40" w:right="8820" w:hanging="232"/>
        <w:spacing w:after="0" w:line="282"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99.1  Press Release of PennantPark Investment Corporation dated September 1, 2011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500" w:firstLine="144"/>
        <w:spacing w:after="0" w:line="27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4"/>
              </w:rPr>
              <w:t>PennantPark Investment Corporation</w:t>
            </w:r>
          </w:p>
        </w:tc>
      </w:tr>
      <w:tr>
        <w:trPr>
          <w:trHeight w:val="228"/>
        </w:trPr>
        <w:tc>
          <w:tcPr>
            <w:tcW w:w="5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40" w:type="dxa"/>
            <w:vAlign w:val="bottom"/>
            <w:tcBorders>
              <w:bottom w:val="single" w:sz="8" w:color="auto"/>
            </w:tcBorders>
          </w:tcPr>
          <w:p>
            <w:pPr>
              <w:spacing w:after="0"/>
              <w:rPr>
                <w:sz w:val="19"/>
                <w:szCs w:val="19"/>
                <w:color w:val="auto"/>
              </w:rPr>
            </w:pPr>
          </w:p>
        </w:tc>
      </w:tr>
      <w:tr>
        <w:trPr>
          <w:trHeight w:val="400"/>
        </w:trPr>
        <w:tc>
          <w:tcPr>
            <w:tcW w:w="5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(Registrant)</w:t>
            </w:r>
          </w:p>
        </w:tc>
      </w:tr>
      <w:tr>
        <w:trPr>
          <w:trHeight w:val="471"/>
        </w:trPr>
        <w:tc>
          <w:tcPr>
            <w:tcW w:w="5080" w:type="dxa"/>
            <w:vAlign w:val="bottom"/>
          </w:tcPr>
          <w:p>
            <w:pPr>
              <w:jc w:val="center"/>
              <w:spacing w:after="0"/>
              <w:rPr>
                <w:sz w:val="20"/>
                <w:szCs w:val="20"/>
                <w:color w:val="auto"/>
              </w:rPr>
            </w:pPr>
            <w:r>
              <w:rPr>
                <w:rFonts w:ascii="Arial" w:cs="Arial" w:eastAsia="Arial" w:hAnsi="Arial"/>
                <w:sz w:val="18"/>
                <w:szCs w:val="18"/>
                <w:color w:val="auto"/>
                <w:w w:val="88"/>
              </w:rPr>
              <w:t>September 1, 2011</w:t>
            </w:r>
          </w:p>
        </w:tc>
        <w:tc>
          <w:tcPr>
            <w:tcW w:w="1120" w:type="dxa"/>
            <w:vAlign w:val="bottom"/>
          </w:tcPr>
          <w:p>
            <w:pPr>
              <w:ind w:left="820"/>
              <w:spacing w:after="0"/>
              <w:rPr>
                <w:sz w:val="20"/>
                <w:szCs w:val="20"/>
                <w:color w:val="auto"/>
              </w:rPr>
            </w:pPr>
            <w:r>
              <w:rPr>
                <w:rFonts w:ascii="Arial" w:cs="Arial" w:eastAsia="Arial" w:hAnsi="Arial"/>
                <w:sz w:val="18"/>
                <w:szCs w:val="18"/>
                <w:color w:val="auto"/>
              </w:rPr>
              <w:t>By:</w:t>
            </w: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/s/ Aviv Efrat</w:t>
            </w:r>
          </w:p>
        </w:tc>
      </w:tr>
      <w:tr>
        <w:trPr>
          <w:trHeight w:val="27"/>
        </w:trPr>
        <w:tc>
          <w:tcPr>
            <w:tcW w:w="50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183"/>
        </w:trPr>
        <w:tc>
          <w:tcPr>
            <w:tcW w:w="5080" w:type="dxa"/>
            <w:vAlign w:val="bottom"/>
          </w:tcPr>
          <w:p>
            <w:pPr>
              <w:jc w:val="center"/>
              <w:spacing w:after="0" w:line="182" w:lineRule="exact"/>
              <w:rPr>
                <w:sz w:val="20"/>
                <w:szCs w:val="20"/>
                <w:color w:val="auto"/>
              </w:rPr>
            </w:pPr>
            <w:r>
              <w:rPr>
                <w:rFonts w:ascii="Arial" w:cs="Arial" w:eastAsia="Arial" w:hAnsi="Arial"/>
                <w:sz w:val="18"/>
                <w:szCs w:val="18"/>
                <w:color w:val="auto"/>
                <w:w w:val="91"/>
              </w:rPr>
              <w:t>(Date)</w:t>
            </w:r>
          </w:p>
        </w:tc>
        <w:tc>
          <w:tcPr>
            <w:tcW w:w="1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rPr>
              <w:t>Aviv Efrat</w:t>
            </w:r>
          </w:p>
        </w:tc>
      </w:tr>
      <w:tr>
        <w:trPr>
          <w:trHeight w:val="182"/>
        </w:trPr>
        <w:tc>
          <w:tcPr>
            <w:tcW w:w="5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40" w:type="dxa"/>
            <w:vAlign w:val="bottom"/>
          </w:tcPr>
          <w:p>
            <w:pPr>
              <w:ind w:left="1500"/>
              <w:spacing w:after="0"/>
              <w:rPr>
                <w:sz w:val="20"/>
                <w:szCs w:val="20"/>
                <w:color w:val="auto"/>
              </w:rPr>
            </w:pPr>
            <w:r>
              <w:rPr>
                <w:rFonts w:ascii="Arial" w:cs="Arial" w:eastAsia="Arial" w:hAnsi="Arial"/>
                <w:sz w:val="14"/>
                <w:szCs w:val="14"/>
                <w:i w:val="1"/>
                <w:iCs w:val="1"/>
                <w:color w:val="auto"/>
              </w:rPr>
              <w:t>Chief Financial Officer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4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60" w:type="dxa"/>
            <w:vAlign w:val="bottom"/>
          </w:tcPr>
          <w:p>
            <w:pPr>
              <w:ind w:left="100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180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92"/>
              </w:rPr>
              <w:t>Exhibit No.</w:t>
            </w:r>
          </w:p>
        </w:tc>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11"/>
        </w:trPr>
        <w:tc>
          <w:tcPr>
            <w:tcW w:w="1800" w:type="dxa"/>
            <w:vAlign w:val="bottom"/>
            <w:gridSpan w:val="2"/>
          </w:tcPr>
          <w:p>
            <w:pPr>
              <w:jc w:val="right"/>
              <w:ind w:right="980"/>
              <w:spacing w:after="0"/>
              <w:rPr>
                <w:sz w:val="20"/>
                <w:szCs w:val="20"/>
                <w:color w:val="auto"/>
              </w:rPr>
            </w:pPr>
            <w:r>
              <w:rPr>
                <w:rFonts w:ascii="Arial" w:cs="Arial" w:eastAsia="Arial" w:hAnsi="Arial"/>
                <w:sz w:val="14"/>
                <w:szCs w:val="14"/>
                <w:color w:val="auto"/>
              </w:rPr>
              <w:t>99.1</w:t>
            </w:r>
          </w:p>
        </w:tc>
        <w:tc>
          <w:tcPr>
            <w:tcW w:w="4580" w:type="dxa"/>
            <w:vAlign w:val="bottom"/>
            <w:gridSpan w:val="2"/>
          </w:tcPr>
          <w:p>
            <w:pPr>
              <w:spacing w:after="0"/>
              <w:rPr>
                <w:sz w:val="20"/>
                <w:szCs w:val="20"/>
                <w:color w:val="auto"/>
              </w:rPr>
            </w:pPr>
            <w:r>
              <w:rPr>
                <w:rFonts w:ascii="Arial" w:cs="Arial" w:eastAsia="Arial" w:hAnsi="Arial"/>
                <w:sz w:val="14"/>
                <w:szCs w:val="14"/>
                <w:color w:val="auto"/>
                <w:w w:val="90"/>
              </w:rPr>
              <w:t>Press Release of PennantPark Investment Corporation dated September 1, 2011</w:t>
            </w:r>
          </w:p>
        </w:tc>
      </w:tr>
    </w:tbl>
    <w:p>
      <w:pPr>
        <w:sectPr>
          <w:pgSz w:w="11900" w:h="16838" w:orient="portrait"/>
          <w:cols w:equalWidth="0" w:num="1">
            <w:col w:w="11240"/>
          </w:cols>
          <w:pgMar w:left="320" w:top="1228" w:right="339" w:bottom="1440" w:gutter="0" w:footer="0" w:header="0"/>
        </w:sectPr>
      </w:pPr>
    </w:p>
    <w:bookmarkStart w:id="2" w:name="page3"/>
    <w:bookmarkEnd w:id="2"/>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542925</wp:posOffset>
            </wp:positionV>
            <wp:extent cx="161163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11630" cy="38608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2"/>
          <w:szCs w:val="22"/>
          <w:b w:val="1"/>
          <w:bCs w:val="1"/>
          <w:color w:val="auto"/>
        </w:rPr>
        <w:t>PennantPark Investment Corporation Announces Its Quarterly Distribution of $0.27 Per Share</w:t>
      </w:r>
    </w:p>
    <w:p>
      <w:pPr>
        <w:spacing w:after="0" w:line="22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NEW YORK, -- (MARKETWIRE - September 1, 2011) - PennantPark Investment Corporation (the "Company") (NASDAQ:PNNT) declares its fourth fiscal quarter 2011 distribution of $0.27 per share, payable on October 3, 2011 to stockholders of record as of September 23, 2011. Distributions are paid from taxable earnings and may include return of capital and/or capital gains. The specific tax characteristics of the distribution will be reported to stockholders on Form 1099 after the end of the calendar year and in its periodic report filed with the Securities and Exchange Commission.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ABOUT PENNANTPARK INVESTMENT CORPORATION</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PennantPark Investment Corporation is a business development company which principally invests in U.S. middle-market private companies in the form of senior secured loans, mezzanine debt, and equity investments. From time to time, the Company may also invest in public companies whose securities are thinly traded. PennantPark Investment Corporation is managed by PennantPark Investment Advisers, LLC.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4"/>
          <w:szCs w:val="14"/>
          <w:color w:val="auto"/>
        </w:rPr>
        <w:t>CONTACT:</w:t>
        <w:tab/>
        <w:t>Aviv Efrat</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PennantPark Investment Corporation</w:t>
      </w:r>
    </w:p>
    <w:p>
      <w:pPr>
        <w:spacing w:after="0" w:line="109" w:lineRule="exact"/>
        <w:rPr>
          <w:sz w:val="20"/>
          <w:szCs w:val="20"/>
          <w:color w:val="auto"/>
        </w:rPr>
      </w:pPr>
    </w:p>
    <w:p>
      <w:pPr>
        <w:ind w:left="920" w:right="8960" w:hanging="8"/>
        <w:spacing w:after="0" w:line="546" w:lineRule="auto"/>
        <w:tabs>
          <w:tab w:leader="none" w:pos="1268" w:val="left"/>
        </w:tabs>
        <w:numPr>
          <w:ilvl w:val="0"/>
          <w:numId w:val="2"/>
        </w:numPr>
        <w:rPr>
          <w:rFonts w:ascii="Arial" w:cs="Arial" w:eastAsia="Arial" w:hAnsi="Arial"/>
          <w:sz w:val="12"/>
          <w:szCs w:val="12"/>
          <w:color w:val="auto"/>
        </w:rPr>
      </w:pPr>
      <w:r>
        <w:rPr>
          <w:rFonts w:ascii="Arial" w:cs="Arial" w:eastAsia="Arial" w:hAnsi="Arial"/>
          <w:sz w:val="12"/>
          <w:szCs w:val="12"/>
          <w:color w:val="auto"/>
        </w:rPr>
        <w:t>905-1000 www.pennantpark.com</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2020-05-05T15:11:20Z</dcterms:created>
  <dcterms:modified xsi:type="dcterms:W3CDTF">2020-05-05T15:11:20Z</dcterms:modified>
</cp:coreProperties>
</file>