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March 14, 2018</w:t>
      </w:r>
    </w:p>
    <w:p>
      <w:pPr>
        <w:spacing w:after="0" w:line="17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jc w:val="center"/>
        <w:ind w:right="-299"/>
        <w:spacing w:after="0"/>
        <w:rPr>
          <w:sz w:val="20"/>
          <w:szCs w:val="20"/>
          <w:color w:val="auto"/>
        </w:rPr>
      </w:pPr>
      <w:r>
        <w:rPr>
          <w:rFonts w:ascii="Arial" w:cs="Arial" w:eastAsia="Arial" w:hAnsi="Arial"/>
          <w:sz w:val="30"/>
          <w:szCs w:val="30"/>
          <w:b w:val="1"/>
          <w:bCs w:val="1"/>
          <w:color w:val="auto"/>
        </w:rPr>
        <w:t>PennantPark Investment Corporation</w:t>
      </w:r>
    </w:p>
    <w:p>
      <w:pPr>
        <w:spacing w:after="0" w:line="36"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1560"/>
        <w:spacing w:after="0"/>
        <w:rPr>
          <w:sz w:val="20"/>
          <w:szCs w:val="20"/>
          <w:color w:val="auto"/>
        </w:rPr>
      </w:pPr>
      <w:r>
        <w:rPr>
          <w:rFonts w:ascii="Arial" w:cs="Arial" w:eastAsia="Arial" w:hAnsi="Arial"/>
          <w:sz w:val="14"/>
          <w:szCs w:val="14"/>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2360"/>
        <w:spacing w:after="0"/>
        <w:rPr>
          <w:sz w:val="20"/>
          <w:szCs w:val="20"/>
          <w:color w:val="auto"/>
        </w:rPr>
      </w:pPr>
      <w:r>
        <w:rPr>
          <w:rFonts w:ascii="Arial" w:cs="Arial" w:eastAsia="Arial" w:hAnsi="Arial"/>
          <w:sz w:val="12"/>
          <w:szCs w:val="12"/>
          <w:b w:val="1"/>
          <w:bCs w:val="1"/>
          <w:color w:val="auto"/>
        </w:rPr>
        <w:t>814-00736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20-8250744</w:t>
      </w:r>
    </w:p>
    <w:p>
      <w:pPr>
        <w:spacing w:after="0" w:line="36" w:lineRule="exact"/>
        <w:rPr>
          <w:sz w:val="24"/>
          <w:szCs w:val="24"/>
          <w:color w:val="auto"/>
        </w:rPr>
      </w:pPr>
    </w:p>
    <w:p>
      <w:pPr>
        <w:sectPr>
          <w:pgSz w:w="11900" w:h="16838" w:orient="portrait"/>
          <w:cols w:equalWidth="0" w:num="3">
            <w:col w:w="4580" w:space="720"/>
            <w:col w:w="2980" w:space="720"/>
            <w:col w:w="1960"/>
          </w:cols>
          <w:pgMar w:left="320" w:top="981" w:right="619" w:bottom="1440" w:gutter="0" w:footer="0" w:header="0"/>
          <w:type w:val="continuous"/>
        </w:sectPr>
      </w:pPr>
    </w:p>
    <w:p>
      <w:pPr>
        <w:ind w:left="760"/>
        <w:spacing w:after="0"/>
        <w:rPr>
          <w:sz w:val="20"/>
          <w:szCs w:val="20"/>
          <w:color w:val="auto"/>
        </w:rPr>
      </w:pPr>
      <w:r>
        <w:rPr>
          <w:rFonts w:ascii="Arial" w:cs="Arial" w:eastAsia="Arial" w:hAnsi="Arial"/>
          <w:sz w:val="9"/>
          <w:szCs w:val="9"/>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(IRS Employer Identification No.)</w:t>
      </w:r>
    </w:p>
    <w:p>
      <w:pPr>
        <w:spacing w:after="0" w:line="156" w:lineRule="exact"/>
        <w:rPr>
          <w:sz w:val="24"/>
          <w:szCs w:val="24"/>
          <w:color w:val="auto"/>
        </w:rPr>
      </w:pPr>
    </w:p>
    <w:p>
      <w:pPr>
        <w:sectPr>
          <w:pgSz w:w="11900" w:h="16838" w:orient="portrait"/>
          <w:cols w:equalWidth="0" w:num="3">
            <w:col w:w="4200" w:space="720"/>
            <w:col w:w="2860" w:space="720"/>
            <w:col w:w="2460"/>
          </w:cols>
          <w:pgMar w:left="320" w:top="981" w:right="619" w:bottom="1440" w:gutter="0" w:footer="0" w:header="0"/>
          <w:type w:val="continuous"/>
        </w:sectPr>
      </w:pPr>
    </w:p>
    <w:p>
      <w:pPr>
        <w:ind w:left="1340"/>
        <w:spacing w:after="0"/>
        <w:rPr>
          <w:sz w:val="20"/>
          <w:szCs w:val="20"/>
          <w:color w:val="auto"/>
        </w:rPr>
      </w:pPr>
      <w:r>
        <w:rPr>
          <w:rFonts w:ascii="Arial" w:cs="Arial" w:eastAsia="Arial" w:hAnsi="Arial"/>
          <w:sz w:val="13"/>
          <w:szCs w:val="13"/>
          <w:b w:val="1"/>
          <w:bCs w:val="1"/>
          <w:color w:val="auto"/>
        </w:rPr>
        <w:t>590 Madison Avenue, 15th Floor, New York, 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10022</w:t>
      </w:r>
    </w:p>
    <w:p>
      <w:pPr>
        <w:spacing w:after="0" w:line="48" w:lineRule="exact"/>
        <w:rPr>
          <w:sz w:val="24"/>
          <w:szCs w:val="24"/>
          <w:color w:val="auto"/>
        </w:rPr>
      </w:pPr>
    </w:p>
    <w:p>
      <w:pPr>
        <w:sectPr>
          <w:pgSz w:w="11900" w:h="16838" w:orient="portrait"/>
          <w:cols w:equalWidth="0" w:num="2">
            <w:col w:w="7520" w:space="720"/>
            <w:col w:w="2720"/>
          </w:cols>
          <w:pgMar w:left="320" w:top="981" w:right="619" w:bottom="1440" w:gutter="0" w:footer="0" w:header="0"/>
          <w:type w:val="continuous"/>
        </w:sectPr>
      </w:pPr>
    </w:p>
    <w:p>
      <w:pPr>
        <w:ind w:left="1840"/>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200" w:lineRule="exact"/>
        <w:rPr>
          <w:sz w:val="24"/>
          <w:szCs w:val="24"/>
          <w:color w:val="auto"/>
        </w:rPr>
      </w:pPr>
    </w:p>
    <w:p>
      <w:pPr>
        <w:sectPr>
          <w:pgSz w:w="11900" w:h="16838" w:orient="portrait"/>
          <w:cols w:equalWidth="0" w:num="2">
            <w:col w:w="7420" w:space="720"/>
            <w:col w:w="2820"/>
          </w:cols>
          <w:pgMar w:left="320" w:top="981" w:right="619" w:bottom="1440" w:gutter="0" w:footer="0" w:header="0"/>
          <w:type w:val="continuous"/>
        </w:sectPr>
      </w:pPr>
    </w:p>
    <w:p>
      <w:pPr>
        <w:spacing w:after="0" w:line="118"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212-905-1000</w:t>
      </w:r>
    </w:p>
    <w:p>
      <w:pPr>
        <w:spacing w:after="0" w:line="14" w:lineRule="exact"/>
        <w:rPr>
          <w:sz w:val="24"/>
          <w:szCs w:val="24"/>
          <w:color w:val="auto"/>
        </w:rPr>
      </w:pPr>
    </w:p>
    <w:p>
      <w:pPr>
        <w:jc w:val="center"/>
        <w:ind w:right="-29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32"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Not Applicable</w:t>
      </w:r>
    </w:p>
    <w:p>
      <w:pPr>
        <w:spacing w:after="0" w:line="14" w:lineRule="exact"/>
        <w:rPr>
          <w:sz w:val="24"/>
          <w:szCs w:val="24"/>
          <w:color w:val="auto"/>
        </w:rPr>
      </w:pPr>
    </w:p>
    <w:p>
      <w:pPr>
        <w:jc w:val="center"/>
        <w:ind w:right="-29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6"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50" w:lineRule="exact"/>
        <w:rPr>
          <w:sz w:val="24"/>
          <w:szCs w:val="24"/>
          <w:color w:val="auto"/>
        </w:rPr>
      </w:pPr>
    </w:p>
    <w:p>
      <w:pPr>
        <w:ind w:firstLine="36"/>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1033780</wp:posOffset>
            </wp:positionH>
            <wp:positionV relativeFrom="paragraph">
              <wp:posOffset>-65405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57" w:lineRule="exact"/>
        <w:rPr>
          <w:sz w:val="24"/>
          <w:szCs w:val="24"/>
          <w:color w:val="auto"/>
        </w:rPr>
      </w:pPr>
    </w:p>
    <w:p>
      <w:pPr>
        <w:ind w:right="2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-106045</wp:posOffset>
            </wp:positionV>
            <wp:extent cx="69215"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 Submission of Matters to a Vote of Security Holders</w:t>
      </w:r>
    </w:p>
    <w:p>
      <w:pPr>
        <w:spacing w:after="0" w:line="59" w:lineRule="exact"/>
        <w:rPr>
          <w:sz w:val="20"/>
          <w:szCs w:val="20"/>
          <w:color w:val="auto"/>
        </w:rPr>
      </w:pPr>
    </w:p>
    <w:p>
      <w:pPr>
        <w:jc w:val="both"/>
        <w:ind w:right="40" w:firstLine="749"/>
        <w:spacing w:after="0" w:line="264" w:lineRule="auto"/>
        <w:rPr>
          <w:sz w:val="20"/>
          <w:szCs w:val="20"/>
          <w:color w:val="auto"/>
        </w:rPr>
      </w:pPr>
      <w:r>
        <w:rPr>
          <w:rFonts w:ascii="Arial" w:cs="Arial" w:eastAsia="Arial" w:hAnsi="Arial"/>
          <w:sz w:val="13"/>
          <w:szCs w:val="13"/>
          <w:color w:val="auto"/>
        </w:rPr>
        <w:t>On March 14, 2018, PennantPark Investment Corporation (the “Company”) held a reconvened annual meeting of stockholders (the “Annual Meeting”) and submitted one matter to the vote of stockholders. The proposal is described in detail in the Company’s definitive proxy statement filed with the Securities and Exchange Commission on December 8, 2017. As of November 17, 2017, the record date, 71,060,836 shares of common stock were eligible to vote. A summary of the matter voted upon by the stockholders is set forth below.</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1. </w:t>
      </w:r>
      <w:r>
        <w:rPr>
          <w:rFonts w:ascii="Arial" w:cs="Arial" w:eastAsia="Arial" w:hAnsi="Arial"/>
          <w:sz w:val="13"/>
          <w:szCs w:val="13"/>
          <w:color w:val="auto"/>
        </w:rPr>
        <w:t>The Company’s stockholders elected two Class II directors of the Company, who will each serve until the 2021 Annual Meeting and until his successor is duly elected and qualifies.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60" w:type="dxa"/>
            <w:vAlign w:val="bottom"/>
          </w:tcPr>
          <w:p>
            <w:pPr>
              <w:ind w:left="520"/>
              <w:spacing w:after="0"/>
              <w:rPr>
                <w:sz w:val="20"/>
                <w:szCs w:val="20"/>
                <w:color w:val="auto"/>
              </w:rPr>
            </w:pPr>
            <w:r>
              <w:rPr>
                <w:rFonts w:ascii="Arial" w:cs="Arial" w:eastAsia="Arial" w:hAnsi="Arial"/>
                <w:sz w:val="14"/>
                <w:szCs w:val="14"/>
                <w:color w:val="auto"/>
              </w:rPr>
              <w:t>The voting results as of March 14, 2018, as certified by the inspector of election, are set forth below:</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22"/>
                <w:szCs w:val="22"/>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For</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Withheld</w:t>
            </w:r>
          </w:p>
        </w:tc>
        <w:tc>
          <w:tcPr>
            <w:tcW w:w="400" w:type="dxa"/>
            <w:vAlign w:val="bottom"/>
          </w:tcPr>
          <w:p>
            <w:pPr>
              <w:spacing w:after="0"/>
              <w:rPr>
                <w:sz w:val="22"/>
                <w:szCs w:val="22"/>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8"/>
        </w:trPr>
        <w:tc>
          <w:tcPr>
            <w:tcW w:w="78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1"/>
              </w:rPr>
              <w:t>Non Vote</w:t>
            </w:r>
          </w:p>
        </w:tc>
        <w:tc>
          <w:tcPr>
            <w:tcW w:w="0" w:type="dxa"/>
            <w:vAlign w:val="bottom"/>
          </w:tcPr>
          <w:p>
            <w:pPr>
              <w:spacing w:after="0"/>
              <w:rPr>
                <w:sz w:val="1"/>
                <w:szCs w:val="1"/>
                <w:color w:val="auto"/>
              </w:rPr>
            </w:pPr>
          </w:p>
        </w:tc>
      </w:tr>
      <w:tr>
        <w:trPr>
          <w:trHeight w:val="136"/>
        </w:trPr>
        <w:tc>
          <w:tcPr>
            <w:tcW w:w="7860" w:type="dxa"/>
            <w:vAlign w:val="bottom"/>
            <w:tcBorders>
              <w:top w:val="single" w:sz="8" w:color="CCFFFF"/>
            </w:tcBorders>
            <w:shd w:val="clear" w:color="auto" w:fill="CCFFFF"/>
          </w:tcPr>
          <w:p>
            <w:pPr>
              <w:spacing w:after="0" w:line="135" w:lineRule="exact"/>
              <w:rPr>
                <w:sz w:val="20"/>
                <w:szCs w:val="20"/>
                <w:color w:val="auto"/>
              </w:rPr>
            </w:pPr>
            <w:r>
              <w:rPr>
                <w:rFonts w:ascii="Arial" w:cs="Arial" w:eastAsia="Arial" w:hAnsi="Arial"/>
                <w:sz w:val="14"/>
                <w:szCs w:val="14"/>
                <w:color w:val="auto"/>
              </w:rPr>
              <w:t>Adam Bernstein</w:t>
            </w:r>
          </w:p>
        </w:tc>
        <w:tc>
          <w:tcPr>
            <w:tcW w:w="200" w:type="dxa"/>
            <w:vAlign w:val="bottom"/>
            <w:tcBorders>
              <w:top w:val="single" w:sz="8" w:color="CCFFFF"/>
            </w:tcBorders>
            <w:shd w:val="clear" w:color="auto" w:fill="CCFFFF"/>
          </w:tcPr>
          <w:p>
            <w:pPr>
              <w:spacing w:after="0"/>
              <w:rPr>
                <w:sz w:val="11"/>
                <w:szCs w:val="11"/>
                <w:color w:val="auto"/>
              </w:rPr>
            </w:pPr>
          </w:p>
        </w:tc>
        <w:tc>
          <w:tcPr>
            <w:tcW w:w="760" w:type="dxa"/>
            <w:vAlign w:val="bottom"/>
            <w:tcBorders>
              <w:top w:val="single" w:sz="8" w:color="auto"/>
            </w:tcBorders>
            <w:shd w:val="clear" w:color="auto" w:fill="CCFFFF"/>
          </w:tcPr>
          <w:p>
            <w:pPr>
              <w:jc w:val="right"/>
              <w:ind w:right="28"/>
              <w:spacing w:after="0" w:line="135" w:lineRule="exact"/>
              <w:rPr>
                <w:sz w:val="20"/>
                <w:szCs w:val="20"/>
                <w:color w:val="auto"/>
              </w:rPr>
            </w:pPr>
            <w:r>
              <w:rPr>
                <w:rFonts w:ascii="Arial" w:cs="Arial" w:eastAsia="Arial" w:hAnsi="Arial"/>
                <w:sz w:val="14"/>
                <w:szCs w:val="14"/>
                <w:color w:val="auto"/>
                <w:w w:val="91"/>
              </w:rPr>
              <w:t>35,799,933</w:t>
            </w:r>
          </w:p>
        </w:tc>
        <w:tc>
          <w:tcPr>
            <w:tcW w:w="120" w:type="dxa"/>
            <w:vAlign w:val="bottom"/>
            <w:tcBorders>
              <w:top w:val="single" w:sz="8" w:color="auto"/>
            </w:tcBorders>
            <w:shd w:val="clear" w:color="auto" w:fill="CCFFFF"/>
          </w:tcPr>
          <w:p>
            <w:pPr>
              <w:spacing w:after="0"/>
              <w:rPr>
                <w:sz w:val="11"/>
                <w:szCs w:val="11"/>
                <w:color w:val="auto"/>
              </w:rPr>
            </w:pPr>
          </w:p>
        </w:tc>
        <w:tc>
          <w:tcPr>
            <w:tcW w:w="420" w:type="dxa"/>
            <w:vAlign w:val="bottom"/>
            <w:tcBorders>
              <w:top w:val="single" w:sz="8" w:color="CCFFFF"/>
            </w:tcBorders>
            <w:shd w:val="clear" w:color="auto" w:fill="CCFFFF"/>
          </w:tcPr>
          <w:p>
            <w:pPr>
              <w:spacing w:after="0"/>
              <w:rPr>
                <w:sz w:val="11"/>
                <w:szCs w:val="11"/>
                <w:color w:val="auto"/>
              </w:rPr>
            </w:pPr>
          </w:p>
        </w:tc>
        <w:tc>
          <w:tcPr>
            <w:tcW w:w="800" w:type="dxa"/>
            <w:vAlign w:val="bottom"/>
            <w:tcBorders>
              <w:top w:val="single" w:sz="8" w:color="auto"/>
            </w:tcBorders>
            <w:shd w:val="clear" w:color="auto" w:fill="CCFFFF"/>
          </w:tcPr>
          <w:p>
            <w:pPr>
              <w:jc w:val="right"/>
              <w:spacing w:after="0" w:line="135" w:lineRule="exact"/>
              <w:rPr>
                <w:sz w:val="20"/>
                <w:szCs w:val="20"/>
                <w:color w:val="auto"/>
              </w:rPr>
            </w:pPr>
            <w:r>
              <w:rPr>
                <w:rFonts w:ascii="Arial" w:cs="Arial" w:eastAsia="Arial" w:hAnsi="Arial"/>
                <w:sz w:val="14"/>
                <w:szCs w:val="14"/>
                <w:color w:val="auto"/>
              </w:rPr>
              <w:t>7,920,538</w:t>
            </w:r>
          </w:p>
        </w:tc>
        <w:tc>
          <w:tcPr>
            <w:tcW w:w="40" w:type="dxa"/>
            <w:vAlign w:val="bottom"/>
            <w:tcBorders>
              <w:top w:val="single" w:sz="8" w:color="CCFFFF"/>
            </w:tcBorders>
            <w:shd w:val="clear" w:color="auto" w:fill="CCFFFF"/>
          </w:tcPr>
          <w:p>
            <w:pPr>
              <w:spacing w:after="0"/>
              <w:rPr>
                <w:sz w:val="11"/>
                <w:szCs w:val="11"/>
                <w:color w:val="auto"/>
              </w:rPr>
            </w:pPr>
          </w:p>
        </w:tc>
        <w:tc>
          <w:tcPr>
            <w:tcW w:w="400" w:type="dxa"/>
            <w:vAlign w:val="bottom"/>
            <w:tcBorders>
              <w:top w:val="single" w:sz="8" w:color="CCFFFF"/>
            </w:tcBorders>
            <w:shd w:val="clear" w:color="auto" w:fill="CCFFFF"/>
          </w:tcPr>
          <w:p>
            <w:pPr>
              <w:spacing w:after="0"/>
              <w:rPr>
                <w:sz w:val="11"/>
                <w:szCs w:val="11"/>
                <w:color w:val="auto"/>
              </w:rPr>
            </w:pPr>
          </w:p>
        </w:tc>
        <w:tc>
          <w:tcPr>
            <w:tcW w:w="640" w:type="dxa"/>
            <w:vAlign w:val="bottom"/>
            <w:tcBorders>
              <w:top w:val="single" w:sz="8" w:color="auto"/>
            </w:tcBorders>
            <w:shd w:val="clear" w:color="auto" w:fill="CCFFFF"/>
          </w:tcPr>
          <w:p>
            <w:pPr>
              <w:jc w:val="right"/>
              <w:spacing w:after="0" w:line="135" w:lineRule="exact"/>
              <w:rPr>
                <w:sz w:val="20"/>
                <w:szCs w:val="20"/>
                <w:color w:val="auto"/>
              </w:rPr>
            </w:pPr>
            <w:r>
              <w:rPr>
                <w:rFonts w:ascii="Arial" w:cs="Arial" w:eastAsia="Arial" w:hAnsi="Arial"/>
                <w:sz w:val="14"/>
                <w:szCs w:val="14"/>
                <w:color w:val="auto"/>
                <w:w w:val="88"/>
              </w:rPr>
              <w:t>27,340,365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440"/>
              <w:spacing w:after="0" w:line="149" w:lineRule="exact"/>
              <w:rPr>
                <w:sz w:val="20"/>
                <w:szCs w:val="20"/>
                <w:color w:val="auto"/>
              </w:rPr>
            </w:pPr>
            <w:r>
              <w:rPr>
                <w:rFonts w:ascii="Arial" w:cs="Arial" w:eastAsia="Arial" w:hAnsi="Arial"/>
                <w:sz w:val="14"/>
                <w:szCs w:val="14"/>
                <w:color w:val="auto"/>
              </w:rPr>
              <w:t>% of Shares Voted</w:t>
            </w:r>
          </w:p>
        </w:tc>
        <w:tc>
          <w:tcPr>
            <w:tcW w:w="9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81.88</w:t>
            </w:r>
          </w:p>
        </w:tc>
        <w:tc>
          <w:tcPr>
            <w:tcW w:w="5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248"/>
              <w:spacing w:after="0" w:line="149" w:lineRule="exact"/>
              <w:rPr>
                <w:sz w:val="20"/>
                <w:szCs w:val="20"/>
                <w:color w:val="auto"/>
              </w:rPr>
            </w:pPr>
            <w:r>
              <w:rPr>
                <w:rFonts w:ascii="Arial" w:cs="Arial" w:eastAsia="Arial" w:hAnsi="Arial"/>
                <w:sz w:val="14"/>
                <w:szCs w:val="14"/>
                <w:color w:val="auto"/>
              </w:rPr>
              <w:t>18.12%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FFFF"/>
          </w:tcPr>
          <w:p>
            <w:pPr>
              <w:spacing w:after="0" w:line="149" w:lineRule="exact"/>
              <w:rPr>
                <w:sz w:val="20"/>
                <w:szCs w:val="20"/>
                <w:color w:val="auto"/>
              </w:rPr>
            </w:pPr>
            <w:r>
              <w:rPr>
                <w:rFonts w:ascii="Arial" w:cs="Arial" w:eastAsia="Arial" w:hAnsi="Arial"/>
                <w:sz w:val="14"/>
                <w:szCs w:val="14"/>
                <w:color w:val="auto"/>
              </w:rPr>
              <w:t>Jeffrey Flug</w:t>
            </w:r>
          </w:p>
        </w:tc>
        <w:tc>
          <w:tcPr>
            <w:tcW w:w="960" w:type="dxa"/>
            <w:vAlign w:val="bottom"/>
            <w:gridSpan w:val="2"/>
            <w:shd w:val="clear" w:color="auto" w:fill="CCFFFF"/>
          </w:tcPr>
          <w:p>
            <w:pPr>
              <w:jc w:val="right"/>
              <w:ind w:right="28"/>
              <w:spacing w:after="0" w:line="149" w:lineRule="exact"/>
              <w:rPr>
                <w:sz w:val="20"/>
                <w:szCs w:val="20"/>
                <w:color w:val="auto"/>
              </w:rPr>
            </w:pPr>
            <w:r>
              <w:rPr>
                <w:rFonts w:ascii="Arial" w:cs="Arial" w:eastAsia="Arial" w:hAnsi="Arial"/>
                <w:sz w:val="14"/>
                <w:szCs w:val="14"/>
                <w:color w:val="auto"/>
              </w:rPr>
              <w:t>40,943,429</w:t>
            </w:r>
          </w:p>
        </w:tc>
        <w:tc>
          <w:tcPr>
            <w:tcW w:w="120" w:type="dxa"/>
            <w:vAlign w:val="bottom"/>
            <w:shd w:val="clear" w:color="auto" w:fill="CCFFFF"/>
          </w:tcPr>
          <w:p>
            <w:pPr>
              <w:spacing w:after="0"/>
              <w:rPr>
                <w:sz w:val="12"/>
                <w:szCs w:val="12"/>
                <w:color w:val="auto"/>
              </w:rPr>
            </w:pPr>
          </w:p>
        </w:tc>
        <w:tc>
          <w:tcPr>
            <w:tcW w:w="420" w:type="dxa"/>
            <w:vAlign w:val="bottom"/>
            <w:shd w:val="clear" w:color="auto" w:fill="CCFFFF"/>
          </w:tcPr>
          <w:p>
            <w:pPr>
              <w:spacing w:after="0"/>
              <w:rPr>
                <w:sz w:val="12"/>
                <w:szCs w:val="12"/>
                <w:color w:val="auto"/>
              </w:rPr>
            </w:pPr>
          </w:p>
        </w:tc>
        <w:tc>
          <w:tcPr>
            <w:tcW w:w="840" w:type="dxa"/>
            <w:vAlign w:val="bottom"/>
            <w:gridSpan w:val="2"/>
            <w:shd w:val="clear" w:color="auto" w:fill="CCFFFF"/>
          </w:tcPr>
          <w:p>
            <w:pPr>
              <w:jc w:val="right"/>
              <w:ind w:right="40"/>
              <w:spacing w:after="0" w:line="149" w:lineRule="exact"/>
              <w:rPr>
                <w:sz w:val="20"/>
                <w:szCs w:val="20"/>
                <w:color w:val="auto"/>
              </w:rPr>
            </w:pPr>
            <w:r>
              <w:rPr>
                <w:rFonts w:ascii="Arial" w:cs="Arial" w:eastAsia="Arial" w:hAnsi="Arial"/>
                <w:sz w:val="14"/>
                <w:szCs w:val="14"/>
                <w:color w:val="auto"/>
              </w:rPr>
              <w:t>2,777,042</w:t>
            </w:r>
          </w:p>
        </w:tc>
        <w:tc>
          <w:tcPr>
            <w:tcW w:w="400" w:type="dxa"/>
            <w:vAlign w:val="bottom"/>
            <w:shd w:val="clear" w:color="auto" w:fill="CCFFFF"/>
          </w:tcPr>
          <w:p>
            <w:pPr>
              <w:spacing w:after="0"/>
              <w:rPr>
                <w:sz w:val="12"/>
                <w:szCs w:val="12"/>
                <w:color w:val="auto"/>
              </w:rPr>
            </w:pPr>
          </w:p>
        </w:tc>
        <w:tc>
          <w:tcPr>
            <w:tcW w:w="640" w:type="dxa"/>
            <w:vAlign w:val="bottom"/>
            <w:shd w:val="clear" w:color="auto" w:fill="CCFFFF"/>
          </w:tcPr>
          <w:p>
            <w:pPr>
              <w:jc w:val="right"/>
              <w:spacing w:after="0" w:line="149" w:lineRule="exact"/>
              <w:rPr>
                <w:sz w:val="20"/>
                <w:szCs w:val="20"/>
                <w:color w:val="auto"/>
              </w:rPr>
            </w:pPr>
            <w:r>
              <w:rPr>
                <w:rFonts w:ascii="Arial" w:cs="Arial" w:eastAsia="Arial" w:hAnsi="Arial"/>
                <w:sz w:val="14"/>
                <w:szCs w:val="14"/>
                <w:color w:val="auto"/>
                <w:w w:val="88"/>
              </w:rPr>
              <w:t>27,340,365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860" w:type="dxa"/>
            <w:vAlign w:val="bottom"/>
          </w:tcPr>
          <w:p>
            <w:pPr>
              <w:ind w:left="440"/>
              <w:spacing w:after="0"/>
              <w:rPr>
                <w:sz w:val="20"/>
                <w:szCs w:val="20"/>
                <w:color w:val="auto"/>
              </w:rPr>
            </w:pPr>
            <w:r>
              <w:rPr>
                <w:rFonts w:ascii="Arial" w:cs="Arial" w:eastAsia="Arial" w:hAnsi="Arial"/>
                <w:sz w:val="14"/>
                <w:szCs w:val="14"/>
                <w:color w:val="auto"/>
              </w:rPr>
              <w:t>% of Shares Voted</w:t>
            </w:r>
          </w:p>
        </w:tc>
        <w:tc>
          <w:tcPr>
            <w:tcW w:w="960" w:type="dxa"/>
            <w:vAlign w:val="bottom"/>
            <w:gridSpan w:val="2"/>
          </w:tcPr>
          <w:p>
            <w:pPr>
              <w:jc w:val="right"/>
              <w:ind w:right="28"/>
              <w:spacing w:after="0"/>
              <w:rPr>
                <w:sz w:val="20"/>
                <w:szCs w:val="20"/>
                <w:color w:val="auto"/>
              </w:rPr>
            </w:pPr>
            <w:r>
              <w:rPr>
                <w:rFonts w:ascii="Arial" w:cs="Arial" w:eastAsia="Arial" w:hAnsi="Arial"/>
                <w:sz w:val="14"/>
                <w:szCs w:val="14"/>
                <w:color w:val="auto"/>
              </w:rPr>
              <w:t>93.65</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6.35</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7"/>
        </w:trPr>
        <w:tc>
          <w:tcPr>
            <w:tcW w:w="7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154" w:lineRule="exact"/>
        <w:rPr>
          <w:sz w:val="20"/>
          <w:szCs w:val="20"/>
          <w:color w:val="auto"/>
        </w:rPr>
      </w:pPr>
    </w:p>
    <w:p>
      <w:pPr>
        <w:ind w:firstLine="481"/>
        <w:spacing w:after="0" w:line="25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4"/>
              </w:rPr>
              <w:t>PennantPark Investment Corporation</w:t>
            </w:r>
          </w:p>
        </w:tc>
        <w:tc>
          <w:tcPr>
            <w:tcW w:w="0" w:type="dxa"/>
            <w:vAlign w:val="bottom"/>
          </w:tcPr>
          <w:p>
            <w:pPr>
              <w:spacing w:after="0"/>
              <w:rPr>
                <w:sz w:val="1"/>
                <w:szCs w:val="1"/>
                <w:color w:val="auto"/>
              </w:rPr>
            </w:pPr>
          </w:p>
        </w:tc>
      </w:tr>
      <w:tr>
        <w:trPr>
          <w:trHeight w:val="297"/>
        </w:trPr>
        <w:tc>
          <w:tcPr>
            <w:tcW w:w="5280" w:type="dxa"/>
            <w:vAlign w:val="bottom"/>
          </w:tcPr>
          <w:p>
            <w:pPr>
              <w:spacing w:after="0"/>
              <w:rPr>
                <w:sz w:val="20"/>
                <w:szCs w:val="20"/>
                <w:color w:val="auto"/>
              </w:rPr>
            </w:pPr>
            <w:r>
              <w:rPr>
                <w:rFonts w:ascii="Arial" w:cs="Arial" w:eastAsia="Arial" w:hAnsi="Arial"/>
                <w:sz w:val="14"/>
                <w:szCs w:val="14"/>
                <w:color w:val="auto"/>
              </w:rPr>
              <w:t>Date: March 16, 2018</w:t>
            </w:r>
          </w:p>
        </w:tc>
        <w:tc>
          <w:tcPr>
            <w:tcW w:w="4460" w:type="dxa"/>
            <w:vAlign w:val="bottom"/>
            <w:vMerge w:val="restart"/>
          </w:tcPr>
          <w:p>
            <w:pPr>
              <w:jc w:val="center"/>
              <w:spacing w:after="0"/>
              <w:rPr>
                <w:sz w:val="20"/>
                <w:szCs w:val="20"/>
                <w:color w:val="auto"/>
              </w:rPr>
            </w:pPr>
            <w:r>
              <w:rPr>
                <w:rFonts w:ascii="Arial" w:cs="Arial" w:eastAsia="Arial" w:hAnsi="Arial"/>
                <w:sz w:val="14"/>
                <w:szCs w:val="14"/>
                <w:color w:val="auto"/>
                <w:w w:val="97"/>
              </w:rPr>
              <w:t>/s/ AVIV EFRAT</w:t>
            </w:r>
          </w:p>
        </w:tc>
        <w:tc>
          <w:tcPr>
            <w:tcW w:w="0" w:type="dxa"/>
            <w:vAlign w:val="bottom"/>
          </w:tcPr>
          <w:p>
            <w:pPr>
              <w:spacing w:after="0"/>
              <w:rPr>
                <w:sz w:val="1"/>
                <w:szCs w:val="1"/>
                <w:color w:val="auto"/>
              </w:rPr>
            </w:pPr>
          </w:p>
        </w:tc>
      </w:tr>
      <w:tr>
        <w:trPr>
          <w:trHeight w:val="58"/>
        </w:trPr>
        <w:tc>
          <w:tcPr>
            <w:tcW w:w="5280" w:type="dxa"/>
            <w:vAlign w:val="bottom"/>
          </w:tcPr>
          <w:p>
            <w:pPr>
              <w:spacing w:after="0"/>
              <w:rPr>
                <w:sz w:val="4"/>
                <w:szCs w:val="4"/>
                <w:color w:val="auto"/>
              </w:rPr>
            </w:pPr>
          </w:p>
        </w:tc>
        <w:tc>
          <w:tcPr>
            <w:tcW w:w="44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Arial" w:cs="Arial" w:eastAsia="Arial" w:hAnsi="Arial"/>
                <w:sz w:val="14"/>
                <w:szCs w:val="14"/>
                <w:color w:val="auto"/>
              </w:rPr>
              <w:t>Aviv Efrat</w:t>
            </w:r>
          </w:p>
        </w:tc>
        <w:tc>
          <w:tcPr>
            <w:tcW w:w="0" w:type="dxa"/>
            <w:vAlign w:val="bottom"/>
          </w:tcPr>
          <w:p>
            <w:pPr>
              <w:spacing w:after="0"/>
              <w:rPr>
                <w:sz w:val="1"/>
                <w:szCs w:val="1"/>
                <w:color w:val="auto"/>
              </w:rPr>
            </w:pPr>
          </w:p>
        </w:tc>
      </w:tr>
      <w:tr>
        <w:trPr>
          <w:trHeight w:val="182"/>
        </w:trPr>
        <w:tc>
          <w:tcPr>
            <w:tcW w:w="5280" w:type="dxa"/>
            <w:vAlign w:val="bottom"/>
          </w:tcPr>
          <w:p>
            <w:pPr>
              <w:spacing w:after="0"/>
              <w:rPr>
                <w:sz w:val="15"/>
                <w:szCs w:val="15"/>
                <w:color w:val="auto"/>
              </w:rPr>
            </w:pPr>
          </w:p>
        </w:tc>
        <w:tc>
          <w:tcPr>
            <w:tcW w:w="4460" w:type="dxa"/>
            <w:vAlign w:val="bottom"/>
          </w:tcPr>
          <w:p>
            <w:pPr>
              <w:jc w:val="center"/>
              <w:spacing w:after="0"/>
              <w:rPr>
                <w:sz w:val="20"/>
                <w:szCs w:val="20"/>
                <w:color w:val="auto"/>
              </w:rPr>
            </w:pPr>
            <w:r>
              <w:rPr>
                <w:rFonts w:ascii="Arial" w:cs="Arial" w:eastAsia="Arial" w:hAnsi="Arial"/>
                <w:sz w:val="14"/>
                <w:szCs w:val="14"/>
                <w:color w:val="auto"/>
                <w:w w:val="95"/>
              </w:rPr>
              <w:t>Chief Financial Officer &amp; 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60"/>
      </w:cols>
      <w:pgMar w:left="320" w:top="48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2020-05-05T15:19:58Z</dcterms:created>
  <dcterms:modified xsi:type="dcterms:W3CDTF">2020-05-05T15:19:58Z</dcterms:modified>
</cp:coreProperties>
</file>