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7"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SECURITIES AND EXCHANGE COMMISSION</w:t>
      </w: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71"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CURRENT REPORT</w:t>
      </w:r>
    </w:p>
    <w:p>
      <w:pPr>
        <w:spacing w:after="0" w:line="17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1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Exchange Act of 1934</w:t>
      </w:r>
    </w:p>
    <w:p>
      <w:pPr>
        <w:spacing w:after="0" w:line="15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February 8, 2022</w:t>
      </w:r>
    </w:p>
    <w:p>
      <w:pPr>
        <w:spacing w:after="0" w:line="18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jc w:val="center"/>
        <w:ind w:right="-99"/>
        <w:spacing w:after="0"/>
        <w:rPr>
          <w:sz w:val="20"/>
          <w:szCs w:val="20"/>
          <w:color w:val="auto"/>
        </w:rPr>
      </w:pPr>
      <w:r>
        <w:rPr>
          <w:rFonts w:ascii="Arial" w:cs="Arial" w:eastAsia="Arial" w:hAnsi="Arial"/>
          <w:sz w:val="31"/>
          <w:szCs w:val="31"/>
          <w:b w:val="1"/>
          <w:bCs w:val="1"/>
          <w:color w:val="auto"/>
        </w:rPr>
        <w:t>PennantPark Investment Corporation</w:t>
      </w:r>
    </w:p>
    <w:p>
      <w:pPr>
        <w:spacing w:after="0" w:line="24"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780" w:type="dxa"/>
        <w:tblCellMar>
          <w:top w:w="0" w:type="dxa"/>
          <w:left w:w="0" w:type="dxa"/>
          <w:bottom w:w="0" w:type="dxa"/>
          <w:right w:w="0" w:type="dxa"/>
        </w:tblCellMar>
      </w:tblPr>
      <w:tr>
        <w:trPr>
          <w:trHeight w:val="177"/>
        </w:trPr>
        <w:tc>
          <w:tcPr>
            <w:tcW w:w="3820" w:type="dxa"/>
            <w:vAlign w:val="bottom"/>
          </w:tcPr>
          <w:p>
            <w:pPr>
              <w:jc w:val="center"/>
              <w:ind w:right="1535"/>
              <w:spacing w:after="0"/>
              <w:rPr>
                <w:sz w:val="20"/>
                <w:szCs w:val="20"/>
                <w:color w:val="auto"/>
              </w:rPr>
            </w:pPr>
            <w:r>
              <w:rPr>
                <w:rFonts w:ascii="Arial" w:cs="Arial" w:eastAsia="Arial" w:hAnsi="Arial"/>
                <w:sz w:val="14"/>
                <w:szCs w:val="14"/>
                <w:b w:val="1"/>
                <w:bCs w:val="1"/>
                <w:color w:val="auto"/>
              </w:rPr>
              <w:t>Maryland</w:t>
            </w:r>
          </w:p>
        </w:tc>
        <w:tc>
          <w:tcPr>
            <w:tcW w:w="2600" w:type="dxa"/>
            <w:vAlign w:val="bottom"/>
          </w:tcPr>
          <w:p>
            <w:pPr>
              <w:jc w:val="right"/>
              <w:ind w:right="1195"/>
              <w:spacing w:after="0"/>
              <w:rPr>
                <w:sz w:val="20"/>
                <w:szCs w:val="20"/>
                <w:color w:val="auto"/>
              </w:rPr>
            </w:pPr>
            <w:r>
              <w:rPr>
                <w:rFonts w:ascii="Arial" w:cs="Arial" w:eastAsia="Arial" w:hAnsi="Arial"/>
                <w:sz w:val="14"/>
                <w:szCs w:val="14"/>
                <w:b w:val="1"/>
                <w:bCs w:val="1"/>
                <w:color w:val="auto"/>
              </w:rPr>
              <w:t>814-00736</w:t>
            </w:r>
          </w:p>
        </w:tc>
        <w:tc>
          <w:tcPr>
            <w:tcW w:w="3020" w:type="dxa"/>
            <w:vAlign w:val="bottom"/>
          </w:tcPr>
          <w:p>
            <w:pPr>
              <w:jc w:val="right"/>
              <w:ind w:right="431"/>
              <w:spacing w:after="0"/>
              <w:rPr>
                <w:sz w:val="20"/>
                <w:szCs w:val="20"/>
                <w:color w:val="auto"/>
              </w:rPr>
            </w:pPr>
            <w:r>
              <w:rPr>
                <w:rFonts w:ascii="Arial" w:cs="Arial" w:eastAsia="Arial" w:hAnsi="Arial"/>
                <w:sz w:val="14"/>
                <w:szCs w:val="14"/>
                <w:b w:val="1"/>
                <w:bCs w:val="1"/>
                <w:color w:val="auto"/>
              </w:rPr>
              <w:t>20-8250744</w:t>
            </w:r>
          </w:p>
        </w:tc>
      </w:tr>
      <w:tr>
        <w:trPr>
          <w:trHeight w:val="150"/>
        </w:trPr>
        <w:tc>
          <w:tcPr>
            <w:tcW w:w="3820" w:type="dxa"/>
            <w:vAlign w:val="bottom"/>
          </w:tcPr>
          <w:p>
            <w:pPr>
              <w:jc w:val="center"/>
              <w:ind w:right="1535"/>
              <w:spacing w:after="0"/>
              <w:rPr>
                <w:sz w:val="20"/>
                <w:szCs w:val="20"/>
                <w:color w:val="auto"/>
              </w:rPr>
            </w:pPr>
            <w:r>
              <w:rPr>
                <w:rFonts w:ascii="Arial" w:cs="Arial" w:eastAsia="Arial" w:hAnsi="Arial"/>
                <w:sz w:val="12"/>
                <w:szCs w:val="12"/>
                <w:b w:val="1"/>
                <w:bCs w:val="1"/>
                <w:color w:val="auto"/>
                <w:w w:val="89"/>
              </w:rPr>
              <w:t>(State or other jurisdiction of incorporation)</w:t>
            </w:r>
          </w:p>
        </w:tc>
        <w:tc>
          <w:tcPr>
            <w:tcW w:w="2600" w:type="dxa"/>
            <w:vAlign w:val="bottom"/>
          </w:tcPr>
          <w:p>
            <w:pPr>
              <w:jc w:val="center"/>
              <w:ind w:right="475"/>
              <w:spacing w:after="0"/>
              <w:rPr>
                <w:sz w:val="20"/>
                <w:szCs w:val="20"/>
                <w:color w:val="auto"/>
              </w:rPr>
            </w:pPr>
            <w:r>
              <w:rPr>
                <w:rFonts w:ascii="Arial" w:cs="Arial" w:eastAsia="Arial" w:hAnsi="Arial"/>
                <w:sz w:val="12"/>
                <w:szCs w:val="12"/>
                <w:b w:val="1"/>
                <w:bCs w:val="1"/>
                <w:color w:val="auto"/>
                <w:w w:val="87"/>
              </w:rPr>
              <w:t>(Commission File Number)</w:t>
            </w:r>
          </w:p>
        </w:tc>
        <w:tc>
          <w:tcPr>
            <w:tcW w:w="3020" w:type="dxa"/>
            <w:vAlign w:val="bottom"/>
          </w:tcPr>
          <w:p>
            <w:pPr>
              <w:jc w:val="center"/>
              <w:ind w:left="1251"/>
              <w:spacing w:after="0"/>
              <w:rPr>
                <w:sz w:val="20"/>
                <w:szCs w:val="20"/>
                <w:color w:val="auto"/>
              </w:rPr>
            </w:pPr>
            <w:r>
              <w:rPr>
                <w:rFonts w:ascii="Arial" w:cs="Arial" w:eastAsia="Arial" w:hAnsi="Arial"/>
                <w:sz w:val="12"/>
                <w:szCs w:val="12"/>
                <w:b w:val="1"/>
                <w:bCs w:val="1"/>
                <w:color w:val="auto"/>
                <w:w w:val="91"/>
              </w:rPr>
              <w:t>(IRS Employer Identification No.)</w:t>
            </w:r>
          </w:p>
        </w:tc>
      </w:tr>
      <w:tr>
        <w:trPr>
          <w:trHeight w:val="483"/>
        </w:trPr>
        <w:tc>
          <w:tcPr>
            <w:tcW w:w="3820" w:type="dxa"/>
            <w:vAlign w:val="bottom"/>
          </w:tcPr>
          <w:p>
            <w:pPr>
              <w:jc w:val="center"/>
              <w:ind w:left="195"/>
              <w:spacing w:after="0"/>
              <w:rPr>
                <w:sz w:val="20"/>
                <w:szCs w:val="20"/>
                <w:color w:val="auto"/>
              </w:rPr>
            </w:pPr>
            <w:r>
              <w:rPr>
                <w:rFonts w:ascii="Arial" w:cs="Arial" w:eastAsia="Arial" w:hAnsi="Arial"/>
                <w:sz w:val="14"/>
                <w:szCs w:val="14"/>
                <w:b w:val="1"/>
                <w:bCs w:val="1"/>
                <w:color w:val="auto"/>
                <w:w w:val="95"/>
              </w:rPr>
              <w:t>1691 Michigan Avenue, Miami Beach, Florida</w:t>
            </w:r>
          </w:p>
        </w:tc>
        <w:tc>
          <w:tcPr>
            <w:tcW w:w="2600" w:type="dxa"/>
            <w:vAlign w:val="bottom"/>
          </w:tcPr>
          <w:p>
            <w:pPr>
              <w:spacing w:after="0"/>
              <w:rPr>
                <w:sz w:val="24"/>
                <w:szCs w:val="24"/>
                <w:color w:val="auto"/>
              </w:rPr>
            </w:pPr>
          </w:p>
        </w:tc>
        <w:tc>
          <w:tcPr>
            <w:tcW w:w="3020" w:type="dxa"/>
            <w:vAlign w:val="bottom"/>
          </w:tcPr>
          <w:p>
            <w:pPr>
              <w:jc w:val="right"/>
              <w:ind w:right="1531"/>
              <w:spacing w:after="0"/>
              <w:rPr>
                <w:sz w:val="20"/>
                <w:szCs w:val="20"/>
                <w:color w:val="auto"/>
              </w:rPr>
            </w:pPr>
            <w:r>
              <w:rPr>
                <w:rFonts w:ascii="Arial" w:cs="Arial" w:eastAsia="Arial" w:hAnsi="Arial"/>
                <w:sz w:val="14"/>
                <w:szCs w:val="14"/>
                <w:b w:val="1"/>
                <w:bCs w:val="1"/>
                <w:color w:val="auto"/>
              </w:rPr>
              <w:t>33319</w:t>
            </w:r>
          </w:p>
        </w:tc>
      </w:tr>
      <w:tr>
        <w:trPr>
          <w:trHeight w:val="186"/>
        </w:trPr>
        <w:tc>
          <w:tcPr>
            <w:tcW w:w="3820" w:type="dxa"/>
            <w:vAlign w:val="bottom"/>
          </w:tcPr>
          <w:p>
            <w:pPr>
              <w:jc w:val="center"/>
              <w:ind w:left="195"/>
              <w:spacing w:after="0"/>
              <w:rPr>
                <w:sz w:val="20"/>
                <w:szCs w:val="20"/>
                <w:color w:val="auto"/>
              </w:rPr>
            </w:pPr>
            <w:r>
              <w:rPr>
                <w:rFonts w:ascii="Arial" w:cs="Arial" w:eastAsia="Arial" w:hAnsi="Arial"/>
                <w:sz w:val="12"/>
                <w:szCs w:val="12"/>
                <w:b w:val="1"/>
                <w:bCs w:val="1"/>
                <w:color w:val="auto"/>
                <w:w w:val="85"/>
              </w:rPr>
              <w:t>(Address of principal executive offices)</w:t>
            </w:r>
          </w:p>
        </w:tc>
        <w:tc>
          <w:tcPr>
            <w:tcW w:w="2600" w:type="dxa"/>
            <w:vAlign w:val="bottom"/>
          </w:tcPr>
          <w:p>
            <w:pPr>
              <w:spacing w:after="0"/>
              <w:rPr>
                <w:sz w:val="16"/>
                <w:szCs w:val="16"/>
                <w:color w:val="auto"/>
              </w:rPr>
            </w:pPr>
          </w:p>
        </w:tc>
        <w:tc>
          <w:tcPr>
            <w:tcW w:w="3020" w:type="dxa"/>
            <w:vAlign w:val="bottom"/>
          </w:tcPr>
          <w:p>
            <w:pPr>
              <w:jc w:val="center"/>
              <w:ind w:right="491"/>
              <w:spacing w:after="0"/>
              <w:rPr>
                <w:sz w:val="20"/>
                <w:szCs w:val="20"/>
                <w:color w:val="auto"/>
              </w:rPr>
            </w:pPr>
            <w:r>
              <w:rPr>
                <w:rFonts w:ascii="Arial" w:cs="Arial" w:eastAsia="Arial" w:hAnsi="Arial"/>
                <w:sz w:val="14"/>
                <w:szCs w:val="14"/>
                <w:b w:val="1"/>
                <w:bCs w:val="1"/>
                <w:color w:val="auto"/>
                <w:w w:val="95"/>
              </w:rPr>
              <w:t>(Zip Code)</w:t>
            </w:r>
          </w:p>
        </w:tc>
      </w:tr>
    </w:tbl>
    <w:p>
      <w:pPr>
        <w:spacing w:after="0" w:line="313"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212-905-1000</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2"/>
          <w:szCs w:val="12"/>
          <w:b w:val="1"/>
          <w:bCs w:val="1"/>
          <w:color w:val="auto"/>
        </w:rPr>
        <w:t>(Registrant’s telephone number, including area code)</w:t>
      </w:r>
    </w:p>
    <w:p>
      <w:pPr>
        <w:ind w:left="4620"/>
        <w:spacing w:after="0"/>
        <w:rPr>
          <w:sz w:val="20"/>
          <w:szCs w:val="20"/>
          <w:color w:val="auto"/>
        </w:rPr>
      </w:pPr>
      <w:r>
        <w:rPr>
          <w:rFonts w:ascii="Arial" w:cs="Arial" w:eastAsia="Arial" w:hAnsi="Arial"/>
          <w:sz w:val="14"/>
          <w:szCs w:val="14"/>
          <w:b w:val="1"/>
          <w:bCs w:val="1"/>
          <w:color w:val="auto"/>
        </w:rPr>
        <w:t>590 Madison Avenue, 15th Floor</w:t>
      </w:r>
    </w:p>
    <w:p>
      <w:pPr>
        <w:ind w:left="4760"/>
        <w:spacing w:after="0"/>
        <w:rPr>
          <w:sz w:val="20"/>
          <w:szCs w:val="20"/>
          <w:color w:val="auto"/>
        </w:rPr>
      </w:pPr>
      <w:r>
        <w:rPr>
          <w:rFonts w:ascii="Arial" w:cs="Arial" w:eastAsia="Arial" w:hAnsi="Arial"/>
          <w:sz w:val="14"/>
          <w:szCs w:val="14"/>
          <w:b w:val="1"/>
          <w:bCs w:val="1"/>
          <w:color w:val="auto"/>
        </w:rPr>
        <w:t>New York, New York 10022</w:t>
      </w:r>
    </w:p>
    <w:p>
      <w:pPr>
        <w:jc w:val="center"/>
        <w:ind w:right="-99"/>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ind w:left="480"/>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217" w:lineRule="exact"/>
        <w:rPr>
          <w:sz w:val="24"/>
          <w:szCs w:val="24"/>
          <w:color w:val="auto"/>
        </w:rPr>
      </w:pPr>
    </w:p>
    <w:p>
      <w:pPr>
        <w:ind w:left="480"/>
        <w:spacing w:after="0"/>
        <w:rPr>
          <w:sz w:val="20"/>
          <w:szCs w:val="20"/>
          <w:color w:val="auto"/>
        </w:rPr>
      </w:pPr>
      <w:r>
        <w:rPr>
          <w:rFonts w:ascii="Arial" w:cs="Arial" w:eastAsia="Arial" w:hAnsi="Arial"/>
          <w:sz w:val="14"/>
          <w:szCs w:val="14"/>
          <w:color w:val="auto"/>
        </w:rPr>
        <w:t>Written communications pursuant to Rule 425 under the Securities Act (17 CFR 230.425)</w:t>
      </w:r>
    </w:p>
    <w:p>
      <w:pPr>
        <w:spacing w:after="0" w:line="217" w:lineRule="exact"/>
        <w:rPr>
          <w:sz w:val="24"/>
          <w:szCs w:val="24"/>
          <w:color w:val="auto"/>
        </w:rPr>
      </w:pPr>
    </w:p>
    <w:p>
      <w:pPr>
        <w:ind w:left="480"/>
        <w:spacing w:after="0"/>
        <w:rPr>
          <w:sz w:val="20"/>
          <w:szCs w:val="20"/>
          <w:color w:val="auto"/>
        </w:rPr>
      </w:pPr>
      <w:r>
        <w:rPr>
          <w:rFonts w:ascii="Arial" w:cs="Arial" w:eastAsia="Arial" w:hAnsi="Arial"/>
          <w:sz w:val="14"/>
          <w:szCs w:val="14"/>
          <w:color w:val="auto"/>
        </w:rPr>
        <w:t>Soliciting material pursuant to Rule 14a-12 under the Exchange Act (17 CFR 240.14a-12)</w:t>
      </w:r>
    </w:p>
    <w:p>
      <w:pPr>
        <w:spacing w:after="0" w:line="217" w:lineRule="exact"/>
        <w:rPr>
          <w:sz w:val="24"/>
          <w:szCs w:val="24"/>
          <w:color w:val="auto"/>
        </w:rPr>
      </w:pPr>
    </w:p>
    <w:p>
      <w:pPr>
        <w:ind w:left="480"/>
        <w:spacing w:after="0"/>
        <w:rPr>
          <w:sz w:val="20"/>
          <w:szCs w:val="20"/>
          <w:color w:val="auto"/>
        </w:rPr>
      </w:pPr>
      <w:r>
        <w:rPr>
          <w:rFonts w:ascii="Arial" w:cs="Arial" w:eastAsia="Arial" w:hAnsi="Arial"/>
          <w:sz w:val="14"/>
          <w:szCs w:val="14"/>
          <w:color w:val="auto"/>
        </w:rPr>
        <w:t>Pre-commencement communications pursuant to Rule 14d-2(b) under the Exchange Act (17 CFR 240.14d-2(b))</w:t>
      </w:r>
    </w:p>
    <w:p>
      <w:pPr>
        <w:spacing w:after="0" w:line="217" w:lineRule="exact"/>
        <w:rPr>
          <w:sz w:val="24"/>
          <w:szCs w:val="24"/>
          <w:color w:val="auto"/>
        </w:rPr>
      </w:pPr>
    </w:p>
    <w:p>
      <w:pPr>
        <w:ind w:left="480"/>
        <w:spacing w:after="0"/>
        <w:rPr>
          <w:sz w:val="20"/>
          <w:szCs w:val="20"/>
          <w:color w:val="auto"/>
        </w:rPr>
      </w:pPr>
      <w:r>
        <w:rPr>
          <w:rFonts w:ascii="Arial" w:cs="Arial" w:eastAsia="Arial" w:hAnsi="Arial"/>
          <w:sz w:val="14"/>
          <w:szCs w:val="14"/>
          <w:color w:val="auto"/>
        </w:rPr>
        <w:t>Pre-commencement communications pursuant to Rule 13e-4(c) under the Exchange Act (17 CFR 240.13e-4(c))</w:t>
      </w:r>
    </w:p>
    <w:p>
      <w:pPr>
        <w:spacing w:after="0" w:line="204"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240" w:lineRule="exact"/>
        <w:rPr>
          <w:sz w:val="24"/>
          <w:szCs w:val="24"/>
          <w:color w:val="auto"/>
        </w:rPr>
      </w:pPr>
    </w:p>
    <w:p>
      <w:pPr>
        <w:ind w:left="1000" w:right="720" w:firstLine="670"/>
        <w:spacing w:after="0" w:line="299" w:lineRule="auto"/>
        <w:rPr>
          <w:sz w:val="20"/>
          <w:szCs w:val="20"/>
          <w:color w:val="auto"/>
        </w:rPr>
      </w:pPr>
      <w:r>
        <w:rPr>
          <w:rFonts w:ascii="Arial" w:cs="Arial" w:eastAsia="Arial" w:hAnsi="Arial"/>
          <w:sz w:val="14"/>
          <w:szCs w:val="14"/>
          <w:b w:val="1"/>
          <w:bCs w:val="1"/>
          <w:color w:val="auto"/>
        </w:rPr>
        <w:t xml:space="preserve">Title of Each Class Trading Symbol(s) Name of Each Exchange on Which Registered </w:t>
      </w:r>
      <w:r>
        <w:rPr>
          <w:rFonts w:ascii="Arial" w:cs="Arial" w:eastAsia="Arial" w:hAnsi="Arial"/>
          <w:sz w:val="14"/>
          <w:szCs w:val="14"/>
          <w:color w:val="auto"/>
        </w:rPr>
        <w:t>Common Stock, par value $0.001 per share PNNT The Nasdaq Stock Market LLC</w:t>
      </w:r>
    </w:p>
    <w:p>
      <w:pPr>
        <w:spacing w:after="0" w:line="143"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(17 CFR § 230.405) or Rule 12b-2 of the Securities Exchange Act of 1934 (17 CFR § 240.12b-2).</w:t>
      </w:r>
    </w:p>
    <w:p>
      <w:pPr>
        <w:spacing w:after="0" w:line="133"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231" w:lineRule="exact"/>
        <w:rPr>
          <w:sz w:val="24"/>
          <w:szCs w:val="24"/>
          <w:color w:val="auto"/>
        </w:rPr>
      </w:pPr>
    </w:p>
    <w:p>
      <w:pPr>
        <w:ind w:right="48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276860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00" w:right="419" w:bottom="1440" w:gutter="0" w:footer="0" w:header="0"/>
        </w:sectPr>
      </w:pPr>
    </w:p>
    <w:bookmarkStart w:id="1" w:name="page2"/>
    <w:bookmarkEnd w:id="1"/>
    <w:p>
      <w:pPr>
        <w:ind w:left="20"/>
        <w:spacing w:after="0"/>
        <w:tabs>
          <w:tab w:leader="none" w:pos="1140" w:val="left"/>
        </w:tabs>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t>Item 5.07</w:t>
      </w:r>
      <w:r>
        <w:rPr>
          <w:sz w:val="20"/>
          <w:szCs w:val="20"/>
          <w:color w:val="auto"/>
        </w:rPr>
        <w:tab/>
      </w:r>
      <w:r>
        <w:rPr>
          <w:rFonts w:ascii="Arial" w:cs="Arial" w:eastAsia="Arial" w:hAnsi="Arial"/>
          <w:sz w:val="12"/>
          <w:szCs w:val="12"/>
          <w:b w:val="1"/>
          <w:bCs w:val="1"/>
          <w:color w:val="auto"/>
        </w:rPr>
        <w:t>Submission of Matters to a Vote of Security Holders</w:t>
      </w:r>
    </w:p>
    <w:p>
      <w:pPr>
        <w:spacing w:after="0" w:line="59" w:lineRule="exact"/>
        <w:rPr>
          <w:sz w:val="20"/>
          <w:szCs w:val="20"/>
          <w:color w:val="auto"/>
        </w:rPr>
      </w:pPr>
    </w:p>
    <w:p>
      <w:pPr>
        <w:jc w:val="both"/>
        <w:ind w:right="220" w:firstLine="509"/>
        <w:spacing w:after="0" w:line="286" w:lineRule="auto"/>
        <w:rPr>
          <w:sz w:val="20"/>
          <w:szCs w:val="20"/>
          <w:color w:val="auto"/>
        </w:rPr>
      </w:pPr>
      <w:r>
        <w:rPr>
          <w:rFonts w:ascii="Arial" w:cs="Arial" w:eastAsia="Arial" w:hAnsi="Arial"/>
          <w:sz w:val="13"/>
          <w:szCs w:val="13"/>
          <w:color w:val="auto"/>
        </w:rPr>
        <w:t>On February 8, 2022, PennantPark Investment Corporation (the “Company”) held its annual meeting of stockholders (the “Annual Meeting”) and submitted two matters to the vote of stockholders. The proposals are described in detail in the Company’s definitive proxy statement filed with the Securities and Exchange Commission on December 9, 2021. As of December 1, 2021, the record date, 67,045,105 shares of common stock were eligible to vote. A summary of the matters voted upon by the stockholders is set forth below.</w:t>
      </w:r>
    </w:p>
    <w:p>
      <w:pPr>
        <w:spacing w:after="0" w:line="5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Proposal 1. </w:t>
      </w:r>
      <w:r>
        <w:rPr>
          <w:rFonts w:ascii="Arial" w:cs="Arial" w:eastAsia="Arial" w:hAnsi="Arial"/>
          <w:sz w:val="13"/>
          <w:szCs w:val="13"/>
          <w:color w:val="auto"/>
        </w:rPr>
        <w:t>The Company’s stockholders elected one Class III director of the Company, who will serve until the 2025 Annual Meeting and until his successor is duly elected and qualifies.</w:t>
      </w:r>
    </w:p>
    <w:p>
      <w:pPr>
        <w:spacing w:after="0" w:line="12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voting results as of February 8, 2022, as certified by the inspector of election, are set forth below:</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780" w:type="dxa"/>
            <w:vAlign w:val="bottom"/>
          </w:tcPr>
          <w:p>
            <w:pPr>
              <w:ind w:left="20"/>
              <w:spacing w:after="0"/>
              <w:rPr>
                <w:sz w:val="20"/>
                <w:szCs w:val="20"/>
                <w:color w:val="auto"/>
              </w:rPr>
            </w:pPr>
            <w:r>
              <w:rPr>
                <w:rFonts w:ascii="Arial" w:cs="Arial" w:eastAsia="Arial" w:hAnsi="Arial"/>
                <w:sz w:val="14"/>
                <w:szCs w:val="14"/>
                <w:color w:val="auto"/>
              </w:rPr>
              <w:t>Name</w:t>
            </w:r>
          </w:p>
        </w:tc>
        <w:tc>
          <w:tcPr>
            <w:tcW w:w="360" w:type="dxa"/>
            <w:vAlign w:val="bottom"/>
          </w:tcPr>
          <w:p>
            <w:pPr>
              <w:spacing w:after="0"/>
              <w:rPr>
                <w:sz w:val="15"/>
                <w:szCs w:val="15"/>
                <w:color w:val="auto"/>
              </w:rPr>
            </w:pPr>
          </w:p>
        </w:tc>
        <w:tc>
          <w:tcPr>
            <w:tcW w:w="2140" w:type="dxa"/>
            <w:vAlign w:val="bottom"/>
            <w:gridSpan w:val="2"/>
          </w:tcPr>
          <w:p>
            <w:pPr>
              <w:jc w:val="right"/>
              <w:ind w:right="1240"/>
              <w:spacing w:after="0"/>
              <w:rPr>
                <w:sz w:val="20"/>
                <w:szCs w:val="20"/>
                <w:color w:val="auto"/>
              </w:rPr>
            </w:pPr>
            <w:r>
              <w:rPr>
                <w:rFonts w:ascii="Arial" w:cs="Arial" w:eastAsia="Arial" w:hAnsi="Arial"/>
                <w:sz w:val="14"/>
                <w:szCs w:val="14"/>
                <w:color w:val="auto"/>
              </w:rPr>
              <w:t>For</w:t>
            </w:r>
          </w:p>
        </w:tc>
        <w:tc>
          <w:tcPr>
            <w:tcW w:w="2160" w:type="dxa"/>
            <w:vAlign w:val="bottom"/>
            <w:gridSpan w:val="2"/>
          </w:tcPr>
          <w:p>
            <w:pPr>
              <w:jc w:val="right"/>
              <w:ind w:right="1140"/>
              <w:spacing w:after="0"/>
              <w:rPr>
                <w:sz w:val="20"/>
                <w:szCs w:val="20"/>
                <w:color w:val="auto"/>
              </w:rPr>
            </w:pPr>
            <w:r>
              <w:rPr>
                <w:rFonts w:ascii="Arial" w:cs="Arial" w:eastAsia="Arial" w:hAnsi="Arial"/>
                <w:sz w:val="14"/>
                <w:szCs w:val="14"/>
                <w:color w:val="auto"/>
              </w:rPr>
              <w:t>Against</w:t>
            </w:r>
          </w:p>
        </w:tc>
        <w:tc>
          <w:tcPr>
            <w:tcW w:w="2080" w:type="dxa"/>
            <w:vAlign w:val="bottom"/>
            <w:gridSpan w:val="2"/>
          </w:tcPr>
          <w:p>
            <w:pPr>
              <w:jc w:val="right"/>
              <w:ind w:right="1080"/>
              <w:spacing w:after="0"/>
              <w:rPr>
                <w:sz w:val="20"/>
                <w:szCs w:val="20"/>
                <w:color w:val="auto"/>
              </w:rPr>
            </w:pPr>
            <w:r>
              <w:rPr>
                <w:rFonts w:ascii="Arial" w:cs="Arial" w:eastAsia="Arial" w:hAnsi="Arial"/>
                <w:sz w:val="14"/>
                <w:szCs w:val="14"/>
                <w:color w:val="auto"/>
              </w:rPr>
              <w:t>Abstain</w:t>
            </w:r>
          </w:p>
        </w:tc>
        <w:tc>
          <w:tcPr>
            <w:tcW w:w="1680" w:type="dxa"/>
            <w:vAlign w:val="bottom"/>
          </w:tcPr>
          <w:p>
            <w:pPr>
              <w:jc w:val="right"/>
              <w:ind w:right="268"/>
              <w:spacing w:after="0"/>
              <w:rPr>
                <w:sz w:val="20"/>
                <w:szCs w:val="20"/>
                <w:color w:val="auto"/>
              </w:rPr>
            </w:pPr>
            <w:r>
              <w:rPr>
                <w:rFonts w:ascii="Arial" w:cs="Arial" w:eastAsia="Arial" w:hAnsi="Arial"/>
                <w:sz w:val="14"/>
                <w:szCs w:val="14"/>
                <w:color w:val="auto"/>
              </w:rPr>
              <w:t>Broker Non-Vote</w:t>
            </w:r>
          </w:p>
        </w:tc>
        <w:tc>
          <w:tcPr>
            <w:tcW w:w="40" w:type="dxa"/>
            <w:vAlign w:val="bottom"/>
          </w:tcPr>
          <w:p>
            <w:pPr>
              <w:spacing w:after="0"/>
              <w:rPr>
                <w:sz w:val="15"/>
                <w:szCs w:val="15"/>
                <w:color w:val="auto"/>
              </w:rPr>
            </w:pPr>
          </w:p>
        </w:tc>
      </w:tr>
      <w:tr>
        <w:trPr>
          <w:trHeight w:val="169"/>
        </w:trPr>
        <w:tc>
          <w:tcPr>
            <w:tcW w:w="2780" w:type="dxa"/>
            <w:vAlign w:val="bottom"/>
            <w:tcBorders>
              <w:top w:val="single" w:sz="8" w:color="auto"/>
            </w:tcBorders>
            <w:shd w:val="clear" w:color="auto" w:fill="BDD7EE"/>
          </w:tcPr>
          <w:p>
            <w:pPr>
              <w:ind w:left="20"/>
              <w:spacing w:after="0"/>
              <w:rPr>
                <w:sz w:val="20"/>
                <w:szCs w:val="20"/>
                <w:color w:val="auto"/>
              </w:rPr>
            </w:pPr>
            <w:r>
              <w:rPr>
                <w:rFonts w:ascii="Arial" w:cs="Arial" w:eastAsia="Arial" w:hAnsi="Arial"/>
                <w:sz w:val="14"/>
                <w:szCs w:val="14"/>
                <w:color w:val="auto"/>
              </w:rPr>
              <w:t>Arthur H. Penn</w:t>
            </w:r>
          </w:p>
        </w:tc>
        <w:tc>
          <w:tcPr>
            <w:tcW w:w="360" w:type="dxa"/>
            <w:vAlign w:val="bottom"/>
            <w:shd w:val="clear" w:color="auto" w:fill="BDD7EE"/>
          </w:tcPr>
          <w:p>
            <w:pPr>
              <w:spacing w:after="0"/>
              <w:rPr>
                <w:sz w:val="14"/>
                <w:szCs w:val="14"/>
                <w:color w:val="auto"/>
              </w:rPr>
            </w:pPr>
          </w:p>
        </w:tc>
        <w:tc>
          <w:tcPr>
            <w:tcW w:w="1600" w:type="dxa"/>
            <w:vAlign w:val="bottom"/>
            <w:tcBorders>
              <w:top w:val="single" w:sz="8" w:color="auto"/>
            </w:tcBorders>
            <w:shd w:val="clear" w:color="auto" w:fill="BDD7EE"/>
          </w:tcPr>
          <w:p>
            <w:pPr>
              <w:jc w:val="right"/>
              <w:spacing w:after="0"/>
              <w:rPr>
                <w:sz w:val="20"/>
                <w:szCs w:val="20"/>
                <w:color w:val="auto"/>
              </w:rPr>
            </w:pPr>
            <w:r>
              <w:rPr>
                <w:rFonts w:ascii="Arial" w:cs="Arial" w:eastAsia="Arial" w:hAnsi="Arial"/>
                <w:sz w:val="14"/>
                <w:szCs w:val="14"/>
                <w:color w:val="auto"/>
              </w:rPr>
              <w:t>23,235,377</w:t>
            </w:r>
          </w:p>
        </w:tc>
        <w:tc>
          <w:tcPr>
            <w:tcW w:w="540" w:type="dxa"/>
            <w:vAlign w:val="bottom"/>
            <w:shd w:val="clear" w:color="auto" w:fill="BDD7EE"/>
          </w:tcPr>
          <w:p>
            <w:pPr>
              <w:spacing w:after="0"/>
              <w:rPr>
                <w:sz w:val="14"/>
                <w:szCs w:val="14"/>
                <w:color w:val="auto"/>
              </w:rPr>
            </w:pPr>
          </w:p>
        </w:tc>
        <w:tc>
          <w:tcPr>
            <w:tcW w:w="1600" w:type="dxa"/>
            <w:vAlign w:val="bottom"/>
            <w:tcBorders>
              <w:top w:val="single" w:sz="8" w:color="auto"/>
            </w:tcBorders>
            <w:shd w:val="clear" w:color="auto" w:fill="BDD7EE"/>
          </w:tcPr>
          <w:p>
            <w:pPr>
              <w:jc w:val="right"/>
              <w:spacing w:after="0"/>
              <w:rPr>
                <w:sz w:val="20"/>
                <w:szCs w:val="20"/>
                <w:color w:val="auto"/>
              </w:rPr>
            </w:pPr>
            <w:r>
              <w:rPr>
                <w:rFonts w:ascii="Arial" w:cs="Arial" w:eastAsia="Arial" w:hAnsi="Arial"/>
                <w:sz w:val="14"/>
                <w:szCs w:val="14"/>
                <w:color w:val="auto"/>
              </w:rPr>
              <w:t>5,697,889</w:t>
            </w:r>
          </w:p>
        </w:tc>
        <w:tc>
          <w:tcPr>
            <w:tcW w:w="560" w:type="dxa"/>
            <w:vAlign w:val="bottom"/>
            <w:shd w:val="clear" w:color="auto" w:fill="BDD7EE"/>
          </w:tcPr>
          <w:p>
            <w:pPr>
              <w:spacing w:after="0"/>
              <w:rPr>
                <w:sz w:val="14"/>
                <w:szCs w:val="14"/>
                <w:color w:val="auto"/>
              </w:rPr>
            </w:pPr>
          </w:p>
        </w:tc>
        <w:tc>
          <w:tcPr>
            <w:tcW w:w="1560" w:type="dxa"/>
            <w:vAlign w:val="bottom"/>
            <w:tcBorders>
              <w:top w:val="single" w:sz="8" w:color="auto"/>
            </w:tcBorders>
            <w:shd w:val="clear" w:color="auto" w:fill="BDD7EE"/>
          </w:tcPr>
          <w:p>
            <w:pPr>
              <w:jc w:val="right"/>
              <w:spacing w:after="0"/>
              <w:rPr>
                <w:sz w:val="20"/>
                <w:szCs w:val="20"/>
                <w:color w:val="auto"/>
              </w:rPr>
            </w:pPr>
            <w:r>
              <w:rPr>
                <w:rFonts w:ascii="Arial" w:cs="Arial" w:eastAsia="Arial" w:hAnsi="Arial"/>
                <w:sz w:val="14"/>
                <w:szCs w:val="14"/>
                <w:color w:val="auto"/>
              </w:rPr>
              <w:t>196,374</w:t>
            </w:r>
          </w:p>
        </w:tc>
        <w:tc>
          <w:tcPr>
            <w:tcW w:w="520" w:type="dxa"/>
            <w:vAlign w:val="bottom"/>
            <w:shd w:val="clear" w:color="auto" w:fill="BDD7EE"/>
          </w:tcPr>
          <w:p>
            <w:pPr>
              <w:spacing w:after="0"/>
              <w:rPr>
                <w:sz w:val="14"/>
                <w:szCs w:val="14"/>
                <w:color w:val="auto"/>
              </w:rPr>
            </w:pPr>
          </w:p>
        </w:tc>
        <w:tc>
          <w:tcPr>
            <w:tcW w:w="1680" w:type="dxa"/>
            <w:vAlign w:val="bottom"/>
            <w:tcBorders>
              <w:top w:val="single" w:sz="8" w:color="auto"/>
            </w:tcBorders>
            <w:shd w:val="clear" w:color="auto" w:fill="BDD7EE"/>
          </w:tcPr>
          <w:p>
            <w:pPr>
              <w:jc w:val="right"/>
              <w:spacing w:after="0"/>
              <w:rPr>
                <w:sz w:val="20"/>
                <w:szCs w:val="20"/>
                <w:color w:val="auto"/>
              </w:rPr>
            </w:pPr>
            <w:r>
              <w:rPr>
                <w:rFonts w:ascii="Arial" w:cs="Arial" w:eastAsia="Arial" w:hAnsi="Arial"/>
                <w:sz w:val="14"/>
                <w:szCs w:val="14"/>
                <w:color w:val="auto"/>
              </w:rPr>
              <w:t>20,507,239</w:t>
            </w:r>
          </w:p>
        </w:tc>
        <w:tc>
          <w:tcPr>
            <w:tcW w:w="40" w:type="dxa"/>
            <w:vAlign w:val="bottom"/>
            <w:shd w:val="clear" w:color="auto" w:fill="BDD7EE"/>
          </w:tcPr>
          <w:p>
            <w:pPr>
              <w:spacing w:after="0"/>
              <w:rPr>
                <w:sz w:val="14"/>
                <w:szCs w:val="14"/>
                <w:color w:val="auto"/>
              </w:rPr>
            </w:pPr>
          </w:p>
        </w:tc>
      </w:tr>
      <w:tr>
        <w:trPr>
          <w:trHeight w:val="182"/>
        </w:trPr>
        <w:tc>
          <w:tcPr>
            <w:tcW w:w="2780" w:type="dxa"/>
            <w:vAlign w:val="bottom"/>
          </w:tcPr>
          <w:p>
            <w:pPr>
              <w:ind w:left="300"/>
              <w:spacing w:after="0"/>
              <w:rPr>
                <w:sz w:val="20"/>
                <w:szCs w:val="20"/>
                <w:color w:val="auto"/>
              </w:rPr>
            </w:pPr>
            <w:r>
              <w:rPr>
                <w:rFonts w:ascii="Arial" w:cs="Arial" w:eastAsia="Arial" w:hAnsi="Arial"/>
                <w:sz w:val="14"/>
                <w:szCs w:val="14"/>
                <w:color w:val="auto"/>
              </w:rPr>
              <w:t>% of Shares Voted</w:t>
            </w:r>
          </w:p>
        </w:tc>
        <w:tc>
          <w:tcPr>
            <w:tcW w:w="2500" w:type="dxa"/>
            <w:vAlign w:val="bottom"/>
            <w:gridSpan w:val="3"/>
          </w:tcPr>
          <w:p>
            <w:pPr>
              <w:jc w:val="right"/>
              <w:ind w:right="420"/>
              <w:spacing w:after="0"/>
              <w:rPr>
                <w:sz w:val="20"/>
                <w:szCs w:val="20"/>
                <w:color w:val="auto"/>
              </w:rPr>
            </w:pPr>
            <w:r>
              <w:rPr>
                <w:rFonts w:ascii="Arial" w:cs="Arial" w:eastAsia="Arial" w:hAnsi="Arial"/>
                <w:sz w:val="14"/>
                <w:szCs w:val="14"/>
                <w:color w:val="auto"/>
              </w:rPr>
              <w:t>79.77 %</w:t>
            </w:r>
          </w:p>
        </w:tc>
        <w:tc>
          <w:tcPr>
            <w:tcW w:w="2160" w:type="dxa"/>
            <w:vAlign w:val="bottom"/>
            <w:gridSpan w:val="2"/>
          </w:tcPr>
          <w:p>
            <w:pPr>
              <w:jc w:val="right"/>
              <w:ind w:right="420"/>
              <w:spacing w:after="0"/>
              <w:rPr>
                <w:sz w:val="20"/>
                <w:szCs w:val="20"/>
                <w:color w:val="auto"/>
              </w:rPr>
            </w:pPr>
            <w:r>
              <w:rPr>
                <w:rFonts w:ascii="Arial" w:cs="Arial" w:eastAsia="Arial" w:hAnsi="Arial"/>
                <w:sz w:val="14"/>
                <w:szCs w:val="14"/>
                <w:color w:val="auto"/>
              </w:rPr>
              <w:t>19.56 %</w:t>
            </w:r>
          </w:p>
        </w:tc>
        <w:tc>
          <w:tcPr>
            <w:tcW w:w="2080" w:type="dxa"/>
            <w:vAlign w:val="bottom"/>
            <w:gridSpan w:val="2"/>
          </w:tcPr>
          <w:p>
            <w:pPr>
              <w:jc w:val="right"/>
              <w:ind w:right="380"/>
              <w:spacing w:after="0"/>
              <w:rPr>
                <w:sz w:val="20"/>
                <w:szCs w:val="20"/>
                <w:color w:val="auto"/>
              </w:rPr>
            </w:pPr>
            <w:r>
              <w:rPr>
                <w:rFonts w:ascii="Arial" w:cs="Arial" w:eastAsia="Arial" w:hAnsi="Arial"/>
                <w:sz w:val="14"/>
                <w:szCs w:val="14"/>
                <w:color w:val="auto"/>
              </w:rPr>
              <w:t>0.67 %</w:t>
            </w:r>
          </w:p>
        </w:tc>
        <w:tc>
          <w:tcPr>
            <w:tcW w:w="1680" w:type="dxa"/>
            <w:vAlign w:val="bottom"/>
          </w:tcPr>
          <w:p>
            <w:pPr>
              <w:jc w:val="right"/>
              <w:spacing w:after="0"/>
              <w:rPr>
                <w:sz w:val="20"/>
                <w:szCs w:val="20"/>
                <w:color w:val="auto"/>
              </w:rPr>
            </w:pPr>
            <w:r>
              <w:rPr>
                <w:rFonts w:ascii="Arial" w:cs="Arial" w:eastAsia="Arial" w:hAnsi="Arial"/>
                <w:sz w:val="14"/>
                <w:szCs w:val="14"/>
                <w:color w:val="auto"/>
              </w:rPr>
              <w:t>N/A</w:t>
            </w:r>
          </w:p>
        </w:tc>
        <w:tc>
          <w:tcPr>
            <w:tcW w:w="40" w:type="dxa"/>
            <w:vAlign w:val="bottom"/>
          </w:tcPr>
          <w:p>
            <w:pPr>
              <w:spacing w:after="0"/>
              <w:rPr>
                <w:sz w:val="15"/>
                <w:szCs w:val="15"/>
                <w:color w:val="auto"/>
              </w:rPr>
            </w:pPr>
          </w:p>
        </w:tc>
      </w:tr>
    </w:tbl>
    <w:p>
      <w:pPr>
        <w:spacing w:after="0" w:line="281" w:lineRule="exact"/>
        <w:rPr>
          <w:sz w:val="20"/>
          <w:szCs w:val="20"/>
          <w:color w:val="auto"/>
        </w:rPr>
      </w:pPr>
    </w:p>
    <w:p>
      <w:pPr>
        <w:ind w:right="60"/>
        <w:spacing w:after="0" w:line="279" w:lineRule="auto"/>
        <w:rPr>
          <w:sz w:val="20"/>
          <w:szCs w:val="20"/>
          <w:color w:val="auto"/>
        </w:rPr>
      </w:pPr>
      <w:r>
        <w:rPr>
          <w:rFonts w:ascii="Arial" w:cs="Arial" w:eastAsia="Arial" w:hAnsi="Arial"/>
          <w:sz w:val="14"/>
          <w:szCs w:val="14"/>
          <w:b w:val="1"/>
          <w:bCs w:val="1"/>
          <w:color w:val="auto"/>
        </w:rPr>
        <w:t xml:space="preserve">Proposal 2. </w:t>
      </w:r>
      <w:r>
        <w:rPr>
          <w:rFonts w:ascii="Arial" w:cs="Arial" w:eastAsia="Arial" w:hAnsi="Arial"/>
          <w:sz w:val="14"/>
          <w:szCs w:val="14"/>
          <w:color w:val="auto"/>
        </w:rPr>
        <w:t>The Company’s stockholders ratified the selection of RSM US LLP to serve as the Company’s independent registered public accounting firm for the year ending September 30, 2022</w:t>
      </w:r>
      <w:r>
        <w:rPr>
          <w:rFonts w:ascii="Arial" w:cs="Arial" w:eastAsia="Arial" w:hAnsi="Arial"/>
          <w:sz w:val="14"/>
          <w:szCs w:val="14"/>
          <w:b w:val="1"/>
          <w:bCs w:val="1"/>
          <w:color w:val="auto"/>
        </w:rPr>
        <w:t xml:space="preserve"> </w:t>
      </w:r>
      <w:r>
        <w:rPr>
          <w:rFonts w:ascii="Arial" w:cs="Arial" w:eastAsia="Arial" w:hAnsi="Arial"/>
          <w:sz w:val="14"/>
          <w:szCs w:val="14"/>
          <w:color w:val="auto"/>
        </w:rPr>
        <w:t>.</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voting results as of February 8, 2022, as certified by the inspector of election, are set forth below:</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860" w:type="dxa"/>
            <w:vAlign w:val="bottom"/>
          </w:tcPr>
          <w:p>
            <w:pPr>
              <w:spacing w:after="0"/>
              <w:rPr>
                <w:sz w:val="15"/>
                <w:szCs w:val="15"/>
                <w:color w:val="auto"/>
              </w:rPr>
            </w:pPr>
          </w:p>
        </w:tc>
        <w:tc>
          <w:tcPr>
            <w:tcW w:w="1220" w:type="dxa"/>
            <w:vAlign w:val="bottom"/>
          </w:tcPr>
          <w:p>
            <w:pPr>
              <w:ind w:left="900"/>
              <w:spacing w:after="0"/>
              <w:rPr>
                <w:sz w:val="20"/>
                <w:szCs w:val="20"/>
                <w:color w:val="auto"/>
              </w:rPr>
            </w:pPr>
            <w:r>
              <w:rPr>
                <w:rFonts w:ascii="Arial" w:cs="Arial" w:eastAsia="Arial" w:hAnsi="Arial"/>
                <w:sz w:val="14"/>
                <w:szCs w:val="14"/>
                <w:color w:val="auto"/>
              </w:rPr>
              <w:t>For</w:t>
            </w:r>
          </w:p>
        </w:tc>
        <w:tc>
          <w:tcPr>
            <w:tcW w:w="7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60" w:type="dxa"/>
            <w:vAlign w:val="bottom"/>
          </w:tcPr>
          <w:p>
            <w:pPr>
              <w:ind w:left="780"/>
              <w:spacing w:after="0"/>
              <w:rPr>
                <w:sz w:val="20"/>
                <w:szCs w:val="20"/>
                <w:color w:val="auto"/>
              </w:rPr>
            </w:pPr>
            <w:r>
              <w:rPr>
                <w:rFonts w:ascii="Arial" w:cs="Arial" w:eastAsia="Arial" w:hAnsi="Arial"/>
                <w:sz w:val="14"/>
                <w:szCs w:val="14"/>
                <w:color w:val="auto"/>
              </w:rPr>
              <w:t>Against</w:t>
            </w: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160" w:type="dxa"/>
            <w:vAlign w:val="bottom"/>
            <w:gridSpan w:val="2"/>
          </w:tcPr>
          <w:p>
            <w:pPr>
              <w:jc w:val="right"/>
              <w:ind w:right="940"/>
              <w:spacing w:after="0"/>
              <w:rPr>
                <w:sz w:val="20"/>
                <w:szCs w:val="20"/>
                <w:color w:val="auto"/>
              </w:rPr>
            </w:pPr>
            <w:r>
              <w:rPr>
                <w:rFonts w:ascii="Arial" w:cs="Arial" w:eastAsia="Arial" w:hAnsi="Arial"/>
                <w:sz w:val="14"/>
                <w:szCs w:val="14"/>
                <w:color w:val="auto"/>
              </w:rPr>
              <w:t>Abstain</w:t>
            </w:r>
          </w:p>
        </w:tc>
      </w:tr>
      <w:tr>
        <w:trPr>
          <w:trHeight w:val="169"/>
        </w:trPr>
        <w:tc>
          <w:tcPr>
            <w:tcW w:w="3860" w:type="dxa"/>
            <w:vAlign w:val="bottom"/>
            <w:shd w:val="clear" w:color="auto" w:fill="BDD7EE"/>
          </w:tcPr>
          <w:p>
            <w:pPr>
              <w:ind w:left="20"/>
              <w:spacing w:after="0"/>
              <w:rPr>
                <w:sz w:val="20"/>
                <w:szCs w:val="20"/>
                <w:color w:val="auto"/>
              </w:rPr>
            </w:pPr>
            <w:r>
              <w:rPr>
                <w:rFonts w:ascii="Arial" w:cs="Arial" w:eastAsia="Arial" w:hAnsi="Arial"/>
                <w:sz w:val="14"/>
                <w:szCs w:val="14"/>
                <w:color w:val="auto"/>
              </w:rPr>
              <w:t>Shares Voted</w:t>
            </w:r>
          </w:p>
        </w:tc>
        <w:tc>
          <w:tcPr>
            <w:tcW w:w="1220" w:type="dxa"/>
            <w:vAlign w:val="bottom"/>
            <w:tcBorders>
              <w:top w:val="single" w:sz="8" w:color="auto"/>
            </w:tcBorders>
            <w:shd w:val="clear" w:color="auto" w:fill="BDD7EE"/>
          </w:tcPr>
          <w:p>
            <w:pPr>
              <w:spacing w:after="0"/>
              <w:rPr>
                <w:sz w:val="14"/>
                <w:szCs w:val="14"/>
                <w:color w:val="auto"/>
              </w:rPr>
            </w:pPr>
          </w:p>
        </w:tc>
        <w:tc>
          <w:tcPr>
            <w:tcW w:w="780" w:type="dxa"/>
            <w:vAlign w:val="bottom"/>
            <w:tcBorders>
              <w:top w:val="single" w:sz="8" w:color="auto"/>
            </w:tcBorders>
            <w:shd w:val="clear" w:color="auto" w:fill="BDD7EE"/>
          </w:tcPr>
          <w:p>
            <w:pPr>
              <w:jc w:val="right"/>
              <w:spacing w:after="0"/>
              <w:rPr>
                <w:sz w:val="20"/>
                <w:szCs w:val="20"/>
                <w:color w:val="auto"/>
              </w:rPr>
            </w:pPr>
            <w:r>
              <w:rPr>
                <w:rFonts w:ascii="Arial" w:cs="Arial" w:eastAsia="Arial" w:hAnsi="Arial"/>
                <w:sz w:val="14"/>
                <w:szCs w:val="14"/>
                <w:color w:val="auto"/>
              </w:rPr>
              <w:t>49,165,952</w:t>
            </w:r>
          </w:p>
        </w:tc>
        <w:tc>
          <w:tcPr>
            <w:tcW w:w="620" w:type="dxa"/>
            <w:vAlign w:val="bottom"/>
            <w:shd w:val="clear" w:color="auto" w:fill="BDD7EE"/>
          </w:tcPr>
          <w:p>
            <w:pPr>
              <w:spacing w:after="0"/>
              <w:rPr>
                <w:sz w:val="14"/>
                <w:szCs w:val="14"/>
                <w:color w:val="auto"/>
              </w:rPr>
            </w:pPr>
          </w:p>
        </w:tc>
        <w:tc>
          <w:tcPr>
            <w:tcW w:w="1360" w:type="dxa"/>
            <w:vAlign w:val="bottom"/>
            <w:tcBorders>
              <w:top w:val="single" w:sz="8" w:color="auto"/>
            </w:tcBorders>
            <w:shd w:val="clear" w:color="auto" w:fill="BDD7EE"/>
          </w:tcPr>
          <w:p>
            <w:pPr>
              <w:spacing w:after="0"/>
              <w:rPr>
                <w:sz w:val="14"/>
                <w:szCs w:val="14"/>
                <w:color w:val="auto"/>
              </w:rPr>
            </w:pPr>
          </w:p>
        </w:tc>
        <w:tc>
          <w:tcPr>
            <w:tcW w:w="640" w:type="dxa"/>
            <w:vAlign w:val="bottom"/>
            <w:tcBorders>
              <w:top w:val="single" w:sz="8" w:color="auto"/>
            </w:tcBorders>
            <w:shd w:val="clear" w:color="auto" w:fill="BDD7EE"/>
          </w:tcPr>
          <w:p>
            <w:pPr>
              <w:jc w:val="right"/>
              <w:spacing w:after="0"/>
              <w:rPr>
                <w:sz w:val="20"/>
                <w:szCs w:val="20"/>
                <w:color w:val="auto"/>
              </w:rPr>
            </w:pPr>
            <w:r>
              <w:rPr>
                <w:rFonts w:ascii="Arial" w:cs="Arial" w:eastAsia="Arial" w:hAnsi="Arial"/>
                <w:sz w:val="14"/>
                <w:szCs w:val="14"/>
                <w:color w:val="auto"/>
              </w:rPr>
              <w:t>281,258</w:t>
            </w:r>
          </w:p>
        </w:tc>
        <w:tc>
          <w:tcPr>
            <w:tcW w:w="600" w:type="dxa"/>
            <w:vAlign w:val="bottom"/>
            <w:shd w:val="clear" w:color="auto" w:fill="BDD7EE"/>
          </w:tcPr>
          <w:p>
            <w:pPr>
              <w:spacing w:after="0"/>
              <w:rPr>
                <w:sz w:val="14"/>
                <w:szCs w:val="14"/>
                <w:color w:val="auto"/>
              </w:rPr>
            </w:pPr>
          </w:p>
        </w:tc>
        <w:tc>
          <w:tcPr>
            <w:tcW w:w="1980" w:type="dxa"/>
            <w:vAlign w:val="bottom"/>
            <w:tcBorders>
              <w:top w:val="single" w:sz="8" w:color="auto"/>
            </w:tcBorders>
            <w:shd w:val="clear" w:color="auto" w:fill="BDD7EE"/>
          </w:tcPr>
          <w:p>
            <w:pPr>
              <w:jc w:val="right"/>
              <w:spacing w:after="0"/>
              <w:rPr>
                <w:sz w:val="20"/>
                <w:szCs w:val="20"/>
                <w:color w:val="auto"/>
              </w:rPr>
            </w:pPr>
            <w:r>
              <w:rPr>
                <w:rFonts w:ascii="Arial" w:cs="Arial" w:eastAsia="Arial" w:hAnsi="Arial"/>
                <w:sz w:val="14"/>
                <w:szCs w:val="14"/>
                <w:color w:val="auto"/>
              </w:rPr>
              <w:t>189,669</w:t>
            </w:r>
          </w:p>
        </w:tc>
        <w:tc>
          <w:tcPr>
            <w:tcW w:w="180" w:type="dxa"/>
            <w:vAlign w:val="bottom"/>
            <w:shd w:val="clear" w:color="auto" w:fill="BDD7EE"/>
          </w:tcPr>
          <w:p>
            <w:pPr>
              <w:spacing w:after="0"/>
              <w:rPr>
                <w:sz w:val="14"/>
                <w:szCs w:val="14"/>
                <w:color w:val="auto"/>
              </w:rPr>
            </w:pPr>
          </w:p>
        </w:tc>
      </w:tr>
      <w:tr>
        <w:trPr>
          <w:trHeight w:val="182"/>
        </w:trPr>
        <w:tc>
          <w:tcPr>
            <w:tcW w:w="5080" w:type="dxa"/>
            <w:vAlign w:val="bottom"/>
            <w:gridSpan w:val="2"/>
          </w:tcPr>
          <w:p>
            <w:pPr>
              <w:ind w:left="1180"/>
              <w:spacing w:after="0"/>
              <w:rPr>
                <w:sz w:val="20"/>
                <w:szCs w:val="20"/>
                <w:color w:val="auto"/>
              </w:rPr>
            </w:pPr>
            <w:r>
              <w:rPr>
                <w:rFonts w:ascii="Arial" w:cs="Arial" w:eastAsia="Arial" w:hAnsi="Arial"/>
                <w:sz w:val="14"/>
                <w:szCs w:val="14"/>
                <w:color w:val="auto"/>
              </w:rPr>
              <w:t>% of Shares Voted</w:t>
            </w:r>
          </w:p>
        </w:tc>
        <w:tc>
          <w:tcPr>
            <w:tcW w:w="1400" w:type="dxa"/>
            <w:vAlign w:val="bottom"/>
            <w:gridSpan w:val="2"/>
          </w:tcPr>
          <w:p>
            <w:pPr>
              <w:jc w:val="right"/>
              <w:ind w:right="480"/>
              <w:spacing w:after="0"/>
              <w:rPr>
                <w:sz w:val="20"/>
                <w:szCs w:val="20"/>
                <w:color w:val="auto"/>
              </w:rPr>
            </w:pPr>
            <w:r>
              <w:rPr>
                <w:rFonts w:ascii="Arial" w:cs="Arial" w:eastAsia="Arial" w:hAnsi="Arial"/>
                <w:sz w:val="14"/>
                <w:szCs w:val="14"/>
                <w:color w:val="auto"/>
              </w:rPr>
              <w:t>99.05 %</w:t>
            </w:r>
          </w:p>
        </w:tc>
        <w:tc>
          <w:tcPr>
            <w:tcW w:w="1360" w:type="dxa"/>
            <w:vAlign w:val="bottom"/>
          </w:tcPr>
          <w:p>
            <w:pPr>
              <w:spacing w:after="0"/>
              <w:rPr>
                <w:sz w:val="15"/>
                <w:szCs w:val="15"/>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4"/>
                <w:szCs w:val="14"/>
                <w:color w:val="auto"/>
              </w:rPr>
              <w:t>0.57 %</w:t>
            </w:r>
          </w:p>
        </w:tc>
        <w:tc>
          <w:tcPr>
            <w:tcW w:w="2160" w:type="dxa"/>
            <w:vAlign w:val="bottom"/>
            <w:gridSpan w:val="2"/>
          </w:tcPr>
          <w:p>
            <w:pPr>
              <w:jc w:val="right"/>
              <w:ind w:right="40"/>
              <w:spacing w:after="0"/>
              <w:rPr>
                <w:sz w:val="20"/>
                <w:szCs w:val="20"/>
                <w:color w:val="auto"/>
              </w:rPr>
            </w:pPr>
            <w:r>
              <w:rPr>
                <w:rFonts w:ascii="Arial" w:cs="Arial" w:eastAsia="Arial" w:hAnsi="Arial"/>
                <w:sz w:val="14"/>
                <w:szCs w:val="14"/>
                <w:color w:val="auto"/>
              </w:rPr>
              <w:t>0.38 %</w:t>
            </w:r>
          </w:p>
        </w:tc>
      </w:tr>
      <w:tr>
        <w:trPr>
          <w:trHeight w:val="729"/>
        </w:trPr>
        <w:tc>
          <w:tcPr>
            <w:tcW w:w="38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4"/>
          <w:szCs w:val="14"/>
          <w:b w:val="1"/>
          <w:bCs w:val="1"/>
          <w:color w:val="auto"/>
        </w:rPr>
        <w:t>SIGNATURE</w:t>
      </w:r>
    </w:p>
    <w:p>
      <w:pPr>
        <w:spacing w:after="0" w:line="181" w:lineRule="exact"/>
        <w:rPr>
          <w:sz w:val="20"/>
          <w:szCs w:val="20"/>
          <w:color w:val="auto"/>
        </w:rPr>
      </w:pPr>
    </w:p>
    <w:p>
      <w:pPr>
        <w:ind w:firstLine="481"/>
        <w:spacing w:after="0" w:line="273" w:lineRule="auto"/>
        <w:rPr>
          <w:sz w:val="20"/>
          <w:szCs w:val="20"/>
          <w:color w:val="auto"/>
        </w:rPr>
      </w:pPr>
      <w:r>
        <w:rPr>
          <w:rFonts w:ascii="Arial" w:cs="Arial" w:eastAsia="Arial" w:hAnsi="Arial"/>
          <w:sz w:val="14"/>
          <w:szCs w:val="14"/>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7500"/>
        <w:spacing w:after="0"/>
        <w:rPr>
          <w:sz w:val="20"/>
          <w:szCs w:val="20"/>
          <w:color w:val="auto"/>
        </w:rPr>
      </w:pPr>
      <w:r>
        <w:rPr>
          <w:rFonts w:ascii="Arial" w:cs="Arial" w:eastAsia="Arial" w:hAnsi="Arial"/>
          <w:sz w:val="14"/>
          <w:szCs w:val="14"/>
          <w:b w:val="1"/>
          <w:bCs w:val="1"/>
          <w:color w:val="auto"/>
        </w:rPr>
        <w:t>PennantPark Investment Corporation</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14"/>
          <w:szCs w:val="14"/>
          <w:color w:val="auto"/>
        </w:rPr>
        <w:t>Date: February 14, 2022</w:t>
      </w:r>
    </w:p>
    <w:p>
      <w:pPr>
        <w:ind w:left="7940"/>
        <w:spacing w:after="0"/>
        <w:rPr>
          <w:sz w:val="20"/>
          <w:szCs w:val="20"/>
          <w:color w:val="auto"/>
        </w:rPr>
      </w:pPr>
      <w:r>
        <w:rPr>
          <w:rFonts w:ascii="Arial" w:cs="Arial" w:eastAsia="Arial" w:hAnsi="Arial"/>
          <w:sz w:val="14"/>
          <w:szCs w:val="14"/>
          <w:color w:val="auto"/>
        </w:rPr>
        <w:t>/s/ RICHARD CHEUNG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-3175</wp:posOffset>
            </wp:positionV>
            <wp:extent cx="325755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63" w:lineRule="exact"/>
        <w:rPr>
          <w:sz w:val="20"/>
          <w:szCs w:val="20"/>
          <w:color w:val="auto"/>
        </w:rPr>
      </w:pPr>
    </w:p>
    <w:p>
      <w:pPr>
        <w:ind w:left="8200"/>
        <w:spacing w:after="0"/>
        <w:rPr>
          <w:sz w:val="20"/>
          <w:szCs w:val="20"/>
          <w:color w:val="auto"/>
        </w:rPr>
      </w:pPr>
      <w:r>
        <w:rPr>
          <w:rFonts w:ascii="Arial" w:cs="Arial" w:eastAsia="Arial" w:hAnsi="Arial"/>
          <w:sz w:val="14"/>
          <w:szCs w:val="14"/>
          <w:color w:val="auto"/>
        </w:rPr>
        <w:t>Richard Cheung</w:t>
      </w:r>
    </w:p>
    <w:p>
      <w:pPr>
        <w:ind w:left="7620"/>
        <w:spacing w:after="0"/>
        <w:rPr>
          <w:sz w:val="20"/>
          <w:szCs w:val="20"/>
          <w:color w:val="auto"/>
        </w:rPr>
      </w:pPr>
      <w:r>
        <w:rPr>
          <w:rFonts w:ascii="Arial" w:cs="Arial" w:eastAsia="Arial" w:hAnsi="Arial"/>
          <w:sz w:val="14"/>
          <w:szCs w:val="14"/>
          <w:color w:val="auto"/>
        </w:rPr>
        <w:t>Chief Financial Officer &amp;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060"/>
      </w:cols>
      <w:pgMar w:left="320" w:top="319"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2022-02-14T16:35:40Z</dcterms:created>
  <dcterms:modified xsi:type="dcterms:W3CDTF">2022-02-14T16:35:40Z</dcterms:modified>
</cp:coreProperties>
</file>