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22"/>
          <w:szCs w:val="22"/>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2096770</wp:posOffset>
            </wp:positionH>
            <wp:positionV relativeFrom="paragraph">
              <wp:posOffset>132715</wp:posOffset>
            </wp:positionV>
            <wp:extent cx="2957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957195" cy="8890"/>
                    </a:xfrm>
                    <a:prstGeom prst="rect">
                      <a:avLst/>
                    </a:prstGeom>
                    <a:noFill/>
                  </pic:spPr>
                </pic:pic>
              </a:graphicData>
            </a:graphic>
          </wp:anchor>
        </w:drawing>
      </w:r>
    </w:p>
    <w:p>
      <w:pPr>
        <w:spacing w:after="0" w:line="392" w:lineRule="exact"/>
        <w:rPr>
          <w:sz w:val="24"/>
          <w:szCs w:val="24"/>
          <w:color w:val="auto"/>
        </w:rPr>
      </w:pPr>
    </w:p>
    <w:p>
      <w:pPr>
        <w:ind w:left="5100"/>
        <w:spacing w:after="0"/>
        <w:rPr>
          <w:sz w:val="20"/>
          <w:szCs w:val="20"/>
          <w:color w:val="auto"/>
        </w:rPr>
      </w:pPr>
      <w:r>
        <w:rPr>
          <w:rFonts w:ascii="Arial" w:cs="Arial" w:eastAsia="Arial" w:hAnsi="Arial"/>
          <w:sz w:val="22"/>
          <w:szCs w:val="22"/>
          <w:b w:val="1"/>
          <w:bCs w:val="1"/>
          <w:color w:val="auto"/>
        </w:rPr>
        <w:t>FORM 8-K</w:t>
      </w:r>
    </w:p>
    <w:p>
      <w:pPr>
        <w:spacing w:after="0" w:line="206" w:lineRule="exact"/>
        <w:rPr>
          <w:sz w:val="24"/>
          <w:szCs w:val="24"/>
          <w:color w:val="auto"/>
        </w:rPr>
      </w:pPr>
    </w:p>
    <w:p>
      <w:pPr>
        <w:ind w:left="4620"/>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ind w:left="39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Exchange Act of 1934</w:t>
      </w:r>
    </w:p>
    <w:p>
      <w:pPr>
        <w:spacing w:after="0" w:line="223" w:lineRule="exact"/>
        <w:rPr>
          <w:sz w:val="24"/>
          <w:szCs w:val="24"/>
          <w:color w:val="auto"/>
        </w:rPr>
      </w:pPr>
    </w:p>
    <w:p>
      <w:pPr>
        <w:ind w:left="4260"/>
        <w:spacing w:after="0"/>
        <w:rPr>
          <w:sz w:val="20"/>
          <w:szCs w:val="20"/>
          <w:color w:val="auto"/>
        </w:rPr>
      </w:pPr>
      <w:r>
        <w:rPr>
          <w:rFonts w:ascii="Arial" w:cs="Arial" w:eastAsia="Arial" w:hAnsi="Arial"/>
          <w:sz w:val="22"/>
          <w:szCs w:val="22"/>
          <w:b w:val="1"/>
          <w:bCs w:val="1"/>
          <w:color w:val="auto"/>
        </w:rPr>
        <w:t>Date of Report: June 03, 2014</w:t>
      </w:r>
    </w:p>
    <w:p>
      <w:pPr>
        <w:spacing w:after="0" w:line="14" w:lineRule="exact"/>
        <w:rPr>
          <w:sz w:val="24"/>
          <w:szCs w:val="24"/>
          <w:color w:val="auto"/>
        </w:rPr>
      </w:pPr>
    </w:p>
    <w:p>
      <w:pPr>
        <w:ind w:left="4240"/>
        <w:spacing w:after="0"/>
        <w:rPr>
          <w:sz w:val="20"/>
          <w:szCs w:val="20"/>
          <w:color w:val="auto"/>
        </w:rPr>
      </w:pPr>
      <w:r>
        <w:rPr>
          <w:rFonts w:ascii="Arial" w:cs="Arial" w:eastAsia="Arial" w:hAnsi="Arial"/>
          <w:sz w:val="22"/>
          <w:szCs w:val="22"/>
          <w:color w:val="auto"/>
        </w:rPr>
        <w:t>(Date of earliest event reported)</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PennantPark Investment Corporation</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(Exact name of registrant as specified in its charter)</w:t>
      </w:r>
    </w:p>
    <w:p>
      <w:pPr>
        <w:spacing w:after="0" w:line="205"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4620" w:type="dxa"/>
            <w:vAlign w:val="bottom"/>
          </w:tcPr>
          <w:p>
            <w:pPr>
              <w:jc w:val="center"/>
              <w:ind w:right="72"/>
              <w:spacing w:after="0"/>
              <w:rPr>
                <w:sz w:val="20"/>
                <w:szCs w:val="20"/>
                <w:color w:val="auto"/>
              </w:rPr>
            </w:pPr>
            <w:r>
              <w:rPr>
                <w:rFonts w:ascii="Arial" w:cs="Arial" w:eastAsia="Arial" w:hAnsi="Arial"/>
                <w:sz w:val="22"/>
                <w:szCs w:val="22"/>
                <w:b w:val="1"/>
                <w:bCs w:val="1"/>
                <w:color w:val="auto"/>
                <w:w w:val="95"/>
              </w:rPr>
              <w:t>Maryland</w:t>
            </w:r>
          </w:p>
        </w:tc>
        <w:tc>
          <w:tcPr>
            <w:tcW w:w="2540" w:type="dxa"/>
            <w:vAlign w:val="bottom"/>
          </w:tcPr>
          <w:p>
            <w:pPr>
              <w:jc w:val="center"/>
              <w:ind w:right="492"/>
              <w:spacing w:after="0"/>
              <w:rPr>
                <w:sz w:val="20"/>
                <w:szCs w:val="20"/>
                <w:color w:val="auto"/>
              </w:rPr>
            </w:pPr>
            <w:r>
              <w:rPr>
                <w:rFonts w:ascii="Arial" w:cs="Arial" w:eastAsia="Arial" w:hAnsi="Arial"/>
                <w:sz w:val="22"/>
                <w:szCs w:val="22"/>
                <w:b w:val="1"/>
                <w:bCs w:val="1"/>
                <w:color w:val="auto"/>
                <w:w w:val="89"/>
              </w:rPr>
              <w:t>814-00736</w:t>
            </w:r>
          </w:p>
        </w:tc>
        <w:tc>
          <w:tcPr>
            <w:tcW w:w="2800" w:type="dxa"/>
            <w:vAlign w:val="bottom"/>
          </w:tcPr>
          <w:p>
            <w:pPr>
              <w:jc w:val="right"/>
              <w:ind w:right="372"/>
              <w:spacing w:after="0"/>
              <w:rPr>
                <w:sz w:val="20"/>
                <w:szCs w:val="20"/>
                <w:color w:val="auto"/>
              </w:rPr>
            </w:pPr>
            <w:r>
              <w:rPr>
                <w:rFonts w:ascii="Arial" w:cs="Arial" w:eastAsia="Arial" w:hAnsi="Arial"/>
                <w:sz w:val="22"/>
                <w:szCs w:val="22"/>
                <w:b w:val="1"/>
                <w:bCs w:val="1"/>
                <w:color w:val="auto"/>
              </w:rPr>
              <w:t>20-8250744</w:t>
            </w:r>
          </w:p>
        </w:tc>
      </w:tr>
      <w:tr>
        <w:trPr>
          <w:trHeight w:val="243"/>
        </w:trPr>
        <w:tc>
          <w:tcPr>
            <w:tcW w:w="4620" w:type="dxa"/>
            <w:vAlign w:val="bottom"/>
          </w:tcPr>
          <w:p>
            <w:pPr>
              <w:jc w:val="center"/>
              <w:ind w:right="132"/>
              <w:spacing w:after="0" w:line="243" w:lineRule="exact"/>
              <w:rPr>
                <w:sz w:val="20"/>
                <w:szCs w:val="20"/>
                <w:color w:val="auto"/>
              </w:rPr>
            </w:pPr>
            <w:r>
              <w:rPr>
                <w:rFonts w:ascii="Arial" w:cs="Arial" w:eastAsia="Arial" w:hAnsi="Arial"/>
                <w:sz w:val="22"/>
                <w:szCs w:val="22"/>
                <w:color w:val="auto"/>
                <w:w w:val="90"/>
              </w:rPr>
              <w:t>(State or other jurisdiction</w:t>
            </w:r>
          </w:p>
        </w:tc>
        <w:tc>
          <w:tcPr>
            <w:tcW w:w="2540" w:type="dxa"/>
            <w:vAlign w:val="bottom"/>
          </w:tcPr>
          <w:p>
            <w:pPr>
              <w:jc w:val="center"/>
              <w:ind w:right="492"/>
              <w:spacing w:after="0" w:line="243" w:lineRule="exact"/>
              <w:rPr>
                <w:sz w:val="20"/>
                <w:szCs w:val="20"/>
                <w:color w:val="auto"/>
              </w:rPr>
            </w:pPr>
            <w:r>
              <w:rPr>
                <w:rFonts w:ascii="Arial" w:cs="Arial" w:eastAsia="Arial" w:hAnsi="Arial"/>
                <w:sz w:val="22"/>
                <w:szCs w:val="22"/>
                <w:color w:val="auto"/>
                <w:w w:val="90"/>
              </w:rPr>
              <w:t>(Commission File</w:t>
            </w:r>
          </w:p>
        </w:tc>
        <w:tc>
          <w:tcPr>
            <w:tcW w:w="2800" w:type="dxa"/>
            <w:vAlign w:val="bottom"/>
          </w:tcPr>
          <w:p>
            <w:pPr>
              <w:jc w:val="center"/>
              <w:ind w:left="632"/>
              <w:spacing w:after="0" w:line="243" w:lineRule="exact"/>
              <w:rPr>
                <w:sz w:val="20"/>
                <w:szCs w:val="20"/>
                <w:color w:val="auto"/>
              </w:rPr>
            </w:pPr>
            <w:r>
              <w:rPr>
                <w:rFonts w:ascii="Arial" w:cs="Arial" w:eastAsia="Arial" w:hAnsi="Arial"/>
                <w:sz w:val="22"/>
                <w:szCs w:val="22"/>
                <w:color w:val="auto"/>
                <w:w w:val="90"/>
              </w:rPr>
              <w:t>(IRS Employer</w:t>
            </w:r>
          </w:p>
        </w:tc>
      </w:tr>
      <w:tr>
        <w:trPr>
          <w:trHeight w:val="274"/>
        </w:trPr>
        <w:tc>
          <w:tcPr>
            <w:tcW w:w="4620" w:type="dxa"/>
            <w:vAlign w:val="bottom"/>
          </w:tcPr>
          <w:p>
            <w:pPr>
              <w:jc w:val="center"/>
              <w:ind w:right="72"/>
              <w:spacing w:after="0"/>
              <w:rPr>
                <w:sz w:val="20"/>
                <w:szCs w:val="20"/>
                <w:color w:val="auto"/>
              </w:rPr>
            </w:pPr>
            <w:r>
              <w:rPr>
                <w:rFonts w:ascii="Arial" w:cs="Arial" w:eastAsia="Arial" w:hAnsi="Arial"/>
                <w:sz w:val="22"/>
                <w:szCs w:val="22"/>
                <w:color w:val="auto"/>
                <w:w w:val="93"/>
              </w:rPr>
              <w:t>of incorporation)</w:t>
            </w:r>
          </w:p>
        </w:tc>
        <w:tc>
          <w:tcPr>
            <w:tcW w:w="2540" w:type="dxa"/>
            <w:vAlign w:val="bottom"/>
          </w:tcPr>
          <w:p>
            <w:pPr>
              <w:jc w:val="center"/>
              <w:ind w:right="492"/>
              <w:spacing w:after="0"/>
              <w:rPr>
                <w:sz w:val="20"/>
                <w:szCs w:val="20"/>
                <w:color w:val="auto"/>
              </w:rPr>
            </w:pPr>
            <w:r>
              <w:rPr>
                <w:rFonts w:ascii="Arial" w:cs="Arial" w:eastAsia="Arial" w:hAnsi="Arial"/>
                <w:sz w:val="22"/>
                <w:szCs w:val="22"/>
                <w:color w:val="auto"/>
                <w:w w:val="91"/>
              </w:rPr>
              <w:t>Number)</w:t>
            </w: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Identification Number)</w:t>
            </w:r>
          </w:p>
        </w:tc>
      </w:tr>
      <w:tr>
        <w:trPr>
          <w:trHeight w:val="455"/>
        </w:trPr>
        <w:tc>
          <w:tcPr>
            <w:tcW w:w="4620" w:type="dxa"/>
            <w:vAlign w:val="bottom"/>
          </w:tcPr>
          <w:p>
            <w:pPr>
              <w:jc w:val="center"/>
              <w:ind w:right="92"/>
              <w:spacing w:after="0"/>
              <w:rPr>
                <w:sz w:val="20"/>
                <w:szCs w:val="20"/>
                <w:color w:val="auto"/>
              </w:rPr>
            </w:pPr>
            <w:r>
              <w:rPr>
                <w:rFonts w:ascii="Arial" w:cs="Arial" w:eastAsia="Arial" w:hAnsi="Arial"/>
                <w:sz w:val="22"/>
                <w:szCs w:val="22"/>
                <w:b w:val="1"/>
                <w:bCs w:val="1"/>
                <w:color w:val="auto"/>
                <w:w w:val="89"/>
              </w:rPr>
              <w:t>590 Madison Avenue, 15th Floor, New York, NY</w:t>
            </w:r>
          </w:p>
        </w:tc>
        <w:tc>
          <w:tcPr>
            <w:tcW w:w="2540" w:type="dxa"/>
            <w:vAlign w:val="bottom"/>
          </w:tcPr>
          <w:p>
            <w:pPr>
              <w:spacing w:after="0"/>
              <w:rPr>
                <w:sz w:val="24"/>
                <w:szCs w:val="24"/>
                <w:color w:val="auto"/>
              </w:rPr>
            </w:pPr>
          </w:p>
        </w:tc>
        <w:tc>
          <w:tcPr>
            <w:tcW w:w="2800" w:type="dxa"/>
            <w:vAlign w:val="bottom"/>
          </w:tcPr>
          <w:p>
            <w:pPr>
              <w:jc w:val="right"/>
              <w:ind w:right="632"/>
              <w:spacing w:after="0"/>
              <w:rPr>
                <w:sz w:val="20"/>
                <w:szCs w:val="20"/>
                <w:color w:val="auto"/>
              </w:rPr>
            </w:pPr>
            <w:r>
              <w:rPr>
                <w:rFonts w:ascii="Arial" w:cs="Arial" w:eastAsia="Arial" w:hAnsi="Arial"/>
                <w:sz w:val="22"/>
                <w:szCs w:val="22"/>
                <w:b w:val="1"/>
                <w:bCs w:val="1"/>
                <w:color w:val="auto"/>
              </w:rPr>
              <w:t>10022</w:t>
            </w:r>
          </w:p>
        </w:tc>
      </w:tr>
      <w:tr>
        <w:trPr>
          <w:trHeight w:val="274"/>
        </w:trPr>
        <w:tc>
          <w:tcPr>
            <w:tcW w:w="4620" w:type="dxa"/>
            <w:vAlign w:val="bottom"/>
          </w:tcPr>
          <w:p>
            <w:pPr>
              <w:jc w:val="center"/>
              <w:ind w:right="92"/>
              <w:spacing w:after="0"/>
              <w:rPr>
                <w:sz w:val="20"/>
                <w:szCs w:val="20"/>
                <w:color w:val="auto"/>
              </w:rPr>
            </w:pPr>
            <w:r>
              <w:rPr>
                <w:rFonts w:ascii="Arial" w:cs="Arial" w:eastAsia="Arial" w:hAnsi="Arial"/>
                <w:sz w:val="22"/>
                <w:szCs w:val="22"/>
                <w:color w:val="auto"/>
                <w:w w:val="90"/>
              </w:rPr>
              <w:t>(Address of principal executive offices)</w:t>
            </w:r>
          </w:p>
        </w:tc>
        <w:tc>
          <w:tcPr>
            <w:tcW w:w="2540" w:type="dxa"/>
            <w:vAlign w:val="bottom"/>
          </w:tcPr>
          <w:p>
            <w:pPr>
              <w:spacing w:after="0"/>
              <w:rPr>
                <w:sz w:val="23"/>
                <w:szCs w:val="23"/>
                <w:color w:val="auto"/>
              </w:rPr>
            </w:pPr>
          </w:p>
        </w:tc>
        <w:tc>
          <w:tcPr>
            <w:tcW w:w="2800" w:type="dxa"/>
            <w:vAlign w:val="bottom"/>
          </w:tcPr>
          <w:p>
            <w:pPr>
              <w:jc w:val="center"/>
              <w:ind w:left="692"/>
              <w:spacing w:after="0"/>
              <w:rPr>
                <w:sz w:val="20"/>
                <w:szCs w:val="20"/>
                <w:color w:val="auto"/>
              </w:rPr>
            </w:pPr>
            <w:r>
              <w:rPr>
                <w:rFonts w:ascii="Arial" w:cs="Arial" w:eastAsia="Arial" w:hAnsi="Arial"/>
                <w:sz w:val="22"/>
                <w:szCs w:val="22"/>
                <w:color w:val="auto"/>
                <w:w w:val="92"/>
              </w:rPr>
              <w:t>(Zip Code)</w:t>
            </w:r>
          </w:p>
        </w:tc>
      </w:tr>
    </w:tbl>
    <w:p>
      <w:pPr>
        <w:spacing w:after="0" w:line="206"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212-905-1000</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(Registrant's telephone number, including area code)</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Not Applicable</w:t>
      </w:r>
    </w:p>
    <w:p>
      <w:pPr>
        <w:spacing w:after="0" w:line="14" w:lineRule="exact"/>
        <w:rPr>
          <w:sz w:val="24"/>
          <w:szCs w:val="24"/>
          <w:color w:val="auto"/>
        </w:rPr>
      </w:pPr>
    </w:p>
    <w:p>
      <w:pPr>
        <w:jc w:val="center"/>
        <w:ind w:right="-39"/>
        <w:spacing w:after="0"/>
        <w:rPr>
          <w:sz w:val="20"/>
          <w:szCs w:val="20"/>
          <w:color w:val="auto"/>
        </w:rPr>
      </w:pPr>
      <w:r>
        <w:rPr>
          <w:rFonts w:ascii="Arial" w:cs="Arial" w:eastAsia="Arial" w:hAnsi="Arial"/>
          <w:sz w:val="22"/>
          <w:szCs w:val="22"/>
          <w:color w:val="auto"/>
        </w:rPr>
        <w:t>(Former Name or Former Address, if changed since last report)</w:t>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w:t>
      </w:r>
    </w:p>
    <w:p>
      <w:pPr>
        <w:spacing w:after="0" w:line="175" w:lineRule="exact"/>
        <w:rPr>
          <w:sz w:val="24"/>
          <w:szCs w:val="24"/>
          <w:color w:val="auto"/>
        </w:rPr>
      </w:pPr>
    </w:p>
    <w:p>
      <w:pPr>
        <w:ind w:left="540"/>
        <w:spacing w:after="0"/>
        <w:rPr>
          <w:sz w:val="20"/>
          <w:szCs w:val="20"/>
          <w:color w:val="auto"/>
        </w:rPr>
      </w:pPr>
      <w:r>
        <w:rPr>
          <w:rFonts w:ascii="Arial" w:cs="Arial" w:eastAsia="Arial" w:hAnsi="Arial"/>
          <w:sz w:val="22"/>
          <w:szCs w:val="22"/>
          <w:color w:val="auto"/>
        </w:rPr>
        <w:t>o Written communications pursuant to Rule 425 under the Securities Act (17 CFR 230.425)</w:t>
      </w:r>
    </w:p>
    <w:p>
      <w:pPr>
        <w:ind w:left="540"/>
        <w:spacing w:after="0" w:line="238" w:lineRule="auto"/>
        <w:rPr>
          <w:sz w:val="20"/>
          <w:szCs w:val="20"/>
          <w:color w:val="auto"/>
        </w:rPr>
      </w:pPr>
      <w:r>
        <w:rPr>
          <w:rFonts w:ascii="Arial" w:cs="Arial" w:eastAsia="Arial" w:hAnsi="Arial"/>
          <w:sz w:val="22"/>
          <w:szCs w:val="22"/>
          <w:color w:val="auto"/>
        </w:rPr>
        <w:t>o Soliciting material pursuant to Rule 14a-12 under the Exchange Act (17 CFR 240.14a-12)</w:t>
      </w:r>
    </w:p>
    <w:p>
      <w:pPr>
        <w:ind w:left="540"/>
        <w:spacing w:after="0"/>
        <w:rPr>
          <w:sz w:val="20"/>
          <w:szCs w:val="20"/>
          <w:color w:val="auto"/>
        </w:rPr>
      </w:pPr>
      <w:r>
        <w:rPr>
          <w:rFonts w:ascii="Arial" w:cs="Arial" w:eastAsia="Arial" w:hAnsi="Arial"/>
          <w:sz w:val="21"/>
          <w:szCs w:val="21"/>
          <w:color w:val="auto"/>
        </w:rPr>
        <w:t>o Pre-commencement communications pursuant to Rule 14d-2(b) under the Exchange Act (17 CFR 240.14d-2(b))</w:t>
      </w:r>
    </w:p>
    <w:p>
      <w:pPr>
        <w:spacing w:after="0" w:line="2" w:lineRule="exact"/>
        <w:rPr>
          <w:sz w:val="24"/>
          <w:szCs w:val="24"/>
          <w:color w:val="auto"/>
        </w:rPr>
      </w:pPr>
    </w:p>
    <w:p>
      <w:pPr>
        <w:ind w:left="540"/>
        <w:spacing w:after="0"/>
        <w:rPr>
          <w:sz w:val="20"/>
          <w:szCs w:val="20"/>
          <w:color w:val="auto"/>
        </w:rPr>
      </w:pPr>
      <w:r>
        <w:rPr>
          <w:rFonts w:ascii="Arial" w:cs="Arial" w:eastAsia="Arial" w:hAnsi="Arial"/>
          <w:sz w:val="21"/>
          <w:szCs w:val="21"/>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140335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3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7.01. Regulation FD Disclosure</w:t>
      </w:r>
    </w:p>
    <w:p>
      <w:pPr>
        <w:spacing w:after="0" w:line="239" w:lineRule="exact"/>
        <w:rPr>
          <w:sz w:val="24"/>
          <w:szCs w:val="24"/>
          <w:color w:val="auto"/>
        </w:rPr>
      </w:pPr>
    </w:p>
    <w:p>
      <w:pPr>
        <w:ind w:left="40" w:right="20"/>
        <w:spacing w:after="0" w:line="250" w:lineRule="auto"/>
        <w:rPr>
          <w:sz w:val="20"/>
          <w:szCs w:val="20"/>
          <w:color w:val="auto"/>
        </w:rPr>
      </w:pPr>
      <w:r>
        <w:rPr>
          <w:rFonts w:ascii="Arial" w:cs="Arial" w:eastAsia="Arial" w:hAnsi="Arial"/>
          <w:sz w:val="22"/>
          <w:szCs w:val="22"/>
          <w:color w:val="auto"/>
        </w:rPr>
        <w:t>On June 3, 2014, PennantPark Investment Corporation issued a press release announcing third fiscal quarter 2014 distribution. A copy of the press release is furnished as Exhibit 99.1 to this Form 8-K.</w:t>
      </w:r>
    </w:p>
    <w:p>
      <w:pPr>
        <w:spacing w:after="0" w:line="202" w:lineRule="exact"/>
        <w:rPr>
          <w:sz w:val="24"/>
          <w:szCs w:val="24"/>
          <w:color w:val="auto"/>
        </w:rPr>
      </w:pPr>
    </w:p>
    <w:p>
      <w:pPr>
        <w:ind w:left="40"/>
        <w:spacing w:after="0"/>
        <w:rPr>
          <w:sz w:val="20"/>
          <w:szCs w:val="20"/>
          <w:color w:val="auto"/>
        </w:rPr>
      </w:pPr>
      <w:r>
        <w:rPr>
          <w:rFonts w:ascii="Arial" w:cs="Arial" w:eastAsia="Arial" w:hAnsi="Arial"/>
          <w:sz w:val="19"/>
          <w:szCs w:val="19"/>
          <w:color w:val="auto"/>
        </w:rPr>
        <w:t>The information in this Current Report on Form 8-K, including Exhibit 99.1 furnished herewith, is being furnished and shall not</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9"/>
          <w:szCs w:val="19"/>
          <w:color w:val="auto"/>
        </w:rPr>
        <w:t>be deemed "filed" for purposes of Section 18 of the Securities Exchange Act of 1934, as amended (the "Exchange Act"), or</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9"/>
          <w:szCs w:val="19"/>
          <w:color w:val="auto"/>
        </w:rPr>
        <w:t>otherwise subject to the liabilities of such section. The information in this Current Report on Form 8-K shall not be deemed</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9"/>
          <w:szCs w:val="19"/>
          <w:color w:val="auto"/>
        </w:rPr>
        <w:t>incorporated by reference in any filing under the Securities Act of 1933, as amended, or the Exchange Act except as shall be</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22"/>
          <w:szCs w:val="22"/>
          <w:color w:val="auto"/>
        </w:rPr>
        <w:t>expressly set forth by specific reference in such filing.</w:t>
      </w:r>
    </w:p>
    <w:p>
      <w:pPr>
        <w:ind w:left="40"/>
        <w:spacing w:after="0"/>
        <w:rPr>
          <w:sz w:val="20"/>
          <w:szCs w:val="20"/>
          <w:color w:val="auto"/>
        </w:rPr>
      </w:pPr>
      <w:r>
        <w:rPr>
          <w:rFonts w:ascii="Arial" w:cs="Arial" w:eastAsia="Arial" w:hAnsi="Arial"/>
          <w:sz w:val="22"/>
          <w:szCs w:val="22"/>
          <w:color w:val="auto"/>
        </w:rPr>
        <w:t>Forward-Looking Statements</w:t>
      </w:r>
    </w:p>
    <w:p>
      <w:pPr>
        <w:spacing w:after="0" w:line="215" w:lineRule="exact"/>
        <w:rPr>
          <w:sz w:val="24"/>
          <w:szCs w:val="24"/>
          <w:color w:val="auto"/>
        </w:rPr>
      </w:pPr>
    </w:p>
    <w:p>
      <w:pPr>
        <w:ind w:left="40" w:right="60"/>
        <w:spacing w:after="0" w:line="277" w:lineRule="auto"/>
        <w:rPr>
          <w:sz w:val="20"/>
          <w:szCs w:val="20"/>
          <w:color w:val="auto"/>
        </w:rPr>
      </w:pPr>
      <w:r>
        <w:rPr>
          <w:rFonts w:ascii="Arial" w:cs="Arial" w:eastAsia="Arial" w:hAnsi="Arial"/>
          <w:sz w:val="19"/>
          <w:szCs w:val="19"/>
          <w:color w:val="auto"/>
        </w:rPr>
        <w:t>This Current Report on Form 8-K, including Exhibit 99.1 furnished herewith, may contain "forward-looking statements" within the meaning of the Private Securities Litigation Reform Act of 1995. All statements other than statements of historical facts included in this Current Report on Form 8-K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PennantPark Investment Corporation undertakes no duty to update any forward-looking statement made herein. All forward-looking statements speak only as of the date of this Current Report on Form 8-K.</w:t>
      </w:r>
    </w:p>
    <w:p>
      <w:pPr>
        <w:spacing w:after="0" w:line="146" w:lineRule="exact"/>
        <w:rPr>
          <w:sz w:val="24"/>
          <w:szCs w:val="24"/>
          <w:color w:val="auto"/>
        </w:rPr>
      </w:pPr>
    </w:p>
    <w:p>
      <w:pPr>
        <w:ind w:left="40"/>
        <w:spacing w:after="0"/>
        <w:rPr>
          <w:sz w:val="20"/>
          <w:szCs w:val="20"/>
          <w:color w:val="auto"/>
        </w:rPr>
      </w:pPr>
      <w:r>
        <w:rPr>
          <w:rFonts w:ascii="Arial" w:cs="Arial" w:eastAsia="Arial" w:hAnsi="Arial"/>
          <w:sz w:val="22"/>
          <w:szCs w:val="22"/>
          <w:b w:val="1"/>
          <w:bCs w:val="1"/>
          <w:color w:val="auto"/>
        </w:rPr>
        <w:t>Item 9.01. Financial Statements and Exhibits</w:t>
      </w:r>
    </w:p>
    <w:p>
      <w:pPr>
        <w:sectPr>
          <w:pgSz w:w="11900" w:h="16838" w:orient="portrait"/>
          <w:cols w:equalWidth="0" w:num="1">
            <w:col w:w="11200"/>
          </w:cols>
          <w:pgMar w:left="320" w:top="828" w:right="379" w:bottom="397" w:gutter="0" w:footer="0" w:header="0"/>
        </w:sectPr>
      </w:pPr>
    </w:p>
    <w:bookmarkStart w:id="1" w:name="page2"/>
    <w:bookmarkEnd w:id="1"/>
    <w:p>
      <w:pPr>
        <w:ind w:left="660" w:right="8700" w:hanging="652"/>
        <w:spacing w:after="0" w:line="280" w:lineRule="auto"/>
        <w:tabs>
          <w:tab w:leader="none" w:pos="318" w:val="left"/>
        </w:tabs>
        <w:numPr>
          <w:ilvl w:val="0"/>
          <w:numId w:val="1"/>
        </w:numPr>
        <w:rPr>
          <w:rFonts w:ascii="Arial" w:cs="Arial" w:eastAsia="Arial" w:hAnsi="Arial"/>
          <w:sz w:val="19"/>
          <w:szCs w:val="19"/>
          <w:b w:val="1"/>
          <w:bCs w:val="1"/>
          <w:color w:val="auto"/>
        </w:rPr>
      </w:pPr>
      <w:r>
        <w:rPr>
          <w:rFonts w:ascii="Arial" w:cs="Arial" w:eastAsia="Arial" w:hAnsi="Arial"/>
          <w:sz w:val="19"/>
          <w:szCs w:val="19"/>
          <w:b w:val="1"/>
          <w:bCs w:val="1"/>
          <w:color w:val="auto"/>
        </w:rPr>
        <w:t xml:space="preserve">Financial statements: </w:t>
      </w:r>
      <w:r>
        <w:rPr>
          <w:rFonts w:ascii="Arial" w:cs="Arial" w:eastAsia="Arial" w:hAnsi="Arial"/>
          <w:sz w:val="19"/>
          <w:szCs w:val="19"/>
          <w:color w:val="auto"/>
        </w:rPr>
        <w:t>None</w:t>
      </w:r>
    </w:p>
    <w:p>
      <w:pPr>
        <w:ind w:left="660" w:right="7620" w:hanging="652"/>
        <w:spacing w:after="0" w:line="230" w:lineRule="auto"/>
        <w:tabs>
          <w:tab w:leader="none" w:pos="33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Pro forma financial information: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660" w:right="8080" w:hanging="652"/>
        <w:spacing w:after="0" w:line="230" w:lineRule="auto"/>
        <w:tabs>
          <w:tab w:leader="none" w:pos="306"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Shell company transactions: </w:t>
      </w:r>
      <w:r>
        <w:rPr>
          <w:rFonts w:ascii="Arial" w:cs="Arial" w:eastAsia="Arial" w:hAnsi="Arial"/>
          <w:sz w:val="22"/>
          <w:szCs w:val="22"/>
          <w:color w:val="auto"/>
        </w:rPr>
        <w:t>None</w:t>
      </w:r>
    </w:p>
    <w:p>
      <w:pPr>
        <w:spacing w:after="0" w:line="1" w:lineRule="exact"/>
        <w:rPr>
          <w:rFonts w:ascii="Arial" w:cs="Arial" w:eastAsia="Arial" w:hAnsi="Arial"/>
          <w:sz w:val="22"/>
          <w:szCs w:val="22"/>
          <w:b w:val="1"/>
          <w:bCs w:val="1"/>
          <w:color w:val="auto"/>
        </w:rPr>
      </w:pPr>
    </w:p>
    <w:p>
      <w:pPr>
        <w:ind w:left="320" w:hanging="312"/>
        <w:spacing w:after="0" w:line="230" w:lineRule="auto"/>
        <w:tabs>
          <w:tab w:leader="none" w:pos="32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Exhibits</w:t>
      </w:r>
    </w:p>
    <w:p>
      <w:pPr>
        <w:spacing w:after="0" w:line="1" w:lineRule="exact"/>
        <w:rPr>
          <w:sz w:val="20"/>
          <w:szCs w:val="20"/>
          <w:color w:val="auto"/>
        </w:rPr>
      </w:pPr>
    </w:p>
    <w:p>
      <w:pPr>
        <w:ind w:left="660"/>
        <w:spacing w:after="0"/>
        <w:tabs>
          <w:tab w:leader="none" w:pos="1400" w:val="left"/>
        </w:tabs>
        <w:rPr>
          <w:rFonts w:ascii="Arial" w:cs="Arial" w:eastAsia="Arial" w:hAnsi="Arial"/>
          <w:sz w:val="19"/>
          <w:szCs w:val="19"/>
          <w:u w:val="single" w:color="auto"/>
          <w:color w:val="0000EE"/>
        </w:rPr>
      </w:pPr>
      <w:r>
        <w:rPr>
          <w:rFonts w:ascii="Arial" w:cs="Arial" w:eastAsia="Arial" w:hAnsi="Arial"/>
          <w:sz w:val="22"/>
          <w:szCs w:val="22"/>
          <w:color w:val="auto"/>
        </w:rPr>
        <w:t>99.1</w:t>
      </w:r>
      <w:r>
        <w:rPr>
          <w:sz w:val="20"/>
          <w:szCs w:val="20"/>
          <w:color w:val="auto"/>
        </w:rPr>
        <w:tab/>
      </w:r>
      <w:hyperlink w:anchor="page3">
        <w:r>
          <w:rPr>
            <w:rFonts w:ascii="Arial" w:cs="Arial" w:eastAsia="Arial" w:hAnsi="Arial"/>
            <w:sz w:val="19"/>
            <w:szCs w:val="19"/>
            <w:u w:val="single" w:color="auto"/>
            <w:color w:val="0000EE"/>
          </w:rPr>
          <w:t>Press Release of PennantPark Investment Corporation dated June 03, 2014</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808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80885" cy="8255"/>
                    </a:xfrm>
                    <a:prstGeom prst="rect">
                      <a:avLst/>
                    </a:prstGeom>
                    <a:noFill/>
                  </pic:spPr>
                </pic:pic>
              </a:graphicData>
            </a:graphic>
          </wp:anchor>
        </w:drawing>
      </w:r>
    </w:p>
    <w:p>
      <w:pPr>
        <w:spacing w:after="0" w:line="284" w:lineRule="exact"/>
        <w:rPr>
          <w:sz w:val="20"/>
          <w:szCs w:val="20"/>
          <w:color w:val="auto"/>
        </w:rPr>
      </w:pPr>
    </w:p>
    <w:p>
      <w:pPr>
        <w:jc w:val="center"/>
        <w:ind w:right="-179"/>
        <w:spacing w:after="0"/>
        <w:rPr>
          <w:sz w:val="20"/>
          <w:szCs w:val="20"/>
          <w:color w:val="auto"/>
        </w:rPr>
      </w:pPr>
      <w:r>
        <w:rPr>
          <w:rFonts w:ascii="Arial" w:cs="Arial" w:eastAsia="Arial" w:hAnsi="Arial"/>
          <w:sz w:val="22"/>
          <w:szCs w:val="22"/>
          <w:b w:val="1"/>
          <w:bCs w:val="1"/>
          <w:color w:val="auto"/>
        </w:rPr>
        <w:t>SIGNATURE</w:t>
      </w:r>
    </w:p>
    <w:p>
      <w:pPr>
        <w:spacing w:after="0" w:line="212" w:lineRule="exact"/>
        <w:rPr>
          <w:sz w:val="20"/>
          <w:szCs w:val="20"/>
          <w:color w:val="auto"/>
        </w:rPr>
      </w:pPr>
    </w:p>
    <w:p>
      <w:pPr>
        <w:ind w:right="20" w:firstLine="324"/>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80"/>
        </w:trPr>
        <w:tc>
          <w:tcPr>
            <w:tcW w:w="3720" w:type="dxa"/>
            <w:vAlign w:val="bottom"/>
          </w:tcPr>
          <w:p>
            <w:pPr>
              <w:spacing w:after="0"/>
              <w:rPr>
                <w:sz w:val="20"/>
                <w:szCs w:val="20"/>
                <w:color w:val="auto"/>
              </w:rPr>
            </w:pPr>
            <w:r>
              <w:rPr>
                <w:rFonts w:ascii="Arial" w:cs="Arial" w:eastAsia="Arial" w:hAnsi="Arial"/>
                <w:sz w:val="22"/>
                <w:szCs w:val="22"/>
                <w:color w:val="auto"/>
              </w:rPr>
              <w:t>Dated: June 03, 2014</w:t>
            </w:r>
          </w:p>
        </w:tc>
        <w:tc>
          <w:tcPr>
            <w:tcW w:w="6720" w:type="dxa"/>
            <w:vAlign w:val="bottom"/>
            <w:gridSpan w:val="3"/>
          </w:tcPr>
          <w:p>
            <w:pPr>
              <w:ind w:left="1900"/>
              <w:spacing w:after="0"/>
              <w:rPr>
                <w:sz w:val="20"/>
                <w:szCs w:val="20"/>
                <w:color w:val="auto"/>
              </w:rPr>
            </w:pPr>
            <w:r>
              <w:rPr>
                <w:rFonts w:ascii="Arial" w:cs="Arial" w:eastAsia="Arial" w:hAnsi="Arial"/>
                <w:sz w:val="22"/>
                <w:szCs w:val="22"/>
                <w:b w:val="1"/>
                <w:bCs w:val="1"/>
                <w:color w:val="auto"/>
                <w:w w:val="98"/>
              </w:rPr>
              <w:t>PENNANTPARK INVESTMENT CORPORATION</w:t>
            </w:r>
          </w:p>
        </w:tc>
      </w:tr>
      <w:tr>
        <w:trPr>
          <w:trHeight w:val="408"/>
        </w:trPr>
        <w:tc>
          <w:tcPr>
            <w:tcW w:w="3720" w:type="dxa"/>
            <w:vAlign w:val="bottom"/>
          </w:tcPr>
          <w:p>
            <w:pPr>
              <w:spacing w:after="0"/>
              <w:rPr>
                <w:sz w:val="24"/>
                <w:szCs w:val="24"/>
                <w:color w:val="auto"/>
              </w:rPr>
            </w:pPr>
          </w:p>
        </w:tc>
        <w:tc>
          <w:tcPr>
            <w:tcW w:w="6720" w:type="dxa"/>
            <w:vAlign w:val="bottom"/>
            <w:gridSpan w:val="3"/>
          </w:tcPr>
          <w:p>
            <w:pPr>
              <w:ind w:left="1900"/>
              <w:spacing w:after="0"/>
              <w:rPr>
                <w:sz w:val="20"/>
                <w:szCs w:val="20"/>
                <w:color w:val="auto"/>
              </w:rPr>
            </w:pPr>
            <w:r>
              <w:rPr>
                <w:rFonts w:ascii="Arial" w:cs="Arial" w:eastAsia="Arial" w:hAnsi="Arial"/>
                <w:sz w:val="22"/>
                <w:szCs w:val="22"/>
                <w:color w:val="auto"/>
              </w:rPr>
              <w:t>By: /s/ Aviv Efrat</w:t>
            </w:r>
          </w:p>
        </w:tc>
      </w:tr>
      <w:tr>
        <w:trPr>
          <w:trHeight w:val="20"/>
        </w:trPr>
        <w:tc>
          <w:tcPr>
            <w:tcW w:w="37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3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r>
      <w:tr>
        <w:trPr>
          <w:trHeight w:val="242"/>
        </w:trPr>
        <w:tc>
          <w:tcPr>
            <w:tcW w:w="3720" w:type="dxa"/>
            <w:vAlign w:val="bottom"/>
          </w:tcPr>
          <w:p>
            <w:pPr>
              <w:spacing w:after="0"/>
              <w:rPr>
                <w:sz w:val="21"/>
                <w:szCs w:val="21"/>
                <w:color w:val="auto"/>
              </w:rPr>
            </w:pPr>
          </w:p>
        </w:tc>
        <w:tc>
          <w:tcPr>
            <w:tcW w:w="6720" w:type="dxa"/>
            <w:vAlign w:val="bottom"/>
            <w:gridSpan w:val="3"/>
          </w:tcPr>
          <w:p>
            <w:pPr>
              <w:ind w:left="2140"/>
              <w:spacing w:after="0" w:line="242" w:lineRule="exact"/>
              <w:rPr>
                <w:sz w:val="20"/>
                <w:szCs w:val="20"/>
                <w:color w:val="auto"/>
              </w:rPr>
            </w:pPr>
            <w:r>
              <w:rPr>
                <w:rFonts w:ascii="Arial" w:cs="Arial" w:eastAsia="Arial" w:hAnsi="Arial"/>
                <w:sz w:val="22"/>
                <w:szCs w:val="22"/>
                <w:color w:val="auto"/>
              </w:rPr>
              <w:t>Aviv Efrat</w:t>
            </w:r>
          </w:p>
        </w:tc>
      </w:tr>
      <w:tr>
        <w:trPr>
          <w:trHeight w:val="274"/>
        </w:trPr>
        <w:tc>
          <w:tcPr>
            <w:tcW w:w="3720" w:type="dxa"/>
            <w:vAlign w:val="bottom"/>
          </w:tcPr>
          <w:p>
            <w:pPr>
              <w:spacing w:after="0"/>
              <w:rPr>
                <w:sz w:val="23"/>
                <w:szCs w:val="23"/>
                <w:color w:val="auto"/>
              </w:rPr>
            </w:pPr>
          </w:p>
        </w:tc>
        <w:tc>
          <w:tcPr>
            <w:tcW w:w="6720" w:type="dxa"/>
            <w:vAlign w:val="bottom"/>
            <w:gridSpan w:val="3"/>
          </w:tcPr>
          <w:p>
            <w:pPr>
              <w:ind w:left="2220"/>
              <w:spacing w:after="0"/>
              <w:rPr>
                <w:sz w:val="20"/>
                <w:szCs w:val="20"/>
                <w:color w:val="auto"/>
              </w:rPr>
            </w:pPr>
            <w:r>
              <w:rPr>
                <w:rFonts w:ascii="Arial" w:cs="Arial" w:eastAsia="Arial" w:hAnsi="Arial"/>
                <w:sz w:val="22"/>
                <w:szCs w:val="22"/>
                <w:i w:val="1"/>
                <w:iCs w:val="1"/>
                <w:color w:val="auto"/>
              </w:rPr>
              <w:t>Chief Financial Officer &amp; Treasurer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87630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67" w:lineRule="exact"/>
        <w:rPr>
          <w:sz w:val="20"/>
          <w:szCs w:val="20"/>
          <w:color w:val="auto"/>
        </w:rPr>
      </w:pPr>
    </w:p>
    <w:tbl>
      <w:tblPr>
        <w:tblLayout w:type="fixed"/>
        <w:tblInd w:w="2260" w:type="dxa"/>
        <w:tblCellMar>
          <w:top w:w="0" w:type="dxa"/>
          <w:left w:w="0" w:type="dxa"/>
          <w:bottom w:w="0" w:type="dxa"/>
          <w:right w:w="0" w:type="dxa"/>
        </w:tblCellMar>
      </w:tblPr>
      <w:tr>
        <w:trPr>
          <w:trHeight w:val="280"/>
        </w:trPr>
        <w:tc>
          <w:tcPr>
            <w:tcW w:w="10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40" w:type="dxa"/>
            <w:vAlign w:val="bottom"/>
            <w:gridSpan w:val="3"/>
          </w:tcPr>
          <w:p>
            <w:pPr>
              <w:ind w:left="820"/>
              <w:spacing w:after="0"/>
              <w:rPr>
                <w:sz w:val="20"/>
                <w:szCs w:val="20"/>
                <w:color w:val="auto"/>
              </w:rPr>
            </w:pPr>
            <w:r>
              <w:rPr>
                <w:rFonts w:ascii="Arial" w:cs="Arial" w:eastAsia="Arial" w:hAnsi="Arial"/>
                <w:sz w:val="22"/>
                <w:szCs w:val="22"/>
                <w:b w:val="1"/>
                <w:bCs w:val="1"/>
                <w:color w:val="auto"/>
              </w:rPr>
              <w:t>Exhibit Index</w:t>
            </w:r>
          </w:p>
        </w:tc>
        <w:tc>
          <w:tcPr>
            <w:tcW w:w="0" w:type="dxa"/>
            <w:vAlign w:val="bottom"/>
          </w:tcPr>
          <w:p>
            <w:pPr>
              <w:spacing w:after="0"/>
              <w:rPr>
                <w:sz w:val="1"/>
                <w:szCs w:val="1"/>
                <w:color w:val="auto"/>
              </w:rPr>
            </w:pPr>
          </w:p>
        </w:tc>
      </w:tr>
      <w:tr>
        <w:trPr>
          <w:trHeight w:val="246"/>
        </w:trPr>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92"/>
              </w:rPr>
              <w:t>Exhibit No.</w:t>
            </w:r>
          </w:p>
        </w:tc>
        <w:tc>
          <w:tcPr>
            <w:tcW w:w="82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060" w:type="dxa"/>
            <w:vAlign w:val="bottom"/>
            <w:tcBorders>
              <w:bottom w:val="single" w:sz="8" w:color="auto"/>
            </w:tcBorders>
          </w:tcPr>
          <w:p>
            <w:pPr>
              <w:jc w:val="center"/>
              <w:spacing w:after="0" w:line="246" w:lineRule="exact"/>
              <w:rPr>
                <w:sz w:val="20"/>
                <w:szCs w:val="20"/>
                <w:color w:val="auto"/>
              </w:rPr>
            </w:pPr>
            <w:r>
              <w:rPr>
                <w:rFonts w:ascii="Arial" w:cs="Arial" w:eastAsia="Arial" w:hAnsi="Arial"/>
                <w:sz w:val="22"/>
                <w:szCs w:val="22"/>
                <w:b w:val="1"/>
                <w:bCs w:val="1"/>
                <w:color w:val="auto"/>
                <w:w w:val="87"/>
              </w:rPr>
              <w:t>Description</w:t>
            </w:r>
          </w:p>
        </w:tc>
        <w:tc>
          <w:tcPr>
            <w:tcW w:w="2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6"/>
        </w:trPr>
        <w:tc>
          <w:tcPr>
            <w:tcW w:w="1060" w:type="dxa"/>
            <w:vAlign w:val="bottom"/>
            <w:vMerge w:val="restart"/>
          </w:tcPr>
          <w:p>
            <w:pPr>
              <w:jc w:val="right"/>
              <w:ind w:right="232"/>
              <w:spacing w:after="0"/>
              <w:rPr>
                <w:sz w:val="20"/>
                <w:szCs w:val="20"/>
                <w:color w:val="auto"/>
              </w:rPr>
            </w:pPr>
            <w:r>
              <w:rPr>
                <w:rFonts w:ascii="Arial" w:cs="Arial" w:eastAsia="Arial" w:hAnsi="Arial"/>
                <w:sz w:val="22"/>
                <w:szCs w:val="22"/>
                <w:color w:val="auto"/>
              </w:rPr>
              <w:t>99.1</w:t>
            </w:r>
          </w:p>
        </w:tc>
        <w:tc>
          <w:tcPr>
            <w:tcW w:w="820" w:type="dxa"/>
            <w:vAlign w:val="bottom"/>
          </w:tcPr>
          <w:p>
            <w:pPr>
              <w:spacing w:after="0"/>
              <w:rPr>
                <w:sz w:val="24"/>
                <w:szCs w:val="24"/>
                <w:color w:val="auto"/>
              </w:rPr>
            </w:pPr>
          </w:p>
        </w:tc>
        <w:tc>
          <w:tcPr>
            <w:tcW w:w="6840" w:type="dxa"/>
            <w:vAlign w:val="bottom"/>
            <w:gridSpan w:val="3"/>
          </w:tcPr>
          <w:p>
            <w:pPr>
              <w:jc w:val="center"/>
              <w:ind w:left="1532"/>
              <w:spacing w:after="0"/>
              <w:rPr>
                <w:sz w:val="20"/>
                <w:szCs w:val="20"/>
                <w:color w:val="auto"/>
              </w:rPr>
            </w:pPr>
            <w:r>
              <w:rPr>
                <w:rFonts w:ascii="Arial" w:cs="Arial" w:eastAsia="Arial" w:hAnsi="Arial"/>
                <w:sz w:val="22"/>
                <w:szCs w:val="22"/>
                <w:color w:val="auto"/>
                <w:w w:val="87"/>
              </w:rPr>
              <w:t>Press Release of PennantPark Investment Corporation dated</w:t>
            </w:r>
          </w:p>
        </w:tc>
        <w:tc>
          <w:tcPr>
            <w:tcW w:w="0" w:type="dxa"/>
            <w:vAlign w:val="bottom"/>
          </w:tcPr>
          <w:p>
            <w:pPr>
              <w:spacing w:after="0"/>
              <w:rPr>
                <w:sz w:val="1"/>
                <w:szCs w:val="1"/>
                <w:color w:val="auto"/>
              </w:rPr>
            </w:pPr>
          </w:p>
        </w:tc>
      </w:tr>
      <w:tr>
        <w:trPr>
          <w:trHeight w:val="153"/>
        </w:trPr>
        <w:tc>
          <w:tcPr>
            <w:tcW w:w="10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6840" w:type="dxa"/>
            <w:vAlign w:val="bottom"/>
            <w:gridSpan w:val="3"/>
            <w:vMerge w:val="restart"/>
          </w:tcPr>
          <w:p>
            <w:pPr>
              <w:jc w:val="center"/>
              <w:ind w:left="1532"/>
              <w:spacing w:after="0"/>
              <w:rPr>
                <w:sz w:val="20"/>
                <w:szCs w:val="20"/>
                <w:color w:val="auto"/>
              </w:rPr>
            </w:pPr>
            <w:r>
              <w:rPr>
                <w:rFonts w:ascii="Arial" w:cs="Arial" w:eastAsia="Arial" w:hAnsi="Arial"/>
                <w:sz w:val="22"/>
                <w:szCs w:val="22"/>
                <w:color w:val="auto"/>
                <w:w w:val="86"/>
              </w:rPr>
              <w:t>June 03, 2014</w:t>
            </w:r>
          </w:p>
        </w:tc>
        <w:tc>
          <w:tcPr>
            <w:tcW w:w="0" w:type="dxa"/>
            <w:vAlign w:val="bottom"/>
          </w:tcPr>
          <w:p>
            <w:pPr>
              <w:spacing w:after="0"/>
              <w:rPr>
                <w:sz w:val="1"/>
                <w:szCs w:val="1"/>
                <w:color w:val="auto"/>
              </w:rPr>
            </w:pPr>
          </w:p>
        </w:tc>
      </w:tr>
      <w:tr>
        <w:trPr>
          <w:trHeight w:val="122"/>
        </w:trPr>
        <w:tc>
          <w:tcPr>
            <w:tcW w:w="10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8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360" w:top="111" w:right="559" w:bottom="1440" w:gutter="0" w:footer="0" w:header="0"/>
        </w:sectPr>
      </w:pPr>
    </w:p>
    <w:bookmarkStart w:id="2" w:name="page3"/>
    <w:bookmarkEnd w:id="2"/>
    <w:p>
      <w:pPr>
        <w:spacing w:after="0"/>
        <w:rPr>
          <w:sz w:val="20"/>
          <w:szCs w:val="20"/>
          <w:color w:val="auto"/>
        </w:rPr>
      </w:pPr>
      <w:r>
        <w:rPr>
          <w:rFonts w:ascii="Arial" w:cs="Arial" w:eastAsia="Arial" w:hAnsi="Arial"/>
          <w:sz w:val="22"/>
          <w:szCs w:val="22"/>
          <w:b w:val="1"/>
          <w:bCs w:val="1"/>
          <w:color w:val="auto"/>
        </w:rPr>
        <w:t>PennantPark Investment Corporation Announces Quarterly Distribution of $0.28 per Share</w:t>
      </w:r>
    </w:p>
    <w:p>
      <w:pPr>
        <w:spacing w:after="0" w:line="213" w:lineRule="exact"/>
        <w:rPr>
          <w:sz w:val="20"/>
          <w:szCs w:val="20"/>
          <w:color w:val="auto"/>
        </w:rPr>
      </w:pPr>
    </w:p>
    <w:p>
      <w:pPr>
        <w:ind w:right="40"/>
        <w:spacing w:after="0" w:line="249" w:lineRule="auto"/>
        <w:rPr>
          <w:sz w:val="20"/>
          <w:szCs w:val="20"/>
          <w:color w:val="auto"/>
        </w:rPr>
      </w:pPr>
      <w:r>
        <w:rPr>
          <w:rFonts w:ascii="Arial" w:cs="Arial" w:eastAsia="Arial" w:hAnsi="Arial"/>
          <w:sz w:val="21"/>
          <w:szCs w:val="21"/>
          <w:color w:val="auto"/>
        </w:rPr>
        <w:t>NEW YORK, NY -- (Marketwired - June 03, 2014) - PennantPark Investment Corporation (the "Company") (NASDAQ: PNNT) declares third fiscal quarter 2014 distribution of $0.28 per share, payable on July 1, 2014 to stockholders of record as of June 19, 2014. Distributions are paid from taxable earnings and may include return of capital and/or capital gains. The specific tax characteristics of the distribution will be reported to stockholders on Form 1099 after the end of the calendar year and in the Company's periodic report filed with the Securities and Exchange Commission.</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ABOUT PENNANTPARK INVESTMENT CORPORATION</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PennantPark Investment Corporation is a business development company which principally invests in U.S. middle-market private companies in the form of senior secured loans, mezzanine debt and equity investments. PennantPark Investment Corporation is managed by PennantPark Investment Advisers, LLC.</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color w:val="auto"/>
        </w:rPr>
        <w:t>FORWARD-LOOKING STATEMENTS</w:t>
      </w:r>
    </w:p>
    <w:p>
      <w:pPr>
        <w:spacing w:after="0" w:line="206" w:lineRule="exact"/>
        <w:rPr>
          <w:sz w:val="20"/>
          <w:szCs w:val="20"/>
          <w:color w:val="auto"/>
        </w:rPr>
      </w:pPr>
    </w:p>
    <w:p>
      <w:pPr>
        <w:ind w:right="40"/>
        <w:spacing w:after="0" w:line="279" w:lineRule="auto"/>
        <w:rPr>
          <w:sz w:val="20"/>
          <w:szCs w:val="20"/>
          <w:color w:val="auto"/>
        </w:rPr>
      </w:pPr>
      <w:r>
        <w:rPr>
          <w:rFonts w:ascii="Arial" w:cs="Arial" w:eastAsia="Arial" w:hAnsi="Arial"/>
          <w:sz w:val="19"/>
          <w:szCs w:val="19"/>
          <w:color w:val="auto"/>
        </w:rPr>
        <w:t>This press release may contain "forward-looking statements" within the meaning of the Private Securities Litigation Reform Act of 1995. All statements other than statements of historical facts included in this press release are forward-looking statements and are not guarantees of future performance or results and involve a number of risks and uncertainties. Actual results may differ materially from those in the forward-looking statements as a result of a number of factors, including those described from time to time in filings with the Securities and Exchange Commission. The Company undertakes no duty to update any forward-looking statement made herein. All forward-looking statements speak only as of the date of this press release.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w:t>
      </w:r>
    </w:p>
    <w:p>
      <w:pPr>
        <w:spacing w:after="0" w:line="238" w:lineRule="auto"/>
        <w:rPr>
          <w:sz w:val="20"/>
          <w:szCs w:val="20"/>
          <w:color w:val="auto"/>
        </w:rPr>
      </w:pPr>
      <w:r>
        <w:rPr>
          <w:rFonts w:ascii="Courier New" w:cs="Courier New" w:eastAsia="Courier New" w:hAnsi="Courier New"/>
          <w:sz w:val="18"/>
          <w:szCs w:val="18"/>
          <w:color w:val="auto"/>
        </w:rPr>
        <w:t>Aviv Efrat</w:t>
      </w:r>
    </w:p>
    <w:p>
      <w:pPr>
        <w:spacing w:after="0" w:line="238" w:lineRule="auto"/>
        <w:rPr>
          <w:sz w:val="20"/>
          <w:szCs w:val="20"/>
          <w:color w:val="auto"/>
        </w:rPr>
      </w:pPr>
      <w:r>
        <w:rPr>
          <w:rFonts w:ascii="Courier New" w:cs="Courier New" w:eastAsia="Courier New" w:hAnsi="Courier New"/>
          <w:sz w:val="18"/>
          <w:szCs w:val="18"/>
          <w:color w:val="auto"/>
        </w:rPr>
        <w:t>PennantPark Investment Corporation</w:t>
      </w:r>
    </w:p>
    <w:p>
      <w:pPr>
        <w:spacing w:after="0" w:line="5" w:lineRule="exact"/>
        <w:rPr>
          <w:sz w:val="20"/>
          <w:szCs w:val="20"/>
          <w:color w:val="auto"/>
        </w:rPr>
      </w:pPr>
    </w:p>
    <w:p>
      <w:pPr>
        <w:ind w:right="9220" w:firstLine="8"/>
        <w:spacing w:after="0" w:line="290" w:lineRule="auto"/>
        <w:tabs>
          <w:tab w:leader="none" w:pos="632"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905-1000 www.pennantpark.com</w:t>
      </w:r>
    </w:p>
    <w:sectPr>
      <w:pgSz w:w="11900" w:h="16838" w:orient="portrait"/>
      <w:cols w:equalWidth="0" w:num="1">
        <w:col w:w="11220"/>
      </w:cols>
      <w:pgMar w:left="320" w:top="11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21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2020-05-05T15:07:17Z</dcterms:created>
  <dcterms:modified xsi:type="dcterms:W3CDTF">2020-05-05T15:07:17Z</dcterms:modified>
</cp:coreProperties>
</file>