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June 21,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233680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PennantPark Investment Corporation</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236220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024" w:type="dxa"/>
        <w:tblCellMar>
          <w:top w:w="0" w:type="dxa"/>
          <w:left w:w="0" w:type="dxa"/>
          <w:bottom w:w="0" w:type="dxa"/>
          <w:right w:w="0" w:type="dxa"/>
        </w:tblCellMar>
      </w:tblPr>
      <w:tr>
        <w:trPr>
          <w:trHeight w:val="212"/>
        </w:trPr>
        <w:tc>
          <w:tcPr>
            <w:tcW w:w="4060" w:type="dxa"/>
            <w:vAlign w:val="bottom"/>
          </w:tcPr>
          <w:p>
            <w:pPr>
              <w:jc w:val="center"/>
              <w:ind w:right="2279"/>
              <w:spacing w:after="0"/>
              <w:rPr>
                <w:sz w:val="20"/>
                <w:szCs w:val="20"/>
                <w:color w:val="auto"/>
              </w:rPr>
            </w:pPr>
            <w:r>
              <w:rPr>
                <w:rFonts w:ascii="Arial" w:cs="Arial" w:eastAsia="Arial" w:hAnsi="Arial"/>
                <w:sz w:val="18"/>
                <w:szCs w:val="18"/>
                <w:b w:val="1"/>
                <w:bCs w:val="1"/>
                <w:color w:val="auto"/>
                <w:w w:val="98"/>
              </w:rPr>
              <w:t>Maryland</w:t>
            </w:r>
          </w:p>
        </w:tc>
        <w:tc>
          <w:tcPr>
            <w:tcW w:w="2200" w:type="dxa"/>
            <w:vAlign w:val="bottom"/>
          </w:tcPr>
          <w:p>
            <w:pPr>
              <w:ind w:left="140"/>
              <w:spacing w:after="0"/>
              <w:rPr>
                <w:sz w:val="20"/>
                <w:szCs w:val="20"/>
                <w:color w:val="auto"/>
              </w:rPr>
            </w:pPr>
            <w:r>
              <w:rPr>
                <w:rFonts w:ascii="Arial" w:cs="Arial" w:eastAsia="Arial" w:hAnsi="Arial"/>
                <w:sz w:val="18"/>
                <w:szCs w:val="18"/>
                <w:b w:val="1"/>
                <w:bCs w:val="1"/>
                <w:color w:val="auto"/>
              </w:rPr>
              <w:t>814-00736</w:t>
            </w:r>
          </w:p>
        </w:tc>
        <w:tc>
          <w:tcPr>
            <w:tcW w:w="2680" w:type="dxa"/>
            <w:vAlign w:val="bottom"/>
          </w:tcPr>
          <w:p>
            <w:pPr>
              <w:jc w:val="right"/>
              <w:ind w:right="201"/>
              <w:spacing w:after="0"/>
              <w:rPr>
                <w:sz w:val="20"/>
                <w:szCs w:val="20"/>
                <w:color w:val="auto"/>
              </w:rPr>
            </w:pPr>
            <w:r>
              <w:rPr>
                <w:rFonts w:ascii="Arial" w:cs="Arial" w:eastAsia="Arial" w:hAnsi="Arial"/>
                <w:sz w:val="18"/>
                <w:szCs w:val="18"/>
                <w:b w:val="1"/>
                <w:bCs w:val="1"/>
                <w:color w:val="auto"/>
              </w:rPr>
              <w:t>20-8250744</w:t>
            </w:r>
          </w:p>
        </w:tc>
      </w:tr>
      <w:tr>
        <w:trPr>
          <w:trHeight w:val="148"/>
        </w:trPr>
        <w:tc>
          <w:tcPr>
            <w:tcW w:w="4060" w:type="dxa"/>
            <w:vAlign w:val="bottom"/>
          </w:tcPr>
          <w:p>
            <w:pPr>
              <w:jc w:val="center"/>
              <w:ind w:right="2279"/>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2200" w:type="dxa"/>
            <w:vAlign w:val="bottom"/>
          </w:tcPr>
          <w:p>
            <w:pPr>
              <w:ind w:left="140"/>
              <w:spacing w:after="0" w:line="149" w:lineRule="exact"/>
              <w:rPr>
                <w:sz w:val="20"/>
                <w:szCs w:val="20"/>
                <w:color w:val="auto"/>
              </w:rPr>
            </w:pPr>
            <w:r>
              <w:rPr>
                <w:rFonts w:ascii="Arial" w:cs="Arial" w:eastAsia="Arial" w:hAnsi="Arial"/>
                <w:sz w:val="14"/>
                <w:szCs w:val="14"/>
                <w:b w:val="1"/>
                <w:bCs w:val="1"/>
                <w:color w:val="auto"/>
              </w:rPr>
              <w:t>(Commission</w:t>
            </w:r>
          </w:p>
        </w:tc>
        <w:tc>
          <w:tcPr>
            <w:tcW w:w="2680" w:type="dxa"/>
            <w:vAlign w:val="bottom"/>
          </w:tcPr>
          <w:p>
            <w:pPr>
              <w:jc w:val="center"/>
              <w:ind w:left="1181"/>
              <w:spacing w:after="0" w:line="149" w:lineRule="exact"/>
              <w:rPr>
                <w:sz w:val="20"/>
                <w:szCs w:val="20"/>
                <w:color w:val="auto"/>
              </w:rPr>
            </w:pPr>
            <w:r>
              <w:rPr>
                <w:rFonts w:ascii="Arial" w:cs="Arial" w:eastAsia="Arial" w:hAnsi="Arial"/>
                <w:sz w:val="14"/>
                <w:szCs w:val="14"/>
                <w:b w:val="1"/>
                <w:bCs w:val="1"/>
                <w:color w:val="auto"/>
                <w:w w:val="98"/>
              </w:rPr>
              <w:t>(IRS Employer</w:t>
            </w:r>
          </w:p>
        </w:tc>
      </w:tr>
      <w:tr>
        <w:trPr>
          <w:trHeight w:val="186"/>
        </w:trPr>
        <w:tc>
          <w:tcPr>
            <w:tcW w:w="4060" w:type="dxa"/>
            <w:vAlign w:val="bottom"/>
          </w:tcPr>
          <w:p>
            <w:pPr>
              <w:jc w:val="center"/>
              <w:ind w:right="2279"/>
              <w:spacing w:after="0"/>
              <w:rPr>
                <w:sz w:val="20"/>
                <w:szCs w:val="20"/>
                <w:color w:val="auto"/>
              </w:rPr>
            </w:pPr>
            <w:r>
              <w:rPr>
                <w:rFonts w:ascii="Arial" w:cs="Arial" w:eastAsia="Arial" w:hAnsi="Arial"/>
                <w:sz w:val="14"/>
                <w:szCs w:val="14"/>
                <w:b w:val="1"/>
                <w:bCs w:val="1"/>
                <w:color w:val="auto"/>
                <w:w w:val="94"/>
              </w:rPr>
              <w:t>of Incorporation)</w:t>
            </w:r>
          </w:p>
        </w:tc>
        <w:tc>
          <w:tcPr>
            <w:tcW w:w="2200" w:type="dxa"/>
            <w:vAlign w:val="bottom"/>
          </w:tcPr>
          <w:p>
            <w:pPr>
              <w:ind w:left="120"/>
              <w:spacing w:after="0"/>
              <w:rPr>
                <w:sz w:val="20"/>
                <w:szCs w:val="20"/>
                <w:color w:val="auto"/>
              </w:rPr>
            </w:pPr>
            <w:r>
              <w:rPr>
                <w:rFonts w:ascii="Arial" w:cs="Arial" w:eastAsia="Arial" w:hAnsi="Arial"/>
                <w:sz w:val="14"/>
                <w:szCs w:val="14"/>
                <w:b w:val="1"/>
                <w:bCs w:val="1"/>
                <w:color w:val="auto"/>
              </w:rPr>
              <w:t>File Number)</w:t>
            </w:r>
          </w:p>
        </w:tc>
        <w:tc>
          <w:tcPr>
            <w:tcW w:w="2680" w:type="dxa"/>
            <w:vAlign w:val="bottom"/>
          </w:tcPr>
          <w:p>
            <w:pPr>
              <w:jc w:val="center"/>
              <w:ind w:left="1181"/>
              <w:spacing w:after="0"/>
              <w:rPr>
                <w:sz w:val="20"/>
                <w:szCs w:val="20"/>
                <w:color w:val="auto"/>
              </w:rPr>
            </w:pPr>
            <w:r>
              <w:rPr>
                <w:rFonts w:ascii="Arial" w:cs="Arial" w:eastAsia="Arial" w:hAnsi="Arial"/>
                <w:sz w:val="14"/>
                <w:szCs w:val="14"/>
                <w:b w:val="1"/>
                <w:bCs w:val="1"/>
                <w:color w:val="auto"/>
                <w:w w:val="95"/>
              </w:rPr>
              <w:t>Identification Number)</w:t>
            </w:r>
          </w:p>
        </w:tc>
      </w:tr>
      <w:tr>
        <w:trPr>
          <w:trHeight w:val="412"/>
        </w:trPr>
        <w:tc>
          <w:tcPr>
            <w:tcW w:w="4060" w:type="dxa"/>
            <w:vAlign w:val="bottom"/>
          </w:tcPr>
          <w:p>
            <w:pPr>
              <w:jc w:val="center"/>
              <w:ind w:left="1179"/>
              <w:spacing w:after="0"/>
              <w:rPr>
                <w:sz w:val="20"/>
                <w:szCs w:val="20"/>
                <w:color w:val="auto"/>
              </w:rPr>
            </w:pPr>
            <w:r>
              <w:rPr>
                <w:rFonts w:ascii="Arial" w:cs="Arial" w:eastAsia="Arial" w:hAnsi="Arial"/>
                <w:sz w:val="18"/>
                <w:szCs w:val="18"/>
                <w:b w:val="1"/>
                <w:bCs w:val="1"/>
                <w:color w:val="auto"/>
                <w:w w:val="89"/>
              </w:rPr>
              <w:t>590 Madison Avenue, 15th Floor,</w:t>
            </w:r>
          </w:p>
        </w:tc>
        <w:tc>
          <w:tcPr>
            <w:tcW w:w="2200" w:type="dxa"/>
            <w:vAlign w:val="bottom"/>
          </w:tcPr>
          <w:p>
            <w:pPr>
              <w:spacing w:after="0"/>
              <w:rPr>
                <w:sz w:val="24"/>
                <w:szCs w:val="24"/>
                <w:color w:val="auto"/>
              </w:rPr>
            </w:pPr>
          </w:p>
        </w:tc>
        <w:tc>
          <w:tcPr>
            <w:tcW w:w="2680" w:type="dxa"/>
            <w:vAlign w:val="bottom"/>
          </w:tcPr>
          <w:p>
            <w:pPr>
              <w:spacing w:after="0"/>
              <w:rPr>
                <w:sz w:val="24"/>
                <w:szCs w:val="24"/>
                <w:color w:val="auto"/>
              </w:rPr>
            </w:pPr>
          </w:p>
        </w:tc>
      </w:tr>
      <w:tr>
        <w:trPr>
          <w:trHeight w:val="225"/>
        </w:trPr>
        <w:tc>
          <w:tcPr>
            <w:tcW w:w="4060" w:type="dxa"/>
            <w:vAlign w:val="bottom"/>
          </w:tcPr>
          <w:p>
            <w:pPr>
              <w:jc w:val="center"/>
              <w:ind w:left="1199"/>
              <w:spacing w:after="0"/>
              <w:rPr>
                <w:sz w:val="20"/>
                <w:szCs w:val="20"/>
                <w:color w:val="auto"/>
              </w:rPr>
            </w:pPr>
            <w:r>
              <w:rPr>
                <w:rFonts w:ascii="Arial" w:cs="Arial" w:eastAsia="Arial" w:hAnsi="Arial"/>
                <w:sz w:val="18"/>
                <w:szCs w:val="18"/>
                <w:b w:val="1"/>
                <w:bCs w:val="1"/>
                <w:color w:val="auto"/>
                <w:w w:val="93"/>
              </w:rPr>
              <w:t>New York, NY</w:t>
            </w:r>
          </w:p>
        </w:tc>
        <w:tc>
          <w:tcPr>
            <w:tcW w:w="2200" w:type="dxa"/>
            <w:vAlign w:val="bottom"/>
          </w:tcPr>
          <w:p>
            <w:pPr>
              <w:spacing w:after="0"/>
              <w:rPr>
                <w:sz w:val="19"/>
                <w:szCs w:val="19"/>
                <w:color w:val="auto"/>
              </w:rPr>
            </w:pPr>
          </w:p>
        </w:tc>
        <w:tc>
          <w:tcPr>
            <w:tcW w:w="2680" w:type="dxa"/>
            <w:vAlign w:val="bottom"/>
          </w:tcPr>
          <w:p>
            <w:pPr>
              <w:jc w:val="right"/>
              <w:ind w:right="401"/>
              <w:spacing w:after="0"/>
              <w:rPr>
                <w:sz w:val="20"/>
                <w:szCs w:val="20"/>
                <w:color w:val="auto"/>
              </w:rPr>
            </w:pPr>
            <w:r>
              <w:rPr>
                <w:rFonts w:ascii="Arial" w:cs="Arial" w:eastAsia="Arial" w:hAnsi="Arial"/>
                <w:sz w:val="18"/>
                <w:szCs w:val="18"/>
                <w:b w:val="1"/>
                <w:bCs w:val="1"/>
                <w:color w:val="auto"/>
              </w:rPr>
              <w:t>10022</w:t>
            </w:r>
          </w:p>
        </w:tc>
      </w:tr>
      <w:tr>
        <w:trPr>
          <w:trHeight w:val="186"/>
        </w:trPr>
        <w:tc>
          <w:tcPr>
            <w:tcW w:w="4060" w:type="dxa"/>
            <w:vAlign w:val="bottom"/>
          </w:tcPr>
          <w:p>
            <w:pPr>
              <w:jc w:val="center"/>
              <w:ind w:left="1199"/>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2200" w:type="dxa"/>
            <w:vAlign w:val="bottom"/>
          </w:tcPr>
          <w:p>
            <w:pPr>
              <w:spacing w:after="0"/>
              <w:rPr>
                <w:sz w:val="16"/>
                <w:szCs w:val="16"/>
                <w:color w:val="auto"/>
              </w:rPr>
            </w:pPr>
          </w:p>
        </w:tc>
        <w:tc>
          <w:tcPr>
            <w:tcW w:w="2680" w:type="dxa"/>
            <w:vAlign w:val="bottom"/>
          </w:tcPr>
          <w:p>
            <w:pPr>
              <w:jc w:val="center"/>
              <w:ind w:left="1181"/>
              <w:spacing w:after="0"/>
              <w:rPr>
                <w:sz w:val="20"/>
                <w:szCs w:val="20"/>
                <w:color w:val="auto"/>
              </w:rPr>
            </w:pPr>
            <w:r>
              <w:rPr>
                <w:rFonts w:ascii="Arial" w:cs="Arial" w:eastAsia="Arial" w:hAnsi="Arial"/>
                <w:sz w:val="14"/>
                <w:szCs w:val="14"/>
                <w:b w:val="1"/>
                <w:bCs w:val="1"/>
                <w:color w:val="auto"/>
                <w:w w:val="95"/>
              </w:rPr>
              <w:t>(Zip Code)</w:t>
            </w:r>
          </w:p>
        </w:tc>
      </w:tr>
    </w:tbl>
    <w:p>
      <w:pPr>
        <w:spacing w:after="0" w:line="183"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(212) 905-1000</w:t>
      </w:r>
    </w:p>
    <w:p>
      <w:pPr>
        <w:spacing w:after="0" w:line="21"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92"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16"/>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227965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1"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3"/>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3"/>
              </w:rPr>
              <w:t>on Which Registered</w:t>
            </w:r>
          </w:p>
        </w:tc>
        <w:tc>
          <w:tcPr>
            <w:tcW w:w="0" w:type="dxa"/>
            <w:vAlign w:val="bottom"/>
          </w:tcPr>
          <w:p>
            <w:pPr>
              <w:spacing w:after="0"/>
              <w:rPr>
                <w:sz w:val="1"/>
                <w:szCs w:val="1"/>
                <w:color w:val="auto"/>
              </w:rPr>
            </w:pPr>
          </w:p>
        </w:tc>
      </w:tr>
      <w:tr>
        <w:trPr>
          <w:trHeight w:val="191"/>
        </w:trPr>
        <w:tc>
          <w:tcPr>
            <w:tcW w:w="37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89"/>
              </w:rPr>
              <w:t>Common Stock, par value $0.001 per share</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7"/>
              </w:rPr>
              <w:t>PNNT</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3"/>
              </w:rPr>
              <w:t>The Nasdaq Stock Market LLC</w:t>
            </w:r>
          </w:p>
        </w:tc>
        <w:tc>
          <w:tcPr>
            <w:tcW w:w="0" w:type="dxa"/>
            <w:vAlign w:val="bottom"/>
          </w:tcPr>
          <w:p>
            <w:pPr>
              <w:spacing w:after="0"/>
              <w:rPr>
                <w:sz w:val="1"/>
                <w:szCs w:val="1"/>
                <w:color w:val="auto"/>
              </w:rPr>
            </w:pPr>
          </w:p>
        </w:tc>
      </w:tr>
      <w:tr>
        <w:trPr>
          <w:trHeight w:val="234"/>
        </w:trPr>
        <w:tc>
          <w:tcPr>
            <w:tcW w:w="3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5.50% Notes due 2024</w:t>
            </w:r>
          </w:p>
        </w:tc>
        <w:tc>
          <w:tcPr>
            <w:tcW w:w="36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rPr>
              <w:t>PNNTG</w:t>
            </w:r>
          </w:p>
        </w:tc>
        <w:tc>
          <w:tcPr>
            <w:tcW w:w="3540" w:type="dxa"/>
            <w:vAlign w:val="bottom"/>
          </w:tcPr>
          <w:p>
            <w:pPr>
              <w:jc w:val="center"/>
              <w:spacing w:after="0"/>
              <w:rPr>
                <w:sz w:val="20"/>
                <w:szCs w:val="20"/>
                <w:color w:val="auto"/>
              </w:rPr>
            </w:pPr>
            <w:r>
              <w:rPr>
                <w:rFonts w:ascii="Arial" w:cs="Arial" w:eastAsia="Arial" w:hAnsi="Arial"/>
                <w:sz w:val="18"/>
                <w:szCs w:val="18"/>
                <w:b w:val="1"/>
                <w:bCs w:val="1"/>
                <w:color w:val="auto"/>
                <w:w w:val="93"/>
              </w:rPr>
              <w:t>The Nasdaq Stock Market LLC</w:t>
            </w:r>
          </w:p>
        </w:tc>
        <w:tc>
          <w:tcPr>
            <w:tcW w:w="0" w:type="dxa"/>
            <w:vAlign w:val="bottom"/>
          </w:tcPr>
          <w:p>
            <w:pPr>
              <w:spacing w:after="0"/>
              <w:rPr>
                <w:sz w:val="1"/>
                <w:szCs w:val="1"/>
                <w:color w:val="auto"/>
              </w:rPr>
            </w:pPr>
          </w:p>
        </w:tc>
      </w:tr>
    </w:tbl>
    <w:p>
      <w:pPr>
        <w:spacing w:after="0" w:line="202" w:lineRule="exact"/>
        <w:rPr>
          <w:sz w:val="24"/>
          <w:szCs w:val="24"/>
          <w:color w:val="auto"/>
        </w:rPr>
      </w:pPr>
    </w:p>
    <w:p>
      <w:pPr>
        <w:ind w:left="4" w:right="8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 230.405) or Rule 12b-2 of the Securities Exchange Act of 1934 (17 CFR § 240.12b-2).</w:t>
      </w:r>
    </w:p>
    <w:p>
      <w:pPr>
        <w:spacing w:after="0" w:line="138"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sectPr>
      </w:pPr>
    </w:p>
    <w:bookmarkStart w:id="1" w:name="page2"/>
    <w:bookmarkEnd w:id="1"/>
    <w:p>
      <w:pPr>
        <w:ind w:left="4" w:right="20"/>
        <w:spacing w:after="0" w:line="282" w:lineRule="auto"/>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Item 5.02. Departure of Directors or Certain Officers; Election of Directors; Appointment of Certain Officers; Compensatory Arrangements of Certain Officers.</w:t>
      </w:r>
    </w:p>
    <w:p>
      <w:pPr>
        <w:spacing w:after="0" w:line="58" w:lineRule="exact"/>
        <w:rPr>
          <w:sz w:val="20"/>
          <w:szCs w:val="20"/>
          <w:color w:val="auto"/>
        </w:rPr>
      </w:pPr>
    </w:p>
    <w:p>
      <w:pPr>
        <w:ind w:left="4" w:right="320" w:firstLine="440"/>
        <w:spacing w:after="0" w:line="277" w:lineRule="auto"/>
        <w:rPr>
          <w:sz w:val="20"/>
          <w:szCs w:val="20"/>
          <w:color w:val="auto"/>
        </w:rPr>
      </w:pPr>
      <w:r>
        <w:rPr>
          <w:rFonts w:ascii="Arial" w:cs="Arial" w:eastAsia="Arial" w:hAnsi="Arial"/>
          <w:sz w:val="18"/>
          <w:szCs w:val="18"/>
          <w:color w:val="auto"/>
        </w:rPr>
        <w:t>On June 21, 2021, PennantPark Investment Corporation (“PNNT”) announced that Richard Cheung has been appointed as the Chief Financial Officer and Treasurer of PNNT, effective as of June 21, 2021.</w:t>
      </w:r>
    </w:p>
    <w:p>
      <w:pPr>
        <w:spacing w:after="0" w:line="170" w:lineRule="exact"/>
        <w:rPr>
          <w:sz w:val="20"/>
          <w:szCs w:val="20"/>
          <w:color w:val="auto"/>
        </w:rPr>
      </w:pPr>
    </w:p>
    <w:p>
      <w:pPr>
        <w:ind w:left="4" w:right="160" w:firstLine="440"/>
        <w:spacing w:after="0" w:line="263" w:lineRule="auto"/>
        <w:rPr>
          <w:sz w:val="20"/>
          <w:szCs w:val="20"/>
          <w:color w:val="auto"/>
        </w:rPr>
      </w:pPr>
      <w:r>
        <w:rPr>
          <w:rFonts w:ascii="Arial" w:cs="Arial" w:eastAsia="Arial" w:hAnsi="Arial"/>
          <w:sz w:val="18"/>
          <w:szCs w:val="18"/>
          <w:color w:val="auto"/>
        </w:rPr>
        <w:t>Mr. Cheung, 41, most recently served as Senior Managing Director and Head of Alternative Investment Accounting at Guggenheim Partners, LLC, where he has served in various roles since 2008. Mr. Cheung holds a B.S. in Accounting and Finance from the New York University Leonard N. Stern School of Business.</w:t>
      </w:r>
    </w:p>
    <w:p>
      <w:pPr>
        <w:spacing w:after="0" w:line="184" w:lineRule="exact"/>
        <w:rPr>
          <w:sz w:val="20"/>
          <w:szCs w:val="20"/>
          <w:color w:val="auto"/>
        </w:rPr>
      </w:pPr>
    </w:p>
    <w:p>
      <w:pPr>
        <w:ind w:left="4" w:right="260" w:firstLine="440"/>
        <w:spacing w:after="0" w:line="277" w:lineRule="auto"/>
        <w:rPr>
          <w:sz w:val="20"/>
          <w:szCs w:val="20"/>
          <w:color w:val="auto"/>
        </w:rPr>
      </w:pPr>
      <w:r>
        <w:rPr>
          <w:rFonts w:ascii="Arial" w:cs="Arial" w:eastAsia="Arial" w:hAnsi="Arial"/>
          <w:sz w:val="18"/>
          <w:szCs w:val="18"/>
          <w:color w:val="auto"/>
        </w:rPr>
        <w:t>There are no reportable family relationships or related party transactions (as defined in Item 404(a) of Regulation S-K) involving the Company and Mr. Cheung.</w:t>
      </w:r>
    </w:p>
    <w:p>
      <w:pPr>
        <w:spacing w:after="0" w:line="170" w:lineRule="exact"/>
        <w:rPr>
          <w:sz w:val="20"/>
          <w:szCs w:val="20"/>
          <w:color w:val="auto"/>
        </w:rPr>
      </w:pPr>
    </w:p>
    <w:p>
      <w:pPr>
        <w:ind w:left="4" w:firstLine="440"/>
        <w:spacing w:after="0" w:line="277" w:lineRule="auto"/>
        <w:rPr>
          <w:sz w:val="20"/>
          <w:szCs w:val="20"/>
          <w:color w:val="auto"/>
        </w:rPr>
      </w:pPr>
      <w:r>
        <w:rPr>
          <w:rFonts w:ascii="Arial" w:cs="Arial" w:eastAsia="Arial" w:hAnsi="Arial"/>
          <w:sz w:val="18"/>
          <w:szCs w:val="18"/>
          <w:color w:val="auto"/>
        </w:rPr>
        <w:t>Also effective June 21, 2021, Aviv Efrat will step down from his current position as Chief Financial Officer and Treasurer of PNNT. Mr. Efrat will remain with the PennantPark organization, where he will focus his attention on strategic growth initiatives.</w:t>
      </w:r>
    </w:p>
    <w:p>
      <w:pPr>
        <w:spacing w:after="0" w:line="170" w:lineRule="exact"/>
        <w:rPr>
          <w:sz w:val="20"/>
          <w:szCs w:val="20"/>
          <w:color w:val="auto"/>
        </w:rPr>
      </w:pPr>
    </w:p>
    <w:p>
      <w:pPr>
        <w:ind w:left="4" w:right="740" w:firstLine="440"/>
        <w:spacing w:after="0" w:line="277" w:lineRule="auto"/>
        <w:rPr>
          <w:sz w:val="20"/>
          <w:szCs w:val="20"/>
          <w:color w:val="auto"/>
        </w:rPr>
      </w:pPr>
      <w:r>
        <w:rPr>
          <w:rFonts w:ascii="Arial" w:cs="Arial" w:eastAsia="Arial" w:hAnsi="Arial"/>
          <w:sz w:val="18"/>
          <w:szCs w:val="18"/>
          <w:color w:val="auto"/>
        </w:rPr>
        <w:t>A copy of PNNT’s press release announcing the foregoing matters is attached as Exhibit 99.1 to this Current Report on Form 8-K and is incorporated herein by reference.</w:t>
      </w:r>
    </w:p>
    <w:p>
      <w:pPr>
        <w:spacing w:after="0" w:line="274"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17" w:lineRule="exact"/>
        <w:rPr>
          <w:sz w:val="20"/>
          <w:szCs w:val="20"/>
          <w:color w:val="auto"/>
        </w:rPr>
      </w:pPr>
    </w:p>
    <w:p>
      <w:pPr>
        <w:ind w:left="984" w:right="9080" w:hanging="984"/>
        <w:spacing w:after="0" w:line="488" w:lineRule="auto"/>
        <w:tabs>
          <w:tab w:leader="none" w:pos="247" w:val="left"/>
        </w:tabs>
        <w:numPr>
          <w:ilvl w:val="0"/>
          <w:numId w:val="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Financial statements: </w:t>
      </w:r>
      <w:r>
        <w:rPr>
          <w:rFonts w:ascii="Arial" w:cs="Arial" w:eastAsia="Arial" w:hAnsi="Arial"/>
          <w:sz w:val="16"/>
          <w:szCs w:val="16"/>
          <w:color w:val="auto"/>
        </w:rPr>
        <w:t>None</w:t>
      </w:r>
    </w:p>
    <w:p>
      <w:pPr>
        <w:spacing w:after="0" w:line="115" w:lineRule="exact"/>
        <w:rPr>
          <w:rFonts w:ascii="Arial" w:cs="Arial" w:eastAsia="Arial" w:hAnsi="Arial"/>
          <w:sz w:val="16"/>
          <w:szCs w:val="16"/>
          <w:b w:val="1"/>
          <w:bCs w:val="1"/>
          <w:color w:val="auto"/>
        </w:rPr>
      </w:pPr>
    </w:p>
    <w:p>
      <w:pPr>
        <w:ind w:left="984" w:right="8180" w:hanging="984"/>
        <w:spacing w:after="0" w:line="407" w:lineRule="auto"/>
        <w:tabs>
          <w:tab w:leader="none" w:pos="257"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Pro forma financial information: </w:t>
      </w:r>
      <w:r>
        <w:rPr>
          <w:rFonts w:ascii="Arial" w:cs="Arial" w:eastAsia="Arial" w:hAnsi="Arial"/>
          <w:sz w:val="18"/>
          <w:szCs w:val="18"/>
          <w:color w:val="auto"/>
        </w:rPr>
        <w:t>None</w:t>
      </w:r>
    </w:p>
    <w:p>
      <w:pPr>
        <w:spacing w:after="0" w:line="161" w:lineRule="exact"/>
        <w:rPr>
          <w:rFonts w:ascii="Arial" w:cs="Arial" w:eastAsia="Arial" w:hAnsi="Arial"/>
          <w:sz w:val="18"/>
          <w:szCs w:val="18"/>
          <w:b w:val="1"/>
          <w:bCs w:val="1"/>
          <w:color w:val="auto"/>
        </w:rPr>
      </w:pPr>
    </w:p>
    <w:p>
      <w:pPr>
        <w:ind w:left="984" w:right="8560" w:hanging="984"/>
        <w:spacing w:after="0" w:line="488" w:lineRule="auto"/>
        <w:tabs>
          <w:tab w:leader="none" w:pos="237" w:val="left"/>
        </w:tabs>
        <w:numPr>
          <w:ilvl w:val="0"/>
          <w:numId w:val="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Shell company transactions: </w:t>
      </w:r>
      <w:r>
        <w:rPr>
          <w:rFonts w:ascii="Arial" w:cs="Arial" w:eastAsia="Arial" w:hAnsi="Arial"/>
          <w:sz w:val="16"/>
          <w:szCs w:val="16"/>
          <w:color w:val="auto"/>
        </w:rPr>
        <w:t>None</w:t>
      </w:r>
    </w:p>
    <w:p>
      <w:pPr>
        <w:spacing w:after="0" w:line="115" w:lineRule="exact"/>
        <w:rPr>
          <w:rFonts w:ascii="Arial" w:cs="Arial" w:eastAsia="Arial" w:hAnsi="Arial"/>
          <w:sz w:val="16"/>
          <w:szCs w:val="16"/>
          <w:b w:val="1"/>
          <w:bCs w:val="1"/>
          <w:color w:val="auto"/>
        </w:rPr>
      </w:pPr>
    </w:p>
    <w:p>
      <w:pPr>
        <w:ind w:left="264" w:hanging="264"/>
        <w:spacing w:after="0"/>
        <w:tabs>
          <w:tab w:leader="none" w:pos="264"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135" w:lineRule="exact"/>
        <w:rPr>
          <w:sz w:val="20"/>
          <w:szCs w:val="20"/>
          <w:color w:val="auto"/>
        </w:rPr>
      </w:pPr>
    </w:p>
    <w:p>
      <w:pPr>
        <w:ind w:left="4"/>
        <w:spacing w:after="0"/>
        <w:tabs>
          <w:tab w:leader="none" w:pos="644" w:val="left"/>
        </w:tabs>
        <w:rPr>
          <w:rFonts w:ascii="Arial" w:cs="Arial" w:eastAsia="Arial" w:hAnsi="Arial"/>
          <w:sz w:val="15"/>
          <w:szCs w:val="15"/>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5"/>
            <w:szCs w:val="15"/>
            <w:u w:val="single" w:color="auto"/>
            <w:color w:val="0000EE"/>
          </w:rPr>
          <w:t>Press Release of PennantPark Investment Corporation, dated June 21, 2021.</w:t>
        </w:r>
      </w:hyperlink>
    </w:p>
    <w:p>
      <w:pPr>
        <w:sectPr>
          <w:pgSz w:w="11900" w:h="16838" w:orient="portrait"/>
          <w:cols w:equalWidth="0" w:num="1">
            <w:col w:w="10984"/>
          </w:cols>
          <w:pgMar w:left="436" w:top="270" w:right="479" w:bottom="1440" w:gutter="0" w:footer="0" w:header="0"/>
        </w:sectPr>
      </w:pPr>
    </w:p>
    <w:bookmarkStart w:id="2" w:name="page3"/>
    <w:bookmarkEnd w:id="2"/>
    <w:p>
      <w:pPr>
        <w:spacing w:after="0"/>
        <w:tabs>
          <w:tab w:leader="none" w:pos="56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Dated: June 21, 2021</w:t>
      </w:r>
      <w:r>
        <w:rPr>
          <w:sz w:val="20"/>
          <w:szCs w:val="20"/>
          <w:color w:val="auto"/>
        </w:rPr>
        <w:tab/>
      </w:r>
      <w:r>
        <w:rPr>
          <w:rFonts w:ascii="Arial" w:cs="Arial" w:eastAsia="Arial" w:hAnsi="Arial"/>
          <w:sz w:val="18"/>
          <w:szCs w:val="18"/>
          <w:b w:val="1"/>
          <w:bCs w:val="1"/>
          <w:color w:val="auto"/>
        </w:rPr>
        <w:t>PENNANTPARK INVESTMENT CORPORATION</w:t>
      </w:r>
    </w:p>
    <w:p>
      <w:pPr>
        <w:spacing w:after="0" w:line="229" w:lineRule="exact"/>
        <w:rPr>
          <w:sz w:val="20"/>
          <w:szCs w:val="20"/>
          <w:color w:val="auto"/>
        </w:rPr>
      </w:pPr>
    </w:p>
    <w:p>
      <w:pPr>
        <w:ind w:left="5620"/>
        <w:spacing w:after="0"/>
        <w:tabs>
          <w:tab w:leader="none" w:pos="60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Arthur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14605</wp:posOffset>
            </wp:positionV>
            <wp:extent cx="31457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Arthur Penn</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i w:val="1"/>
          <w:iCs w:val="1"/>
          <w:color w:val="auto"/>
        </w:rPr>
        <w:t>Chief Executive Officer</w:t>
      </w:r>
    </w:p>
    <w:p>
      <w:pPr>
        <w:sectPr>
          <w:pgSz w:w="11900" w:h="16838" w:orient="portrait"/>
          <w:cols w:equalWidth="0" w:num="1">
            <w:col w:w="10019"/>
          </w:cols>
          <w:pgMar w:left="440" w:top="270" w:right="1440"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171450</wp:posOffset>
            </wp:positionV>
            <wp:extent cx="1714500" cy="4368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714500" cy="436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PennantPark Investment Corporation Appoints Richard Cheung as New Chief Financial Officer</w:t>
      </w:r>
    </w:p>
    <w:p>
      <w:pPr>
        <w:spacing w:after="0" w:line="121"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color w:val="auto"/>
        </w:rPr>
        <w:t>NEW YORK, NY — (GLOBE NEWSWIRE – June 21, 2021) — PennantPark Investment Corporation (NASDAQ: PNNT) (“we,” “our,” “PNNT” or the “Company”) announced today that it has appointed Richard Cheung as its Chief Financial Officer and Treasurer, effective June 21, 2021.</w:t>
      </w:r>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color w:val="auto"/>
        </w:rPr>
        <w:t>Mr. Cheung most recently served as Senior Managing Director and Head of Alternative Investment Accounting at Guggenheim Partners, LLC</w:t>
      </w:r>
    </w:p>
    <w:p>
      <w:pPr>
        <w:spacing w:after="0" w:line="35"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Guggenheim</w:t>
      </w:r>
      <w:r>
        <w:rPr>
          <w:rFonts w:ascii="Arial" w:cs="Arial" w:eastAsia="Arial" w:hAnsi="Arial"/>
          <w:sz w:val="18"/>
          <w:szCs w:val="18"/>
          <w:color w:val="auto"/>
        </w:rPr>
        <w:t>”), where he has served in various roles since 2008. Prior to joining Guggenheim in 2008, Mr. Cheung spent the majority of his career at Ernst &amp; Young LLP in its financial services industry practice where he managed audits for a variety of funds. Mr. Cheung holds a B.S. in Accounting and Finance from the New York University Leonard N. Stern School of Business.</w:t>
      </w:r>
    </w:p>
    <w:p>
      <w:pPr>
        <w:spacing w:after="0" w:line="190"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“We are extremely pleased that Richard will be joining the Company as our new Chief Financial Officer and a member of our senior management team. We are confident that his extensive experience will be a tremendous asset to the Company and its shareholders as we continue to build the Company,” stated Arthur Penn, Chief Executive Officer of PNNT.</w:t>
      </w:r>
    </w:p>
    <w:p>
      <w:pPr>
        <w:spacing w:after="0" w:line="184"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Aviv Efrat, PNNT’s current Chief Financial Officer and Treasurer, will move within the PennantPark organization and remain in senior management where he will focus on PennantPark’s strategic growth initiatives.</w:t>
      </w:r>
    </w:p>
    <w:p>
      <w:pPr>
        <w:spacing w:after="0" w:line="170" w:lineRule="exact"/>
        <w:rPr>
          <w:sz w:val="20"/>
          <w:szCs w:val="20"/>
          <w:color w:val="auto"/>
        </w:rPr>
      </w:pPr>
    </w:p>
    <w:p>
      <w:pPr>
        <w:ind w:right="340"/>
        <w:spacing w:after="0" w:line="286" w:lineRule="auto"/>
        <w:rPr>
          <w:sz w:val="20"/>
          <w:szCs w:val="20"/>
          <w:color w:val="auto"/>
        </w:rPr>
      </w:pPr>
      <w:r>
        <w:rPr>
          <w:rFonts w:ascii="Arial" w:cs="Arial" w:eastAsia="Arial" w:hAnsi="Arial"/>
          <w:sz w:val="17"/>
          <w:szCs w:val="17"/>
          <w:color w:val="auto"/>
        </w:rPr>
        <w:t>“We are thankful for all of Aviv’s contributions to date as a valued member of the Company’s senior management team since its inception in 2007, including his contribution to building our finance and operations team,” said Mr. Penn. “We are grateful that Aviv will remain in senior management within the PennantPark organization where he will continue to contribute to the firm’s strategic direction.”</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PENNANTPARK INVESTMENT CORPORATION</w:t>
      </w:r>
    </w:p>
    <w:p>
      <w:pPr>
        <w:spacing w:after="0" w:line="121"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color w:val="auto"/>
        </w:rPr>
        <w:t>PennantPark Investment Corporation is a business development company which invests primarily in U.S. middle-market companies in the form of first lien secured debt, second lien secured debt, subordinated debt and equity investments. PennantPark Investment Corporation is managed by PennantPark Investment Advisers, LLC.</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PENNANTPARK INVESTMENT ADVISERS, LLC</w:t>
      </w:r>
    </w:p>
    <w:p>
      <w:pPr>
        <w:spacing w:after="0" w:line="121"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PennantPark Investment Advisers, LLC is a leading middle-market credit platform, managing $4.7 billion of investable capital, including potential leverage. Since its inception in 2007, PennantPark Investment Advisers, LLC has provided investors access to middle-market credit by offering private equity firms and their portfolio companies as well as other middle-market borrowers a comprehensive range of creative and flexible financing solutions. PennantPark Investment Advisers, LLC is headquartered in New York and has offices in Chicago, Houston, and Los Angeles.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This press release may contain “forward-looking statements” within the meaning of the Private Securities Litigation Reform Act of 1995. You should understand that under Section 27A(b)(2)(B) of the Securities Act of 1933, as amended, and Section 21E(b)(2)(B) of the Securities Exchange Act of 1934, as amended (the “Exchange Act”), the “safe harbor” provisions of the Private Securities Litigation Reform Act of 1995 do not apply to forward-looking statements made in periodic reports we file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as well as changes in the economy and risks associated with possible disruption in the Company’s operations or the economy generally due to terrorism, natural disasters or pandemics such as COVID-19. The Company undertakes no duty to update any forward-looking statement made herein. You should not place undue influence on such forward-looking statements as such statements speak only as of the date on which they are made.</w:t>
      </w:r>
    </w:p>
    <w:p>
      <w:pPr>
        <w:spacing w:after="0" w:line="185" w:lineRule="exact"/>
        <w:rPr>
          <w:sz w:val="20"/>
          <w:szCs w:val="20"/>
          <w:color w:val="auto"/>
        </w:rPr>
      </w:pPr>
    </w:p>
    <w:p>
      <w:pPr>
        <w:jc w:val="both"/>
        <w:ind w:right="280"/>
        <w:spacing w:after="0" w:line="311" w:lineRule="auto"/>
        <w:rPr>
          <w:sz w:val="20"/>
          <w:szCs w:val="20"/>
          <w:color w:val="auto"/>
        </w:rPr>
      </w:pPr>
      <w:r>
        <w:rPr>
          <w:rFonts w:ascii="Arial" w:cs="Arial" w:eastAsia="Arial" w:hAnsi="Arial"/>
          <w:sz w:val="16"/>
          <w:szCs w:val="16"/>
          <w:color w:val="auto"/>
        </w:rPr>
        <w:t>We may use words such as “anticipates,” “believes,” “expects,” “intends,” “seeks,” “plans,” “estimates” and similar expressions to identify forward-looking statements. Such statements are based on currently available operating, financial and competitive information and are subject to various risks and uncertainties that could cause actual results to differ materially from our historical experience and our present expectations.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CONTACT:  Arthur Penn</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PennantPark Investment Corporation</w:t>
      </w:r>
    </w:p>
    <w:p>
      <w:pPr>
        <w:spacing w:after="0" w:line="23" w:lineRule="exact"/>
        <w:rPr>
          <w:sz w:val="20"/>
          <w:szCs w:val="20"/>
          <w:color w:val="auto"/>
        </w:rPr>
      </w:pPr>
    </w:p>
    <w:p>
      <w:pPr>
        <w:ind w:left="980" w:right="8360" w:firstLine="7"/>
        <w:spacing w:after="0" w:line="323" w:lineRule="auto"/>
        <w:tabs>
          <w:tab w:leader="none" w:pos="1415" w:val="left"/>
        </w:tabs>
        <w:numPr>
          <w:ilvl w:val="0"/>
          <w:numId w:val="3"/>
        </w:numPr>
        <w:rPr>
          <w:rFonts w:ascii="Arial" w:cs="Arial" w:eastAsia="Arial" w:hAnsi="Arial"/>
          <w:sz w:val="16"/>
          <w:szCs w:val="16"/>
          <w:color w:val="auto"/>
        </w:rPr>
      </w:pPr>
      <w:r>
        <w:rPr>
          <w:rFonts w:ascii="Arial" w:cs="Arial" w:eastAsia="Arial" w:hAnsi="Arial"/>
          <w:sz w:val="16"/>
          <w:szCs w:val="16"/>
          <w:color w:val="auto"/>
        </w:rPr>
        <w:t xml:space="preserve">905-1000 </w:t>
      </w:r>
      <w:r>
        <w:rPr>
          <w:rFonts w:ascii="Arial" w:cs="Arial" w:eastAsia="Arial" w:hAnsi="Arial"/>
          <w:sz w:val="16"/>
          <w:szCs w:val="16"/>
          <w:u w:val="single" w:color="auto"/>
          <w:color w:val="auto"/>
        </w:rPr>
        <w:t>www.pennantpark.com</w:t>
      </w:r>
    </w:p>
    <w:sectPr>
      <w:pgSz w:w="11900" w:h="16838" w:orient="portrait"/>
      <w:cols w:equalWidth="0" w:num="1">
        <w:col w:w="11020"/>
      </w:cols>
      <w:pgMar w:left="440"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1"/>
    </w:lvl>
  </w:abstractNum>
  <w:abstractNum w:abstractNumId="2">
    <w:nsid w:val="19495CFF"/>
    <w:multiLevelType w:val="hybridMultilevel"/>
    <w:lvl w:ilvl="0">
      <w:lvlJc w:val="left"/>
      <w:lvlText w:val="(%1)"/>
      <w:numFmt w:val="decimal"/>
      <w:start w:val="212"/>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2021-06-21T15:58:47Z</dcterms:created>
  <dcterms:modified xsi:type="dcterms:W3CDTF">2021-06-21T15:58:47Z</dcterms:modified>
</cp:coreProperties>
</file>