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333-263564</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the Prospectus dated 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2611755</wp:posOffset>
            </wp:positionH>
            <wp:positionV relativeFrom="paragraph">
              <wp:posOffset>168910</wp:posOffset>
            </wp:positionV>
            <wp:extent cx="176593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Up to $100 million</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ind w:right="140" w:firstLine="440"/>
        <w:spacing w:after="0" w:line="231" w:lineRule="auto"/>
        <w:rPr>
          <w:sz w:val="20"/>
          <w:szCs w:val="20"/>
          <w:color w:val="auto"/>
        </w:rPr>
      </w:pPr>
      <w:r>
        <w:rPr>
          <w:rFonts w:ascii="Times New Roman" w:cs="Times New Roman" w:eastAsia="Times New Roman" w:hAnsi="Times New Roman"/>
          <w:sz w:val="14"/>
          <w:szCs w:val="14"/>
          <w:color w:val="auto"/>
        </w:rPr>
        <w:t>PennantPark Investment Corporation (“we”, “our”, or “us”) has entered into separate equity distribution agreements, each dated June 4, 2024, with Truist Securities, Inc. and Keefe, Bruyette &amp; Woods, Inc., each, a sales agent, relating to the shares of our common stock offered by this prospectus supplement and the accompanying prospectus. The equity distribution agreements provide that we may offer and sell shares of our common stock having an aggregate offering price of up to $100 million from time to time through the sales agents. Sales of our common stock, if any, under this prospectus supplement and the accompanying prospectus may be made in negotiated transactions or transactions that are deemed to be “at the market,” as defined in Rule 415 under the Securities Act of 1933, as amended, or the Securities Act, including sales made directly on The New York Stock Exchange, or NYSE, or any similar securities exchange or sales made to or through a market maker other than on a securities exchange, at prices related to the prevailing market prices or at negotiated prices. See “</w:t>
      </w:r>
      <w:r>
        <w:rPr>
          <w:rFonts w:ascii="Times New Roman" w:cs="Times New Roman" w:eastAsia="Times New Roman" w:hAnsi="Times New Roman"/>
          <w:sz w:val="14"/>
          <w:szCs w:val="14"/>
          <w:u w:val="single" w:color="auto"/>
          <w:color w:val="auto"/>
        </w:rPr>
        <w:t>Plan of Distribution</w:t>
      </w:r>
      <w:r>
        <w:rPr>
          <w:rFonts w:ascii="Times New Roman" w:cs="Times New Roman" w:eastAsia="Times New Roman" w:hAnsi="Times New Roman"/>
          <w:sz w:val="14"/>
          <w:szCs w:val="14"/>
          <w:color w:val="auto"/>
        </w:rPr>
        <w:t>.”</w:t>
      </w:r>
    </w:p>
    <w:p>
      <w:pPr>
        <w:spacing w:after="0" w:line="69" w:lineRule="exact"/>
        <w:rPr>
          <w:sz w:val="24"/>
          <w:szCs w:val="24"/>
          <w:color w:val="auto"/>
        </w:rPr>
      </w:pPr>
    </w:p>
    <w:p>
      <w:pPr>
        <w:ind w:right="80" w:firstLine="440"/>
        <w:spacing w:after="0" w:line="228" w:lineRule="auto"/>
        <w:rPr>
          <w:sz w:val="20"/>
          <w:szCs w:val="20"/>
          <w:color w:val="auto"/>
        </w:rPr>
      </w:pPr>
      <w:r>
        <w:rPr>
          <w:rFonts w:ascii="Times New Roman" w:cs="Times New Roman" w:eastAsia="Times New Roman" w:hAnsi="Times New Roman"/>
          <w:sz w:val="14"/>
          <w:szCs w:val="14"/>
          <w:color w:val="auto"/>
        </w:rPr>
        <w:t>PennantPark Investment Corporation, a Maryland corporation, is a closed-end, externally managed, non-diversified investment company that has elected to be treated as a business development company, or BDC, under the Investment Company Act of 1940, as amended. Our investment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We are externally managed by PennantPark Investment Advisers, LLC, or the Investment Adviser. PennantPark Investment Administration, LLC provides the administrative services necessary for us to operate.</w:t>
      </w:r>
    </w:p>
    <w:p>
      <w:pPr>
        <w:spacing w:after="0" w:line="73" w:lineRule="exact"/>
        <w:rPr>
          <w:sz w:val="24"/>
          <w:szCs w:val="24"/>
          <w:color w:val="auto"/>
        </w:rPr>
      </w:pPr>
    </w:p>
    <w:p>
      <w:pPr>
        <w:ind w:right="140" w:firstLine="440"/>
        <w:spacing w:after="0" w:line="261" w:lineRule="auto"/>
        <w:rPr>
          <w:sz w:val="20"/>
          <w:szCs w:val="20"/>
          <w:color w:val="auto"/>
        </w:rPr>
      </w:pPr>
      <w:r>
        <w:rPr>
          <w:rFonts w:ascii="Times New Roman" w:cs="Times New Roman" w:eastAsia="Times New Roman" w:hAnsi="Times New Roman"/>
          <w:sz w:val="14"/>
          <w:szCs w:val="14"/>
          <w:color w:val="auto"/>
        </w:rPr>
        <w:t>Our common stock is traded on the NYSE under the symbol “PNNT”. The last reported closing price for our common stock on the NYSE on May 31, 2024 was $7.49 per share. The net asset value, or NAV, of our common stock as of March 31, 2024 (the last date prior to the date of this prospectus supplement on which we published NAV) was $7.69 per share.</w:t>
      </w:r>
    </w:p>
    <w:p>
      <w:pPr>
        <w:spacing w:after="0" w:line="55" w:lineRule="exact"/>
        <w:rPr>
          <w:sz w:val="24"/>
          <w:szCs w:val="24"/>
          <w:color w:val="auto"/>
        </w:rPr>
      </w:pPr>
    </w:p>
    <w:p>
      <w:pPr>
        <w:ind w:right="100" w:firstLine="440"/>
        <w:spacing w:after="0" w:line="227" w:lineRule="auto"/>
        <w:rPr>
          <w:sz w:val="20"/>
          <w:szCs w:val="20"/>
          <w:color w:val="auto"/>
        </w:rPr>
      </w:pPr>
      <w:r>
        <w:rPr>
          <w:rFonts w:ascii="Times New Roman" w:cs="Times New Roman" w:eastAsia="Times New Roman" w:hAnsi="Times New Roman"/>
          <w:sz w:val="14"/>
          <w:szCs w:val="14"/>
          <w:color w:val="auto"/>
        </w:rPr>
        <w:t>Under the terms of the equity distribution agreements, each sales agent will receive a commission from us of up to 2.0% of the gross sales price of any shares of common stock sold through such sales agent under the applicable equity distribution agreement. The sales agents are not required to sell any specific number or dollar amount of common stock but will use their commercially reasonable efforts consistent with their respective sales and trading practices to sell the shares of our common stock offered by this prospectus supplement and the accompanying prospectus. We may also sell shares of common stock to a sales agent, as principal for its own account, at a price agreed upon at the time of sale. If we sell shares to a sales agent as principal, we will enter into a separate agreement with such sales agent, setting forth the terms of such transaction, and we will describe such agreement in a separate prospectus supplement. See “</w:t>
      </w:r>
      <w:r>
        <w:rPr>
          <w:rFonts w:ascii="Times New Roman" w:cs="Times New Roman" w:eastAsia="Times New Roman" w:hAnsi="Times New Roman"/>
          <w:sz w:val="14"/>
          <w:szCs w:val="14"/>
          <w:u w:val="single" w:color="auto"/>
          <w:color w:val="auto"/>
        </w:rPr>
        <w:t>Plan of Distribution</w:t>
      </w:r>
      <w:r>
        <w:rPr>
          <w:rFonts w:ascii="Times New Roman" w:cs="Times New Roman" w:eastAsia="Times New Roman" w:hAnsi="Times New Roman"/>
          <w:sz w:val="14"/>
          <w:szCs w:val="14"/>
          <w:color w:val="auto"/>
        </w:rPr>
        <w:t>” beginning on page S-14 of this prospectus supplement. The sales price per share of our common stock offered by this prospectus supplement and the accompanying prospectus, less commissions payable under the applicable equity distribution agreement and discounts, if any, will not be less than the NAV per share of our common stock at the time of such sale.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70" w:lineRule="exact"/>
        <w:rPr>
          <w:sz w:val="24"/>
          <w:szCs w:val="24"/>
          <w:color w:val="auto"/>
        </w:rPr>
      </w:pPr>
    </w:p>
    <w:p>
      <w:pPr>
        <w:ind w:right="40" w:firstLine="440"/>
        <w:spacing w:after="0" w:line="229" w:lineRule="auto"/>
        <w:rPr>
          <w:sz w:val="20"/>
          <w:szCs w:val="20"/>
          <w:color w:val="auto"/>
        </w:rPr>
      </w:pPr>
      <w:r>
        <w:rPr>
          <w:rFonts w:ascii="Times New Roman" w:cs="Times New Roman" w:eastAsia="Times New Roman" w:hAnsi="Times New Roman"/>
          <w:sz w:val="14"/>
          <w:szCs w:val="14"/>
          <w:color w:val="auto"/>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1691 Michigan Avenue, Miami Beach, Florida 33139, by calling us collect at (786) 297-9500 or by visiting our website at </w:t>
      </w:r>
      <w:r>
        <w:rPr>
          <w:rFonts w:ascii="Times New Roman" w:cs="Times New Roman" w:eastAsia="Times New Roman" w:hAnsi="Times New Roman"/>
          <w:sz w:val="14"/>
          <w:szCs w:val="14"/>
          <w:u w:val="single" w:color="auto"/>
          <w:color w:val="auto"/>
        </w:rPr>
        <w:t>www.pennantpark.com</w:t>
      </w:r>
      <w:r>
        <w:rPr>
          <w:rFonts w:ascii="Times New Roman" w:cs="Times New Roman" w:eastAsia="Times New Roman" w:hAnsi="Times New Roman"/>
          <w:sz w:val="14"/>
          <w:szCs w:val="14"/>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xml:space="preserve"> that contains such information free of charge.</w:t>
      </w:r>
    </w:p>
    <w:p>
      <w:pPr>
        <w:spacing w:after="0" w:line="79" w:lineRule="exact"/>
        <w:rPr>
          <w:sz w:val="24"/>
          <w:szCs w:val="24"/>
          <w:color w:val="auto"/>
        </w:rPr>
      </w:pPr>
    </w:p>
    <w:p>
      <w:pPr>
        <w:ind w:right="20" w:firstLine="551"/>
        <w:spacing w:after="0" w:line="276" w:lineRule="auto"/>
        <w:rPr>
          <w:sz w:val="20"/>
          <w:szCs w:val="20"/>
          <w:color w:val="auto"/>
        </w:rPr>
      </w:pPr>
      <w:r>
        <w:rPr>
          <w:rFonts w:ascii="Times New Roman" w:cs="Times New Roman" w:eastAsia="Times New Roman" w:hAnsi="Times New Roman"/>
          <w:sz w:val="16"/>
          <w:szCs w:val="16"/>
          <w:b w:val="1"/>
          <w:bCs w:val="1"/>
          <w:color w:val="auto"/>
        </w:rPr>
        <w:t>Investing in our common stock involves a high degree of risk, including the risk of leverage. Before buying any shares of our common stock, you should read the discussion of the material risks of investing in us described in the section titled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S-10 of this prospectus supplement and in our most recent Annual Report on Form 10-K, our most recent Quarterly Reports on Form 10-Q and under similar headings in other documents that are filed with the SEC on or after the date hereof and incorporated by reference into this prospectus supplement and the accompanying prospectus.</w:t>
      </w:r>
    </w:p>
    <w:p>
      <w:pPr>
        <w:spacing w:after="0" w:line="65" w:lineRule="exact"/>
        <w:rPr>
          <w:sz w:val="24"/>
          <w:szCs w:val="24"/>
          <w:color w:val="auto"/>
        </w:rPr>
      </w:pPr>
    </w:p>
    <w:p>
      <w:pPr>
        <w:ind w:right="180" w:firstLine="440"/>
        <w:spacing w:after="0" w:line="261" w:lineRule="auto"/>
        <w:rPr>
          <w:sz w:val="20"/>
          <w:szCs w:val="20"/>
          <w:color w:val="auto"/>
        </w:rPr>
      </w:pPr>
      <w:r>
        <w:rPr>
          <w:rFonts w:ascii="Times New Roman" w:cs="Times New Roman" w:eastAsia="Times New Roman" w:hAnsi="Times New Roman"/>
          <w:sz w:val="14"/>
          <w:szCs w:val="14"/>
          <w:color w:val="auto"/>
        </w:rPr>
        <w:t>Shares of closed-end investment companies, including BDCs, frequently trade at a discount to their NAV. If our shares trade at a discount to our NAV, it may increase the risk of loss for purchasers in this offering.</w:t>
      </w:r>
    </w:p>
    <w:p>
      <w:pPr>
        <w:sectPr>
          <w:pgSz w:w="11900" w:h="16838" w:orient="portrait"/>
          <w:cols w:equalWidth="0" w:num="1">
            <w:col w:w="11020"/>
          </w:cols>
          <w:pgMar w:left="440" w:top="225" w:right="439" w:bottom="1440" w:gutter="0" w:footer="0" w:header="0"/>
        </w:sectPr>
      </w:pPr>
    </w:p>
    <w:p>
      <w:pPr>
        <w:spacing w:after="0" w:line="168"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21"/>
          <w:szCs w:val="21"/>
          <w:b w:val="1"/>
          <w:bCs w:val="1"/>
          <w:color w:val="auto"/>
        </w:rPr>
        <w:t>Truist Securities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Keefe, Bruyette &amp; Woods</w:t>
      </w:r>
    </w:p>
    <w:p>
      <w:pPr>
        <w:spacing w:after="0" w:line="37" w:lineRule="exact"/>
        <w:rPr>
          <w:sz w:val="24"/>
          <w:szCs w:val="24"/>
          <w:color w:val="auto"/>
        </w:rPr>
      </w:pPr>
    </w:p>
    <w:p>
      <w:pPr>
        <w:sectPr>
          <w:pgSz w:w="11900" w:h="16838" w:orient="portrait"/>
          <w:cols w:equalWidth="0" w:num="2">
            <w:col w:w="7940" w:space="720"/>
            <w:col w:w="2360"/>
          </w:cols>
          <w:pgMar w:left="440" w:top="225" w:right="439" w:bottom="1440" w:gutter="0" w:footer="0" w:header="0"/>
          <w:type w:val="continuous"/>
        </w:sectPr>
      </w:pPr>
    </w:p>
    <w:p>
      <w:pPr>
        <w:ind w:left="10000"/>
        <w:spacing w:after="0"/>
        <w:rPr>
          <w:sz w:val="20"/>
          <w:szCs w:val="20"/>
          <w:color w:val="auto"/>
        </w:rPr>
      </w:pPr>
      <w:r>
        <w:rPr>
          <w:rFonts w:ascii="Times New Roman" w:cs="Times New Roman" w:eastAsia="Times New Roman" w:hAnsi="Times New Roman"/>
          <w:sz w:val="14"/>
          <w:szCs w:val="14"/>
          <w:i w:val="1"/>
          <w:iCs w:val="1"/>
          <w:color w:val="auto"/>
        </w:rPr>
        <w:t>A Stifel Company</w:t>
      </w:r>
    </w:p>
    <w:p>
      <w:pPr>
        <w:sectPr>
          <w:pgSz w:w="11900" w:h="16838" w:orient="portrait"/>
          <w:cols w:equalWidth="0" w:num="1">
            <w:col w:w="11020"/>
          </w:cols>
          <w:pgMar w:left="440" w:top="225" w:right="439" w:bottom="1440" w:gutter="0" w:footer="0" w:header="0"/>
          <w:type w:val="continuous"/>
        </w:sectPr>
      </w:pPr>
    </w:p>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June 4, 2024.</w:t>
      </w:r>
    </w:p>
    <w:p>
      <w:pPr>
        <w:sectPr>
          <w:pgSz w:w="11900" w:h="16838" w:orient="portrait"/>
          <w:cols w:equalWidth="0" w:num="1">
            <w:col w:w="11020"/>
          </w:cols>
          <w:pgMar w:left="440" w:top="225"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80" w:type="dxa"/>
            <w:vAlign w:val="bottom"/>
            <w:gridSpan w:val="5"/>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6"/>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8"/>
            <w:vMerge w:val="restart"/>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21"/>
            <w:vMerge w:val="continue"/>
          </w:tcPr>
          <w:p>
            <w:pPr>
              <w:spacing w:after="0"/>
              <w:rPr>
                <w:sz w:val="14"/>
                <w:szCs w:val="14"/>
                <w:color w:val="auto"/>
              </w:rPr>
            </w:pPr>
          </w:p>
        </w:tc>
        <w:tc>
          <w:tcPr>
            <w:tcW w:w="7120" w:type="dxa"/>
            <w:vAlign w:val="bottom"/>
            <w:gridSpan w:val="8"/>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7"/>
          </w:tcPr>
          <w:p>
            <w:pPr>
              <w:spacing w:after="0"/>
              <w:rPr>
                <w:sz w:val="17"/>
                <w:szCs w:val="17"/>
                <w:color w:val="auto"/>
              </w:rPr>
            </w:pPr>
          </w:p>
        </w:tc>
        <w:tc>
          <w:tcPr>
            <w:tcW w:w="728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105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780" w:type="dxa"/>
            <w:vAlign w:val="bottom"/>
            <w:gridSpan w:val="2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tcBorders>
              <w:top w:val="single" w:sz="8" w:color="0000EE"/>
            </w:tcBorders>
            <w:gridSpan w:val="12"/>
          </w:tcPr>
          <w:p>
            <w:pPr>
              <w:spacing w:after="0"/>
              <w:rPr>
                <w:sz w:val="17"/>
                <w:szCs w:val="17"/>
                <w:color w:val="auto"/>
              </w:rPr>
            </w:pPr>
          </w:p>
        </w:tc>
        <w:tc>
          <w:tcPr>
            <w:tcW w:w="764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05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8520" w:type="dxa"/>
            <w:vAlign w:val="bottom"/>
            <w:gridSpan w:val="2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INDEPENDENT REGISTERED PUBLIC ACCOUNTING FIRM</w:t>
            </w:r>
          </w:p>
        </w:tc>
        <w:tc>
          <w:tcPr>
            <w:tcW w:w="576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INDEPENDENT AUDITOR</w:t>
            </w:r>
          </w:p>
        </w:tc>
        <w:tc>
          <w:tcPr>
            <w:tcW w:w="8460" w:type="dxa"/>
            <w:vAlign w:val="bottom"/>
            <w:gridSpan w:val="1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772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05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412"/>
        </w:trPr>
        <w:tc>
          <w:tcPr>
            <w:tcW w:w="22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8300" w:type="dxa"/>
            <w:vAlign w:val="bottom"/>
            <w:gridSpan w:val="18"/>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8480" w:type="dxa"/>
            <w:vAlign w:val="bottom"/>
            <w:gridSpan w:val="2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780" w:type="dxa"/>
            <w:vAlign w:val="bottom"/>
            <w:gridSpan w:val="2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tcBorders>
              <w:top w:val="single" w:sz="8" w:color="0000EE"/>
            </w:tcBorders>
            <w:gridSpan w:val="12"/>
          </w:tcPr>
          <w:p>
            <w:pPr>
              <w:spacing w:after="0"/>
              <w:rPr>
                <w:sz w:val="17"/>
                <w:szCs w:val="17"/>
                <w:color w:val="auto"/>
              </w:rPr>
            </w:pPr>
          </w:p>
        </w:tc>
        <w:tc>
          <w:tcPr>
            <w:tcW w:w="764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8840" w:type="dxa"/>
            <w:vAlign w:val="bottom"/>
            <w:gridSpan w:val="2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w:t>
            </w:r>
          </w:p>
        </w:tc>
        <w:tc>
          <w:tcPr>
            <w:tcW w:w="760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592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DISTRIBUTIONS</w:t>
            </w:r>
          </w:p>
        </w:tc>
        <w:tc>
          <w:tcPr>
            <w:tcW w:w="9200" w:type="dxa"/>
            <w:vAlign w:val="bottom"/>
            <w:gridSpan w:val="2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5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PORTFOLIO MANAGEMENT</w:t>
            </w:r>
          </w:p>
        </w:tc>
        <w:tc>
          <w:tcPr>
            <w:tcW w:w="8240" w:type="dxa"/>
            <w:vAlign w:val="bottom"/>
            <w:gridSpan w:val="1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5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540" w:type="dxa"/>
            <w:vAlign w:val="bottom"/>
            <w:tcBorders>
              <w:top w:val="single" w:sz="8" w:color="0000EE"/>
            </w:tcBorders>
            <w:gridSpan w:val="6"/>
          </w:tcPr>
          <w:p>
            <w:pPr>
              <w:spacing w:after="0"/>
              <w:rPr>
                <w:sz w:val="17"/>
                <w:szCs w:val="17"/>
                <w:color w:val="auto"/>
              </w:rPr>
            </w:pPr>
          </w:p>
        </w:tc>
        <w:tc>
          <w:tcPr>
            <w:tcW w:w="720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05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700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668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UNITS</w:t>
            </w:r>
          </w:p>
        </w:tc>
        <w:tc>
          <w:tcPr>
            <w:tcW w:w="712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40" w:type="dxa"/>
            <w:vAlign w:val="bottom"/>
            <w:gridSpan w:val="11"/>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ALLOCATIONS AND OTHER PRACTICES</w:t>
            </w:r>
          </w:p>
        </w:tc>
        <w:tc>
          <w:tcPr>
            <w:tcW w:w="608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05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70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80" w:type="dxa"/>
            <w:vAlign w:val="bottom"/>
            <w:gridSpan w:val="17"/>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SUB-ADMINISTRATOR, CUSTODIAN, TRANSFER AGENT AND TRUSTEE</w:t>
            </w:r>
          </w:p>
        </w:tc>
        <w:tc>
          <w:tcPr>
            <w:tcW w:w="46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2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INDEPENDENT REGISTERED PUBLIC ACCOUNTING FIRM</w:t>
            </w:r>
          </w:p>
        </w:tc>
        <w:tc>
          <w:tcPr>
            <w:tcW w:w="576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INDEPENDENT AUDITORS</w:t>
            </w:r>
          </w:p>
        </w:tc>
        <w:tc>
          <w:tcPr>
            <w:tcW w:w="8300" w:type="dxa"/>
            <w:vAlign w:val="bottom"/>
            <w:gridSpan w:val="1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772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05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93"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ABOUT THIS PROSPECTUS SUPPLEMENT</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specific details regarding the terms of this offering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Please carefully read this prospectus supplement and the accompanying prospectus together with any free writing prospectus that we have authorized for use in connection with this offering and any exhibits and documents incorporated by reference before you make an investment decision.</w:t>
      </w:r>
    </w:p>
    <w:p>
      <w:pPr>
        <w:spacing w:after="0" w:line="188" w:lineRule="exact"/>
        <w:rPr>
          <w:sz w:val="20"/>
          <w:szCs w:val="20"/>
          <w:color w:val="auto"/>
        </w:rPr>
      </w:pPr>
    </w:p>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t>WE ARE RESPONSIBLE FOR THE INFORMATION CONTAINED IN THIS PROSPECTUS SUPPLEMENT AND THE ACCOMPANYING PROSPECTUS AND THE DOCUMENTS INCORPORATED BY REFERENCE IN THIS PROSPECTUS SUPPLEMENT AND ACCOMPANYING PROSPECTUS. NEITHER WE NOR ANY SALES AGENT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SALES AGENTS ARE NOT, MAKING AN OFFER TO SELL SHARES OF OUR COMMON STOCK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ARE ACCURATE ONLY AS OF THEIR RESPECTIVE DATE, REGARDLESS OF THE TIME OF DELIVERY OF THIS PROSPECTUS SUPPLEMENT, THE ACCOMPANYING PROSPECTUS, ANY FREE WRITING PROSPECTUS OR ANY SALES OF SHARES OF OUR COMMON STOCK. OUR BUSINESS, FINANCIAL CONDITION, RESULTS OF OPERATIONS AND PROSPECTS MAY HAVE CHANGED SINCE THOSE DATES.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00"/>
          </w:cols>
          <w:pgMar w:left="440" w:top="293" w:right="4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3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831205"/>
                    </a:xfrm>
                    <a:prstGeom prst="rect">
                      <a:avLst/>
                    </a:prstGeom>
                    <a:noFill/>
                  </pic:spPr>
                </pic:pic>
              </a:graphicData>
            </a:graphic>
          </wp:anchor>
        </w:drawing>
        <w:t>PROSPECTUS SUPPLEMENT SUMMARY</w:t>
      </w:r>
    </w:p>
    <w:p>
      <w:pPr>
        <w:spacing w:after="0" w:line="229" w:lineRule="exact"/>
        <w:rPr>
          <w:sz w:val="20"/>
          <w:szCs w:val="20"/>
          <w:color w:val="auto"/>
        </w:rPr>
      </w:pPr>
    </w:p>
    <w:p>
      <w:pPr>
        <w:ind w:right="20" w:firstLine="426"/>
        <w:spacing w:after="0" w:line="254" w:lineRule="auto"/>
        <w:rPr>
          <w:sz w:val="20"/>
          <w:szCs w:val="20"/>
          <w:color w:val="auto"/>
        </w:rPr>
      </w:pPr>
      <w:r>
        <w:rPr>
          <w:rFonts w:ascii="Times New Roman" w:cs="Times New Roman" w:eastAsia="Times New Roman" w:hAnsi="Times New Roman"/>
          <w:sz w:val="18"/>
          <w:szCs w:val="18"/>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the section titled “Risk Factors” in our most recent Annual Report on Form 10-K, our most recent Quarterly Reports on Form 10-Q and elsewhere in this prospectus supplement and the accompanying prospectus. You should read carefully the more detailed information set forth under “Risk Factors” and the other information included in this prospectus supplement and accompanying prospectus.</w:t>
      </w:r>
    </w:p>
    <w:p>
      <w:pPr>
        <w:spacing w:after="0" w:line="188" w:lineRule="exact"/>
        <w:rPr>
          <w:sz w:val="20"/>
          <w:szCs w:val="20"/>
          <w:color w:val="auto"/>
        </w:rPr>
      </w:pPr>
    </w:p>
    <w:p>
      <w:pPr>
        <w:ind w:right="20" w:firstLine="426"/>
        <w:spacing w:after="0" w:line="253" w:lineRule="auto"/>
        <w:rPr>
          <w:sz w:val="20"/>
          <w:szCs w:val="20"/>
          <w:color w:val="auto"/>
        </w:rPr>
      </w:pPr>
      <w:r>
        <w:rPr>
          <w:rFonts w:ascii="Times New Roman" w:cs="Times New Roman" w:eastAsia="Times New Roman" w:hAnsi="Times New Roman"/>
          <w:sz w:val="18"/>
          <w:szCs w:val="18"/>
          <w:color w:val="auto"/>
        </w:rPr>
        <w:t>In this prospectus supplement and the accompanying prospectus, except where the context suggests otherwise, “1940 Act” refers to the Investment Company Act of 1940, as amended; “2026 Notes” refers to our 4.50% Notes due May 2026; “2026 Notes-2” refers to our 4.00% Notes due November 2026; “Administrator” refers to PennantPark Investment Administration, LLC; “BDC” refers to a business development company under the 1940 Act; “Code” refers to the Internal Revenue Code of 1986, as amended; the terms “Company,” “we,” “our” or “us” refer to PennantPark Investment Corporation and its wholly-owned consolidated subsidiaries; “Funding I” refers to PennantPark Investment Funding I, LLC, a wholly-owned subsidiary prior to deconsolidation on July 31, 2020; “GAAP” refers to U.S. generally accepted accounting principles; “PennantPark Investment Advisers” or “Investment Adviser” refers to PennantPark Investment Advisers, LLC; “PSLF” refers to PennantPark Senior Loan Fund LLC, an unconsolidated joint venture; “PTSF II” refers to PennantPark-TSO Senior Loan Fund II LP, an unconsolidated limited partnership, organized as a Delaware limited partnership; “RIC” refers to a regulated investment company under the Code; and “Truist Credit Facility” refers to our multi-currency, senior secured revolving credit facility with Truist Bank, as amended and restated. References to our portfolio, our investments and our business include investments we make through our subsidiaries.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of PennantPark Investment Corporation</w:t>
      </w:r>
    </w:p>
    <w:p>
      <w:pPr>
        <w:spacing w:after="0" w:line="121" w:lineRule="exact"/>
        <w:rPr>
          <w:sz w:val="20"/>
          <w:szCs w:val="20"/>
          <w:color w:val="auto"/>
        </w:rPr>
      </w:pPr>
    </w:p>
    <w:p>
      <w:pPr>
        <w:ind w:right="120" w:firstLine="426"/>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76"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600"/>
          </w:cols>
          <w:pgMar w:left="620" w:top="482" w:right="679" w:bottom="1440" w:gutter="0" w:footer="0" w:header="0"/>
        </w:sectPr>
      </w:pPr>
    </w:p>
    <w:bookmarkStart w:id="4" w:name="page5"/>
    <w:bookmarkEnd w:id="4"/>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31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831205"/>
                    </a:xfrm>
                    <a:prstGeom prst="rect">
                      <a:avLst/>
                    </a:prstGeom>
                    <a:noFill/>
                  </pic:spPr>
                </pic:pic>
              </a:graphicData>
            </a:graphic>
          </wp:anchor>
        </w:drawing>
        <w:t>extent, non-U.S. corporations, partnerships and other business entities which operate in various industries and geographical regions.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Investment Corporation</w:t>
      </w:r>
    </w:p>
    <w:p>
      <w:pPr>
        <w:spacing w:after="0" w:line="121" w:lineRule="exact"/>
        <w:rPr>
          <w:sz w:val="20"/>
          <w:szCs w:val="20"/>
          <w:color w:val="auto"/>
        </w:rPr>
      </w:pPr>
    </w:p>
    <w:p>
      <w:pPr>
        <w:ind w:right="260" w:firstLine="426"/>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76" w:lineRule="exact"/>
        <w:rPr>
          <w:sz w:val="20"/>
          <w:szCs w:val="20"/>
          <w:color w:val="auto"/>
        </w:rPr>
      </w:pPr>
    </w:p>
    <w:p>
      <w:pPr>
        <w:ind w:right="20" w:firstLine="426"/>
        <w:spacing w:after="0" w:line="273" w:lineRule="auto"/>
        <w:rPr>
          <w:sz w:val="20"/>
          <w:szCs w:val="20"/>
          <w:color w:val="auto"/>
        </w:rPr>
      </w:pPr>
      <w:r>
        <w:rPr>
          <w:rFonts w:ascii="Times New Roman" w:cs="Times New Roman" w:eastAsia="Times New Roman" w:hAnsi="Times New Roman"/>
          <w:sz w:val="17"/>
          <w:szCs w:val="17"/>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our Administrator. Under the Administration Agreement,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Financial Officer, Chief Compliance Officer, Corporate Counsel and their respective staffs. Our board of directors, a majority of whom are independent of us, provides overall supervision of our activities, and the Investment Adviser supervises our day-to-day activities.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21"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middle-market companies across changing economic and market cycles. We believe this experience and history have resulted in a reputation as a respected partner to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$20.3 billion in 674 companies with more than 200 different financial sponsors through its managed funds, which includes investments by the Company totaling $8.0 billion in 351 companies.</w:t>
      </w:r>
    </w:p>
    <w:p>
      <w:pPr>
        <w:spacing w:after="0" w:line="194" w:lineRule="exact"/>
        <w:rPr>
          <w:sz w:val="20"/>
          <w:szCs w:val="20"/>
          <w:color w:val="auto"/>
        </w:rPr>
      </w:pPr>
    </w:p>
    <w:p>
      <w:pPr>
        <w:ind w:firstLine="426"/>
        <w:spacing w:after="0" w:line="255" w:lineRule="auto"/>
        <w:rPr>
          <w:sz w:val="20"/>
          <w:szCs w:val="20"/>
          <w:color w:val="auto"/>
        </w:rPr>
      </w:pPr>
      <w:r>
        <w:rPr>
          <w:rFonts w:ascii="Times New Roman" w:cs="Times New Roman" w:eastAsia="Times New Roman" w:hAnsi="Times New Roman"/>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640"/>
          </w:cols>
          <w:pgMar w:left="620" w:top="486" w:right="639" w:bottom="1440" w:gutter="0" w:footer="0" w:header="0"/>
        </w:sectPr>
      </w:pPr>
    </w:p>
    <w:bookmarkStart w:id="5" w:name="page6"/>
    <w:bookmarkEnd w:id="5"/>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990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1990725"/>
                    </a:xfrm>
                    <a:prstGeom prst="rect">
                      <a:avLst/>
                    </a:prstGeom>
                    <a:noFill/>
                  </pic:spPr>
                </pic:pic>
              </a:graphicData>
            </a:graphic>
          </wp:anchor>
        </w:drawing>
        <w:t>See “Risk Factors—Risks Relating to our Business and Structure-There are significant potential conflicts of interest which could impact our investment returns” in our most recent Annual Report on Form 10-K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firstLine="426"/>
        <w:spacing w:after="0" w:line="255" w:lineRule="auto"/>
        <w:rPr>
          <w:sz w:val="20"/>
          <w:szCs w:val="20"/>
          <w:color w:val="auto"/>
        </w:rPr>
      </w:pPr>
      <w:r>
        <w:rPr>
          <w:rFonts w:ascii="Times New Roman" w:cs="Times New Roman" w:eastAsia="Times New Roman" w:hAnsi="Times New Roman"/>
          <w:sz w:val="18"/>
          <w:szCs w:val="18"/>
          <w:color w:val="auto"/>
        </w:rPr>
        <w:t xml:space="preserve">Our administrative and principal executive offices are located at 1691 Michigan Avenue, Miami Beach, Florida 33139. Our common stock is quoted on The New York Stock Exchange under the symbol “PNNT”. Our phone number is (786) 297-9500, and our internet website address is </w:t>
      </w:r>
      <w:r>
        <w:rPr>
          <w:rFonts w:ascii="Times New Roman" w:cs="Times New Roman" w:eastAsia="Times New Roman" w:hAnsi="Times New Roman"/>
          <w:sz w:val="18"/>
          <w:szCs w:val="18"/>
          <w:u w:val="single" w:color="auto"/>
          <w:color w:val="auto"/>
        </w:rPr>
        <w:t>www.pennantpark.com</w:t>
      </w:r>
      <w:r>
        <w:rPr>
          <w:rFonts w:ascii="Times New Roman" w:cs="Times New Roman" w:eastAsia="Times New Roman" w:hAnsi="Times New Roman"/>
          <w:sz w:val="18"/>
          <w:szCs w:val="18"/>
          <w:color w:val="auto"/>
        </w:rPr>
        <w:t xml:space="preserve">. Information contained on our website is not incorporated by reference into this prospectus supplement, and you should not consider information contained on our website to be part of this prospectus supplement. We file periodic reports, proxy statements and other information with the SEC and make such reports available on our website free of charge as soon as reasonably practicable. In addition, the SEC maintains an Internet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580"/>
          </w:cols>
          <w:pgMar w:left="620" w:top="486" w:right="6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05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805805"/>
                    </a:xfrm>
                    <a:prstGeom prst="rect">
                      <a:avLst/>
                    </a:prstGeom>
                    <a:noFill/>
                  </pic:spPr>
                </pic:pic>
              </a:graphicData>
            </a:graphic>
          </wp:anchor>
        </w:drawing>
        <w:t>THE OFFERING</w:t>
      </w:r>
    </w:p>
    <w:p>
      <w:pPr>
        <w:spacing w:after="0" w:line="229" w:lineRule="exact"/>
        <w:rPr>
          <w:sz w:val="20"/>
          <w:szCs w:val="20"/>
          <w:color w:val="auto"/>
        </w:rPr>
      </w:pPr>
    </w:p>
    <w:p>
      <w:pPr>
        <w:ind w:right="300" w:firstLine="426"/>
        <w:spacing w:after="0" w:line="261" w:lineRule="auto"/>
        <w:rPr>
          <w:sz w:val="20"/>
          <w:szCs w:val="20"/>
          <w:color w:val="auto"/>
        </w:rPr>
      </w:pPr>
      <w:r>
        <w:rPr>
          <w:rFonts w:ascii="Times New Roman" w:cs="Times New Roman" w:eastAsia="Times New Roman" w:hAnsi="Times New Roman"/>
          <w:sz w:val="18"/>
          <w:szCs w:val="18"/>
          <w:color w:val="auto"/>
        </w:rPr>
        <w:t>This section outlines the specific legal and financial terms of this offering. You should read this section together with the more general description of our common stock in the accompanying prospectus under the heading “Description of Our Capital Stock” before investing in our common stock. Capitalized terms used in this prospectus supplement and not otherwise defined shall have the meanings ascribed to them in the accompanying prospectus or in the equity distribution agreements, as applicable.</w:t>
      </w:r>
    </w:p>
    <w:p>
      <w:pPr>
        <w:sectPr>
          <w:pgSz w:w="11900" w:h="16838" w:orient="portrait"/>
          <w:cols w:equalWidth="0" w:num="1">
            <w:col w:w="10640"/>
          </w:cols>
          <w:pgMar w:left="620" w:top="482" w:right="639" w:bottom="1440" w:gutter="0" w:footer="0" w:header="0"/>
        </w:sectPr>
      </w:pPr>
    </w:p>
    <w:p>
      <w:pPr>
        <w:spacing w:after="0" w:line="203" w:lineRule="exact"/>
        <w:rPr>
          <w:sz w:val="20"/>
          <w:szCs w:val="20"/>
          <w:color w:val="auto"/>
        </w:rPr>
      </w:pPr>
    </w:p>
    <w:p>
      <w:pPr>
        <w:spacing w:after="0" w:line="425" w:lineRule="auto"/>
        <w:rPr>
          <w:sz w:val="20"/>
          <w:szCs w:val="20"/>
          <w:color w:val="auto"/>
        </w:rPr>
      </w:pPr>
      <w:r>
        <w:rPr>
          <w:rFonts w:ascii="Times New Roman" w:cs="Times New Roman" w:eastAsia="Times New Roman" w:hAnsi="Times New Roman"/>
          <w:sz w:val="18"/>
          <w:szCs w:val="18"/>
          <w:b w:val="1"/>
          <w:bCs w:val="1"/>
          <w:color w:val="auto"/>
        </w:rPr>
        <w:t>Common stock offered by the Company Common stock outstanding as of May 31, 2024 Manner of offering</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NYSE symbol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at a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$100 million of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65,224,500</w:t>
      </w:r>
    </w:p>
    <w:p>
      <w:pPr>
        <w:spacing w:after="0" w:line="14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Truist Securities, Inc. and Keefe, Bruyette &amp; Woods, Inc., the sales agents, using commercially reasonable efforts. See “Plan of Distribution.”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“PNNT”</w:t>
      </w:r>
    </w:p>
    <w:p>
      <w:pPr>
        <w:spacing w:after="0" w:line="14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Common stock issued in this offering will be listed on the NYSE under the symbol “PNNT.”</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sell shares of our common stock with an aggregate offering price of $100 million, we anticipate that our net proceeds, after deducting an assumed maximum sales agents’ commissions and estimated expenses payable by us, will be approximately $97.8 million.</w:t>
      </w:r>
    </w:p>
    <w:p>
      <w:pPr>
        <w:spacing w:after="0" w:line="8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We expect to use the net proceeds from this offering to invest in new or existing portfolio companies or for other general corporate or strategic purposes, including repaying amounts outstanding under our existing indebtedness. See “Use of Proceeds” for more information.</w:t>
      </w:r>
    </w:p>
    <w:p>
      <w:pPr>
        <w:spacing w:after="0" w:line="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to their NAV. The risk that our shares may trade at a discount to our NAV is separate and distinct from the risk that our NAV per share may decline. We cannot predict whether our shares will trade above, at or below NAV.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timing and amount of our monthly distributions to stockholders, if any, are determined by our board of directors. While we intend to make distributions on a monthly basis to our stockholders out of assets legally available for distribution, we may not be able to achieve operating results that will allow us to make distributions at a specific level or to increase the amount of our distributions from time to time.</w:t>
      </w:r>
    </w:p>
    <w:p>
      <w:pPr>
        <w:spacing w:after="0" w:line="200" w:lineRule="exact"/>
        <w:rPr>
          <w:sz w:val="20"/>
          <w:szCs w:val="20"/>
          <w:color w:val="auto"/>
        </w:rPr>
      </w:pPr>
    </w:p>
    <w:p>
      <w:pPr>
        <w:sectPr>
          <w:pgSz w:w="11900" w:h="16838" w:orient="portrait"/>
          <w:cols w:equalWidth="0" w:num="2">
            <w:col w:w="3580" w:space="460"/>
            <w:col w:w="6600"/>
          </w:cols>
          <w:pgMar w:left="620" w:top="482" w:right="639" w:bottom="1440" w:gutter="0" w:footer="0" w:header="0"/>
          <w:type w:val="continuous"/>
        </w:sectPr>
      </w:pP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S-5</w:t>
      </w:r>
    </w:p>
    <w:p>
      <w:pPr>
        <w:sectPr>
          <w:pgSz w:w="11900" w:h="16838" w:orient="portrait"/>
          <w:cols w:equalWidth="0" w:num="1">
            <w:col w:w="10640"/>
          </w:cols>
          <w:pgMar w:left="620" w:top="482" w:right="639" w:bottom="1440" w:gutter="0" w:footer="0" w:header="0"/>
          <w:type w:val="continuous"/>
        </w:sectPr>
      </w:pPr>
    </w:p>
    <w:bookmarkStart w:id="7" w:name="page8"/>
    <w:bookmarkEnd w:id="7"/>
    <w:tbl>
      <w:tblPr>
        <w:tblLayout w:type="fixed"/>
        <w:tblInd w:w="10" w:type="dxa"/>
        <w:tblCellMar>
          <w:top w:w="0" w:type="dxa"/>
          <w:left w:w="0" w:type="dxa"/>
          <w:bottom w:w="0" w:type="dxa"/>
          <w:right w:w="0" w:type="dxa"/>
        </w:tblCellMar>
      </w:tblPr>
      <w:tr>
        <w:trPr>
          <w:trHeight w:val="390"/>
        </w:trPr>
        <w:tc>
          <w:tcPr>
            <w:tcW w:w="2680" w:type="dxa"/>
            <w:vAlign w:val="bottom"/>
            <w:tcBorders>
              <w:top w:val="single" w:sz="8" w:color="auto"/>
              <w:left w:val="single" w:sz="8" w:color="auto"/>
            </w:tcBorders>
          </w:tcPr>
          <w:p>
            <w:pPr>
              <w:spacing w:after="0"/>
              <w:rPr>
                <w:sz w:val="24"/>
                <w:szCs w:val="24"/>
                <w:color w:val="auto"/>
              </w:rPr>
            </w:pPr>
          </w:p>
        </w:tc>
        <w:tc>
          <w:tcPr>
            <w:tcW w:w="8340" w:type="dxa"/>
            <w:vAlign w:val="bottom"/>
            <w:tcBorders>
              <w:top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In addition, we may be limited in our ability to make distributions due to the asset coverage</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requirements applicable to us as a BDC under the 1940 Act. If we do not distribute a</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certain percentage of our income annually, we will suffer adverse tax consequences,</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including the possible loss of our ability to be subject to tax as a RIC. We cannot assure</w:t>
            </w:r>
          </w:p>
        </w:tc>
      </w:tr>
      <w:tr>
        <w:trPr>
          <w:trHeight w:val="234"/>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stockholders that they will receive any distributions.</w:t>
            </w:r>
          </w:p>
        </w:tc>
      </w:tr>
      <w:tr>
        <w:trPr>
          <w:trHeight w:val="319"/>
        </w:trPr>
        <w:tc>
          <w:tcPr>
            <w:tcW w:w="26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Taxation</w:t>
            </w: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We have elected to be treated, and intend to qualify annually to maintain our election to be</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treated, as a RIC under Subchapter M of the Code. To maintain our RIC tax election, we</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must, among other requirements, meet certain annual source-of-income and quarterly asset</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diversification requirements. We also must annually distribute dividends for U.S. federal</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income tax purposes to our stockholders out of the assets legally available for distribution</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of an amount generally at least equal to 90% of the sum of our net ordinary income and</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realized net short-term capital gains in excess of realized net long-term capital losses, or</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investment company taxable income, determined without regard to any deduction for</w:t>
            </w:r>
          </w:p>
        </w:tc>
      </w:tr>
      <w:tr>
        <w:trPr>
          <w:trHeight w:val="234"/>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dividends paid.</w:t>
            </w:r>
          </w:p>
        </w:tc>
      </w:tr>
      <w:tr>
        <w:trPr>
          <w:trHeight w:val="319"/>
        </w:trPr>
        <w:tc>
          <w:tcPr>
            <w:tcW w:w="26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Investing in our common stock involves risks. See “Risk Factors” in this prospectus</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supplement and in our most recent Annual Report on Form 10-K and our most recent</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Quarterly Reports on Form 10-Q, each of which is incorporated by reference into this</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prospectus supplement, and in any free writing prospectuses we have authorized for use in</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connection with this offering, and under similar headings in the documents that are filed</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with the SEC on or after the date hereof and are incorporated by reference into this</w:t>
            </w:r>
          </w:p>
        </w:tc>
      </w:tr>
      <w:tr>
        <w:trPr>
          <w:trHeight w:val="234"/>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prospectus supplement and the accompanying prospectus.</w:t>
            </w:r>
          </w:p>
        </w:tc>
      </w:tr>
      <w:tr>
        <w:trPr>
          <w:trHeight w:val="159"/>
        </w:trPr>
        <w:tc>
          <w:tcPr>
            <w:tcW w:w="2680" w:type="dxa"/>
            <w:vAlign w:val="bottom"/>
            <w:tcBorders>
              <w:left w:val="single" w:sz="8" w:color="auto"/>
              <w:bottom w:val="single" w:sz="8" w:color="auto"/>
            </w:tcBorders>
          </w:tcPr>
          <w:p>
            <w:pPr>
              <w:spacing w:after="0"/>
              <w:rPr>
                <w:sz w:val="13"/>
                <w:szCs w:val="13"/>
                <w:color w:val="auto"/>
              </w:rPr>
            </w:pPr>
          </w:p>
        </w:tc>
        <w:tc>
          <w:tcPr>
            <w:tcW w:w="8340" w:type="dxa"/>
            <w:vAlign w:val="bottom"/>
            <w:tcBorders>
              <w:bottom w:val="single" w:sz="8" w:color="auto"/>
              <w:right w:val="single" w:sz="8" w:color="auto"/>
            </w:tcBorders>
          </w:tcPr>
          <w:p>
            <w:pPr>
              <w:spacing w:after="0"/>
              <w:rPr>
                <w:sz w:val="13"/>
                <w:szCs w:val="13"/>
                <w:color w:val="auto"/>
              </w:rPr>
            </w:pPr>
          </w:p>
        </w:tc>
      </w:tr>
      <w:tr>
        <w:trPr>
          <w:trHeight w:val="361"/>
        </w:trPr>
        <w:tc>
          <w:tcPr>
            <w:tcW w:w="2680" w:type="dxa"/>
            <w:vAlign w:val="bottom"/>
          </w:tcPr>
          <w:p>
            <w:pPr>
              <w:spacing w:after="0"/>
              <w:rPr>
                <w:sz w:val="24"/>
                <w:szCs w:val="24"/>
                <w:color w:val="auto"/>
              </w:rPr>
            </w:pPr>
          </w:p>
        </w:tc>
        <w:tc>
          <w:tcPr>
            <w:tcW w:w="83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S-6</w:t>
            </w:r>
          </w:p>
        </w:tc>
      </w:tr>
    </w:tbl>
    <w:p>
      <w:pPr>
        <w:ind w:left="2700"/>
        <w:spacing w:after="0"/>
        <w:rPr>
          <w:sz w:val="20"/>
          <w:szCs w:val="20"/>
          <w:color w:val="auto"/>
        </w:rPr>
        <w:sectPr>
          <w:pgSz w:w="11900" w:h="16838" w:orient="portrait"/>
          <w:cols w:equalWidth="0" w:num="1">
            <w:col w:w="11020"/>
          </w:cols>
          <w:pgMar w:left="440" w:top="292"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8" w:name="page9"/>
    <w:bookmarkEnd w:id="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FEES AND EXPENSES</w:t>
      </w:r>
    </w:p>
    <w:p>
      <w:pPr>
        <w:spacing w:after="0" w:line="229"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supplement contains a reference to fees or expenses paid by “you” or “us” or that “we” will pay, stockholders will indirectly bear such fees or expenses as investors in us.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86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8"/>
                <w:szCs w:val="18"/>
                <w:color w:val="auto"/>
              </w:rPr>
              <w:t>2.00%</w:t>
            </w:r>
            <w:r>
              <w:rPr>
                <w:rFonts w:ascii="Times New Roman" w:cs="Times New Roman" w:eastAsia="Times New Roman" w:hAnsi="Times New Roman"/>
                <w:sz w:val="22"/>
                <w:szCs w:val="22"/>
                <w:color w:val="auto"/>
                <w:vertAlign w:val="superscript"/>
              </w:rPr>
              <w:t>(1)</w:t>
            </w:r>
          </w:p>
        </w:tc>
      </w:tr>
      <w:tr>
        <w:trPr>
          <w:trHeight w:val="198"/>
        </w:trPr>
        <w:tc>
          <w:tcPr>
            <w:tcW w:w="10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Offering expenses (as a percentage of offering price)</w:t>
            </w:r>
          </w:p>
        </w:tc>
        <w:tc>
          <w:tcPr>
            <w:tcW w:w="86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0.25%</w:t>
            </w:r>
            <w:r>
              <w:rPr>
                <w:rFonts w:ascii="Times New Roman" w:cs="Times New Roman" w:eastAsia="Times New Roman" w:hAnsi="Times New Roman"/>
                <w:sz w:val="22"/>
                <w:szCs w:val="22"/>
                <w:color w:val="auto"/>
                <w:vertAlign w:val="superscript"/>
              </w:rPr>
              <w:t>(2)</w:t>
            </w:r>
          </w:p>
        </w:tc>
      </w:tr>
      <w:tr>
        <w:trPr>
          <w:trHeight w:val="248"/>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860" w:type="dxa"/>
            <w:vAlign w:val="bottom"/>
            <w:gridSpan w:val="2"/>
            <w:shd w:val="clear" w:color="auto" w:fill="CCEEFF"/>
          </w:tcPr>
          <w:p>
            <w:pPr>
              <w:jc w:val="right"/>
              <w:ind w:right="2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0"/>
                <w:szCs w:val="10"/>
                <w:color w:val="auto"/>
              </w:rPr>
              <w:t>(3)</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 expenses (as a percentage of offering price)</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10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Estimated annual expenses (as a percentage of average net assets attributable to common shares)</w:t>
            </w:r>
            <w:r>
              <w:rPr>
                <w:rFonts w:ascii="Times New Roman" w:cs="Times New Roman" w:eastAsia="Times New Roman" w:hAnsi="Times New Roman"/>
                <w:sz w:val="22"/>
                <w:szCs w:val="22"/>
                <w:b w:val="1"/>
                <w:bCs w:val="1"/>
                <w:color w:val="auto"/>
                <w:vertAlign w:val="superscript"/>
              </w:rPr>
              <w:t>(4)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86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8"/>
                <w:szCs w:val="18"/>
                <w:color w:val="auto"/>
              </w:rPr>
              <w:t>3.30%</w:t>
            </w:r>
            <w:r>
              <w:rPr>
                <w:rFonts w:ascii="Times New Roman" w:cs="Times New Roman" w:eastAsia="Times New Roman" w:hAnsi="Times New Roman"/>
                <w:sz w:val="22"/>
                <w:szCs w:val="22"/>
                <w:color w:val="auto"/>
                <w:vertAlign w:val="superscript"/>
              </w:rPr>
              <w:t>(5)</w:t>
            </w:r>
          </w:p>
        </w:tc>
      </w:tr>
      <w:tr>
        <w:trPr>
          <w:trHeight w:val="216"/>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86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8"/>
                <w:szCs w:val="18"/>
                <w:color w:val="auto"/>
              </w:rPr>
              <w:t>2.41%</w:t>
            </w:r>
            <w:r>
              <w:rPr>
                <w:rFonts w:ascii="Times New Roman" w:cs="Times New Roman" w:eastAsia="Times New Roman" w:hAnsi="Times New Roman"/>
                <w:sz w:val="22"/>
                <w:szCs w:val="22"/>
                <w:color w:val="auto"/>
                <w:vertAlign w:val="superscript"/>
              </w:rPr>
              <w:t>(6)</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borrowed funds</w:t>
            </w:r>
          </w:p>
        </w:tc>
        <w:tc>
          <w:tcPr>
            <w:tcW w:w="86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8"/>
                <w:szCs w:val="18"/>
                <w:color w:val="auto"/>
              </w:rPr>
              <w:t>9.47%</w:t>
            </w:r>
            <w:r>
              <w:rPr>
                <w:rFonts w:ascii="Times New Roman" w:cs="Times New Roman" w:eastAsia="Times New Roman" w:hAnsi="Times New Roman"/>
                <w:sz w:val="22"/>
                <w:szCs w:val="22"/>
                <w:color w:val="auto"/>
                <w:vertAlign w:val="superscript"/>
              </w:rPr>
              <w:t>(7)</w:t>
            </w:r>
          </w:p>
        </w:tc>
      </w:tr>
      <w:tr>
        <w:trPr>
          <w:trHeight w:val="216"/>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fund fees and expenses</w:t>
            </w:r>
          </w:p>
        </w:tc>
        <w:tc>
          <w:tcPr>
            <w:tcW w:w="86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8"/>
                <w:szCs w:val="18"/>
                <w:color w:val="auto"/>
                <w:w w:val="99"/>
              </w:rPr>
              <w:t>10.84%</w:t>
            </w:r>
            <w:r>
              <w:rPr>
                <w:rFonts w:ascii="Times New Roman" w:cs="Times New Roman" w:eastAsia="Times New Roman" w:hAnsi="Times New Roman"/>
                <w:sz w:val="22"/>
                <w:szCs w:val="22"/>
                <w:color w:val="auto"/>
                <w:w w:val="99"/>
                <w:vertAlign w:val="superscript"/>
              </w:rPr>
              <w:t>(8)</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6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8"/>
                <w:szCs w:val="18"/>
                <w:color w:val="auto"/>
              </w:rPr>
              <w:t>2.16%</w:t>
            </w:r>
            <w:r>
              <w:rPr>
                <w:rFonts w:ascii="Times New Roman" w:cs="Times New Roman" w:eastAsia="Times New Roman" w:hAnsi="Times New Roman"/>
                <w:sz w:val="22"/>
                <w:szCs w:val="22"/>
                <w:color w:val="auto"/>
                <w:vertAlign w:val="superscript"/>
              </w:rPr>
              <w:t>(9)</w:t>
            </w:r>
          </w:p>
        </w:tc>
      </w:tr>
      <w:tr>
        <w:trPr>
          <w:trHeight w:val="27"/>
        </w:trPr>
        <w:tc>
          <w:tcPr>
            <w:tcW w:w="10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r>
      <w:tr>
        <w:trPr>
          <w:trHeight w:val="216"/>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annual expenses</w:t>
            </w:r>
          </w:p>
        </w:tc>
        <w:tc>
          <w:tcPr>
            <w:tcW w:w="8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w w:val="97"/>
              </w:rPr>
              <w:t>28.18%</w:t>
            </w:r>
            <w:r>
              <w:rPr>
                <w:rFonts w:ascii="Times New Roman" w:cs="Times New Roman" w:eastAsia="Times New Roman" w:hAnsi="Times New Roman"/>
                <w:sz w:val="22"/>
                <w:szCs w:val="22"/>
                <w:color w:val="auto"/>
                <w:w w:val="97"/>
                <w:vertAlign w:val="superscript"/>
              </w:rPr>
              <w:t>(10)</w:t>
            </w:r>
          </w:p>
        </w:tc>
      </w:tr>
    </w:tbl>
    <w:p>
      <w:pPr>
        <w:spacing w:after="0" w:line="144" w:lineRule="exact"/>
        <w:rPr>
          <w:sz w:val="20"/>
          <w:szCs w:val="20"/>
          <w:color w:val="auto"/>
        </w:rPr>
      </w:pPr>
    </w:p>
    <w:p>
      <w:pPr>
        <w:ind w:left="424" w:right="660"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sales agents’ commission with respect to the shares of our common stock sold by us in this offering. There is no guarantee that there will be any sales of our common stock pursuant to this prospectus supplement and the accompanying prospectus.</w:t>
      </w: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reflects estimated offering expenses payable by us of approximately $250,000 for the estimated duration of this offering.</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shares equals average net assets as of March 31, 2024.</w:t>
      </w:r>
    </w:p>
    <w:p>
      <w:pPr>
        <w:spacing w:after="0" w:line="9" w:lineRule="exact"/>
        <w:rPr>
          <w:rFonts w:ascii="Times New Roman" w:cs="Times New Roman" w:eastAsia="Times New Roman" w:hAnsi="Times New Roman"/>
          <w:sz w:val="18"/>
          <w:szCs w:val="18"/>
          <w:color w:val="auto"/>
        </w:rPr>
      </w:pPr>
    </w:p>
    <w:p>
      <w:pPr>
        <w:ind w:left="424" w:right="18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management fee is calculated at an annual rate of 1.50% of our average adjusted gross assets up to 200% of the Company’s total net assets as of the immediately preceding quarter-end and 1.00% for amounts that exceed such amount as of the immediately preceding quarter-end.</w:t>
      </w:r>
    </w:p>
    <w:p>
      <w:pPr>
        <w:spacing w:after="0" w:line="1"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incentive fees paid with respect to net investment income and capital gains, if any, is based on actual amounts incurred during the fiscal quarter ended March 31, 2024,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quarter ended March 31, 2024. For more detailed information about the incentive fee, please see “Item 1. Business—Investment Management Agreement” and “Item 1. Business—Investment Advisory Fees” in our most recent Annual Report on Form 10-K.</w:t>
      </w:r>
    </w:p>
    <w:p>
      <w:pPr>
        <w:spacing w:after="0" w:line="4" w:lineRule="exact"/>
        <w:rPr>
          <w:rFonts w:ascii="Times New Roman" w:cs="Times New Roman" w:eastAsia="Times New Roman" w:hAnsi="Times New Roman"/>
          <w:sz w:val="18"/>
          <w:szCs w:val="18"/>
          <w:color w:val="auto"/>
        </w:rPr>
      </w:pPr>
    </w:p>
    <w:p>
      <w:pPr>
        <w:ind w:left="424" w:right="440" w:hanging="424"/>
        <w:spacing w:after="0" w:line="26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we had $78.5 million of unused borrowing capacity, subject to maintenance of the applicable total assets to debt ratio, under the 1940 Act. As of such date, we had $396.5 million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-3035935</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24"/>
          </w:cols>
          <w:pgMar w:left="436" w:top="293" w:right="439" w:bottom="1440" w:gutter="0" w:footer="0" w:header="0"/>
        </w:sectPr>
      </w:pPr>
    </w:p>
    <w:bookmarkStart w:id="9" w:name="page10"/>
    <w:bookmarkEnd w:id="9"/>
    <w:p>
      <w:pPr>
        <w:ind w:left="424" w:right="3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borrowings outstanding under the Truist Credit Facility, $150.0 million in aggregate principal of 2026 Notes and $165.0 million in aggregate principal of 2026 Notes-2. We may use proceeds of this offering, if any, to repay outstanding obligations under our existing financing arrangements or other indebtedness. We intend to re-borrow under our Truist Credit Facility to finance our investment objectives. We have estimated the annual interest expense on borrowed funds and we caution you that our actual interest expense will depend on prevailing interest rates and our rate of borrowing, which may be substantially higher than the estimate provided in this table.</w:t>
      </w:r>
    </w:p>
    <w:p>
      <w:pPr>
        <w:spacing w:after="0" w:line="3" w:lineRule="exact"/>
        <w:rPr>
          <w:sz w:val="20"/>
          <w:szCs w:val="20"/>
          <w:color w:val="auto"/>
        </w:rPr>
      </w:pPr>
    </w:p>
    <w:p>
      <w:pPr>
        <w:ind w:left="424" w:hanging="424"/>
        <w:spacing w:after="0" w:line="253"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60.5% of the expenses of our investment in PSLF. No management fee is charged by PennantPark Investment Advisers in connection with PSLF. PSLF pays the Administrator an annual fee of 0.25% of average gross assets under management. For this chart, PSLF fees and operating expenses are based on our share of the actual fees and operating expenses of PSLF for the fiscal quarter ended March 31, 2024, annualized for a full year. Expenses for PSLF may fluctuate over time and may be substantially higher or lower in the future.</w:t>
      </w:r>
    </w:p>
    <w:p>
      <w:pPr>
        <w:spacing w:after="0" w:line="80" w:lineRule="exact"/>
        <w:rPr>
          <w:rFonts w:ascii="Times New Roman" w:cs="Times New Roman" w:eastAsia="Times New Roman" w:hAnsi="Times New Roman"/>
          <w:sz w:val="18"/>
          <w:szCs w:val="18"/>
          <w:color w:val="auto"/>
        </w:rPr>
      </w:pPr>
    </w:p>
    <w:p>
      <w:pPr>
        <w:ind w:left="444"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23.1% of the expenses of our investment in PTSF II. A management fee equal to 0.50% per annum of the gross assets of PTSF II and its subsidiaries is charged by PennantPark Investment Advisers in connection with PTSF II. For this chart, PTSF II fees and operating expenses are based on our share of the actual fees and operating expenses of PTSF II for the fiscal quarter ended March 31, 2024, annualized for a full year. Expenses for PTSF II may fluctuate over time and may be substantially higher or lower in the future.</w:t>
      </w:r>
    </w:p>
    <w:p>
      <w:pPr>
        <w:spacing w:after="0" w:line="85" w:lineRule="exact"/>
        <w:rPr>
          <w:rFonts w:ascii="Times New Roman" w:cs="Times New Roman" w:eastAsia="Times New Roman" w:hAnsi="Times New Roman"/>
          <w:sz w:val="18"/>
          <w:szCs w:val="18"/>
          <w:color w:val="auto"/>
        </w:rPr>
      </w:pPr>
    </w:p>
    <w:p>
      <w:pPr>
        <w:ind w:left="424" w:right="260" w:hanging="424"/>
        <w:spacing w:after="0" w:line="255"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our general and administrative expenses, professional fees, directors’ fees, insurance costs, taxes, expenses of our dividend reinvestment plan and the expenses of the Investment Adviser reimbursable under our Investment Management Agreement and of the Administrator reimbursable under our Administration Agreement. Such expenses are estimated for the current fiscal year based on actual other expenses for the fiscal quarter ended March 31, 2024, annualized for a full year.</w:t>
      </w:r>
    </w:p>
    <w:p>
      <w:pPr>
        <w:spacing w:after="0" w:line="2" w:lineRule="exact"/>
        <w:rPr>
          <w:rFonts w:ascii="Times New Roman" w:cs="Times New Roman" w:eastAsia="Times New Roman" w:hAnsi="Times New Roman"/>
          <w:sz w:val="18"/>
          <w:szCs w:val="18"/>
          <w:color w:val="auto"/>
        </w:rPr>
      </w:pPr>
    </w:p>
    <w:p>
      <w:pPr>
        <w:ind w:left="424" w:right="60" w:hanging="424"/>
        <w:spacing w:after="0" w:line="25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11.1% of average total assets.</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The following example illustrates the projected dollar amount of total cumulative expenses that you would pay on a $1,000 hypothetical investment in common shares, assuming (1) a 2.0% sales load (the maximum commission to be paid by us with respect to common stock sold by us in this offering) and offering expenses totaling 0.25%, (2) total net estimated annual expenses of 25.77% of average net assets attributable to common shares as set forth in the table above (other than performance-based incentive fees) and (3) a 5.0% annual return.</w:t>
      </w:r>
    </w:p>
    <w:p>
      <w:pPr>
        <w:spacing w:after="0" w:line="200" w:lineRule="exact"/>
        <w:rPr>
          <w:sz w:val="20"/>
          <w:szCs w:val="20"/>
          <w:color w:val="auto"/>
        </w:rPr>
      </w:pPr>
    </w:p>
    <w:tbl>
      <w:tblPr>
        <w:tblLayout w:type="fixed"/>
        <w:tblInd w:w="444" w:type="dxa"/>
        <w:tblCellMar>
          <w:top w:w="0" w:type="dxa"/>
          <w:left w:w="0" w:type="dxa"/>
          <w:bottom w:w="0" w:type="dxa"/>
          <w:right w:w="0" w:type="dxa"/>
        </w:tblCellMar>
      </w:tblPr>
      <w:tr>
        <w:trPr>
          <w:trHeight w:val="193"/>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You would pay the following expenses on a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1,000 common stock investment</w:t>
            </w:r>
          </w:p>
        </w:tc>
        <w:tc>
          <w:tcPr>
            <w:tcW w:w="212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 Years</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1"/>
        </w:trPr>
        <w:tc>
          <w:tcPr>
            <w:tcW w:w="680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Assuming a 5% annual return (assumes no return from net realized capital gains or net</w:t>
            </w:r>
          </w:p>
        </w:tc>
        <w:tc>
          <w:tcPr>
            <w:tcW w:w="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34"/>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capital appreciation)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770</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$ 1,003</w:t>
            </w:r>
          </w:p>
        </w:tc>
      </w:tr>
      <w:tr>
        <w:trPr>
          <w:trHeight w:val="198"/>
        </w:trPr>
        <w:tc>
          <w:tcPr>
            <w:tcW w:w="6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Assuming a 5% annual return (assumes return only from realized capital gains and thus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subject to the capital gains incentive fee)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780</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$ 1,002</w:t>
            </w:r>
          </w:p>
        </w:tc>
      </w:tr>
    </w:tbl>
    <w:p>
      <w:pPr>
        <w:spacing w:after="0" w:line="198" w:lineRule="exact"/>
        <w:rPr>
          <w:sz w:val="20"/>
          <w:szCs w:val="20"/>
          <w:color w:val="auto"/>
        </w:rPr>
      </w:pPr>
    </w:p>
    <w:p>
      <w:pPr>
        <w:jc w:val="both"/>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This example and the expenses in the table above should not be considered a representation of our future expenses. Actual expenses may be greater or less than those assumed. The table above is provided to assist you in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04"/>
          </w:cols>
          <w:pgMar w:left="436" w:top="297" w:right="459" w:bottom="1440" w:gutter="0" w:footer="0" w:header="0"/>
        </w:sectPr>
      </w:pPr>
    </w:p>
    <w:bookmarkStart w:id="10" w:name="page11"/>
    <w:bookmarkEnd w:id="1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understanding the various costs and expenses that an investor in our common stock will bear directly or indirectly. While the example assumes, as required by the SEC, a 5.0% annual return, our performance will vary and may result in a return greater or less than 5.0%. If we were to earn an annual return equal to or less than 5.0%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in our most recent Annual Report on Form 10-K for more information.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880"/>
          </w:cols>
          <w:pgMar w:left="440" w:top="297" w:right="579" w:bottom="1440" w:gutter="0" w:footer="0" w:header="0"/>
        </w:sectPr>
      </w:pPr>
    </w:p>
    <w:bookmarkStart w:id="11" w:name="page12"/>
    <w:bookmarkEnd w:id="1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 FACTORS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Investing in our shares of our common stock may be speculative and involves a high degree of risk. You should carefully consider the risk factors incorporated by reference from our most recent Annual Report on Form 10-K, our most recent Quarterly Reports on Form 10-Q, as well as other information contained or incorporated by reference into this prospectus supplement and the accompanying prospectus, any free writing prospectus we have authorized for use in connection with this offering and under similar headings in the documents that we file with the SEC on or after the date of this prospectus supplement and are incorporated by reference into this prospectus supplement and the accompanying prospectus.</w:t>
      </w:r>
    </w:p>
    <w:p>
      <w:pPr>
        <w:spacing w:after="0" w:line="183"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risks described in these documents are not the only risks we face. Additional risks and uncertainties not currently known to us or that we currently deem to be immaterial also may materially adversely affect our business, financial condition and/or operating results. In such case, our NAV and the trading price of our common stock could decline, and you may lose all or part of your investment.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20"/>
          </w:cols>
          <w:pgMar w:left="440" w:top="293" w:right="5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FORWARD-LOOKING STATEMENTS</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94"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that could result in changes to the value of our assets;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levels of inflation, and its impact on us and our portfolio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invasion of Ukraine by Russia, and other world economic and political issues;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 over financial reporting.</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in our most recent Annual Report on Form 10-K, our most recent Quarterly Reports on Form 10-Q, in the documents incorporated by reference herein, and elsewhere in this prospectus supplement and the accompanying prospectus.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80"/>
          </w:cols>
          <w:pgMar w:left="440" w:top="293" w:right="479" w:bottom="1440" w:gutter="0" w:footer="0" w:header="0"/>
        </w:sectPr>
      </w:pPr>
    </w:p>
    <w:bookmarkStart w:id="13" w:name="page14"/>
    <w:bookmarkEnd w:id="13"/>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You should understand that, under Sections 27A(b)(2)(B) of the Securities Act and Section 21E(b)(2)(B) of the Securities Exchange Act of 1934, as amended, or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00"/>
          </w:cols>
          <w:pgMar w:left="440" w:top="297" w:right="4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USE OF PROCEEDS</w:t>
      </w:r>
    </w:p>
    <w:p>
      <w:pPr>
        <w:spacing w:after="0" w:line="22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may be made in negotiated transactions or transactions that are deemed to be “at the market” as defined in Rule 415 under the Securities Act, including sales made directly on the NYSE or sales made to or through a market maker other than on an exchange. There is no guarantee that there will be any sales of our common stock pursuant to this prospectus supplement and the accompanying prospectus. Actual sales, if any, of our common stock under this prospectus supplement and the accompanying prospectus may be less than the proceeds set forth in this paragraph depending on the market price of our common stock at the time of any such sale. As a result, the actual net proceeds we receive may be more or less than the amount of net proceeds estimated in this prospectus supplement. The sales price per share of our common stock offered by this prospectus supplement and the accompanying prospectus, less commissions payable under the equity distribution agreements and discounts, if any, along with any additional supplemental payments made by the Investment Adviser, will not be less than the NAV per share of our common stock at the time of such sale. If we sell shares of our common stock with an aggregate offering amount of $100 million, we anticipate that our net proceeds, after deducting an assumed maximum sales agents’ commissions and estimated expenses payable by us, will be approximately $97.8 million.</w:t>
      </w:r>
    </w:p>
    <w:p>
      <w:pPr>
        <w:spacing w:after="0" w:line="19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We expect to use the net proceeds from this offering to invest in new or existing portfolio companies or for other general corporate or strategic purposes, including repaying amounts outstanding under our existing indebtedness which may include the Truist Credit Facility, the 2026 Notes and the 2026 Notes-2.</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2024, we had the multi-currency Truist Credit Facility for up to $475.0 million (decreased from $500.0 million in September</w:t>
      </w:r>
    </w:p>
    <w:p>
      <w:pPr>
        <w:spacing w:after="0" w:line="27"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7"/>
          <w:szCs w:val="17"/>
          <w:color w:val="auto"/>
        </w:rPr>
        <w:t>2023), which may be further increased up to $750.0 million in borrowings with certain lenders and Truist Bank, acting as administrative agent, Regions Bank, acting as an additional multicurrency lender, and JPMorgan Chase Bank, N.A., acting as syndication agent for the lenders. As of March 31, 2024, we had $396.5 million in outstanding borrowings under the Truist Credit Facility. The Truist Credit Facility had a weighted average interest rate of</w:t>
      </w:r>
    </w:p>
    <w:p>
      <w:pPr>
        <w:spacing w:after="0" w:line="260" w:lineRule="auto"/>
        <w:rPr>
          <w:sz w:val="20"/>
          <w:szCs w:val="20"/>
          <w:color w:val="auto"/>
        </w:rPr>
      </w:pPr>
      <w:r>
        <w:rPr>
          <w:rFonts w:ascii="Times New Roman" w:cs="Times New Roman" w:eastAsia="Times New Roman" w:hAnsi="Times New Roman"/>
          <w:sz w:val="18"/>
          <w:szCs w:val="18"/>
          <w:color w:val="auto"/>
        </w:rPr>
        <w:t>7.7%, exclusive of the fee on undrawn commitment, as of March 31, 2024. The Truist Credit Facility is a revolving facility with a stated maturity date of July 29, 2027 and pricing set at 235 basis points over SOFR (or an alternative risk-free floating interest rate index).</w:t>
      </w:r>
    </w:p>
    <w:p>
      <w:pPr>
        <w:spacing w:after="0" w:line="181"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2024, we had $150.0 million in aggregate principal amount of our 2026 Notes outstanding. Interest on the 2026 Notes is paid semi-annually on May 1 and November 1 of each year, at a rate of 4.50% per year. The 2026 Notes mature on May 1, 2026 and may be redeemed in whole or in part at our option subject to a make-whole premium if redeemed more than three months prior to maturity.</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2024, we had $165.0 million in aggregate principal amount of our 2026 Notes-2 outstanding. Interest on the 2026 Notes-2 is paid semi-annually on May 1 and November 1 of each year, at a rate of 4.00% per year. The 2026 Notes-2 mature on November 1, 2026 and may be redeemed in whole or in part at our option subject to a make-whole premium if redeemed more than three months prior to maturity.</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00"/>
          </w:cols>
          <w:pgMar w:left="440" w:top="293" w:right="45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PLAN OF DISTRIBUTION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entered into separate equity distribution agreements, each dated June 4, 2024, with Truist Securities, Inc. and Keefe, Bruyette &amp; Woods,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under which Truist Securities, Inc. and Keefe, Bruyette &amp; Woods, Inc. will act as the sales agents in connection with the offer and sale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of shares of our common stock pursuant to this prospectus supplement and the accompanying prospectus. Upon instructions from us,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agents will use their commercially reasonable efforts consistent with their respective normal sales and trading practices to sell, as the sales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under the terms and subject to the conditions set forth in the equity distribution agreements. We will instruct the sales agents as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amount of common stock to be sold through the offering, the time period during which sales are requested to be made, any limitation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that may be sold in any one trading day and any minimum price below which sales may not be made. We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instruct the sales agents not to sell common stock if the sales cannot be effected at or above the price designated by us in any instruction. The sales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of our common stock offered by this prospectus supplement and the accompanying prospectus, less commissions payable under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distribution agreement and discounts, if any, will not be less than the NAV per share of our common stock at the time of such sale.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Adviser may, from time to time, in its sole discretion, pay some or all of the commissions payable under the equity distribution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make additional supplemental payments to ensure that the sales price per share of our common stock in connection with all of the offerings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will not be less than our current NAV per share. Any such payments made by the Investment Adviser will not be subject to reimbursement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We or the sales agents may suspend the offering of shares of common stock upon proper notice and subject to other conditions.</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Sales of the shares of our common stock, if any, by us under this prospectus supplement and the accompanying prospectus may be made in negotiated transactions or transactions that are deemed to be “at the market,” as defined in Rule 415 under the Securities Act, including sales made directly on the NYSE or similar securities exchanges or sales made to or through a market maker other than on a securities exchange at prices related to the prevailing market prices or at negotiated prices.</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 sales agent will provide written confirmation of a sale to us as soon as practicable following the close of trading on the NYSE each day in which shares of our common stock are sold under the applicable equity distribution agreement. Each confirmation will include the number of shares of common stock sold on such day, the net proceeds payable to us and the aggregate compensation payable by us to such sales agent in connection with such sales.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We will pay each sales agent a commission of up to 2.0% of the gross sales price of shares of our common stock sold through such sales agent pursuant to this prospectus supplement. The estimated offering expenses payable by us, in addition to such commission and reimbursement of expenses, are approximately $250,000, which includes legal, accounting and printing costs and various other fees associated with registering the shares of common stock as well as an aggregate of $50,000 in reimbursement of reasonable fees and expenses of counsel to the sales agents incurred in connection with the initial launch of the “at the market” offering and up to $10,000 per calendar quarter during the term of the equity distribution agreements for fees and expenses of counsel to the sales agents incurred in connection with quarterly updates for this offering. The remaining sales proceeds, after deducting any other transaction fees, will equal net proceeds from the sale of such shares payable to us.</w:t>
      </w:r>
    </w:p>
    <w:p>
      <w:pPr>
        <w:spacing w:after="0" w:line="18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Settlement for sales of shares of common stock will occur on the first trading day following the date on which such sales are made, or on some other date that is agreed upon by us and the applicable sales agent in connection with a particular transaction, in return for payment of the net proceeds to us. There is no arrangement for funds to be received in an escrow, trust or similar arrangement.</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equity distribution agreements, we may also sell shares of our common stock to a sales agent as principal for its own accounts at a price agreed upon at the time of sale. The sales agents may offer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980"/>
          </w:cols>
          <w:pgMar w:left="440" w:top="293" w:right="47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common stock sold to them as principals from time to time through public or private transactions at market prices prevailing at the time of sale, at fixed prices, at negotiated prices, at various prices determined at the time of sale or at prices related to prevailing market prices. If we sell shares to a sales agent as principal, we will enter into a separate agreement with such sales agent, setting forth the terms of such transaction, and we will describe such agreement in a separate prospectus supplement.</w:t>
      </w:r>
    </w:p>
    <w:p>
      <w:pPr>
        <w:spacing w:after="0" w:line="180"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by us through the sales agents under the equity distribution agreements and the net proceeds to us.</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sale of our common stock on our behalf, the sales agents may be deemed to be “underwriters” within the meaning of the Securities Act, and the compensation of the sales agents may be deemed to be underwriting commissions or discounts. We have agreed to provide indemnification and contribution to the sales agents with respect to certain civil liabilities, including liabilities under the Securities Act.</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offering of shares of common stock by us pursuant to the equity distribution agreements will terminate upon the earlier of (i) the sale of all common stock subject to the equity distribution agreements or (ii) the termination of the equity distribution agreements as permitted therein.</w:t>
      </w:r>
    </w:p>
    <w:p>
      <w:pPr>
        <w:spacing w:after="0" w:line="162" w:lineRule="exact"/>
        <w:rPr>
          <w:sz w:val="20"/>
          <w:szCs w:val="20"/>
          <w:color w:val="auto"/>
        </w:rPr>
      </w:pPr>
    </w:p>
    <w:p>
      <w:pPr>
        <w:ind w:right="180" w:firstLine="440"/>
        <w:spacing w:after="0" w:line="289" w:lineRule="auto"/>
        <w:rPr>
          <w:sz w:val="20"/>
          <w:szCs w:val="20"/>
          <w:color w:val="auto"/>
        </w:rPr>
      </w:pPr>
      <w:r>
        <w:rPr>
          <w:rFonts w:ascii="Times New Roman" w:cs="Times New Roman" w:eastAsia="Times New Roman" w:hAnsi="Times New Roman"/>
          <w:sz w:val="18"/>
          <w:szCs w:val="18"/>
          <w:color w:val="auto"/>
        </w:rPr>
        <w:t>The principal business addresses of the sales agents are: Truist Securities, Inc., 3333 Peachtree Road, NE, 11th Floor, Atlanta, GA 30326 and Keefe, Bruyette, &amp; Woods, Inc., 787 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Avenue, 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New York, NY 10019.</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0780"/>
          </w:cols>
          <w:pgMar w:left="440" w:top="297" w:right="67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LEGAL MATTERS</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regarding the securities offered by this prospectus supplement will be passed upon for PennantPark Investment Corporation by Dechert LLP and Venable LLP. Certain legal matters in connection with the offering will be passed upon for the sales agents by Kirkland &amp; Ellis LLP.</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consolidated financial statements of PennantPark Investment Corporation and our subsidiaries as of September 30, 2023 and 2022 and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years in the three-year period ended September 30, 2023 and the effectiveness of internal control over financial reporting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incorporated in this prospectus supplement by reference from our Annual Report on Form 10-K for the year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have been audited by RSM US LLP, an independent registered public accounting firm, as stated in their report thereon (which report expresses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unqualified opinion and includes an emphasis of matter paragraph relating to the reclassification of certain amounts presented therewithin of the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incorporated herein by reference, and have been incorporated in this Prospectus in reliance upon such report and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of such firm as experts in accounting and auditing.</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report of RSM US LLP dated December 7, 2023, on the effectiveness of internal control over financial reporting as of September 30, 2023, expressed an opinion that PennantPark Investment Corporation had not maintained effective internal control over financial reporting as of September 30, 2023, based on criteria established in Internal Control — Integrated Framework issued by the Committee of Sponsoring Organizations of the Treadway Commission in 2013.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229"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PennantPark Senior Loan Fund, LLC as of September 30, 2023, September 30, 2022 and September 30, 2021 and for the years then ended included as Exhibits 99.3 and 99.4 in our Annual Report on Form 10-K for the fiscal year ended September 30, 2023 have been incorporated herein by reference, and have been incorporated in this prospectus supplement in reliance upon such report and upon the authority of such firm as experts in accounting and auditing.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supplement.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5340" w:right="1940" w:hanging="4804"/>
        <w:spacing w:after="0" w:line="454" w:lineRule="auto"/>
        <w:tabs>
          <w:tab w:leader="none" w:pos="974" w:val="left"/>
        </w:tabs>
        <w:numPr>
          <w:ilvl w:val="0"/>
          <w:numId w:val="4"/>
        </w:numPr>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Our Annual Report on Form 10-K for the fiscal year ended September 30, 2023, accepted on December 7, 2023;</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S-16</w:t>
      </w:r>
    </w:p>
    <w:p>
      <w:pPr>
        <w:sectPr>
          <w:pgSz w:w="11900" w:h="16838" w:orient="portrait"/>
          <w:cols w:equalWidth="0" w:num="1">
            <w:col w:w="11000"/>
          </w:cols>
          <w:pgMar w:left="440" w:top="293" w:right="459" w:bottom="1440" w:gutter="0" w:footer="0" w:header="0"/>
        </w:sectPr>
      </w:pPr>
    </w:p>
    <w:bookmarkStart w:id="18" w:name="page19"/>
    <w:bookmarkEnd w:id="18"/>
    <w:p>
      <w:pPr>
        <w:ind w:left="960" w:hanging="424"/>
        <w:spacing w:after="0"/>
        <w:tabs>
          <w:tab w:leader="none" w:pos="960"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r:id="rId30">
        <w:r>
          <w:rPr>
            <w:rFonts w:ascii="Times New Roman" w:cs="Times New Roman" w:eastAsia="Times New Roman" w:hAnsi="Times New Roman"/>
            <w:sz w:val="18"/>
            <w:szCs w:val="18"/>
            <w:u w:val="single" w:color="auto"/>
            <w:color w:val="0000EE"/>
          </w:rPr>
          <w:t>Our Definitive Proxy Statement on Schedule 14A, filed with the SEC on December 13, 2023;</w:t>
        </w:r>
      </w:hyperlink>
    </w:p>
    <w:p>
      <w:pPr>
        <w:spacing w:after="0" w:line="130" w:lineRule="exact"/>
        <w:rPr>
          <w:rFonts w:ascii="Times New Roman" w:cs="Times New Roman" w:eastAsia="Times New Roman" w:hAnsi="Times New Roman"/>
          <w:sz w:val="18"/>
          <w:szCs w:val="18"/>
          <w:u w:val="single" w:color="auto"/>
          <w:color w:val="0000EE"/>
        </w:rPr>
      </w:pPr>
    </w:p>
    <w:p>
      <w:pPr>
        <w:ind w:left="960" w:right="660" w:hanging="424"/>
        <w:spacing w:after="0" w:line="282" w:lineRule="auto"/>
        <w:tabs>
          <w:tab w:leader="none" w:pos="960" w:val="left"/>
        </w:tabs>
        <w:numPr>
          <w:ilvl w:val="0"/>
          <w:numId w:val="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fiscal quarters ended </w:t>
      </w:r>
      <w:hyperlink r:id="rId31">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2">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filed with the SEC on </w:t>
      </w:r>
      <w:hyperlink r:id="rId31">
        <w:r>
          <w:rPr>
            <w:rFonts w:ascii="Times New Roman" w:cs="Times New Roman" w:eastAsia="Times New Roman" w:hAnsi="Times New Roman"/>
            <w:sz w:val="18"/>
            <w:szCs w:val="18"/>
            <w:u w:val="single" w:color="auto"/>
            <w:color w:val="0000EE"/>
          </w:rPr>
          <w:t>February 7,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2">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33">
        <w:r>
          <w:rPr>
            <w:rFonts w:ascii="Times New Roman" w:cs="Times New Roman" w:eastAsia="Times New Roman" w:hAnsi="Times New Roman"/>
            <w:sz w:val="18"/>
            <w:szCs w:val="18"/>
            <w:u w:val="single" w:color="auto"/>
            <w:color w:val="0000EE"/>
          </w:rPr>
          <w:t>February 9, 2024</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34">
        <w:r>
          <w:rPr>
            <w:rFonts w:ascii="Times New Roman" w:cs="Times New Roman" w:eastAsia="Times New Roman" w:hAnsi="Times New Roman"/>
            <w:sz w:val="18"/>
            <w:szCs w:val="18"/>
            <w:u w:val="single" w:color="auto"/>
            <w:color w:val="0000EE"/>
          </w:rPr>
          <w:t>Exhibit 4.7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w:t>
      </w:r>
      <w:hyperlink r:id="rId3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2019 (File No. 814-00736), as filed with the SEC on November 21, 2019.</w:t>
      </w:r>
    </w:p>
    <w:p>
      <w:pPr>
        <w:spacing w:after="0" w:line="162"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rFonts w:ascii="Times New Roman" w:cs="Times New Roman" w:eastAsia="Times New Roman" w:hAnsi="Times New Roman"/>
          <w:sz w:val="18"/>
          <w:szCs w:val="18"/>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(786) 297-9500 or on our website at </w:t>
      </w:r>
      <w:r>
        <w:rPr>
          <w:rFonts w:ascii="Times New Roman" w:cs="Times New Roman" w:eastAsia="Times New Roman" w:hAnsi="Times New Roman"/>
          <w:sz w:val="18"/>
          <w:szCs w:val="18"/>
          <w:u w:val="single" w:color="auto"/>
          <w:color w:val="auto"/>
        </w:rPr>
        <w:t>www.pennantpark.com</w:t>
      </w:r>
      <w:r>
        <w:rPr>
          <w:rFonts w:ascii="Times New Roman" w:cs="Times New Roman" w:eastAsia="Times New Roman" w:hAnsi="Times New Roman"/>
          <w:sz w:val="18"/>
          <w:szCs w:val="18"/>
          <w:color w:val="auto"/>
        </w:rPr>
        <w:t xml:space="preserve">. Except for the documents incorporated by reference into this prospectus supplement and the accompanying prospectus, the 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0980"/>
          </w:cols>
          <w:pgMar w:left="440" w:top="297"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PROSPECTUS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107950</wp:posOffset>
            </wp:positionV>
            <wp:extent cx="1765935"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Subscription Rights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Units</w:t>
      </w:r>
    </w:p>
    <w:p>
      <w:pPr>
        <w:spacing w:after="0" w:line="119" w:lineRule="exact"/>
        <w:rPr>
          <w:sz w:val="20"/>
          <w:szCs w:val="20"/>
          <w:color w:val="auto"/>
        </w:rPr>
      </w:pPr>
    </w:p>
    <w:p>
      <w:pPr>
        <w:ind w:right="520" w:firstLine="551"/>
        <w:spacing w:after="0" w:line="281" w:lineRule="auto"/>
        <w:rPr>
          <w:sz w:val="20"/>
          <w:szCs w:val="20"/>
          <w:color w:val="auto"/>
        </w:rPr>
      </w:pPr>
      <w:r>
        <w:rPr>
          <w:rFonts w:ascii="Times New Roman" w:cs="Times New Roman" w:eastAsia="Times New Roman" w:hAnsi="Times New Roman"/>
          <w:sz w:val="17"/>
          <w:szCs w:val="17"/>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55" w:lineRule="exact"/>
        <w:rPr>
          <w:sz w:val="20"/>
          <w:szCs w:val="20"/>
          <w:color w:val="auto"/>
        </w:rPr>
      </w:pPr>
    </w:p>
    <w:p>
      <w:pPr>
        <w:ind w:right="380" w:firstLine="551"/>
        <w:spacing w:after="0" w:line="265" w:lineRule="auto"/>
        <w:rPr>
          <w:sz w:val="20"/>
          <w:szCs w:val="20"/>
          <w:color w:val="auto"/>
        </w:rPr>
      </w:pPr>
      <w:r>
        <w:rPr>
          <w:rFonts w:ascii="Times New Roman" w:cs="Times New Roman" w:eastAsia="Times New Roman" w:hAnsi="Times New Roman"/>
          <w:sz w:val="17"/>
          <w:szCs w:val="17"/>
          <w:color w:val="auto"/>
        </w:rPr>
        <w:t>Our investment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 We can offer no assurances that we will achieve our investment objectives.</w:t>
      </w:r>
    </w:p>
    <w:p>
      <w:pPr>
        <w:spacing w:after="0" w:line="68" w:lineRule="exact"/>
        <w:rPr>
          <w:sz w:val="20"/>
          <w:szCs w:val="20"/>
          <w:color w:val="auto"/>
        </w:rPr>
      </w:pPr>
    </w:p>
    <w:p>
      <w:pPr>
        <w:ind w:right="560" w:firstLine="551"/>
        <w:spacing w:after="0" w:line="281" w:lineRule="auto"/>
        <w:rPr>
          <w:sz w:val="20"/>
          <w:szCs w:val="20"/>
          <w:color w:val="auto"/>
        </w:rPr>
      </w:pPr>
      <w:r>
        <w:rPr>
          <w:rFonts w:ascii="Times New Roman" w:cs="Times New Roman" w:eastAsia="Times New Roman" w:hAnsi="Times New Roman"/>
          <w:sz w:val="17"/>
          <w:szCs w:val="17"/>
          <w:color w:val="auto"/>
        </w:rPr>
        <w:t>We are managed by PennantPark Investment Advisers, LLC. PennantPark Investment Administration, LLC provides the administrative services necessary for us to operate.</w:t>
      </w:r>
    </w:p>
    <w:p>
      <w:pPr>
        <w:spacing w:after="0" w:line="55" w:lineRule="exact"/>
        <w:rPr>
          <w:sz w:val="20"/>
          <w:szCs w:val="20"/>
          <w:color w:val="auto"/>
        </w:rPr>
      </w:pPr>
    </w:p>
    <w:p>
      <w:pPr>
        <w:ind w:firstLine="551"/>
        <w:spacing w:after="0" w:line="252" w:lineRule="auto"/>
        <w:rPr>
          <w:sz w:val="20"/>
          <w:szCs w:val="20"/>
          <w:color w:val="auto"/>
        </w:rPr>
      </w:pPr>
      <w:r>
        <w:rPr>
          <w:rFonts w:ascii="Times New Roman" w:cs="Times New Roman" w:eastAsia="Times New Roman" w:hAnsi="Times New Roman"/>
          <w:sz w:val="17"/>
          <w:szCs w:val="17"/>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r>
        <w:rPr>
          <w:rFonts w:ascii="Times New Roman" w:cs="Times New Roman" w:eastAsia="Times New Roman" w:hAnsi="Times New Roman"/>
          <w:sz w:val="17"/>
          <w:szCs w:val="17"/>
          <w:u w:val="single" w:color="auto"/>
          <w:color w:val="0000EE"/>
        </w:rPr>
        <w:t>Risk Factors</w:t>
      </w:r>
      <w:r>
        <w:rPr>
          <w:rFonts w:ascii="Times New Roman" w:cs="Times New Roman" w:eastAsia="Times New Roman" w:hAnsi="Times New Roman"/>
          <w:sz w:val="17"/>
          <w:szCs w:val="17"/>
          <w:color w:val="auto"/>
        </w:rPr>
        <w:t>” on page 9 and “</w:t>
      </w:r>
      <w:r>
        <w:rPr>
          <w:rFonts w:ascii="Times New Roman" w:cs="Times New Roman" w:eastAsia="Times New Roman" w:hAnsi="Times New Roman"/>
          <w:sz w:val="17"/>
          <w:szCs w:val="17"/>
          <w:u w:val="single" w:color="auto"/>
          <w:color w:val="0000EE"/>
        </w:rPr>
        <w:t>Sales of Common Stock Below Net Asset Value</w:t>
      </w:r>
      <w:r>
        <w:rPr>
          <w:rFonts w:ascii="Times New Roman" w:cs="Times New Roman" w:eastAsia="Times New Roman" w:hAnsi="Times New Roman"/>
          <w:sz w:val="17"/>
          <w:szCs w:val="17"/>
          <w:color w:val="auto"/>
        </w:rPr>
        <w:t>” on page 15 of this prospectus for more information.</w:t>
      </w:r>
    </w:p>
    <w:p>
      <w:pPr>
        <w:spacing w:after="0" w:line="80" w:lineRule="exact"/>
        <w:rPr>
          <w:sz w:val="20"/>
          <w:szCs w:val="20"/>
          <w:color w:val="auto"/>
        </w:rPr>
      </w:pPr>
    </w:p>
    <w:p>
      <w:pPr>
        <w:ind w:right="40" w:firstLine="551"/>
        <w:spacing w:after="0" w:line="265" w:lineRule="auto"/>
        <w:rPr>
          <w:sz w:val="20"/>
          <w:szCs w:val="20"/>
          <w:color w:val="auto"/>
        </w:rPr>
      </w:pPr>
      <w:r>
        <w:rPr>
          <w:rFonts w:ascii="Times New Roman" w:cs="Times New Roman" w:eastAsia="Times New Roman" w:hAnsi="Times New Roman"/>
          <w:sz w:val="17"/>
          <w:szCs w:val="17"/>
          <w:color w:val="auto"/>
        </w:rPr>
        <w:t>Our common stock is traded on The New York Stock Exchange under the symbol “PNNT.” Prior to April 14, 2022, our common stock was traded on The Nasdaq Global Select Market under the same symbol. The last reported closing price for our common stock on April 19, 2022 was $7.95 per share, and our net asset value on December 31, 2021 was $10.11 per share.</w:t>
      </w:r>
    </w:p>
    <w:p>
      <w:pPr>
        <w:spacing w:after="0" w:line="68" w:lineRule="exact"/>
        <w:rPr>
          <w:sz w:val="20"/>
          <w:szCs w:val="20"/>
          <w:color w:val="auto"/>
        </w:rPr>
      </w:pPr>
    </w:p>
    <w:p>
      <w:pPr>
        <w:ind w:right="20" w:firstLine="551"/>
        <w:spacing w:after="0" w:line="253" w:lineRule="auto"/>
        <w:rPr>
          <w:sz w:val="20"/>
          <w:szCs w:val="20"/>
          <w:color w:val="auto"/>
        </w:rPr>
      </w:pPr>
      <w:r>
        <w:rPr>
          <w:rFonts w:ascii="Times New Roman" w:cs="Times New Roman" w:eastAsia="Times New Roman" w:hAnsi="Times New Roman"/>
          <w:sz w:val="17"/>
          <w:szCs w:val="17"/>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Beach, Florida 33139, by calling us collect at (212) 905-1000 or by visiting our website at </w:t>
      </w:r>
      <w:r>
        <w:rPr>
          <w:rFonts w:ascii="Times New Roman" w:cs="Times New Roman" w:eastAsia="Times New Roman" w:hAnsi="Times New Roman"/>
          <w:sz w:val="17"/>
          <w:szCs w:val="17"/>
          <w:i w:val="1"/>
          <w:iCs w:val="1"/>
          <w:u w:val="single" w:color="auto"/>
          <w:color w:val="auto"/>
        </w:rPr>
        <w:t>www.pennantpark.com</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information on our website is not incorporated by reference into this prospectus. The SEC also maintains a website at </w:t>
      </w:r>
      <w:r>
        <w:rPr>
          <w:rFonts w:ascii="Times New Roman" w:cs="Times New Roman" w:eastAsia="Times New Roman" w:hAnsi="Times New Roman"/>
          <w:sz w:val="17"/>
          <w:szCs w:val="17"/>
          <w:i w:val="1"/>
          <w:iCs w:val="1"/>
          <w:u w:val="single" w:color="auto"/>
          <w:color w:val="auto"/>
        </w:rPr>
        <w:t>www.sec.gov</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6"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This prospectus may not be used to consummate sales of securities unless accompanied by a prospectus supplement.</w:t>
      </w:r>
    </w:p>
    <w:p>
      <w:pPr>
        <w:spacing w:after="0" w:line="1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Prospectus dated April 28, 2022</w:t>
      </w:r>
    </w:p>
    <w:p>
      <w:pPr>
        <w:sectPr>
          <w:pgSz w:w="11900" w:h="16838" w:orient="portrait"/>
          <w:cols w:equalWidth="0" w:num="1">
            <w:col w:w="10960"/>
          </w:cols>
          <w:pgMar w:left="440" w:top="289" w:right="499" w:bottom="1440" w:gutter="0" w:footer="0" w:header="0"/>
        </w:sectPr>
      </w:pPr>
    </w:p>
    <w:bookmarkStart w:id="20" w:name="page21"/>
    <w:bookmarkEnd w:id="20"/>
    <w:p>
      <w:pPr>
        <w:ind w:firstLine="55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1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26"/>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858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88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tcBorders>
              <w:top w:val="single" w:sz="8" w:color="0000EE"/>
            </w:tcBorders>
            <w:gridSpan w:val="10"/>
          </w:tcPr>
          <w:p>
            <w:pPr>
              <w:spacing w:after="0"/>
              <w:rPr>
                <w:sz w:val="17"/>
                <w:szCs w:val="17"/>
                <w:color w:val="auto"/>
              </w:rPr>
            </w:pPr>
          </w:p>
        </w:tc>
        <w:tc>
          <w:tcPr>
            <w:tcW w:w="774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894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w:t>
            </w:r>
          </w:p>
        </w:tc>
        <w:tc>
          <w:tcPr>
            <w:tcW w:w="770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60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DISTRIBUTIONS</w:t>
            </w:r>
          </w:p>
        </w:tc>
        <w:tc>
          <w:tcPr>
            <w:tcW w:w="930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PORTFOLIO MANAGEMENT</w:t>
            </w:r>
          </w:p>
        </w:tc>
        <w:tc>
          <w:tcPr>
            <w:tcW w:w="834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540" w:type="dxa"/>
            <w:vAlign w:val="bottom"/>
            <w:tcBorders>
              <w:top w:val="single" w:sz="8" w:color="0000EE"/>
            </w:tcBorders>
            <w:gridSpan w:val="5"/>
          </w:tcPr>
          <w:p>
            <w:pPr>
              <w:spacing w:after="0"/>
              <w:rPr>
                <w:sz w:val="17"/>
                <w:szCs w:val="17"/>
                <w:color w:val="auto"/>
              </w:rPr>
            </w:pPr>
          </w:p>
        </w:tc>
        <w:tc>
          <w:tcPr>
            <w:tcW w:w="73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71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67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UNITS</w:t>
            </w:r>
          </w:p>
        </w:tc>
        <w:tc>
          <w:tcPr>
            <w:tcW w:w="72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ALLOCATIONS AND OTHER PRACTICES</w:t>
            </w:r>
          </w:p>
        </w:tc>
        <w:tc>
          <w:tcPr>
            <w:tcW w:w="61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80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SUB-ADMINISTRATOR, CUSTODIAN, TRANSFER AGENT AND TRUSTEE</w:t>
            </w:r>
          </w:p>
        </w:tc>
        <w:tc>
          <w:tcPr>
            <w:tcW w:w="47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20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INDEPENDENT REGISTERED PUBLIC ACCOUNTING FIRM</w:t>
            </w:r>
          </w:p>
        </w:tc>
        <w:tc>
          <w:tcPr>
            <w:tcW w:w="586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INDEPENDENT AUDITORS</w:t>
            </w:r>
          </w:p>
        </w:tc>
        <w:tc>
          <w:tcPr>
            <w:tcW w:w="840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784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00"/>
          </w:cols>
          <w:pgMar w:left="440" w:top="297" w:right="4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ABOUT THIS PROSPECTUS</w:t>
      </w:r>
    </w:p>
    <w:p>
      <w:pPr>
        <w:spacing w:after="0" w:line="229" w:lineRule="exact"/>
        <w:rPr>
          <w:sz w:val="20"/>
          <w:szCs w:val="20"/>
          <w:color w:val="auto"/>
        </w:rPr>
      </w:pPr>
    </w:p>
    <w:p>
      <w:pPr>
        <w:ind w:firstLine="551"/>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440" w:top="293" w:right="4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31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5831205"/>
                    </a:xfrm>
                    <a:prstGeom prst="rect">
                      <a:avLst/>
                    </a:prstGeom>
                    <a:noFill/>
                  </pic:spPr>
                </pic:pic>
              </a:graphicData>
            </a:graphic>
          </wp:anchor>
        </w:drawing>
        <w:t>PROSPECTUS SUMMARY</w:t>
      </w:r>
    </w:p>
    <w:p>
      <w:pPr>
        <w:spacing w:after="0" w:line="227" w:lineRule="exact"/>
        <w:rPr>
          <w:sz w:val="20"/>
          <w:szCs w:val="20"/>
          <w:color w:val="auto"/>
        </w:rPr>
      </w:pPr>
    </w:p>
    <w:p>
      <w:pPr>
        <w:ind w:firstLine="426"/>
        <w:spacing w:after="0" w:line="252"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Investment Corporation and its consolidated subsidiaries; “PennantPark Investment” refers to only PennantPark Investment Corporation; “our SBIC Fund” refers collectively to our consolidated subsidiary, PennantPark SBIC II LP, or SBIC II, and its general partner, PennantPark SBIC GP II, LLC; “Funding I” refers to PennantPark Investment Funding I, LLC; “Taxable Subsidiary” refers to PNNT Investment Holdings, LLC; “PSLF” refers to PennantPark Senior Loan Fund, LLC, an unconsolidated joint venture; “PennantPark Investment Advisers” or “Investment Adviser” refers to PennantPark Investment Advisers, LLC; “PennantPark Investment Administration” or “Administrator” refers to PennantPark Investment Administration, LLC; “SBA” refers to the Small Business Administration; “BNP Credit Facility” refers to our revolving credit facility with BNP Paribas prior to deconsolidation of Funding I; “Truist Credit Facility” refers to our multi-currency, senior secured revolving credit facility with Truist Bank (formerly SunTrust Bank), as amended and restated; “2024 Notes” refers to our 5.50% Notes due 2024; “2026 Notes” refers to our 4.50% Notes due May 2026; “2026 Notes-2” refers to our 4.00% Notes due November 2026; “1940 Act” refers to the Investment Company Act of 1940, as amended; “1958 Act” refers to the Small Business Investment Act of 1958, as amended; “Code” refers to the Internal Revenue Code of 1986, as amended; “RIC” refers to a regulated investment company under the Code; and “BDC” refers to a business development company under the 1940 Act.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of PennantPark Investment Corporation</w:t>
      </w:r>
    </w:p>
    <w:p>
      <w:pPr>
        <w:spacing w:after="0" w:line="121" w:lineRule="exact"/>
        <w:rPr>
          <w:sz w:val="20"/>
          <w:szCs w:val="20"/>
          <w:color w:val="auto"/>
        </w:rPr>
      </w:pPr>
    </w:p>
    <w:p>
      <w:pPr>
        <w:ind w:right="160" w:firstLine="426"/>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76" w:lineRule="exact"/>
        <w:rPr>
          <w:sz w:val="20"/>
          <w:szCs w:val="20"/>
          <w:color w:val="auto"/>
        </w:rPr>
      </w:pPr>
    </w:p>
    <w:p>
      <w:pPr>
        <w:ind w:right="40" w:firstLine="426"/>
        <w:spacing w:after="0" w:line="253" w:lineRule="auto"/>
        <w:rPr>
          <w:sz w:val="20"/>
          <w:szCs w:val="20"/>
          <w:color w:val="auto"/>
        </w:rPr>
      </w:pPr>
      <w:r>
        <w:rPr>
          <w:rFonts w:ascii="Times New Roman" w:cs="Times New Roman" w:eastAsia="Times New Roman" w:hAnsi="Times New Roman"/>
          <w:sz w:val="18"/>
          <w:szCs w:val="18"/>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or S&amp;P,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640"/>
          </w:cols>
          <w:pgMar w:left="620" w:top="482" w:right="639" w:bottom="1440" w:gutter="0" w:footer="0" w:header="0"/>
        </w:sectPr>
      </w:pPr>
    </w:p>
    <w:bookmarkStart w:id="23" w:name="page24"/>
    <w:bookmarkEnd w:id="23"/>
    <w:p>
      <w:pPr>
        <w:ind w:right="20" w:firstLine="42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7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6379845"/>
                    </a:xfrm>
                    <a:prstGeom prst="rect">
                      <a:avLst/>
                    </a:prstGeom>
                    <a:noFill/>
                  </pic:spPr>
                </pic:pic>
              </a:graphicData>
            </a:graphic>
          </wp:anchor>
        </w:drawing>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please see “Management’s Discussion and Analysis of Financial Condition and Results of Operations—Liquidity and Capital Resources” in our most recent Annual Report on Form 10-K or Quarterly Report on Form 10-Q.</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Investment Corporation</w:t>
      </w:r>
    </w:p>
    <w:p>
      <w:pPr>
        <w:spacing w:after="0" w:line="121" w:lineRule="exact"/>
        <w:rPr>
          <w:sz w:val="20"/>
          <w:szCs w:val="20"/>
          <w:color w:val="auto"/>
        </w:rPr>
      </w:pPr>
    </w:p>
    <w:p>
      <w:pPr>
        <w:ind w:right="260" w:firstLine="426"/>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76" w:lineRule="exact"/>
        <w:rPr>
          <w:sz w:val="20"/>
          <w:szCs w:val="20"/>
          <w:color w:val="auto"/>
        </w:rPr>
      </w:pPr>
    </w:p>
    <w:p>
      <w:pPr>
        <w:ind w:right="100" w:firstLine="426"/>
        <w:spacing w:after="0" w:line="281" w:lineRule="auto"/>
        <w:rPr>
          <w:sz w:val="20"/>
          <w:szCs w:val="20"/>
          <w:color w:val="auto"/>
        </w:rPr>
      </w:pPr>
      <w:r>
        <w:rPr>
          <w:rFonts w:ascii="Times New Roman" w:cs="Times New Roman" w:eastAsia="Times New Roman" w:hAnsi="Times New Roman"/>
          <w:sz w:val="17"/>
          <w:szCs w:val="17"/>
          <w:color w:val="auto"/>
        </w:rPr>
        <w:t>SBIC II, our wholly owned subsidiary, was organized in Delaware as a limited partnership in July 2012. SBIC II received a license from the SBA to operate as a Small Business Investment Company, or SBIC, under Section 301(c) of the Small Business Investment Act of 1958, as amended, or the 1958 Act, in 2013. SBIC II’s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21"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$15.0 billion in 605 companies with over 200 different financial sponsors through its managed funds, which includes investments by the Company totaling $6.7 billion in 302 companies.</w:t>
      </w:r>
    </w:p>
    <w:p>
      <w:pPr>
        <w:spacing w:after="0" w:line="181" w:lineRule="exact"/>
        <w:rPr>
          <w:sz w:val="20"/>
          <w:szCs w:val="20"/>
          <w:color w:val="auto"/>
        </w:rPr>
      </w:pPr>
    </w:p>
    <w:p>
      <w:pPr>
        <w:ind w:right="260" w:firstLine="426"/>
        <w:spacing w:after="0" w:line="254" w:lineRule="auto"/>
        <w:rPr>
          <w:sz w:val="20"/>
          <w:szCs w:val="20"/>
          <w:color w:val="auto"/>
        </w:rPr>
      </w:pPr>
      <w:r>
        <w:rPr>
          <w:rFonts w:ascii="Times New Roman" w:cs="Times New Roman" w:eastAsia="Times New Roman" w:hAnsi="Times New Roman"/>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right="140" w:firstLine="426"/>
        <w:spacing w:after="0" w:line="282" w:lineRule="auto"/>
        <w:rPr>
          <w:sz w:val="20"/>
          <w:szCs w:val="20"/>
          <w:color w:val="auto"/>
        </w:rPr>
      </w:pPr>
      <w:r>
        <w:rPr>
          <w:rFonts w:ascii="Times New Roman" w:cs="Times New Roman" w:eastAsia="Times New Roman" w:hAnsi="Times New Roman"/>
          <w:sz w:val="18"/>
          <w:szCs w:val="18"/>
          <w:color w:val="auto"/>
        </w:rPr>
        <w:t>We believe that the limited amount of capital available to middle-market companies, coupled with the desire of these companies for flexible sources of capital, creates an attractive investment environment for us. From our</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40"/>
          </w:cols>
          <w:pgMar w:left="620" w:top="486" w:right="639" w:bottom="1440" w:gutter="0" w:footer="0" w:header="0"/>
        </w:sectPr>
      </w:pPr>
    </w:p>
    <w:bookmarkStart w:id="24" w:name="page25"/>
    <w:bookmarkEnd w:id="2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42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6242685"/>
                    </a:xfrm>
                    <a:prstGeom prst="rect">
                      <a:avLst/>
                    </a:prstGeom>
                    <a:noFill/>
                  </pic:spPr>
                </pic:pic>
              </a:graphicData>
            </a:graphic>
          </wp:anchor>
        </w:drawing>
        <w:t>perspective, middle-market companies have faced difficulty in raising debt through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in our most recent Annual Report on Form 10-K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right="220" w:firstLine="426"/>
        <w:spacing w:after="0" w:line="261" w:lineRule="auto"/>
        <w:rPr>
          <w:sz w:val="20"/>
          <w:szCs w:val="20"/>
          <w:color w:val="auto"/>
        </w:rPr>
      </w:pPr>
      <w:r>
        <w:rPr>
          <w:rFonts w:ascii="Times New Roman" w:cs="Times New Roman" w:eastAsia="Times New Roman" w:hAnsi="Times New Roman"/>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121" w:lineRule="exact"/>
        <w:rPr>
          <w:sz w:val="20"/>
          <w:szCs w:val="20"/>
          <w:color w:val="auto"/>
        </w:rPr>
      </w:pPr>
    </w:p>
    <w:p>
      <w:pPr>
        <w:ind w:right="140" w:firstLine="426"/>
        <w:spacing w:after="0" w:line="282" w:lineRule="auto"/>
        <w:rPr>
          <w:sz w:val="20"/>
          <w:szCs w:val="20"/>
          <w:color w:val="auto"/>
        </w:rPr>
      </w:pPr>
      <w:r>
        <w:rPr>
          <w:rFonts w:ascii="Times New Roman" w:cs="Times New Roman" w:eastAsia="Times New Roman" w:hAnsi="Times New Roman"/>
          <w:sz w:val="18"/>
          <w:szCs w:val="18"/>
          <w:color w:val="auto"/>
        </w:rPr>
        <w:t>We intend to continue making quarterly distributions to our common stockholders. Our quarterly distributions, if any, are determined by our board of directors. Distributions may include a return of capital. See “Distributions”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Preferred Stock</w:t>
      </w:r>
    </w:p>
    <w:p>
      <w:pPr>
        <w:spacing w:after="0" w:line="121" w:lineRule="exact"/>
        <w:rPr>
          <w:sz w:val="20"/>
          <w:szCs w:val="20"/>
          <w:color w:val="auto"/>
        </w:rPr>
      </w:pPr>
    </w:p>
    <w:p>
      <w:pPr>
        <w:ind w:firstLine="426"/>
        <w:spacing w:after="0" w:line="277" w:lineRule="auto"/>
        <w:rPr>
          <w:sz w:val="20"/>
          <w:szCs w:val="20"/>
          <w:color w:val="auto"/>
        </w:rPr>
      </w:pPr>
      <w:r>
        <w:rPr>
          <w:rFonts w:ascii="Times New Roman" w:cs="Times New Roman" w:eastAsia="Times New Roman" w:hAnsi="Times New Roman"/>
          <w:sz w:val="17"/>
          <w:szCs w:val="17"/>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121" w:lineRule="exact"/>
        <w:rPr>
          <w:sz w:val="20"/>
          <w:szCs w:val="20"/>
          <w:color w:val="auto"/>
        </w:rPr>
      </w:pPr>
    </w:p>
    <w:p>
      <w:pPr>
        <w:ind w:right="260" w:firstLine="426"/>
        <w:spacing w:after="0" w:line="258" w:lineRule="auto"/>
        <w:rPr>
          <w:sz w:val="20"/>
          <w:szCs w:val="20"/>
          <w:color w:val="auto"/>
        </w:rPr>
      </w:pPr>
      <w:r>
        <w:rPr>
          <w:rFonts w:ascii="Times New Roman" w:cs="Times New Roman" w:eastAsia="Times New Roman" w:hAnsi="Times New Roman"/>
          <w:sz w:val="18"/>
          <w:szCs w:val="18"/>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right="380" w:firstLine="426"/>
        <w:spacing w:after="0" w:line="282" w:lineRule="auto"/>
        <w:rPr>
          <w:sz w:val="20"/>
          <w:szCs w:val="20"/>
          <w:color w:val="auto"/>
        </w:rPr>
      </w:pPr>
      <w:r>
        <w:rPr>
          <w:rFonts w:ascii="Times New Roman" w:cs="Times New Roman" w:eastAsia="Times New Roman" w:hAnsi="Times New Roman"/>
          <w:sz w:val="18"/>
          <w:szCs w:val="18"/>
          <w:color w:val="auto"/>
        </w:rPr>
        <w:t>We may offer, from time to time, up to $750 million of our securities, on terms to be determined at the time of each such offering and set forth in a supplement to this prospectus.</w:t>
      </w:r>
    </w:p>
    <w:p>
      <w:pPr>
        <w:spacing w:after="0" w:line="162" w:lineRule="exact"/>
        <w:rPr>
          <w:sz w:val="20"/>
          <w:szCs w:val="20"/>
          <w:color w:val="auto"/>
        </w:rPr>
      </w:pPr>
    </w:p>
    <w:p>
      <w:pPr>
        <w:ind w:right="80" w:firstLine="426"/>
        <w:spacing w:after="0" w:line="261" w:lineRule="auto"/>
        <w:rPr>
          <w:sz w:val="20"/>
          <w:szCs w:val="20"/>
          <w:color w:val="auto"/>
        </w:rPr>
      </w:pPr>
      <w:r>
        <w:rPr>
          <w:rFonts w:ascii="Times New Roman" w:cs="Times New Roman" w:eastAsia="Times New Roman" w:hAnsi="Times New Roman"/>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40"/>
          </w:cols>
          <w:pgMar w:left="620" w:top="486" w:right="639" w:bottom="1440" w:gutter="0" w:footer="0" w:header="0"/>
        </w:sectPr>
      </w:pPr>
    </w:p>
    <w:bookmarkStart w:id="25" w:name="page26"/>
    <w:bookmarkEnd w:id="25"/>
    <w:p>
      <w:pPr>
        <w:ind w:left="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62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362325"/>
                    </a:xfrm>
                    <a:prstGeom prst="rect">
                      <a:avLst/>
                    </a:prstGeom>
                    <a:noFill/>
                  </pic:spPr>
                </pic:pic>
              </a:graphicData>
            </a:graphic>
          </wp:anchor>
        </w:drawing>
        <w:t>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83" w:lineRule="exact"/>
        <w:rPr>
          <w:sz w:val="20"/>
          <w:szCs w:val="20"/>
          <w:color w:val="auto"/>
        </w:rPr>
      </w:pPr>
    </w:p>
    <w:p>
      <w:pPr>
        <w:ind w:left="2" w:right="480" w:firstLine="426"/>
        <w:spacing w:after="0" w:line="282" w:lineRule="auto"/>
        <w:rPr>
          <w:sz w:val="20"/>
          <w:szCs w:val="20"/>
          <w:color w:val="auto"/>
        </w:rPr>
      </w:pPr>
      <w:r>
        <w:rPr>
          <w:rFonts w:ascii="Times New Roman" w:cs="Times New Roman" w:eastAsia="Times New Roman" w:hAnsi="Times New Roman"/>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2" w:firstLine="426"/>
        <w:spacing w:after="0" w:line="281" w:lineRule="auto"/>
        <w:rPr>
          <w:sz w:val="20"/>
          <w:szCs w:val="20"/>
          <w:color w:val="auto"/>
        </w:rPr>
      </w:pPr>
      <w:r>
        <w:rPr>
          <w:rFonts w:ascii="Times New Roman" w:cs="Times New Roman" w:eastAsia="Times New Roman" w:hAnsi="Times New Roman"/>
          <w:sz w:val="17"/>
          <w:szCs w:val="17"/>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8"/>
          <w:szCs w:val="18"/>
          <w:color w:val="auto"/>
        </w:rPr>
        <w:t>Our administrative and principal executive offices are located at 1691 Michigan Avenue, Miami Beach, Florida 33139. Our phone number is</w:t>
      </w:r>
    </w:p>
    <w:p>
      <w:pPr>
        <w:spacing w:after="0" w:line="27" w:lineRule="exact"/>
        <w:rPr>
          <w:sz w:val="20"/>
          <w:szCs w:val="20"/>
          <w:color w:val="auto"/>
        </w:rPr>
      </w:pPr>
    </w:p>
    <w:p>
      <w:pPr>
        <w:ind w:left="2" w:right="120" w:hanging="2"/>
        <w:spacing w:after="0" w:line="255" w:lineRule="auto"/>
        <w:tabs>
          <w:tab w:leader="none" w:pos="4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905-1000, and our internet website address is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9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42"/>
          </w:cols>
          <w:pgMar w:left="618" w:top="486" w:right="639" w:bottom="1440" w:gutter="0" w:footer="0" w:header="0"/>
        </w:sectPr>
      </w:pPr>
    </w:p>
    <w:bookmarkStart w:id="26" w:name="page27"/>
    <w:bookmarkEnd w:id="2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FEES AND EXPENSES</w:t>
      </w:r>
    </w:p>
    <w:p>
      <w:pPr>
        <w:spacing w:after="0" w:line="229"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900" w:type="dxa"/>
            <w:vAlign w:val="bottom"/>
            <w:gridSpan w:val="2"/>
          </w:tcPr>
          <w:p>
            <w:pPr>
              <w:jc w:val="right"/>
              <w:ind w:right="28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98"/>
        </w:trPr>
        <w:tc>
          <w:tcPr>
            <w:tcW w:w="10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Offering expenses (as a percentage of offering price)</w:t>
            </w:r>
          </w:p>
        </w:tc>
        <w:tc>
          <w:tcPr>
            <w:tcW w:w="90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48"/>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900" w:type="dxa"/>
            <w:vAlign w:val="bottom"/>
            <w:gridSpan w:val="2"/>
            <w:shd w:val="clear" w:color="auto" w:fill="CCEEFF"/>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 expenses</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Estimated annual expenses (as a percentage of average net assets attributable to common shares)</w:t>
            </w:r>
            <w:r>
              <w:rPr>
                <w:rFonts w:ascii="Times New Roman" w:cs="Times New Roman" w:eastAsia="Times New Roman" w:hAnsi="Times New Roman"/>
                <w:sz w:val="25"/>
                <w:szCs w:val="25"/>
                <w:b w:val="1"/>
                <w:bCs w:val="1"/>
                <w:color w:val="auto"/>
                <w:vertAlign w:val="superscript"/>
              </w:rPr>
              <w:t>(4)</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900" w:type="dxa"/>
            <w:vAlign w:val="bottom"/>
            <w:gridSpan w:val="2"/>
          </w:tcPr>
          <w:p>
            <w:pPr>
              <w:jc w:val="right"/>
              <w:ind w:right="140"/>
              <w:spacing w:after="0" w:line="216" w:lineRule="exact"/>
              <w:rPr>
                <w:sz w:val="20"/>
                <w:szCs w:val="20"/>
                <w:color w:val="auto"/>
              </w:rPr>
            </w:pPr>
            <w:r>
              <w:rPr>
                <w:rFonts w:ascii="Times New Roman" w:cs="Times New Roman" w:eastAsia="Times New Roman" w:hAnsi="Times New Roman"/>
                <w:sz w:val="17"/>
                <w:szCs w:val="17"/>
                <w:color w:val="auto"/>
              </w:rPr>
              <w:t>3.09%</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900" w:type="dxa"/>
            <w:vAlign w:val="bottom"/>
            <w:gridSpan w:val="2"/>
            <w:shd w:val="clear" w:color="auto" w:fill="CCEEFF"/>
          </w:tcPr>
          <w:p>
            <w:pPr>
              <w:jc w:val="right"/>
              <w:ind w:right="140"/>
              <w:spacing w:after="0" w:line="216" w:lineRule="exact"/>
              <w:rPr>
                <w:sz w:val="20"/>
                <w:szCs w:val="20"/>
                <w:color w:val="auto"/>
              </w:rPr>
            </w:pPr>
            <w:r>
              <w:rPr>
                <w:rFonts w:ascii="Times New Roman" w:cs="Times New Roman" w:eastAsia="Times New Roman" w:hAnsi="Times New Roman"/>
                <w:sz w:val="17"/>
                <w:szCs w:val="17"/>
                <w:color w:val="auto"/>
              </w:rPr>
              <w:t>1.61%</w:t>
            </w:r>
            <w:r>
              <w:rPr>
                <w:rFonts w:ascii="Times New Roman" w:cs="Times New Roman" w:eastAsia="Times New Roman" w:hAnsi="Times New Roman"/>
                <w:sz w:val="25"/>
                <w:szCs w:val="25"/>
                <w:color w:val="auto"/>
                <w:vertAlign w:val="superscript"/>
              </w:rPr>
              <w:t>(6)</w:t>
            </w:r>
          </w:p>
        </w:tc>
        <w:tc>
          <w:tcPr>
            <w:tcW w:w="0" w:type="dxa"/>
            <w:vAlign w:val="bottom"/>
          </w:tcPr>
          <w:p>
            <w:pPr>
              <w:spacing w:after="0"/>
              <w:rPr>
                <w:sz w:val="1"/>
                <w:szCs w:val="1"/>
                <w:color w:val="auto"/>
              </w:rPr>
            </w:pPr>
          </w:p>
        </w:tc>
      </w:tr>
      <w:tr>
        <w:trPr>
          <w:trHeight w:val="198"/>
        </w:trPr>
        <w:tc>
          <w:tcPr>
            <w:tcW w:w="10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on borrowed funds</w:t>
            </w:r>
          </w:p>
        </w:tc>
        <w:tc>
          <w:tcPr>
            <w:tcW w:w="90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6"/>
                <w:szCs w:val="16"/>
                <w:color w:val="auto"/>
              </w:rPr>
              <w:t>4.16%</w:t>
            </w:r>
            <w:r>
              <w:rPr>
                <w:rFonts w:ascii="Times New Roman" w:cs="Times New Roman" w:eastAsia="Times New Roman" w:hAnsi="Times New Roman"/>
                <w:sz w:val="22"/>
                <w:szCs w:val="22"/>
                <w:color w:val="auto"/>
                <w:vertAlign w:val="superscript"/>
              </w:rPr>
              <w:t>(7)</w:t>
            </w:r>
          </w:p>
        </w:tc>
        <w:tc>
          <w:tcPr>
            <w:tcW w:w="0" w:type="dxa"/>
            <w:vAlign w:val="bottom"/>
          </w:tcPr>
          <w:p>
            <w:pPr>
              <w:spacing w:after="0"/>
              <w:rPr>
                <w:sz w:val="1"/>
                <w:szCs w:val="1"/>
                <w:color w:val="auto"/>
              </w:rPr>
            </w:pPr>
          </w:p>
        </w:tc>
      </w:tr>
      <w:tr>
        <w:trPr>
          <w:trHeight w:val="248"/>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Acquired fund fees and expenses</w:t>
            </w:r>
          </w:p>
        </w:tc>
        <w:tc>
          <w:tcPr>
            <w:tcW w:w="900" w:type="dxa"/>
            <w:vAlign w:val="bottom"/>
            <w:gridSpan w:val="2"/>
          </w:tcPr>
          <w:p>
            <w:pPr>
              <w:jc w:val="right"/>
              <w:ind w:right="140"/>
              <w:spacing w:after="0" w:line="247" w:lineRule="exact"/>
              <w:rPr>
                <w:sz w:val="20"/>
                <w:szCs w:val="20"/>
                <w:color w:val="auto"/>
              </w:rPr>
            </w:pPr>
            <w:r>
              <w:rPr>
                <w:rFonts w:ascii="Times New Roman" w:cs="Times New Roman" w:eastAsia="Times New Roman" w:hAnsi="Times New Roman"/>
                <w:sz w:val="18"/>
                <w:szCs w:val="18"/>
                <w:color w:val="auto"/>
              </w:rPr>
              <w:t>1.63%</w:t>
            </w:r>
            <w:r>
              <w:rPr>
                <w:rFonts w:ascii="Times New Roman" w:cs="Times New Roman" w:eastAsia="Times New Roman" w:hAnsi="Times New Roman"/>
                <w:sz w:val="26"/>
                <w:szCs w:val="26"/>
                <w:color w:val="auto"/>
                <w:vertAlign w:val="superscript"/>
              </w:rPr>
              <w:t>(8)</w:t>
            </w: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900" w:type="dxa"/>
            <w:vAlign w:val="bottom"/>
            <w:gridSpan w:val="2"/>
            <w:shd w:val="clear" w:color="auto" w:fill="CCEEFF"/>
          </w:tcPr>
          <w:p>
            <w:pPr>
              <w:jc w:val="right"/>
              <w:ind w:right="140"/>
              <w:spacing w:after="0" w:line="216" w:lineRule="exact"/>
              <w:rPr>
                <w:sz w:val="20"/>
                <w:szCs w:val="20"/>
                <w:color w:val="auto"/>
              </w:rPr>
            </w:pPr>
            <w:r>
              <w:rPr>
                <w:rFonts w:ascii="Times New Roman" w:cs="Times New Roman" w:eastAsia="Times New Roman" w:hAnsi="Times New Roman"/>
                <w:sz w:val="17"/>
                <w:szCs w:val="17"/>
                <w:color w:val="auto"/>
              </w:rPr>
              <w:t>0.71%</w:t>
            </w:r>
            <w:r>
              <w:rPr>
                <w:rFonts w:ascii="Times New Roman" w:cs="Times New Roman" w:eastAsia="Times New Roman" w:hAnsi="Times New Roman"/>
                <w:sz w:val="25"/>
                <w:szCs w:val="25"/>
                <w:color w:val="auto"/>
                <w:vertAlign w:val="superscript"/>
              </w:rPr>
              <w:t>(9)</w:t>
            </w:r>
          </w:p>
        </w:tc>
        <w:tc>
          <w:tcPr>
            <w:tcW w:w="0" w:type="dxa"/>
            <w:vAlign w:val="bottom"/>
          </w:tcPr>
          <w:p>
            <w:pPr>
              <w:spacing w:after="0"/>
              <w:rPr>
                <w:sz w:val="1"/>
                <w:szCs w:val="1"/>
                <w:color w:val="auto"/>
              </w:rPr>
            </w:pPr>
          </w:p>
        </w:tc>
      </w:tr>
      <w:tr>
        <w:trPr>
          <w:trHeight w:val="20"/>
        </w:trPr>
        <w:tc>
          <w:tcPr>
            <w:tcW w:w="10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estimated annual expenses</w:t>
            </w: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0120" w:type="dxa"/>
            <w:vAlign w:val="bottom"/>
            <w:vMerge w:val="continue"/>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11.20%</w:t>
            </w:r>
            <w:r>
              <w:rPr>
                <w:rFonts w:ascii="Times New Roman" w:cs="Times New Roman" w:eastAsia="Times New Roman" w:hAnsi="Times New Roman"/>
                <w:sz w:val="26"/>
                <w:szCs w:val="26"/>
                <w:color w:val="auto"/>
                <w:w w:val="97"/>
                <w:vertAlign w:val="superscript"/>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 w:lineRule="exact"/>
        <w:rPr>
          <w:sz w:val="20"/>
          <w:szCs w:val="20"/>
          <w:color w:val="auto"/>
        </w:rPr>
      </w:pPr>
    </w:p>
    <w:p>
      <w:pPr>
        <w:ind w:left="424" w:right="82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or agents, a corresponding prospectus supplement will disclose the applicable sales load.</w:t>
      </w:r>
    </w:p>
    <w:p>
      <w:pPr>
        <w:ind w:left="424" w:right="14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offering expenses, the offering price and the offering expenses borne by us as a percentage of the offering price.</w:t>
      </w: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shares equals average net assets as of December 31, 2021.</w:t>
      </w:r>
    </w:p>
    <w:p>
      <w:pPr>
        <w:spacing w:after="0" w:line="9" w:lineRule="exact"/>
        <w:rPr>
          <w:rFonts w:ascii="Times New Roman" w:cs="Times New Roman" w:eastAsia="Times New Roman" w:hAnsi="Times New Roman"/>
          <w:sz w:val="18"/>
          <w:szCs w:val="18"/>
          <w:color w:val="auto"/>
        </w:rPr>
      </w:pPr>
    </w:p>
    <w:p>
      <w:pPr>
        <w:ind w:left="424" w:right="18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management fee is calculated at an annual rate of 1.50% of our average adjusted gross assets up to 200% of the Company’s total net assets as of the immediately preceding quarter-end and 1.00% for amounts that exceed such amount as of the immediately preceding quarter-end, which for purposes of this table was December 31, 2021. See “Business—Investment Management Agreement” and “Business— Management Fees” in our most recent Annual Report on Form 10-K for more information.</w:t>
      </w:r>
    </w:p>
    <w:p>
      <w:pPr>
        <w:spacing w:after="0" w:line="1" w:lineRule="exact"/>
        <w:rPr>
          <w:rFonts w:ascii="Times New Roman" w:cs="Times New Roman" w:eastAsia="Times New Roman" w:hAnsi="Times New Roman"/>
          <w:sz w:val="18"/>
          <w:szCs w:val="18"/>
          <w:color w:val="auto"/>
        </w:rPr>
      </w:pPr>
    </w:p>
    <w:p>
      <w:pPr>
        <w:ind w:left="424" w:right="8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incentive fees paid with respect to net investment income and capital gains, if any, is based on actual amounts incurred during the fiscal quarter ended December 31, 2021,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quarter ended December 31, 2021. For more detailed information about the incentive fee, please see “Business—Investment Management Agreement” and “Business—Management Fees” in our most recent Annual Report on Form 10-K for more information.</w:t>
      </w:r>
    </w:p>
    <w:p>
      <w:pPr>
        <w:spacing w:after="0" w:line="4" w:lineRule="exact"/>
        <w:rPr>
          <w:rFonts w:ascii="Times New Roman" w:cs="Times New Roman" w:eastAsia="Times New Roman" w:hAnsi="Times New Roman"/>
          <w:sz w:val="18"/>
          <w:szCs w:val="18"/>
          <w:color w:val="auto"/>
        </w:rPr>
      </w:pPr>
    </w:p>
    <w:p>
      <w:pPr>
        <w:ind w:left="424" w:right="18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we had $19.8 million of unused borrowing capacity, subject to maintenance of the applicable total assets to debt ratio, under the 1940 Act. As of such date, we had $445.2 million in borrowings outstanding under our $465.0 million Truist Credit Facility,</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million in aggregate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93" w:right="439" w:bottom="1440" w:gutter="0" w:footer="0" w:header="0"/>
        </w:sectPr>
      </w:pPr>
    </w:p>
    <w:bookmarkStart w:id="27" w:name="page28"/>
    <w:bookmarkEnd w:id="27"/>
    <w:p>
      <w:pPr>
        <w:ind w:left="42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principal of 2026 Notes and $165.0 million in aggregate principal of 2026 Notes-2. As of December 31, 2021, our SBIC Fund had debenture commitments from the SBA in the amount of $63.5 million, all of which were outstanding with a weighted average interest rate of 3.2%, exclusive of the 3.4% of upfront fees. We may use proceeds of any offering of securities under any applicable registration statement to repay outstanding obligations under the Truist Credit Facility. After completing any such offering, we may continue to borrow under our Truist Credit Facility to finance our investment objectives. Annual interest expense on borrowed funds represents actual interest expense incurred for the fiscal quarter ended December 31, 2021, annualized for a full year, and amendment costs and make-whole premiums, if any, and we caution you that our actual interest expense will depend on prevailing interest rates and our rate of borrowing, which may be substantially higher than the estimate provided in this table.</w:t>
      </w:r>
    </w:p>
    <w:p>
      <w:pPr>
        <w:spacing w:after="0" w:line="1" w:lineRule="exact"/>
        <w:rPr>
          <w:sz w:val="20"/>
          <w:szCs w:val="20"/>
          <w:color w:val="auto"/>
        </w:rPr>
      </w:pPr>
    </w:p>
    <w:p>
      <w:pPr>
        <w:ind w:left="424"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60.5% of the expenses of our investment in PSLF. No management fee is charged by PennantPark Investment Advisers in connection with PSLF. PSLF pays the Administrator an annual fee of 0.25% of average gross assets under management. For this chart, PSLF fees and operating expenses are based on our share of the actual fees and operating expenses of PSLF for the fiscal quarter ended December 31, 2021, annualized for a full year. Expenses for PSLF may fluctuate over time and may be substantially higher or lower in the future.</w:t>
      </w:r>
    </w:p>
    <w:p>
      <w:pPr>
        <w:spacing w:after="0" w:line="1" w:lineRule="exact"/>
        <w:rPr>
          <w:rFonts w:ascii="Times New Roman" w:cs="Times New Roman" w:eastAsia="Times New Roman" w:hAnsi="Times New Roman"/>
          <w:sz w:val="18"/>
          <w:szCs w:val="18"/>
          <w:color w:val="auto"/>
        </w:rPr>
      </w:pPr>
    </w:p>
    <w:p>
      <w:pPr>
        <w:ind w:left="424" w:right="24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Times New Roman" w:cs="Times New Roman" w:eastAsia="Times New Roman" w:hAnsi="Times New Roman"/>
          <w:sz w:val="18"/>
          <w:szCs w:val="18"/>
          <w:color w:val="auto"/>
        </w:rPr>
      </w:pPr>
    </w:p>
    <w:p>
      <w:pPr>
        <w:ind w:left="424" w:right="60" w:hanging="424"/>
        <w:spacing w:after="0" w:line="25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5.26% of average total assets.</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4" w:right="320" w:firstLine="440"/>
        <w:spacing w:after="0" w:line="261" w:lineRule="auto"/>
        <w:rPr>
          <w:sz w:val="20"/>
          <w:szCs w:val="20"/>
          <w:color w:val="auto"/>
        </w:rPr>
      </w:pPr>
      <w:r>
        <w:rPr>
          <w:rFonts w:ascii="Times New Roman" w:cs="Times New Roman" w:eastAsia="Times New Roman" w:hAnsi="Times New Roman"/>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9.59% of average net assets attributable to common shares as set forth in the table above (other than performance-based incentive fees) and (3) a 5% annual return.</w:t>
      </w:r>
    </w:p>
    <w:p>
      <w:pPr>
        <w:spacing w:after="0" w:line="200" w:lineRule="exact"/>
        <w:rPr>
          <w:sz w:val="20"/>
          <w:szCs w:val="20"/>
          <w:color w:val="auto"/>
        </w:rPr>
      </w:pPr>
    </w:p>
    <w:tbl>
      <w:tblPr>
        <w:tblLayout w:type="fixed"/>
        <w:tblInd w:w="444" w:type="dxa"/>
        <w:tblCellMar>
          <w:top w:w="0" w:type="dxa"/>
          <w:left w:w="0" w:type="dxa"/>
          <w:bottom w:w="0" w:type="dxa"/>
          <w:right w:w="0" w:type="dxa"/>
        </w:tblCellMar>
      </w:tblPr>
      <w:tr>
        <w:trPr>
          <w:trHeight w:val="193"/>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You would pay the following expenses on a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1,000 common stock investment</w:t>
            </w: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2"/>
              </w:rPr>
              <w:t>3 Years</w:t>
            </w:r>
          </w:p>
        </w:tc>
        <w:tc>
          <w:tcPr>
            <w:tcW w:w="20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1"/>
        </w:trPr>
        <w:tc>
          <w:tcPr>
            <w:tcW w:w="658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Assuming a 5% annual return (assumes no return from net realized capital gains or net</w:t>
            </w: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34"/>
        </w:trPr>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capital appreciation)</w:t>
            </w:r>
          </w:p>
        </w:tc>
        <w:tc>
          <w:tcPr>
            <w:tcW w:w="9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$ 126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774</w:t>
            </w:r>
          </w:p>
        </w:tc>
      </w:tr>
      <w:tr>
        <w:trPr>
          <w:trHeight w:val="198"/>
        </w:trPr>
        <w:tc>
          <w:tcPr>
            <w:tcW w:w="6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Assuming a 5% annual return (assumes return from only realized capital gains and thus</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subject to the capital gains incentive fee)</w:t>
            </w:r>
          </w:p>
        </w:tc>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$ 133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w:t>
            </w:r>
          </w:p>
        </w:tc>
      </w:tr>
    </w:tbl>
    <w:p>
      <w:pPr>
        <w:spacing w:after="0" w:line="198"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97" w:right="459" w:bottom="1440" w:gutter="0" w:footer="0" w:header="0"/>
        </w:sectPr>
      </w:pPr>
    </w:p>
    <w:bookmarkStart w:id="28" w:name="page29"/>
    <w:bookmarkEnd w:id="2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FINANCIAL HIGHLIGHTS</w:t>
      </w:r>
    </w:p>
    <w:p>
      <w:pPr>
        <w:spacing w:after="0" w:line="229"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The financial data set forth in the following table as of and for the years ended September 30, 2021, 2020, 2019, 2018, 2017, 2016, 2015, 2014, 2013 and 2012 are derived from our consolidated financial statements, which have been audited by an independent registered public accounting firm for those periods. The financial data set forth in the following table as of and for the three months ended December 31, 2021 is derived from our unaudited consolidated financial statements, but in the opinion of management, reflects all adjustments (consisting only of normal recurring adjustments) that are necessary to present fairly the results of such interim period. Interim results as of and for the three months ended December 31, 2021 are not necessarily indicative of the results that may be expected for the year ending September 30, 2022. This financial data should be read in conjunction with our Consolidated Financial Statements and related notes thereto and “Management’s Discussion and Analysis of Financial Condition and Results of Operations” included in our most recent Annual Report on Form 10-K and subsequent Quarterly Reports on Form 10-Q.</w:t>
      </w:r>
    </w:p>
    <w:p>
      <w:pPr>
        <w:spacing w:after="0" w:line="216" w:lineRule="exact"/>
        <w:rPr>
          <w:sz w:val="20"/>
          <w:szCs w:val="20"/>
          <w:color w:val="auto"/>
        </w:rPr>
      </w:pPr>
    </w:p>
    <w:tbl>
      <w:tblPr>
        <w:tblLayout w:type="fixed"/>
        <w:tblInd w:w="4" w:type="dxa"/>
        <w:tblCellMar>
          <w:top w:w="0" w:type="dxa"/>
          <w:left w:w="0" w:type="dxa"/>
          <w:bottom w:w="0" w:type="dxa"/>
          <w:right w:w="0" w:type="dxa"/>
        </w:tblCellMar>
      </w:tblPr>
      <w:tr>
        <w:trPr>
          <w:trHeight w:val="126"/>
        </w:trPr>
        <w:tc>
          <w:tcPr>
            <w:tcW w:w="2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For the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three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2"/>
              </w:rPr>
              <w:t>ended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7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2021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2021</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2019</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2018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2017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2016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2015</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2014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2013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00" w:type="dxa"/>
            <w:vAlign w:val="bottom"/>
            <w:tcBorders>
              <w:top w:val="single" w:sz="8" w:color="CCEEFF"/>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Per Share Data:</w:t>
            </w:r>
          </w:p>
        </w:tc>
        <w:tc>
          <w:tcPr>
            <w:tcW w:w="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asset value, beginning of period</w:t>
            </w:r>
          </w:p>
        </w:tc>
        <w:tc>
          <w:tcPr>
            <w:tcW w:w="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9.85</w:t>
            </w:r>
          </w:p>
        </w:tc>
        <w:tc>
          <w:tcPr>
            <w:tcW w:w="160" w:type="dxa"/>
            <w:vAlign w:val="bottom"/>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7.84</w:t>
            </w:r>
          </w:p>
        </w:tc>
        <w:tc>
          <w:tcPr>
            <w:tcW w:w="26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8.68</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9.11</w:t>
            </w:r>
          </w:p>
        </w:tc>
        <w:tc>
          <w:tcPr>
            <w:tcW w:w="260" w:type="dxa"/>
            <w:vAlign w:val="bottom"/>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9.10</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9.05</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9.82</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11.03</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10.49</w:t>
            </w:r>
          </w:p>
        </w:tc>
        <w:tc>
          <w:tcPr>
            <w:tcW w:w="140" w:type="dxa"/>
            <w:vAlign w:val="bottom"/>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10.22</w:t>
            </w:r>
          </w:p>
        </w:tc>
        <w:tc>
          <w:tcPr>
            <w:tcW w:w="160" w:type="dxa"/>
            <w:vAlign w:val="bottom"/>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10.13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 xml:space="preserve">Net investment income </w:t>
            </w:r>
            <w:r>
              <w:rPr>
                <w:rFonts w:ascii="Times New Roman" w:cs="Times New Roman" w:eastAsia="Times New Roman" w:hAnsi="Times New Roman"/>
                <w:sz w:val="14"/>
                <w:szCs w:val="14"/>
                <w:color w:val="auto"/>
                <w:vertAlign w:val="superscript"/>
              </w:rPr>
              <w:t>(1)</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0.19</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0.54</w:t>
            </w: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0.58</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0.66</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0.75</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0.79</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0.99</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1.10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1.01</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00" w:type="dxa"/>
            <w:vAlign w:val="bottom"/>
          </w:tcPr>
          <w:p>
            <w:pPr>
              <w:spacing w:after="0" w:line="122" w:lineRule="exact"/>
              <w:rPr>
                <w:sz w:val="20"/>
                <w:szCs w:val="20"/>
                <w:color w:val="auto"/>
              </w:rPr>
            </w:pPr>
            <w:r>
              <w:rPr>
                <w:rFonts w:ascii="Times New Roman" w:cs="Times New Roman" w:eastAsia="Times New Roman" w:hAnsi="Times New Roman"/>
                <w:sz w:val="10"/>
                <w:szCs w:val="10"/>
                <w:color w:val="auto"/>
              </w:rPr>
              <w:t xml:space="preserve">Net realized and unrealized (loss) gain </w:t>
            </w:r>
            <w:r>
              <w:rPr>
                <w:rFonts w:ascii="Times New Roman" w:cs="Times New Roman" w:eastAsia="Times New Roman" w:hAnsi="Times New Roman"/>
                <w:sz w:val="14"/>
                <w:szCs w:val="14"/>
                <w:color w:val="auto"/>
                <w:vertAlign w:val="superscript"/>
              </w:rPr>
              <w:t>(1)</w:t>
            </w:r>
          </w:p>
        </w:tc>
        <w:tc>
          <w:tcPr>
            <w:tcW w:w="60" w:type="dxa"/>
            <w:vAlign w:val="bottom"/>
          </w:tcPr>
          <w:p>
            <w:pPr>
              <w:spacing w:after="0"/>
              <w:rPr>
                <w:sz w:val="11"/>
                <w:szCs w:val="11"/>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0.19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1.94</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(0.82)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(0.42)</w:t>
            </w: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(0.07)</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0.08</w:t>
            </w: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(0.73)</w:t>
            </w: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(1.24)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0.60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0.38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Net (decrease) increase in net assets</w:t>
            </w: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0"/>
                <w:szCs w:val="10"/>
                <w:color w:val="auto"/>
              </w:rPr>
              <w:t xml:space="preserve">resulting from operations </w:t>
            </w:r>
            <w:r>
              <w:rPr>
                <w:rFonts w:ascii="Times New Roman" w:cs="Times New Roman" w:eastAsia="Times New Roman" w:hAnsi="Times New Roman"/>
                <w:sz w:val="15"/>
                <w:szCs w:val="15"/>
                <w:color w:val="auto"/>
                <w:vertAlign w:val="superscript"/>
              </w:rPr>
              <w:t>(1)</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(0.24)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0.68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0.87</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0.26</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(0.14)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Distribution of net investment income</w:t>
            </w:r>
          </w:p>
        </w:tc>
        <w:tc>
          <w:tcPr>
            <w:tcW w:w="6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(0.12)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(0.48)</w:t>
            </w:r>
          </w:p>
        </w:tc>
        <w:tc>
          <w:tcPr>
            <w:tcW w:w="4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(0.60)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(0.72)</w:t>
            </w: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(0.72)</w:t>
            </w:r>
          </w:p>
        </w:tc>
        <w:tc>
          <w:tcPr>
            <w:tcW w:w="6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(0.82)</w:t>
            </w: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(0.81)</w:t>
            </w: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(1.11)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(1.15)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(1.12)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(1.13)</w:t>
            </w:r>
          </w:p>
        </w:tc>
        <w:tc>
          <w:tcPr>
            <w:tcW w:w="0" w:type="dxa"/>
            <w:vAlign w:val="bottom"/>
          </w:tcPr>
          <w:p>
            <w:pPr>
              <w:spacing w:after="0"/>
              <w:rPr>
                <w:sz w:val="1"/>
                <w:szCs w:val="1"/>
                <w:color w:val="auto"/>
              </w:rPr>
            </w:pPr>
          </w:p>
        </w:tc>
      </w:tr>
      <w:tr>
        <w:trPr>
          <w:trHeight w:val="122"/>
        </w:trPr>
        <w:tc>
          <w:tcPr>
            <w:tcW w:w="20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Distribution of realized gains</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— </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— </w:t>
            </w: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— </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— </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center"/>
              <w:ind w:left="286"/>
              <w:spacing w:after="0" w:line="122" w:lineRule="exact"/>
              <w:rPr>
                <w:sz w:val="20"/>
                <w:szCs w:val="20"/>
                <w:color w:val="auto"/>
              </w:rPr>
            </w:pPr>
            <w:r>
              <w:rPr>
                <w:rFonts w:ascii="Times New Roman" w:cs="Times New Roman" w:eastAsia="Times New Roman" w:hAnsi="Times New Roman"/>
                <w:sz w:val="11"/>
                <w:szCs w:val="11"/>
                <w:color w:val="auto"/>
                <w:w w:val="84"/>
              </w:rPr>
              <w:t>— </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— </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(0.30)</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line="148" w:lineRule="exact"/>
              <w:rPr>
                <w:sz w:val="20"/>
                <w:szCs w:val="20"/>
                <w:color w:val="auto"/>
              </w:rPr>
            </w:pPr>
            <w:r>
              <w:rPr>
                <w:rFonts w:ascii="Times New Roman" w:cs="Times New Roman" w:eastAsia="Times New Roman" w:hAnsi="Times New Roman"/>
                <w:sz w:val="11"/>
                <w:szCs w:val="11"/>
                <w:color w:val="auto"/>
              </w:rPr>
              <w:t xml:space="preserve">Total distributions to stockholders </w:t>
            </w:r>
            <w:r>
              <w:rPr>
                <w:rFonts w:ascii="Times New Roman" w:cs="Times New Roman" w:eastAsia="Times New Roman" w:hAnsi="Times New Roman"/>
                <w:sz w:val="16"/>
                <w:szCs w:val="16"/>
                <w:color w:val="auto"/>
                <w:vertAlign w:val="superscript"/>
              </w:rPr>
              <w:t>(1),(2)</w:t>
            </w: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(0.12)</w:t>
            </w:r>
          </w:p>
        </w:tc>
        <w:tc>
          <w:tcPr>
            <w:tcW w:w="1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(0.48)</w:t>
            </w:r>
          </w:p>
        </w:tc>
        <w:tc>
          <w:tcPr>
            <w:tcW w:w="2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(0.60)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(0.72)</w:t>
            </w:r>
          </w:p>
        </w:tc>
        <w:tc>
          <w:tcPr>
            <w:tcW w:w="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(0.72)</w:t>
            </w:r>
          </w:p>
        </w:tc>
        <w:tc>
          <w:tcPr>
            <w:tcW w:w="6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(0.82)</w:t>
            </w:r>
          </w:p>
        </w:tc>
        <w:tc>
          <w:tcPr>
            <w:tcW w:w="6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(1.11)</w:t>
            </w:r>
          </w:p>
        </w:tc>
        <w:tc>
          <w:tcPr>
            <w:tcW w:w="6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(1.11)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0"/>
                <w:szCs w:val="10"/>
                <w:color w:val="auto"/>
              </w:rPr>
              <w:t xml:space="preserve">Repurchase of common stock </w:t>
            </w:r>
            <w:r>
              <w:rPr>
                <w:rFonts w:ascii="Times New Roman" w:cs="Times New Roman" w:eastAsia="Times New Roman" w:hAnsi="Times New Roman"/>
                <w:sz w:val="14"/>
                <w:szCs w:val="14"/>
                <w:color w:val="auto"/>
                <w:vertAlign w:val="superscript"/>
              </w:rPr>
              <w:t>(1)</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8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0.05</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0.05</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0.80</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0.04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08"/>
        </w:trPr>
        <w:tc>
          <w:tcPr>
            <w:tcW w:w="20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Accretive (dilutive) effect of common stock</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00" w:type="dxa"/>
            <w:vAlign w:val="bottom"/>
          </w:tcPr>
          <w:p>
            <w:pPr>
              <w:ind w:left="100"/>
              <w:spacing w:after="0" w:line="136" w:lineRule="exact"/>
              <w:rPr>
                <w:sz w:val="20"/>
                <w:szCs w:val="20"/>
                <w:color w:val="auto"/>
              </w:rPr>
            </w:pPr>
            <w:r>
              <w:rPr>
                <w:rFonts w:ascii="Times New Roman" w:cs="Times New Roman" w:eastAsia="Times New Roman" w:hAnsi="Times New Roman"/>
                <w:sz w:val="10"/>
                <w:szCs w:val="10"/>
                <w:color w:val="auto"/>
              </w:rPr>
              <w:t>issuance</w:t>
            </w:r>
            <w:r>
              <w:rPr>
                <w:rFonts w:ascii="Times New Roman" w:cs="Times New Roman" w:eastAsia="Times New Roman" w:hAnsi="Times New Roman"/>
                <w:sz w:val="15"/>
                <w:szCs w:val="15"/>
                <w:color w:val="auto"/>
                <w:vertAlign w:val="superscript"/>
              </w:rPr>
              <w:t>(1)</w:t>
            </w: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left="286"/>
              <w:spacing w:after="0"/>
              <w:rPr>
                <w:sz w:val="20"/>
                <w:szCs w:val="20"/>
                <w:color w:val="auto"/>
              </w:rPr>
            </w:pPr>
            <w:r>
              <w:rPr>
                <w:rFonts w:ascii="Times New Roman" w:cs="Times New Roman" w:eastAsia="Times New Roman" w:hAnsi="Times New Roman"/>
                <w:sz w:val="11"/>
                <w:szCs w:val="11"/>
                <w:color w:val="auto"/>
                <w:w w:val="84"/>
              </w:rPr>
              <w:t>— </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left="286"/>
              <w:spacing w:after="0"/>
              <w:rPr>
                <w:sz w:val="20"/>
                <w:szCs w:val="20"/>
                <w:color w:val="auto"/>
              </w:rPr>
            </w:pPr>
            <w:r>
              <w:rPr>
                <w:rFonts w:ascii="Times New Roman" w:cs="Times New Roman" w:eastAsia="Times New Roman" w:hAnsi="Times New Roman"/>
                <w:sz w:val="11"/>
                <w:szCs w:val="11"/>
                <w:color w:val="auto"/>
                <w:w w:val="84"/>
              </w:rPr>
              <w:t>— </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asset value, end of period</w:t>
            </w:r>
          </w:p>
        </w:tc>
        <w:tc>
          <w:tcPr>
            <w:tcW w:w="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10.11</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9.85</w:t>
            </w: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7.84</w:t>
            </w:r>
          </w:p>
        </w:tc>
        <w:tc>
          <w:tcPr>
            <w:tcW w:w="1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8.68</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9.11</w:t>
            </w:r>
          </w:p>
        </w:tc>
        <w:tc>
          <w:tcPr>
            <w:tcW w:w="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9.10</w:t>
            </w:r>
          </w:p>
        </w:tc>
        <w:tc>
          <w:tcPr>
            <w:tcW w:w="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9.05</w:t>
            </w:r>
          </w:p>
        </w:tc>
        <w:tc>
          <w:tcPr>
            <w:tcW w:w="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9.82</w:t>
            </w:r>
          </w:p>
        </w:tc>
        <w:tc>
          <w:tcPr>
            <w:tcW w:w="1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11.03</w:t>
            </w:r>
          </w:p>
        </w:tc>
        <w:tc>
          <w:tcPr>
            <w:tcW w:w="14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10.49</w:t>
            </w:r>
          </w:p>
        </w:tc>
        <w:tc>
          <w:tcPr>
            <w:tcW w:w="16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10.22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Per share market value, end of period</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00" w:type="dxa"/>
            <w:vAlign w:val="bottom"/>
            <w:vMerge w:val="continue"/>
          </w:tcPr>
          <w:p>
            <w:pPr>
              <w:spacing w:after="0"/>
              <w:rPr>
                <w:sz w:val="10"/>
                <w:szCs w:val="10"/>
                <w:color w:val="auto"/>
              </w:rPr>
            </w:pPr>
          </w:p>
        </w:tc>
        <w:tc>
          <w:tcPr>
            <w:tcW w:w="60" w:type="dxa"/>
            <w:vAlign w:val="bottom"/>
            <w:tcBorders>
              <w:bottom w:val="single" w:sz="8" w:color="auto"/>
            </w:tcBorders>
          </w:tcPr>
          <w:p>
            <w:pPr>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6.93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6.49</w:t>
            </w:r>
          </w:p>
        </w:tc>
        <w:tc>
          <w:tcPr>
            <w:tcW w:w="260" w:type="dxa"/>
            <w:vAlign w:val="bottom"/>
          </w:tcPr>
          <w:p>
            <w:pPr>
              <w:spacing w:after="0"/>
              <w:rPr>
                <w:sz w:val="10"/>
                <w:szCs w:val="10"/>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3.19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6.27</w:t>
            </w:r>
          </w:p>
        </w:tc>
        <w:tc>
          <w:tcPr>
            <w:tcW w:w="26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center"/>
              <w:ind w:left="286"/>
              <w:spacing w:after="0" w:line="116" w:lineRule="exact"/>
              <w:rPr>
                <w:sz w:val="20"/>
                <w:szCs w:val="20"/>
                <w:color w:val="auto"/>
              </w:rPr>
            </w:pPr>
            <w:r>
              <w:rPr>
                <w:rFonts w:ascii="Times New Roman" w:cs="Times New Roman" w:eastAsia="Times New Roman" w:hAnsi="Times New Roman"/>
                <w:sz w:val="11"/>
                <w:szCs w:val="11"/>
                <w:color w:val="auto"/>
                <w:w w:val="93"/>
              </w:rPr>
              <w:t>7.46</w:t>
            </w:r>
          </w:p>
        </w:tc>
        <w:tc>
          <w:tcPr>
            <w:tcW w:w="2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7.51</w:t>
            </w:r>
          </w:p>
        </w:tc>
        <w:tc>
          <w:tcPr>
            <w:tcW w:w="2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center"/>
              <w:ind w:left="286"/>
              <w:spacing w:after="0" w:line="116" w:lineRule="exact"/>
              <w:rPr>
                <w:sz w:val="20"/>
                <w:szCs w:val="20"/>
                <w:color w:val="auto"/>
              </w:rPr>
            </w:pPr>
            <w:r>
              <w:rPr>
                <w:rFonts w:ascii="Times New Roman" w:cs="Times New Roman" w:eastAsia="Times New Roman" w:hAnsi="Times New Roman"/>
                <w:sz w:val="11"/>
                <w:szCs w:val="11"/>
                <w:color w:val="auto"/>
                <w:w w:val="93"/>
              </w:rPr>
              <w:t>7.52</w:t>
            </w:r>
          </w:p>
        </w:tc>
        <w:tc>
          <w:tcPr>
            <w:tcW w:w="2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6.47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10.91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11.28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10.61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9"/>
                <w:szCs w:val="9"/>
                <w:color w:val="auto"/>
              </w:rPr>
              <w:t>Total return</w:t>
            </w:r>
            <w:r>
              <w:rPr>
                <w:rFonts w:ascii="Times New Roman" w:cs="Times New Roman" w:eastAsia="Times New Roman" w:hAnsi="Times New Roman"/>
                <w:sz w:val="13"/>
                <w:szCs w:val="13"/>
                <w:color w:val="auto"/>
                <w:vertAlign w:val="superscript"/>
              </w:rPr>
              <w:t>* (3)</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8.57%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120.98%</w:t>
            </w:r>
          </w:p>
        </w:tc>
        <w:tc>
          <w:tcPr>
            <w:tcW w:w="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(39.62)%</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(6.28)%</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9.70%</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10.80%</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36.64%</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(32.51)%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6.76%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17.37%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28.71%</w:t>
            </w:r>
          </w:p>
        </w:tc>
        <w:tc>
          <w:tcPr>
            <w:tcW w:w="0" w:type="dxa"/>
            <w:vAlign w:val="bottom"/>
          </w:tcPr>
          <w:p>
            <w:pPr>
              <w:spacing w:after="0"/>
              <w:rPr>
                <w:sz w:val="1"/>
                <w:szCs w:val="1"/>
                <w:color w:val="auto"/>
              </w:rPr>
            </w:pPr>
          </w:p>
        </w:tc>
      </w:tr>
      <w:tr>
        <w:trPr>
          <w:trHeight w:val="122"/>
        </w:trPr>
        <w:tc>
          <w:tcPr>
            <w:tcW w:w="2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Shares outstanding at end of period</w:t>
            </w: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67,045,105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67,045,105</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67,045,105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67,045,105</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69,053,958</w:t>
            </w:r>
          </w:p>
        </w:tc>
        <w:tc>
          <w:tcPr>
            <w:tcW w:w="6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71,060,836</w:t>
            </w:r>
          </w:p>
        </w:tc>
        <w:tc>
          <w:tcPr>
            <w:tcW w:w="6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71,060,836</w:t>
            </w:r>
          </w:p>
        </w:tc>
        <w:tc>
          <w:tcPr>
            <w:tcW w:w="6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72,966,043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75,092,911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66,499,327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65,514,503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Ratios** / Supplemental Data:</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Ratio of operating expenses to average net</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100"/>
              <w:spacing w:after="0" w:line="136" w:lineRule="exact"/>
              <w:rPr>
                <w:sz w:val="20"/>
                <w:szCs w:val="20"/>
                <w:color w:val="auto"/>
              </w:rPr>
            </w:pPr>
            <w:r>
              <w:rPr>
                <w:rFonts w:ascii="Times New Roman" w:cs="Times New Roman" w:eastAsia="Times New Roman" w:hAnsi="Times New Roman"/>
                <w:sz w:val="15"/>
                <w:szCs w:val="15"/>
                <w:color w:val="auto"/>
                <w:vertAlign w:val="subscript"/>
              </w:rPr>
              <w:t>assets</w:t>
            </w:r>
            <w:r>
              <w:rPr>
                <w:rFonts w:ascii="Times New Roman" w:cs="Times New Roman" w:eastAsia="Times New Roman" w:hAnsi="Times New Roman"/>
                <w:sz w:val="7"/>
                <w:szCs w:val="7"/>
                <w:color w:val="auto"/>
              </w:rPr>
              <w:t xml:space="preserve"> (4),(6)</w:t>
            </w: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5.40%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3.74%</w:t>
            </w:r>
          </w:p>
        </w:tc>
        <w:tc>
          <w:tcPr>
            <w:tcW w:w="4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4.91%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4.83%</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4.99%</w:t>
            </w:r>
          </w:p>
        </w:tc>
        <w:tc>
          <w:tcPr>
            <w:tcW w:w="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5.78%</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6.65%</w:t>
            </w:r>
          </w:p>
        </w:tc>
        <w:tc>
          <w:tcPr>
            <w:tcW w:w="6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6.81%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6.43%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6.31%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7.11%</w:t>
            </w:r>
          </w:p>
        </w:tc>
        <w:tc>
          <w:tcPr>
            <w:tcW w:w="0" w:type="dxa"/>
            <w:vAlign w:val="bottom"/>
          </w:tcPr>
          <w:p>
            <w:pPr>
              <w:spacing w:after="0"/>
              <w:rPr>
                <w:sz w:val="1"/>
                <w:szCs w:val="1"/>
                <w:color w:val="auto"/>
              </w:rPr>
            </w:pPr>
          </w:p>
        </w:tc>
      </w:tr>
      <w:tr>
        <w:trPr>
          <w:trHeight w:val="108"/>
        </w:trPr>
        <w:tc>
          <w:tcPr>
            <w:tcW w:w="20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Ratio of interest and expenses on debt to</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0"/>
                <w:szCs w:val="10"/>
                <w:color w:val="auto"/>
              </w:rPr>
              <w:t xml:space="preserve">average net assets </w:t>
            </w:r>
            <w:r>
              <w:rPr>
                <w:rFonts w:ascii="Times New Roman" w:cs="Times New Roman" w:eastAsia="Times New Roman" w:hAnsi="Times New Roman"/>
                <w:sz w:val="15"/>
                <w:szCs w:val="15"/>
                <w:color w:val="auto"/>
                <w:vertAlign w:val="superscript"/>
              </w:rPr>
              <w:t>(5)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4.16%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3.73%</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6.22%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6.29%</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3.54%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4.69%</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4.18%</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3.39%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3.83%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2.60%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3.08%</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Ratio of total expenses to average net assets</w:t>
            </w: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9.56%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7.47%</w:t>
            </w:r>
          </w:p>
        </w:tc>
        <w:tc>
          <w:tcPr>
            <w:tcW w:w="4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11.13%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11.12%</w:t>
            </w:r>
          </w:p>
        </w:tc>
        <w:tc>
          <w:tcPr>
            <w:tcW w:w="6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8.53%</w:t>
            </w:r>
          </w:p>
        </w:tc>
        <w:tc>
          <w:tcPr>
            <w:tcW w:w="6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10.47%</w:t>
            </w:r>
          </w:p>
        </w:tc>
        <w:tc>
          <w:tcPr>
            <w:tcW w:w="6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10.83%</w:t>
            </w:r>
          </w:p>
        </w:tc>
        <w:tc>
          <w:tcPr>
            <w:tcW w:w="6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10.20%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10.26%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8.91%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10.19%</w:t>
            </w:r>
          </w:p>
        </w:tc>
        <w:tc>
          <w:tcPr>
            <w:tcW w:w="0" w:type="dxa"/>
            <w:vAlign w:val="bottom"/>
          </w:tcPr>
          <w:p>
            <w:pPr>
              <w:spacing w:after="0"/>
              <w:rPr>
                <w:sz w:val="1"/>
                <w:szCs w:val="1"/>
                <w:color w:val="auto"/>
              </w:rPr>
            </w:pPr>
          </w:p>
        </w:tc>
      </w:tr>
      <w:tr>
        <w:trPr>
          <w:trHeight w:val="94"/>
        </w:trPr>
        <w:tc>
          <w:tcPr>
            <w:tcW w:w="20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(5),(6),(7)</w:t>
            </w: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Ratio of net investment income to average</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0"/>
                <w:szCs w:val="10"/>
                <w:color w:val="auto"/>
              </w:rPr>
              <w:t xml:space="preserve">net assets </w:t>
            </w:r>
            <w:r>
              <w:rPr>
                <w:rFonts w:ascii="Times New Roman" w:cs="Times New Roman" w:eastAsia="Times New Roman" w:hAnsi="Times New Roman"/>
                <w:sz w:val="15"/>
                <w:szCs w:val="15"/>
                <w:color w:val="auto"/>
                <w:vertAlign w:val="superscript"/>
              </w:rPr>
              <w:t>(5)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7.57%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6.04%</w:t>
            </w: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7.01%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7.35%</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8.28%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8.67%</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10.70%</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10.57%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9.55%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9.60%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10.32%</w:t>
            </w:r>
          </w:p>
        </w:tc>
        <w:tc>
          <w:tcPr>
            <w:tcW w:w="0" w:type="dxa"/>
            <w:vAlign w:val="bottom"/>
          </w:tcPr>
          <w:p>
            <w:pPr>
              <w:spacing w:after="0"/>
              <w:rPr>
                <w:sz w:val="1"/>
                <w:szCs w:val="1"/>
                <w:color w:val="auto"/>
              </w:rPr>
            </w:pPr>
          </w:p>
        </w:tc>
      </w:tr>
      <w:tr>
        <w:trPr>
          <w:trHeight w:val="122"/>
        </w:trPr>
        <w:tc>
          <w:tcPr>
            <w:tcW w:w="2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assets at end of period</w:t>
            </w:r>
          </w:p>
        </w:tc>
        <w:tc>
          <w:tcPr>
            <w:tcW w:w="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8"/>
              </w:rPr>
              <w:t>677,609,391</w:t>
            </w:r>
          </w:p>
        </w:tc>
        <w:tc>
          <w:tcPr>
            <w:tcW w:w="160" w:type="dxa"/>
            <w:vAlign w:val="bottom"/>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660,144,107</w:t>
            </w:r>
          </w:p>
        </w:tc>
        <w:tc>
          <w:tcPr>
            <w:tcW w:w="26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w w:val="94"/>
              </w:rPr>
              <w:t>525,708,852</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581,905,668</w:t>
            </w:r>
          </w:p>
        </w:tc>
        <w:tc>
          <w:tcPr>
            <w:tcW w:w="2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w w:val="94"/>
              </w:rPr>
              <w:t>628,901,895</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w w:val="71"/>
              </w:rPr>
              <w:t>$</w:t>
            </w: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w w:val="94"/>
              </w:rPr>
              <w:t>646,808,471</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w w:val="94"/>
              </w:rPr>
              <w:t>643,366,856</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w w:val="71"/>
              </w:rPr>
              <w:t>$</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w w:val="94"/>
              </w:rPr>
              <w:t>716,590,542</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828,009,949</w:t>
            </w:r>
          </w:p>
        </w:tc>
        <w:tc>
          <w:tcPr>
            <w:tcW w:w="140" w:type="dxa"/>
            <w:vAlign w:val="bottom"/>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697,506,199</w:t>
            </w:r>
          </w:p>
        </w:tc>
        <w:tc>
          <w:tcPr>
            <w:tcW w:w="160" w:type="dxa"/>
            <w:vAlign w:val="bottom"/>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669,717,047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9"/>
                <w:szCs w:val="9"/>
                <w:color w:val="auto"/>
              </w:rPr>
              <w:t xml:space="preserve">Weighted average debt outstanding </w:t>
            </w:r>
            <w:r>
              <w:rPr>
                <w:rFonts w:ascii="Times New Roman" w:cs="Times New Roman" w:eastAsia="Times New Roman" w:hAnsi="Times New Roman"/>
                <w:sz w:val="13"/>
                <w:szCs w:val="13"/>
                <w:color w:val="auto"/>
                <w:vertAlign w:val="superscript"/>
              </w:rPr>
              <w:t>(7)</w:t>
            </w: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8"/>
              </w:rPr>
              <w:t>697,267,478</w:t>
            </w:r>
          </w:p>
        </w:tc>
        <w:tc>
          <w:tcPr>
            <w:tcW w:w="16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4"/>
              </w:rPr>
              <w:t>649,665,619</w:t>
            </w: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740" w:type="dxa"/>
            <w:vAlign w:val="bottom"/>
            <w:gridSpan w:val="2"/>
            <w:shd w:val="clear" w:color="auto" w:fill="CCEEFF"/>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w w:val="94"/>
              </w:rPr>
              <w:t>794,641,334</w:t>
            </w:r>
          </w:p>
        </w:tc>
        <w:tc>
          <w:tcPr>
            <w:tcW w:w="1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4"/>
              </w:rPr>
              <w:t>638,424,193</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740" w:type="dxa"/>
            <w:vAlign w:val="bottom"/>
            <w:gridSpan w:val="2"/>
            <w:shd w:val="clear" w:color="auto" w:fill="CCEEFF"/>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w w:val="94"/>
              </w:rPr>
              <w:t>504,963,762</w:t>
            </w:r>
          </w:p>
        </w:tc>
        <w:tc>
          <w:tcPr>
            <w:tcW w:w="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w w:val="71"/>
              </w:rPr>
              <w:t>$</w:t>
            </w:r>
          </w:p>
        </w:tc>
        <w:tc>
          <w:tcPr>
            <w:tcW w:w="76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w w:val="94"/>
              </w:rPr>
              <w:t>605,661,674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740" w:type="dxa"/>
            <w:vAlign w:val="bottom"/>
            <w:gridSpan w:val="2"/>
            <w:shd w:val="clear" w:color="auto" w:fill="CCEEFF"/>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w w:val="94"/>
              </w:rPr>
              <w:t>634,769,508</w:t>
            </w:r>
          </w:p>
        </w:tc>
        <w:tc>
          <w:tcPr>
            <w:tcW w:w="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w w:val="71"/>
              </w:rPr>
              <w:t>$</w:t>
            </w:r>
          </w:p>
        </w:tc>
        <w:tc>
          <w:tcPr>
            <w:tcW w:w="740" w:type="dxa"/>
            <w:vAlign w:val="bottom"/>
            <w:gridSpan w:val="2"/>
            <w:shd w:val="clear" w:color="auto" w:fill="CCEEFF"/>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w w:val="94"/>
              </w:rPr>
              <w:t>580,367,750</w:t>
            </w:r>
          </w:p>
        </w:tc>
        <w:tc>
          <w:tcPr>
            <w:tcW w:w="1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4"/>
              </w:rPr>
              <w:t>526,252,068</w:t>
            </w:r>
          </w:p>
        </w:tc>
        <w:tc>
          <w:tcPr>
            <w:tcW w:w="14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4"/>
              </w:rPr>
              <w:t>363,246,849</w:t>
            </w:r>
          </w:p>
        </w:tc>
        <w:tc>
          <w:tcPr>
            <w:tcW w:w="16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u w:val="single" w:color="auto"/>
                <w:color w:val="auto"/>
              </w:rPr>
              <w:t>$</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4"/>
              </w:rPr>
              <w:t>340,868,033</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00" w:type="dxa"/>
            <w:vAlign w:val="bottom"/>
          </w:tcPr>
          <w:p>
            <w:pPr>
              <w:spacing w:after="0" w:line="129" w:lineRule="exact"/>
              <w:rPr>
                <w:sz w:val="20"/>
                <w:szCs w:val="20"/>
                <w:color w:val="auto"/>
              </w:rPr>
            </w:pPr>
            <w:r>
              <w:rPr>
                <w:rFonts w:ascii="Times New Roman" w:cs="Times New Roman" w:eastAsia="Times New Roman" w:hAnsi="Times New Roman"/>
                <w:sz w:val="10"/>
                <w:szCs w:val="10"/>
                <w:color w:val="auto"/>
              </w:rPr>
              <w:t xml:space="preserve">Weighted average debt per share </w:t>
            </w:r>
            <w:r>
              <w:rPr>
                <w:rFonts w:ascii="Times New Roman" w:cs="Times New Roman" w:eastAsia="Times New Roman" w:hAnsi="Times New Roman"/>
                <w:sz w:val="14"/>
                <w:szCs w:val="14"/>
                <w:color w:val="auto"/>
                <w:vertAlign w:val="superscript"/>
              </w:rPr>
              <w:t>(1),(7)</w:t>
            </w: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260" w:type="dxa"/>
            <w:vAlign w:val="bottom"/>
          </w:tcPr>
          <w:p>
            <w:pPr>
              <w:spacing w:after="0"/>
              <w:rPr>
                <w:sz w:val="11"/>
                <w:szCs w:val="11"/>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11.85</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2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center"/>
              <w:ind w:left="286"/>
              <w:spacing w:after="0"/>
              <w:rPr>
                <w:sz w:val="20"/>
                <w:szCs w:val="20"/>
                <w:color w:val="auto"/>
              </w:rPr>
            </w:pPr>
            <w:r>
              <w:rPr>
                <w:rFonts w:ascii="Times New Roman" w:cs="Times New Roman" w:eastAsia="Times New Roman" w:hAnsi="Times New Roman"/>
                <w:sz w:val="11"/>
                <w:szCs w:val="11"/>
                <w:color w:val="auto"/>
                <w:w w:val="93"/>
              </w:rPr>
              <w:t>7.14</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center"/>
              <w:ind w:left="286"/>
              <w:spacing w:after="0"/>
              <w:rPr>
                <w:sz w:val="20"/>
                <w:szCs w:val="20"/>
                <w:color w:val="auto"/>
              </w:rPr>
            </w:pPr>
            <w:r>
              <w:rPr>
                <w:rFonts w:ascii="Times New Roman" w:cs="Times New Roman" w:eastAsia="Times New Roman" w:hAnsi="Times New Roman"/>
                <w:sz w:val="11"/>
                <w:szCs w:val="11"/>
                <w:color w:val="auto"/>
                <w:w w:val="93"/>
              </w:rPr>
              <w:t>8.86</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7.76</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0"/>
                <w:szCs w:val="10"/>
                <w:color w:val="auto"/>
              </w:rPr>
              <w:t xml:space="preserve">Asset coverage per unit </w:t>
            </w:r>
            <w:r>
              <w:rPr>
                <w:rFonts w:ascii="Times New Roman" w:cs="Times New Roman" w:eastAsia="Times New Roman" w:hAnsi="Times New Roman"/>
                <w:sz w:val="15"/>
                <w:szCs w:val="15"/>
                <w:color w:val="auto"/>
                <w:vertAlign w:val="superscript"/>
              </w:rPr>
              <w:t>(8)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1,902</w:t>
            </w:r>
          </w:p>
        </w:tc>
        <w:tc>
          <w:tcPr>
            <w:tcW w:w="16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2,208</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2,078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2,066</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2,919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2,998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2,794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2,586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3,215</w:t>
            </w:r>
          </w:p>
        </w:tc>
        <w:tc>
          <w:tcPr>
            <w:tcW w:w="1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4,205</w:t>
            </w:r>
          </w:p>
        </w:tc>
        <w:tc>
          <w:tcPr>
            <w:tcW w:w="16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Average market value per unit</w:t>
            </w:r>
          </w:p>
        </w:tc>
        <w:tc>
          <w:tcPr>
            <w:tcW w:w="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0"/>
                <w:szCs w:val="10"/>
                <w:color w:val="auto"/>
              </w:rPr>
              <w:t>25.13</w:t>
            </w:r>
            <w:r>
              <w:rPr>
                <w:rFonts w:ascii="Times New Roman" w:cs="Times New Roman" w:eastAsia="Times New Roman" w:hAnsi="Times New Roman"/>
                <w:sz w:val="14"/>
                <w:szCs w:val="14"/>
                <w:color w:val="auto"/>
                <w:vertAlign w:val="superscript"/>
              </w:rPr>
              <w:t>(10)</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0"/>
                <w:szCs w:val="10"/>
                <w:color w:val="auto"/>
              </w:rPr>
              <w:t>23.47</w:t>
            </w:r>
            <w:r>
              <w:rPr>
                <w:rFonts w:ascii="Times New Roman" w:cs="Times New Roman" w:eastAsia="Times New Roman" w:hAnsi="Times New Roman"/>
                <w:sz w:val="14"/>
                <w:szCs w:val="14"/>
                <w:color w:val="auto"/>
                <w:vertAlign w:val="superscript"/>
              </w:rPr>
              <w:t>(10)</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0"/>
                <w:szCs w:val="10"/>
                <w:color w:val="auto"/>
              </w:rPr>
              <w:t>24.87</w:t>
            </w:r>
            <w:r>
              <w:rPr>
                <w:rFonts w:ascii="Times New Roman" w:cs="Times New Roman" w:eastAsia="Times New Roman" w:hAnsi="Times New Roman"/>
                <w:sz w:val="14"/>
                <w:szCs w:val="14"/>
                <w:color w:val="auto"/>
                <w:vertAlign w:val="superscript"/>
              </w:rPr>
              <w:t>(10)</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0"/>
                <w:szCs w:val="10"/>
                <w:color w:val="auto"/>
              </w:rPr>
              <w:t>24.68</w:t>
            </w:r>
            <w:r>
              <w:rPr>
                <w:rFonts w:ascii="Times New Roman" w:cs="Times New Roman" w:eastAsia="Times New Roman" w:hAnsi="Times New Roman"/>
                <w:sz w:val="14"/>
                <w:szCs w:val="14"/>
                <w:color w:val="auto"/>
                <w:vertAlign w:val="superscript"/>
              </w:rPr>
              <w:t>(9)</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0"/>
                <w:szCs w:val="10"/>
                <w:color w:val="auto"/>
              </w:rPr>
              <w:t>25.13</w:t>
            </w:r>
            <w:r>
              <w:rPr>
                <w:rFonts w:ascii="Times New Roman" w:cs="Times New Roman" w:eastAsia="Times New Roman" w:hAnsi="Times New Roman"/>
                <w:sz w:val="14"/>
                <w:szCs w:val="14"/>
                <w:color w:val="auto"/>
                <w:vertAlign w:val="superscript"/>
              </w:rPr>
              <w:t>(9)</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0"/>
                <w:szCs w:val="10"/>
                <w:color w:val="auto"/>
              </w:rPr>
              <w:t>24.51</w:t>
            </w:r>
            <w:r>
              <w:rPr>
                <w:rFonts w:ascii="Times New Roman" w:cs="Times New Roman" w:eastAsia="Times New Roman" w:hAnsi="Times New Roman"/>
                <w:sz w:val="14"/>
                <w:szCs w:val="14"/>
                <w:color w:val="auto"/>
                <w:vertAlign w:val="superscript"/>
              </w:rPr>
              <w:t>(9)</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0"/>
                <w:szCs w:val="10"/>
                <w:color w:val="auto"/>
              </w:rPr>
              <w:t>24.79</w:t>
            </w:r>
            <w:r>
              <w:rPr>
                <w:rFonts w:ascii="Times New Roman" w:cs="Times New Roman" w:eastAsia="Times New Roman" w:hAnsi="Times New Roman"/>
                <w:sz w:val="14"/>
                <w:szCs w:val="14"/>
                <w:color w:val="auto"/>
                <w:vertAlign w:val="superscript"/>
              </w:rPr>
              <w:t>(9)</w:t>
            </w:r>
          </w:p>
        </w:tc>
        <w:tc>
          <w:tcPr>
            <w:tcW w:w="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21"/>
        </w:trPr>
        <w:tc>
          <w:tcPr>
            <w:tcW w:w="20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Portfolio turnover ratio</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9.73%</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37.74%</w:t>
            </w:r>
          </w:p>
        </w:tc>
        <w:tc>
          <w:tcPr>
            <w:tcW w:w="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12.74%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35.44%</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56.51%</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43.60%</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26.50%</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30.17%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50.66%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40.91%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22.81%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 w:right="8400" w:hanging="4"/>
        <w:spacing w:after="0" w:line="246" w:lineRule="auto"/>
        <w:tabs>
          <w:tab w:leader="none" w:pos="3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annualized for periods less than one year, ** Annualized for periods less than one year.</w:t>
      </w:r>
    </w:p>
    <w:p>
      <w:pPr>
        <w:ind w:left="324" w:hanging="324"/>
        <w:spacing w:after="0" w:line="218" w:lineRule="auto"/>
        <w:tabs>
          <w:tab w:leader="none" w:pos="324"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the weighted average shares outstanding for the respective periods.</w:t>
      </w:r>
    </w:p>
    <w:p>
      <w:pPr>
        <w:ind w:left="324" w:hanging="324"/>
        <w:spacing w:after="0" w:line="216" w:lineRule="auto"/>
        <w:tabs>
          <w:tab w:leader="none" w:pos="324"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 status of distributions is calculated in accordance with income tax regulations, which may differ from amounts determined under GAAP, and reported on Form 1099-DIV each calendar year.</w:t>
      </w:r>
    </w:p>
    <w:p>
      <w:pPr>
        <w:ind w:left="324" w:hanging="324"/>
        <w:spacing w:after="0" w:line="216" w:lineRule="auto"/>
        <w:tabs>
          <w:tab w:leader="none" w:pos="324"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the change in market price per share during the period and assumes distributions, if any, are reinvested.</w:t>
      </w:r>
    </w:p>
    <w:p>
      <w:pPr>
        <w:ind w:left="324" w:hanging="324"/>
        <w:spacing w:after="0" w:line="216" w:lineRule="auto"/>
        <w:tabs>
          <w:tab w:leader="none" w:pos="324"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debt related costs.</w:t>
      </w:r>
    </w:p>
    <w:p>
      <w:pPr>
        <w:ind w:left="324" w:hanging="324"/>
        <w:spacing w:after="0" w:line="216" w:lineRule="auto"/>
        <w:tabs>
          <w:tab w:leader="none" w:pos="324"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interest and expenses on debt (annualized) as well as Credit Facility amendment and debt issuance costs, if any (not annualized).</w:t>
      </w:r>
    </w:p>
    <w:p>
      <w:pPr>
        <w:jc w:val="both"/>
        <w:ind w:left="324" w:right="120" w:hanging="324"/>
        <w:spacing w:after="0" w:line="216" w:lineRule="auto"/>
        <w:tabs>
          <w:tab w:leader="none" w:pos="324"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years ended September 30, 2020, 2019, 2018, 2017 and 2016, the ratio of operating expenses to average net assets before the waiver of certain Management Fees to average net assets was 4.65%, 5.26%, 5.21%, 6.65% and 7.64%, respectively, and the ratio of total expenses to average net assets before the waiver of certain Management Fees to average net assets was 9.12%, 11.48%, 8.75%, 11.33% and 11.82%, respectively.</w:t>
      </w:r>
    </w:p>
    <w:p>
      <w:pPr>
        <w:spacing w:after="0" w:line="1" w:lineRule="exact"/>
        <w:rPr>
          <w:rFonts w:ascii="Times New Roman" w:cs="Times New Roman" w:eastAsia="Times New Roman" w:hAnsi="Times New Roman"/>
          <w:sz w:val="13"/>
          <w:szCs w:val="13"/>
          <w:color w:val="auto"/>
        </w:rPr>
      </w:pPr>
    </w:p>
    <w:p>
      <w:pPr>
        <w:ind w:left="324" w:hanging="324"/>
        <w:spacing w:after="0"/>
        <w:tabs>
          <w:tab w:leader="none" w:pos="324"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SBA debentures outstanding.</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93" w:right="439" w:bottom="1440" w:gutter="0" w:footer="0" w:header="0"/>
        </w:sectPr>
      </w:pPr>
    </w:p>
    <w:bookmarkStart w:id="29" w:name="page30"/>
    <w:bookmarkEnd w:id="29"/>
    <w:p>
      <w:pPr>
        <w:ind w:left="324" w:hanging="324"/>
        <w:spacing w:after="0" w:line="224" w:lineRule="auto"/>
        <w:tabs>
          <w:tab w:leader="none" w:pos="324"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ind w:left="324" w:hanging="324"/>
        <w:spacing w:after="0" w:line="216" w:lineRule="auto"/>
        <w:tabs>
          <w:tab w:leader="none" w:pos="324"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market value per unit is derived based on the monthly average closing price of the 2025 Notes trading on NYSE under the symbol “PNTA,” which were issued in increments of $25 per unit. On June 29, 2017, the 2025 Notes were redeemed in full and no amounts were outstanding as of December 31, 2021 or September 30, 2021, 2020, 2019, 2018 or 2017.</w:t>
      </w:r>
    </w:p>
    <w:p>
      <w:pPr>
        <w:ind w:left="324" w:right="80" w:hanging="324"/>
        <w:spacing w:after="0" w:line="228" w:lineRule="auto"/>
        <w:tabs>
          <w:tab w:leader="none" w:pos="324"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market value per unit in is derived based on the daily closing price of the 2024 Notes trading on The Nasdaq Global Select Market under the symbol “PNNTG,” which were issued in increments of $25 per unit and commenced trading on September 30, 2019. On November 13, 2021, the 2024 Notes were redeemed in full and no amounts were outstanding as of December 31, 2021.</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4"/>
          </w:cols>
          <w:pgMar w:left="436" w:top="297" w:right="5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RISK FACTORS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Form 10-K for the fiscal year ended September 30, 2021, filed on November 17, 2021, and our Quarterly Report on Form 10-Q for the fiscal quarter ended December 31, 2021 filed on February 9, 2022,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net asset value and market price of our common stock could decline or the value of our preferred stock, warrants, subscription rights, debt securities or units may decline, and investors may lose all or part of their investment. Please also read carefully the section titled “Forward-Looking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93" w:right="4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FORWARD-LOOKING STATEMENTS</w:t>
      </w:r>
    </w:p>
    <w:p>
      <w:pPr>
        <w:spacing w:after="0" w:line="22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93"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 including as a result of the current pandemic caused by COVID-19 or any worsening thereof;</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worsening thereof;</w:t>
      </w:r>
    </w:p>
    <w:p>
      <w:pPr>
        <w:spacing w:after="0" w:line="81"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effectively manage our business due to the significant disruptions caused by the current COVID-19 pandemic or any worsening thereof;</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United Kingdom’s withdrawal from the European Union and other world economic and political issues.</w:t>
      </w:r>
    </w:p>
    <w:p>
      <w:pPr>
        <w:spacing w:after="0" w:line="225" w:lineRule="exact"/>
        <w:rPr>
          <w:sz w:val="20"/>
          <w:szCs w:val="20"/>
          <w:color w:val="auto"/>
        </w:rPr>
      </w:pPr>
    </w:p>
    <w:p>
      <w:pPr>
        <w:ind w:right="220" w:firstLine="440"/>
        <w:spacing w:after="0" w:line="289" w:lineRule="auto"/>
        <w:rPr>
          <w:sz w:val="20"/>
          <w:szCs w:val="20"/>
          <w:color w:val="auto"/>
        </w:rPr>
      </w:pPr>
      <w:r>
        <w:rPr>
          <w:rFonts w:ascii="Times New Roman" w:cs="Times New Roman" w:eastAsia="Times New Roman" w:hAnsi="Times New Roman"/>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93" w:right="479" w:bottom="1440" w:gutter="0" w:footer="0" w:header="0"/>
        </w:sectPr>
      </w:pPr>
    </w:p>
    <w:bookmarkStart w:id="32" w:name="page33"/>
    <w:bookmarkEnd w:id="32"/>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8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You should understand that, under Section 27A(b)(2)(B) of the Securities Act of 1933, as amended, or the Securities Act, and Section 21E(b)(2)</w:t>
      </w:r>
    </w:p>
    <w:p>
      <w:pPr>
        <w:spacing w:after="0" w:line="27" w:lineRule="exact"/>
        <w:rPr>
          <w:sz w:val="20"/>
          <w:szCs w:val="20"/>
          <w:color w:val="auto"/>
        </w:rPr>
      </w:pPr>
    </w:p>
    <w:p>
      <w:pPr>
        <w:ind w:left="4" w:right="640" w:hanging="4"/>
        <w:spacing w:after="0" w:line="290" w:lineRule="auto"/>
        <w:tabs>
          <w:tab w:leader="none" w:pos="28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97" w:right="499" w:bottom="1440" w:gutter="0" w:footer="0" w:header="0"/>
        </w:sectPr>
      </w:pPr>
    </w:p>
    <w:bookmarkStart w:id="33" w:name="page34"/>
    <w:bookmarkEnd w:id="3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USE OF PROCEEDS</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40" w:top="293" w:right="559" w:bottom="1440" w:gutter="0" w:footer="0" w:header="0"/>
        </w:sectPr>
      </w:pPr>
    </w:p>
    <w:bookmarkStart w:id="34" w:name="page35"/>
    <w:bookmarkEnd w:id="3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SENIOR SECURITIES</w:t>
      </w:r>
    </w:p>
    <w:p>
      <w:pPr>
        <w:spacing w:after="0" w:line="229"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December 31, 2021 (unaudited) and September 30, 2021, 2020, 2019, 2018, 2017, 2016, 2015, 2014, 2013, and 2012. Information as of our September 30th fiscal year end, is from our Consolidated Financial Statements, which have been audited by an independent registered public accounting firm for those periods, and the report of RSM US, LLP, an independent registered public accounting firm, on our senior securities table as of September 30, 2021 is attached as an exhibit to the registration statement of which this prospectus is a part.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Class and Year</w:t>
            </w:r>
          </w:p>
        </w:tc>
        <w:tc>
          <w:tcPr>
            <w:tcW w:w="4400" w:type="dxa"/>
            <w:vAlign w:val="bottom"/>
            <w:vMerge w:val="restart"/>
          </w:tcPr>
          <w:p>
            <w:pPr>
              <w:spacing w:after="0"/>
              <w:rPr>
                <w:sz w:val="12"/>
                <w:szCs w:val="12"/>
                <w:color w:val="auto"/>
              </w:rPr>
            </w:pPr>
          </w:p>
        </w:tc>
        <w:tc>
          <w:tcPr>
            <w:tcW w:w="16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3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2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r>
              <w:rPr>
                <w:rFonts w:ascii="Times New Roman" w:cs="Times New Roman" w:eastAsia="Times New Roman" w:hAnsi="Times New Roman"/>
                <w:sz w:val="10"/>
                <w:szCs w:val="10"/>
                <w:b w:val="1"/>
                <w:bCs w:val="1"/>
                <w:color w:val="auto"/>
              </w:rPr>
              <w:t>(1)</w:t>
            </w:r>
          </w:p>
        </w:tc>
        <w:tc>
          <w:tcPr>
            <w:tcW w:w="320" w:type="dxa"/>
            <w:vAlign w:val="bottom"/>
          </w:tcPr>
          <w:p>
            <w:pPr>
              <w:spacing w:after="0"/>
              <w:rPr>
                <w:sz w:val="15"/>
                <w:szCs w:val="15"/>
                <w:color w:val="auto"/>
              </w:rPr>
            </w:pPr>
          </w:p>
        </w:tc>
        <w:tc>
          <w:tcPr>
            <w:tcW w:w="1100" w:type="dxa"/>
            <w:vAlign w:val="bottom"/>
            <w:gridSpan w:val="3"/>
          </w:tcPr>
          <w:p>
            <w:pP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per Unit</w:t>
            </w:r>
            <w:r>
              <w:rPr>
                <w:rFonts w:ascii="Times New Roman" w:cs="Times New Roman" w:eastAsia="Times New Roman" w:hAnsi="Times New Roman"/>
                <w:sz w:val="9"/>
                <w:szCs w:val="9"/>
                <w:b w:val="1"/>
                <w:bCs w:val="1"/>
                <w:color w:val="auto"/>
              </w:rPr>
              <w:t>(2),(3)</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190"/>
        </w:trPr>
        <w:tc>
          <w:tcPr>
            <w:tcW w:w="53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Truist Credit Facility</w:t>
            </w:r>
          </w:p>
        </w:tc>
        <w:tc>
          <w:tcPr>
            <w:tcW w:w="16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2022 (As of December 31, 2021, unaudited)</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445,224</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86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316,545</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388,252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86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301,636</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80,520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2017</w:t>
            </w:r>
          </w:p>
        </w:tc>
        <w:tc>
          <w:tcPr>
            <w:tcW w:w="186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79,393</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2016</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50,340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2015</w:t>
            </w:r>
          </w:p>
        </w:tc>
        <w:tc>
          <w:tcPr>
            <w:tcW w:w="186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136,864</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2014</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55,226</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2013</w:t>
            </w:r>
          </w:p>
        </w:tc>
        <w:tc>
          <w:tcPr>
            <w:tcW w:w="186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145,500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2012</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BNP Credit Facility</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2019 Notes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2017</w:t>
            </w:r>
          </w:p>
        </w:tc>
        <w:tc>
          <w:tcPr>
            <w:tcW w:w="186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2016</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2015</w:t>
            </w:r>
          </w:p>
        </w:tc>
        <w:tc>
          <w:tcPr>
            <w:tcW w:w="186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2014</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 Notes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86,250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2,208</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7"/>
                <w:szCs w:val="17"/>
                <w:color w:val="auto"/>
              </w:rPr>
              <w:t>25.14</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86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86,250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2,078</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7"/>
                <w:szCs w:val="17"/>
                <w:color w:val="auto"/>
              </w:rPr>
              <w:t>23.47</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2,066</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7"/>
                <w:szCs w:val="17"/>
                <w:color w:val="auto"/>
              </w:rPr>
              <w:t>24.87</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2016</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71,250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2,794</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7"/>
                <w:szCs w:val="17"/>
                <w:color w:val="auto"/>
              </w:rPr>
              <w:t>24.68</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2015</w:t>
            </w:r>
          </w:p>
        </w:tc>
        <w:tc>
          <w:tcPr>
            <w:tcW w:w="186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71,250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2,586</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7"/>
                <w:szCs w:val="17"/>
                <w:color w:val="auto"/>
              </w:rPr>
              <w:t>25.13</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2014</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71,250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3,215</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7"/>
                <w:szCs w:val="17"/>
                <w:color w:val="auto"/>
              </w:rPr>
              <w:t>24.51</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2013</w:t>
            </w:r>
          </w:p>
        </w:tc>
        <w:tc>
          <w:tcPr>
            <w:tcW w:w="186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71,250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4,205</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7"/>
                <w:szCs w:val="17"/>
                <w:color w:val="auto"/>
              </w:rPr>
              <w:t>24.79</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 (As of December 31, 2021, unaudited)</w:t>
            </w:r>
          </w:p>
        </w:tc>
        <w:tc>
          <w:tcPr>
            <w:tcW w:w="186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150,000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2026-2 Notes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2022 (As of December 31, 2021, unaudited)</w:t>
            </w:r>
          </w:p>
        </w:tc>
        <w:tc>
          <w:tcPr>
            <w:tcW w:w="18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1,902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each class of senior securities outstanding at the end of the period presented in thousands (000s).</w:t>
      </w:r>
    </w:p>
    <w:p>
      <w:pPr>
        <w:spacing w:after="0" w:line="27" w:lineRule="exact"/>
        <w:rPr>
          <w:rFonts w:ascii="Times New Roman" w:cs="Times New Roman" w:eastAsia="Times New Roman" w:hAnsi="Times New Roman"/>
          <w:sz w:val="18"/>
          <w:szCs w:val="18"/>
          <w:color w:val="auto"/>
        </w:rPr>
      </w:pPr>
    </w:p>
    <w:p>
      <w:pPr>
        <w:ind w:left="424" w:right="260" w:hanging="424"/>
        <w:spacing w:after="0" w:line="250"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Times New Roman" w:cs="Times New Roman" w:eastAsia="Times New Roman" w:hAnsi="Times New Roman"/>
          <w:sz w:val="18"/>
          <w:szCs w:val="18"/>
          <w:color w:val="auto"/>
        </w:rPr>
      </w:pPr>
    </w:p>
    <w:p>
      <w:pPr>
        <w:ind w:left="424" w:right="380" w:hanging="424"/>
        <w:spacing w:after="0" w:line="250"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exclude SBA debentures from our total amount outstanding and asset coverage per unit computation pursuant to an exemptive relief letter provided by the SEC in June 2011.</w:t>
      </w:r>
    </w:p>
    <w:p>
      <w:pPr>
        <w:ind w:left="424" w:right="120" w:hanging="424"/>
        <w:spacing w:after="0" w:line="250"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market value per unit is derived based on the daily closing price of the 2024 Notes which were traded on The Nasdaq Global Select Market under the symbol “PNNTG” prior to their redemption. The 2024 Notes were issued in increments of $25 per unit and commenced trading on September 30, 2019. On November 13, 2021, the 2024 Notes were redeemed in full.</w:t>
      </w:r>
    </w:p>
    <w:p>
      <w:pPr>
        <w:spacing w:after="0" w:line="1" w:lineRule="exact"/>
        <w:rPr>
          <w:rFonts w:ascii="Times New Roman" w:cs="Times New Roman" w:eastAsia="Times New Roman" w:hAnsi="Times New Roman"/>
          <w:sz w:val="18"/>
          <w:szCs w:val="18"/>
          <w:color w:val="auto"/>
        </w:rPr>
      </w:pPr>
    </w:p>
    <w:p>
      <w:pPr>
        <w:ind w:left="424" w:right="200" w:hanging="424"/>
        <w:spacing w:after="0" w:line="255"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93" w:right="439" w:bottom="1440" w:gutter="0" w:footer="0" w:header="0"/>
        </w:sectPr>
      </w:pPr>
    </w:p>
    <w:bookmarkStart w:id="35" w:name="page36"/>
    <w:bookmarkEnd w:id="3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PRICE RANGE OF COMMON STOCK</w:t>
      </w:r>
    </w:p>
    <w:p>
      <w:pPr>
        <w:spacing w:after="0" w:line="229"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“PNNT.” Prior to April 14, 2022, our common stock was traded on The Nasdaq Global Select Market under the same symbol. The following table lists the high and low closing sale prices for our common stock, the closing sale prices as a premium or (discount) to our NAV and quarterly distributions per share since October 1, 2019. On April 19, 2022, the last reported closing price of our common stock was $7.95 per share.</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4"/>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Closing Sales Price</w:t>
            </w:r>
          </w:p>
        </w:tc>
        <w:tc>
          <w:tcPr>
            <w:tcW w:w="420" w:type="dxa"/>
            <w:vAlign w:val="bottom"/>
            <w:vMerge w:val="restart"/>
          </w:tcPr>
          <w:p>
            <w:pPr>
              <w:spacing w:after="0"/>
              <w:rPr>
                <w:sz w:val="13"/>
                <w:szCs w:val="13"/>
                <w:color w:val="auto"/>
              </w:rPr>
            </w:pP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Premium (Discount)</w:t>
            </w: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Premium (Discount)</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20" w:type="dxa"/>
            <w:vAlign w:val="bottom"/>
          </w:tcPr>
          <w:p>
            <w:pPr>
              <w:spacing w:after="0"/>
              <w:rPr>
                <w:sz w:val="6"/>
                <w:szCs w:val="6"/>
                <w:color w:val="auto"/>
              </w:rPr>
            </w:pPr>
          </w:p>
        </w:tc>
        <w:tc>
          <w:tcPr>
            <w:tcW w:w="3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Borders>
              <w:bottom w:val="single" w:sz="8" w:color="auto"/>
            </w:tcBorders>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820" w:type="dxa"/>
            <w:vAlign w:val="bottom"/>
            <w:gridSpan w:val="2"/>
            <w:vMerge w:val="restart"/>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of High Sales</w:t>
            </w:r>
          </w:p>
        </w:tc>
        <w:tc>
          <w:tcPr>
            <w:tcW w:w="1820" w:type="dxa"/>
            <w:vAlign w:val="bottom"/>
            <w:gridSpan w:val="2"/>
            <w:vMerge w:val="restart"/>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of Low Sales</w:t>
            </w:r>
          </w:p>
        </w:tc>
        <w:tc>
          <w:tcPr>
            <w:tcW w:w="880" w:type="dxa"/>
            <w:vAlign w:val="bottom"/>
            <w:gridSpan w:val="3"/>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0" w:type="dxa"/>
            <w:vAlign w:val="bottom"/>
          </w:tcPr>
          <w:p>
            <w:pPr>
              <w:spacing w:after="0"/>
              <w:rPr>
                <w:sz w:val="1"/>
                <w:szCs w:val="1"/>
                <w:color w:val="auto"/>
              </w:rPr>
            </w:pPr>
          </w:p>
        </w:tc>
      </w:tr>
      <w:tr>
        <w:trPr>
          <w:trHeight w:val="50"/>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280" w:type="dxa"/>
            <w:vAlign w:val="bottom"/>
            <w:vMerge w:val="restart"/>
          </w:tcPr>
          <w:p>
            <w:pPr>
              <w:spacing w:after="0"/>
              <w:rPr>
                <w:sz w:val="4"/>
                <w:szCs w:val="4"/>
                <w:color w:val="auto"/>
              </w:rPr>
            </w:pPr>
          </w:p>
        </w:tc>
        <w:tc>
          <w:tcPr>
            <w:tcW w:w="720" w:type="dxa"/>
            <w:vAlign w:val="bottom"/>
            <w:gridSpan w:val="2"/>
            <w:vMerge w:val="restart"/>
          </w:tcPr>
          <w:p>
            <w:pPr>
              <w:ind w:left="4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NAV</w:t>
            </w: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4"/>
                <w:szCs w:val="4"/>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4"/>
                <w:szCs w:val="4"/>
                <w:color w:val="auto"/>
              </w:rPr>
            </w:pPr>
          </w:p>
        </w:tc>
        <w:tc>
          <w:tcPr>
            <w:tcW w:w="9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820" w:type="dxa"/>
            <w:vAlign w:val="bottom"/>
            <w:gridSpan w:val="2"/>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2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Price to NAV</w:t>
            </w:r>
            <w:r>
              <w:rPr>
                <w:rFonts w:ascii="Times New Roman" w:cs="Times New Roman" w:eastAsia="Times New Roman" w:hAnsi="Times New Roman"/>
                <w:sz w:val="10"/>
                <w:szCs w:val="10"/>
                <w:b w:val="1"/>
                <w:bCs w:val="1"/>
                <w:color w:val="auto"/>
              </w:rPr>
              <w:t>(2)</w:t>
            </w:r>
          </w:p>
        </w:tc>
        <w:tc>
          <w:tcPr>
            <w:tcW w:w="182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Price to NAV</w:t>
            </w: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15"/>
                <w:szCs w:val="15"/>
                <w:color w:val="auto"/>
              </w:rPr>
            </w:pPr>
          </w:p>
        </w:tc>
        <w:tc>
          <w:tcPr>
            <w:tcW w:w="7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89"/>
        </w:trPr>
        <w:tc>
          <w:tcPr>
            <w:tcW w:w="37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 Ended September 30, 2022</w:t>
            </w: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 (as of April 19, 2022</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N/A</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$ 7.95</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7.65</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N/A%</w:t>
            </w:r>
          </w:p>
        </w:tc>
        <w:tc>
          <w:tcPr>
            <w:tcW w:w="1820" w:type="dxa"/>
            <w:vAlign w:val="bottom"/>
            <w:gridSpan w:val="2"/>
          </w:tcPr>
          <w:p>
            <w:pPr>
              <w:jc w:val="center"/>
              <w:ind w:left="474"/>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7.85</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6.66</w:t>
            </w:r>
          </w:p>
        </w:tc>
        <w:tc>
          <w:tcPr>
            <w:tcW w:w="18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N/A</w:t>
            </w:r>
          </w:p>
        </w:tc>
        <w:tc>
          <w:tcPr>
            <w:tcW w:w="18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10.11</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7.18</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6.49</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(29)</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2021</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6.88</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6.28</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(30)</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5.74</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(23)</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6.21</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4.49</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(33)</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4.62</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2.85</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(47)</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7.84</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3.01</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(52)</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4.19</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2.32</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(46)</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6.70</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1.95</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(13)</w:t>
            </w:r>
          </w:p>
        </w:tc>
        <w:tc>
          <w:tcPr>
            <w:tcW w:w="1820" w:type="dxa"/>
            <w:vAlign w:val="bottom"/>
            <w:gridSpan w:val="2"/>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(75)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8.79</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6.84</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5.92</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(22)</w:t>
            </w:r>
          </w:p>
        </w:tc>
        <w:tc>
          <w:tcPr>
            <w:tcW w:w="1820" w:type="dxa"/>
            <w:vAlign w:val="bottom"/>
            <w:gridSpan w:val="2"/>
          </w:tcPr>
          <w:p>
            <w:pPr>
              <w:jc w:val="center"/>
              <w:ind w:left="434"/>
              <w:spacing w:after="0"/>
              <w:rPr>
                <w:sz w:val="20"/>
                <w:szCs w:val="20"/>
                <w:color w:val="auto"/>
              </w:rPr>
            </w:pPr>
            <w:r>
              <w:rPr>
                <w:rFonts w:ascii="Times New Roman" w:cs="Times New Roman" w:eastAsia="Times New Roman" w:hAnsi="Times New Roman"/>
                <w:sz w:val="18"/>
                <w:szCs w:val="18"/>
                <w:color w:val="auto"/>
                <w:w w:val="99"/>
              </w:rPr>
              <w:t>(33)</w:t>
            </w:r>
          </w:p>
        </w:tc>
        <w:tc>
          <w:tcPr>
            <w:tcW w:w="1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424" w:right="160" w:hanging="424"/>
        <w:spacing w:after="0" w:line="261"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of the respective high or low closing sales price less NAV per share, divided by the quarter-end NAV per share.</w:t>
      </w:r>
    </w:p>
    <w:p>
      <w:pPr>
        <w:spacing w:after="0" w:line="207"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Shares of BDCs may trade at a market price both above and below the NAV that is attributable to those shares. During the periods covered in the above table, our shares have traded below our NAV. Our shares closed on The Nasdaq Global Select Market at $6.93 and $6.49 on December 31, 2021 and September 30, 2021, respectively. Our NAV per share was $10.11 and $9.85 as of December 31, 2021 and September 30, 2021,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March 31, 2022, we had 6 stockholders of record.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93" w:right="4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SALES OF COMMON STOCK BELOW NET ASSET VALUE</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85" w:lineRule="exact"/>
        <w:rPr>
          <w:sz w:val="20"/>
          <w:szCs w:val="20"/>
          <w:color w:val="auto"/>
        </w:rPr>
      </w:pPr>
    </w:p>
    <w:p>
      <w:pPr>
        <w:ind w:left="960" w:right="2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below NAV per share would have on our stockholders, including the potential dilution they would experience as a result of the offering;</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the most recently determined NAV per share;</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NAV per share and the potential impact of the offering on the market price per share of our common stock;</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our shares, less distributing commissions or discounts, and would not be below current market price;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in the current financial market;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in the offering;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 and our SBIC Fund, both before and after the offering and other borrowing terms;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investment opportunities available relative to the potential dilutive effect of additional capital at the time of the offering.</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62"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w:t>
      </w:r>
    </w:p>
    <w:p>
      <w:pPr>
        <w:spacing w:after="0" w:line="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have 100 million shares outstanding, the sale of an additional 25 million shares at net proceeds to us of $5.00 per share (a 50% discount) would produce dilution of 10.0%. If we subsequently determined that our NAV per share increased to $11.00 on the then outstanding 125 million</w:t>
      </w:r>
    </w:p>
    <w:p>
      <w:pPr>
        <w:spacing w:after="0" w:line="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93" w:right="459" w:bottom="1440" w:gutter="0" w:footer="0" w:header="0"/>
        </w:sectPr>
      </w:pPr>
    </w:p>
    <w:bookmarkStart w:id="37" w:name="page38"/>
    <w:bookmarkEnd w:id="37"/>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67" w:lineRule="exact"/>
        <w:rPr>
          <w:sz w:val="20"/>
          <w:szCs w:val="20"/>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purchase a relatively small amount of shares in the offering or a relatively large amount of shares in the offering;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investors who become stockholders by purchasing shares in the offering.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do not Participate in the Offering</w:t>
      </w:r>
    </w:p>
    <w:p>
      <w:pPr>
        <w:spacing w:after="0" w:line="1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89"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80" w:type="dxa"/>
            <w:vAlign w:val="bottom"/>
          </w:tcPr>
          <w:p>
            <w:pPr>
              <w:spacing w:after="0"/>
              <w:rPr>
                <w:sz w:val="12"/>
                <w:szCs w:val="12"/>
                <w:color w:val="auto"/>
              </w:rPr>
            </w:pPr>
          </w:p>
        </w:tc>
        <w:tc>
          <w:tcPr>
            <w:tcW w:w="196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at 5% Discount</w:t>
            </w:r>
          </w:p>
        </w:tc>
        <w:tc>
          <w:tcPr>
            <w:tcW w:w="80" w:type="dxa"/>
            <w:vAlign w:val="bottom"/>
          </w:tcPr>
          <w:p>
            <w:pPr>
              <w:spacing w:after="0"/>
              <w:rPr>
                <w:sz w:val="15"/>
                <w:szCs w:val="15"/>
                <w:color w:val="auto"/>
              </w:rPr>
            </w:pPr>
          </w:p>
        </w:tc>
        <w:tc>
          <w:tcPr>
            <w:tcW w:w="19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at 10% Discount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4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6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9.47</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4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9.00</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1,050,000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99"/>
              </w:rPr>
              <w:t>1,100,000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1,250,000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46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9.91</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6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10,000</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0.95%</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0.91%</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0.80%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365"/>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80" w:type="dxa"/>
            <w:vAlign w:val="bottom"/>
          </w:tcPr>
          <w:p>
            <w:pPr>
              <w:spacing w:after="0"/>
              <w:rPr>
                <w:sz w:val="13"/>
                <w:szCs w:val="13"/>
                <w:color w:val="auto"/>
              </w:rPr>
            </w:pPr>
          </w:p>
        </w:tc>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80" w:type="dxa"/>
            <w:vAlign w:val="bottom"/>
          </w:tcPr>
          <w:p>
            <w:pPr>
              <w:spacing w:after="0"/>
              <w:rPr>
                <w:sz w:val="13"/>
                <w:szCs w:val="13"/>
                <w:color w:val="auto"/>
              </w:rPr>
            </w:pPr>
          </w:p>
        </w:tc>
        <w:tc>
          <w:tcPr>
            <w:tcW w:w="15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8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80" w:type="dxa"/>
            <w:vAlign w:val="bottom"/>
          </w:tcPr>
          <w:p>
            <w:pPr>
              <w:spacing w:after="0"/>
              <w:rPr>
                <w:sz w:val="12"/>
                <w:szCs w:val="12"/>
                <w:color w:val="auto"/>
              </w:rPr>
            </w:pPr>
          </w:p>
        </w:tc>
        <w:tc>
          <w:tcPr>
            <w:tcW w:w="154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80" w:type="dxa"/>
            <w:vAlign w:val="bottom"/>
          </w:tcPr>
          <w:p>
            <w:pPr>
              <w:spacing w:after="0"/>
              <w:rPr>
                <w:sz w:val="15"/>
                <w:szCs w:val="15"/>
                <w:color w:val="auto"/>
              </w:rPr>
            </w:pPr>
          </w:p>
        </w:tc>
        <w:tc>
          <w:tcPr>
            <w:tcW w:w="176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at 5% Discount</w:t>
            </w:r>
          </w:p>
        </w:tc>
        <w:tc>
          <w:tcPr>
            <w:tcW w:w="80" w:type="dxa"/>
            <w:vAlign w:val="bottom"/>
          </w:tcPr>
          <w:p>
            <w:pPr>
              <w:spacing w:after="0"/>
              <w:rPr>
                <w:sz w:val="15"/>
                <w:szCs w:val="15"/>
                <w:color w:val="auto"/>
              </w:rPr>
            </w:pPr>
          </w:p>
        </w:tc>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at 10% Discount</w:t>
            </w:r>
          </w:p>
        </w:tc>
        <w:tc>
          <w:tcPr>
            <w:tcW w:w="80" w:type="dxa"/>
            <w:vAlign w:val="bottom"/>
          </w:tcPr>
          <w:p>
            <w:pPr>
              <w:spacing w:after="0"/>
              <w:rPr>
                <w:sz w:val="15"/>
                <w:szCs w:val="15"/>
                <w:color w:val="auto"/>
              </w:rPr>
            </w:pPr>
          </w:p>
        </w:tc>
        <w:tc>
          <w:tcPr>
            <w:tcW w:w="15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80" w:type="dxa"/>
            <w:vAlign w:val="bottom"/>
          </w:tcPr>
          <w:p>
            <w:pPr>
              <w:spacing w:after="0"/>
              <w:rPr>
                <w:sz w:val="15"/>
                <w:szCs w:val="15"/>
                <w:color w:val="auto"/>
              </w:rPr>
            </w:pP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Asset Values</w:t>
            </w: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99,800</w:t>
            </w:r>
          </w:p>
        </w:tc>
        <w:tc>
          <w:tcPr>
            <w:tcW w:w="32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99,100</w:t>
            </w:r>
          </w:p>
        </w:tc>
        <w:tc>
          <w:tcPr>
            <w:tcW w:w="3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(0.90)%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3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investment by stockholder A (assumed to be $10.00 per</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share)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100,000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100,000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100,000</w:t>
            </w: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dilution to stockholder A (total NAV less total</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investment)</w:t>
            </w: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(900)</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(5,000)</w:t>
            </w: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3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3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3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 (assumed to be</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$10.00 per share on shares held prior to sale)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Dilution per share held by stockholder A (NAV per share less</w:t>
            </w:r>
          </w:p>
        </w:tc>
        <w:tc>
          <w:tcPr>
            <w:tcW w:w="180" w:type="dxa"/>
            <w:vAlign w:val="bottom"/>
          </w:tcPr>
          <w:p>
            <w:pPr>
              <w:spacing w:after="0"/>
              <w:rPr>
                <w:sz w:val="16"/>
                <w:szCs w:val="16"/>
                <w:color w:val="auto"/>
              </w:rPr>
            </w:pP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(0.02)</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(0.09)</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(0.50)</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Percentage dilution to stockholder A (dilution per share divided</w:t>
            </w:r>
          </w:p>
        </w:tc>
        <w:tc>
          <w:tcPr>
            <w:tcW w:w="1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by investment per share)</w:t>
            </w: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(0.90)%</w:t>
            </w:r>
          </w:p>
        </w:tc>
        <w:tc>
          <w:tcPr>
            <w:tcW w:w="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Participate in the Offering</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7"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8"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their proportionate share of the offering (i.e., 3,750 shares which is 1.50% of the offering of 250,000 shares rather than their 1.00% proportionate share).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80" w:type="dxa"/>
            <w:vAlign w:val="bottom"/>
          </w:tcPr>
          <w:p>
            <w:pPr>
              <w:spacing w:after="0"/>
              <w:rPr>
                <w:sz w:val="15"/>
                <w:szCs w:val="15"/>
                <w:color w:val="auto"/>
              </w:rPr>
            </w:pPr>
          </w:p>
        </w:tc>
        <w:tc>
          <w:tcPr>
            <w:tcW w:w="20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10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80" w:type="dxa"/>
            <w:vAlign w:val="bottom"/>
          </w:tcPr>
          <w:p>
            <w:pPr>
              <w:spacing w:after="0"/>
              <w:rPr>
                <w:sz w:val="15"/>
                <w:szCs w:val="15"/>
                <w:color w:val="auto"/>
              </w:rPr>
            </w:pPr>
          </w:p>
        </w:tc>
        <w:tc>
          <w:tcPr>
            <w:tcW w:w="11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52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7.89</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52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per share to issuer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7.50</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Shares and Decrease to NAV</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w w:val="99"/>
              </w:rPr>
              <w:t>1,250,000</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25.00%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1,250,000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5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9.50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5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(Dilution)/Accretion to Participating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11,250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12.50%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5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0.90%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1.10%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106,875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130,625</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30.63%</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by stockholder A (assumed to be $10.00 per share on 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held prior to sale)</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109,863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129,588</w:t>
            </w: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29.59%</w:t>
            </w:r>
          </w:p>
        </w:tc>
        <w:tc>
          <w:tcPr>
            <w:tcW w:w="0" w:type="dxa"/>
            <w:vAlign w:val="bottom"/>
          </w:tcPr>
          <w:p>
            <w:pPr>
              <w:spacing w:after="0"/>
              <w:rPr>
                <w:sz w:val="1"/>
                <w:szCs w:val="1"/>
                <w:color w:val="auto"/>
              </w:rPr>
            </w:pPr>
          </w:p>
        </w:tc>
      </w:tr>
      <w:tr>
        <w:trPr>
          <w:trHeight w:val="20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(dilution)/accretion to stockholder A (total NAV less total investment)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(2,988)</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9.50</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5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 (assumed to be $10.00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on shares held prior to sale)</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9.77</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5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192"/>
        </w:trPr>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 stockholder A (NAV per share less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(0.27)</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5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 A (dilution)/accretion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New Investors</w:t>
      </w:r>
    </w:p>
    <w:p>
      <w:pPr>
        <w:spacing w:after="0" w:line="121"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76"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97" w:right="439" w:bottom="1440" w:gutter="0" w:footer="0" w:header="0"/>
        </w:sectPr>
      </w:pPr>
    </w:p>
    <w:bookmarkStart w:id="40" w:name="page41"/>
    <w:bookmarkEnd w:id="40"/>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12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80" w:type="dxa"/>
            <w:vAlign w:val="bottom"/>
          </w:tcPr>
          <w:p>
            <w:pPr>
              <w:spacing w:after="0"/>
              <w:rPr>
                <w:sz w:val="15"/>
                <w:szCs w:val="15"/>
                <w:color w:val="auto"/>
              </w:rPr>
            </w:pPr>
          </w:p>
        </w:tc>
        <w:tc>
          <w:tcPr>
            <w:tcW w:w="194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at 5% Discount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at 10% Discount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8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6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10.00</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44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46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112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9.50</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112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99"/>
              </w:rPr>
              <w:t>1,050,000</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1,100,000</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1,250,000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25.00 %</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9.98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500</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4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6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112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0.05%</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0.09%</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0.20%</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112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4,990</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9,910</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investment by stockholder A</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5,000</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9,470</w:t>
            </w:r>
          </w:p>
        </w:tc>
        <w:tc>
          <w:tcPr>
            <w:tcW w:w="44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46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(dilution)/accretion to stockholder A</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NAV less total investment)</w:t>
            </w:r>
          </w:p>
        </w:tc>
        <w:tc>
          <w:tcPr>
            <w:tcW w:w="112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(10)</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112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9.98</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10.00</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44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46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stockholder A (NAV per share less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12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(0.02)</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3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 (dilution)/ accretion per share divided by</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4.65 %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97" w:right="4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DISTRIBUTIONS</w:t>
      </w:r>
    </w:p>
    <w:p>
      <w:pPr>
        <w:spacing w:after="0" w:line="229"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3"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Each year, a Form 1099-DIV will be sent to stockholders subject to information reporting that will state the amount and composition of distributions, and provided information with respect to appropriate tax treatment of our distributions.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tax characteristics of distributions declared, in accordance with Section 19(a) of the 1940 Act, during the years ended September 30, 2021 and</w:t>
      </w:r>
    </w:p>
    <w:p>
      <w:pPr>
        <w:spacing w:after="0" w:line="39"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2020 from ordinary income (including short-term gains), if any, totaled $32.2 million and $40.2 million, or $0.48 and $0.60 per share, respectively, based on the weighted average shares outstanding for the respective years.</w:t>
      </w:r>
    </w:p>
    <w:p>
      <w:pPr>
        <w:spacing w:after="0" w:line="18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76"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93" w:right="4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PORTFOLIO COMPANIES</w:t>
      </w:r>
    </w:p>
    <w:p>
      <w:pPr>
        <w:spacing w:after="0" w:line="22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listing of each portfolio company or its affiliate, together referred to as portfolio companies, in which we had an investment as of December 31, 2021.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December 31, 2021 Quarterly Report on Form 10-Q.</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Substantially all of our investments (except those of SBIC II) are pledged as collateral under the Truist Credit Facility. Unless otherwise noted, we held no voting board membership on any of our portfolio companies.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8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378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240" w:type="dxa"/>
            <w:vAlign w:val="bottom"/>
            <w:gridSpan w:val="2"/>
            <w:vMerge w:val="continue"/>
          </w:tcPr>
          <w:p>
            <w:pPr>
              <w:spacing w:after="0"/>
              <w:rPr>
                <w:sz w:val="12"/>
                <w:szCs w:val="12"/>
                <w:color w:val="auto"/>
              </w:rPr>
            </w:pPr>
          </w:p>
        </w:tc>
        <w:tc>
          <w:tcPr>
            <w:tcW w:w="124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90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22"/>
        </w:trPr>
        <w:tc>
          <w:tcPr>
            <w:tcW w:w="378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Companies Less than 5% Owned</w:t>
            </w:r>
          </w:p>
        </w:tc>
        <w:tc>
          <w:tcPr>
            <w:tcW w:w="15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9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7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Ad.net Acquisition, LLC</w:t>
            </w:r>
          </w:p>
        </w:tc>
        <w:tc>
          <w:tcPr>
            <w:tcW w:w="184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Media</w:t>
            </w:r>
          </w:p>
        </w:tc>
        <w:tc>
          <w:tcPr>
            <w:tcW w:w="324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(Ad.net Holdings, Inc.</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05/06/2026</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1100 Glendon Avenue, Suite 1200</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90024</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Affinion Group Holdings, Inc.</w:t>
            </w:r>
          </w:p>
        </w:tc>
        <w:tc>
          <w:tcPr>
            <w:tcW w:w="18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Consumer</w:t>
            </w:r>
          </w:p>
        </w:tc>
        <w:tc>
          <w:tcPr>
            <w:tcW w:w="32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Warrants</w:t>
            </w:r>
          </w:p>
        </w:tc>
        <w:tc>
          <w:tcPr>
            <w:tcW w:w="1240" w:type="dxa"/>
            <w:vAlign w:val="bottom"/>
            <w:gridSpan w:val="2"/>
            <w:shd w:val="clear" w:color="auto" w:fill="CCEEFF"/>
          </w:tcPr>
          <w:p>
            <w:pPr>
              <w:jc w:val="right"/>
              <w:ind w:right="4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5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100 Connecticut Avenue</w:t>
            </w:r>
          </w:p>
        </w:tc>
        <w:tc>
          <w:tcPr>
            <w:tcW w:w="18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Products</w:t>
            </w:r>
          </w:p>
        </w:tc>
        <w:tc>
          <w:tcPr>
            <w:tcW w:w="2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Norwalk, CT 06850</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 Investco LP</w:t>
            </w:r>
            <w:r>
              <w:rPr>
                <w:rFonts w:ascii="Times New Roman" w:cs="Times New Roman" w:eastAsia="Times New Roman" w:hAnsi="Times New Roman"/>
                <w:sz w:val="10"/>
                <w:szCs w:val="10"/>
                <w:color w:val="auto"/>
              </w:rPr>
              <w:t>(5)</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Business Services</w:t>
            </w:r>
          </w:p>
        </w:tc>
        <w:tc>
          <w:tcPr>
            <w:tcW w:w="3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(4)</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1,161</w:t>
            </w: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251 Little Falls Drive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19808</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AH Newco Equityholdings, LLC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2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Preferred Equity</w:t>
            </w:r>
          </w:p>
        </w:tc>
        <w:tc>
          <w:tcPr>
            <w:tcW w:w="1240" w:type="dxa"/>
            <w:vAlign w:val="bottom"/>
            <w:gridSpan w:val="2"/>
            <w:shd w:val="clear" w:color="auto" w:fill="CCEEFF"/>
          </w:tcPr>
          <w:p>
            <w:pPr>
              <w:jc w:val="right"/>
              <w:ind w:right="4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10039 Bissonnet Street, Ste. 250</w:t>
            </w:r>
          </w:p>
        </w:tc>
        <w:tc>
          <w:tcPr>
            <w:tcW w:w="18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2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Houston, TX 77036</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Altamira Technologies, LLC</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Aerospace and Defense</w:t>
            </w:r>
          </w:p>
        </w:tc>
        <w:tc>
          <w:tcPr>
            <w:tcW w:w="3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(Altamira Intermediate Company II, Inc.)</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L+800, 07/24/2025</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8201 Greensboro Drive, Suite 800</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American Insulated Glass, LLC</w:t>
            </w:r>
          </w:p>
        </w:tc>
        <w:tc>
          <w:tcPr>
            <w:tcW w:w="18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Building Materials</w:t>
            </w:r>
          </w:p>
        </w:tc>
        <w:tc>
          <w:tcPr>
            <w:tcW w:w="32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14,503</w:t>
            </w: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 Dawgs Capital III, LP</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12/21/2023</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3965 E. Conley Road</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Conley, GA 30288</w:t>
            </w:r>
          </w:p>
        </w:tc>
        <w:tc>
          <w:tcPr>
            <w:tcW w:w="1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Any Hour Services</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Personal, Food</w:t>
            </w:r>
          </w:p>
        </w:tc>
        <w:tc>
          <w:tcPr>
            <w:tcW w:w="3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3,991</w:t>
            </w: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(KL Stockton Co-Invest LP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3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L+575, 07/21/2027</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1374 130 S</w:t>
            </w: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Miscellaneous Services</w:t>
            </w:r>
          </w:p>
        </w:tc>
        <w:tc>
          <w:tcPr>
            <w:tcW w:w="3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Orem, UT 84058</w:t>
            </w: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Apex Service Partners, LLC</w:t>
            </w:r>
          </w:p>
        </w:tc>
        <w:tc>
          <w:tcPr>
            <w:tcW w:w="184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Personal, Food</w:t>
            </w:r>
          </w:p>
        </w:tc>
        <w:tc>
          <w:tcPr>
            <w:tcW w:w="324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4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13,763</w:t>
            </w:r>
          </w:p>
        </w:tc>
        <w:tc>
          <w:tcPr>
            <w:tcW w:w="0" w:type="dxa"/>
            <w:vAlign w:val="bottom"/>
          </w:tcPr>
          <w:p>
            <w:pPr>
              <w:spacing w:after="0"/>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401 E Jackson, Ste #3300</w:t>
            </w:r>
          </w:p>
        </w:tc>
        <w:tc>
          <w:tcPr>
            <w:tcW w:w="18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32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L+525, 07/31/2025</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Tampa, FL 33602</w:t>
            </w:r>
          </w:p>
        </w:tc>
        <w:tc>
          <w:tcPr>
            <w:tcW w:w="18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Miscellaneous Services</w:t>
            </w:r>
          </w:p>
        </w:tc>
        <w:tc>
          <w:tcPr>
            <w:tcW w:w="2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93" w:right="4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40" w:type="dxa"/>
            <w:vAlign w:val="bottom"/>
            <w:gridSpan w:val="2"/>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3720" w:type="dxa"/>
            <w:vAlign w:val="bottom"/>
            <w:gridSpan w:val="2"/>
            <w:vMerge w:val="continue"/>
          </w:tcPr>
          <w:p>
            <w:pPr>
              <w:spacing w:after="0"/>
              <w:rPr>
                <w:sz w:val="12"/>
                <w:szCs w:val="12"/>
                <w:color w:val="auto"/>
              </w:rPr>
            </w:pPr>
          </w:p>
        </w:tc>
        <w:tc>
          <w:tcPr>
            <w:tcW w:w="1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280" w:type="dxa"/>
            <w:vAlign w:val="bottom"/>
            <w:gridSpan w:val="2"/>
            <w:vMerge w:val="continue"/>
          </w:tcPr>
          <w:p>
            <w:pPr>
              <w:spacing w:after="0"/>
              <w:rPr>
                <w:sz w:val="12"/>
                <w:szCs w:val="12"/>
                <w:color w:val="auto"/>
              </w:rPr>
            </w:pPr>
          </w:p>
        </w:tc>
        <w:tc>
          <w:tcPr>
            <w:tcW w:w="1240" w:type="dxa"/>
            <w:vAlign w:val="bottom"/>
            <w:gridSpan w:val="2"/>
          </w:tcPr>
          <w:p>
            <w:pPr>
              <w:jc w:val="center"/>
              <w:ind w:right="378"/>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8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3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240" w:type="dxa"/>
            <w:vAlign w:val="bottom"/>
            <w:gridSpan w:val="2"/>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9"/>
        </w:trPr>
        <w:tc>
          <w:tcPr>
            <w:tcW w:w="372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Applied Technical Services, LLC</w:t>
            </w:r>
          </w:p>
        </w:tc>
        <w:tc>
          <w:tcPr>
            <w:tcW w:w="160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Environmental Services</w:t>
            </w:r>
          </w:p>
        </w:tc>
        <w:tc>
          <w:tcPr>
            <w:tcW w:w="260" w:type="dxa"/>
            <w:vAlign w:val="bottom"/>
            <w:tcBorders>
              <w:top w:val="single" w:sz="8" w:color="CCEEFF"/>
            </w:tcBorders>
            <w:shd w:val="clear" w:color="auto" w:fill="CCEEFF"/>
          </w:tcPr>
          <w:p>
            <w:pPr>
              <w:spacing w:after="0"/>
              <w:rPr>
                <w:sz w:val="9"/>
                <w:szCs w:val="9"/>
                <w:color w:val="auto"/>
              </w:rPr>
            </w:pPr>
          </w:p>
        </w:tc>
        <w:tc>
          <w:tcPr>
            <w:tcW w:w="300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9"/>
                <w:szCs w:val="9"/>
                <w:color w:val="auto"/>
              </w:rPr>
              <w:t>(4)</w:t>
            </w: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0.2</w:t>
            </w:r>
          </w:p>
        </w:tc>
        <w:tc>
          <w:tcPr>
            <w:tcW w:w="440" w:type="dxa"/>
            <w:vAlign w:val="bottom"/>
            <w:tcBorders>
              <w:top w:val="single" w:sz="8" w:color="CCEEFF"/>
            </w:tcBorders>
            <w:shd w:val="clear" w:color="auto" w:fill="CCEEFF"/>
          </w:tcPr>
          <w:p>
            <w:pPr>
              <w:jc w:val="right"/>
              <w:ind w:right="25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3,434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(Ironclad Holdco, LLC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L+575, 12/29/2026</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1049 Triad Ct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Marietta, GA 30062</w:t>
            </w:r>
          </w:p>
        </w:tc>
        <w:tc>
          <w:tcPr>
            <w:tcW w:w="1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Atlas Purchaser, Inc.</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Telecommunications</w:t>
            </w:r>
          </w:p>
        </w:tc>
        <w:tc>
          <w:tcPr>
            <w:tcW w:w="3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240" w:type="dxa"/>
            <w:vAlign w:val="bottom"/>
            <w:gridSpan w:val="2"/>
          </w:tcPr>
          <w:p>
            <w:pPr>
              <w:jc w:val="right"/>
              <w:ind w:right="258"/>
              <w:spacing w:after="0"/>
              <w:rPr>
                <w:sz w:val="20"/>
                <w:szCs w:val="20"/>
                <w:color w:val="auto"/>
              </w:rPr>
            </w:pPr>
            <w:r>
              <w:rPr>
                <w:rFonts w:ascii="Times New Roman" w:cs="Times New Roman" w:eastAsia="Times New Roman" w:hAnsi="Times New Roman"/>
                <w:sz w:val="14"/>
                <w:szCs w:val="14"/>
                <w:color w:val="auto"/>
              </w:rPr>
              <w:t>0.5%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18,556</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(Atlas Investment Aggregator, LLC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L+900, 05/07/2029</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 Technology Park Drive</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Westford, MA 01886</w:t>
            </w: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Best Practice Associates LLC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Aerospace and Defense</w:t>
            </w:r>
          </w:p>
        </w:tc>
        <w:tc>
          <w:tcPr>
            <w:tcW w:w="328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Second Lien Secured Debt,</w:t>
            </w:r>
          </w:p>
        </w:tc>
        <w:tc>
          <w:tcPr>
            <w:tcW w:w="1240" w:type="dxa"/>
            <w:vAlign w:val="bottom"/>
            <w:gridSpan w:val="2"/>
            <w:shd w:val="clear" w:color="auto" w:fill="CCEEFF"/>
          </w:tcPr>
          <w:p>
            <w:pPr>
              <w:jc w:val="right"/>
              <w:ind w:right="258"/>
              <w:spacing w:after="0" w:line="126" w:lineRule="exact"/>
              <w:rPr>
                <w:sz w:val="20"/>
                <w:szCs w:val="20"/>
                <w:color w:val="auto"/>
              </w:rPr>
            </w:pPr>
            <w:r>
              <w:rPr>
                <w:rFonts w:ascii="Times New Roman" w:cs="Times New Roman" w:eastAsia="Times New Roman" w:hAnsi="Times New Roman"/>
                <w:sz w:val="14"/>
                <w:szCs w:val="14"/>
                <w:color w:val="auto"/>
              </w:rPr>
              <w:t>4.0%</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33,519</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(FedHC InvestCo LP</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L+900, 06/29/2027</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(FedHC InvestCo II LP</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(4)</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3100 Clarendon Blvd</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Arlington, VA 22201</w:t>
            </w:r>
          </w:p>
        </w:tc>
        <w:tc>
          <w:tcPr>
            <w:tcW w:w="1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Blackhawk Industrial Distribution, Inc.</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Distribution</w:t>
            </w:r>
          </w:p>
        </w:tc>
        <w:tc>
          <w:tcPr>
            <w:tcW w:w="3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Subordinated Debt,</w:t>
            </w:r>
          </w:p>
        </w:tc>
        <w:tc>
          <w:tcPr>
            <w:tcW w:w="1240" w:type="dxa"/>
            <w:vAlign w:val="bottom"/>
            <w:gridSpan w:val="2"/>
          </w:tcPr>
          <w:p>
            <w:pPr>
              <w:jc w:val="right"/>
              <w:ind w:right="258"/>
              <w:spacing w:after="0"/>
              <w:rPr>
                <w:sz w:val="20"/>
                <w:szCs w:val="20"/>
                <w:color w:val="auto"/>
              </w:rPr>
            </w:pPr>
            <w:r>
              <w:rPr>
                <w:rFonts w:ascii="Times New Roman" w:cs="Times New Roman" w:eastAsia="Times New Roman" w:hAnsi="Times New Roman"/>
                <w:sz w:val="14"/>
                <w:szCs w:val="14"/>
                <w:color w:val="auto"/>
              </w:rPr>
              <w:t>1.5%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16,670</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(Cowboy Parent LLC)</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12.0% fixed (PIK 2.0%), 03/17/2025</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1501 SW Expressway Drive</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Broken Arrow, OK 74012</w:t>
            </w: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Bottom Line Systems, LLC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28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shd w:val="clear" w:color="auto" w:fill="CCEEFF"/>
          </w:tcPr>
          <w:p>
            <w:pPr>
              <w:jc w:val="right"/>
              <w:ind w:right="418"/>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6,153</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541 Buttermilk Pike, Suite 401</w:t>
            </w:r>
          </w:p>
        </w:tc>
        <w:tc>
          <w:tcPr>
            <w:tcW w:w="18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2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L+550, 02/13/2023</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Crescent Springs, KY 41017</w:t>
            </w:r>
          </w:p>
        </w:tc>
        <w:tc>
          <w:tcPr>
            <w:tcW w:w="1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Broder Bros., Co.</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Consumer</w:t>
            </w:r>
          </w:p>
        </w:tc>
        <w:tc>
          <w:tcPr>
            <w:tcW w:w="3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41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25,189</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Six Neshaminy Interplex, 6 Floor</w:t>
            </w:r>
          </w:p>
        </w:tc>
        <w:tc>
          <w:tcPr>
            <w:tcW w:w="1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Products</w:t>
            </w:r>
          </w:p>
        </w:tc>
        <w:tc>
          <w:tcPr>
            <w:tcW w:w="3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L+700, 12/02/2022</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Trevose, PA 19053</w:t>
            </w: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Cano Health, LLC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28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Common Equity</w:t>
            </w:r>
          </w:p>
        </w:tc>
        <w:tc>
          <w:tcPr>
            <w:tcW w:w="1240" w:type="dxa"/>
            <w:vAlign w:val="bottom"/>
            <w:gridSpan w:val="2"/>
            <w:shd w:val="clear" w:color="auto" w:fill="CCEEFF"/>
          </w:tcPr>
          <w:p>
            <w:pPr>
              <w:jc w:val="right"/>
              <w:ind w:right="25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43,341</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(ITC Rumba, LLC</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86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9725 NW 117th Avenue, Suite 200,</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Miami, FL 33178</w:t>
            </w:r>
          </w:p>
        </w:tc>
        <w:tc>
          <w:tcPr>
            <w:tcW w:w="1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Cascade Environmental LLC</w:t>
            </w:r>
            <w:r>
              <w:rPr>
                <w:rFonts w:ascii="Times New Roman" w:cs="Times New Roman" w:eastAsia="Times New Roman" w:hAnsi="Times New Roman"/>
                <w:sz w:val="10"/>
                <w:szCs w:val="10"/>
                <w:color w:val="auto"/>
              </w:rPr>
              <w:t>(5)</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Environmental Services</w:t>
            </w:r>
          </w:p>
        </w:tc>
        <w:tc>
          <w:tcPr>
            <w:tcW w:w="3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Subordinated Debt,</w:t>
            </w:r>
          </w:p>
        </w:tc>
        <w:tc>
          <w:tcPr>
            <w:tcW w:w="1240" w:type="dxa"/>
            <w:vAlign w:val="bottom"/>
            <w:gridSpan w:val="2"/>
          </w:tcPr>
          <w:p>
            <w:pPr>
              <w:jc w:val="right"/>
              <w:ind w:right="258"/>
              <w:spacing w:after="0"/>
              <w:rPr>
                <w:sz w:val="20"/>
                <w:szCs w:val="20"/>
                <w:color w:val="auto"/>
              </w:rPr>
            </w:pPr>
            <w:r>
              <w:rPr>
                <w:rFonts w:ascii="Times New Roman" w:cs="Times New Roman" w:eastAsia="Times New Roman" w:hAnsi="Times New Roman"/>
                <w:sz w:val="14"/>
                <w:szCs w:val="14"/>
                <w:color w:val="auto"/>
              </w:rPr>
              <w:t>2.8%</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40,146</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(Cascade Environmental Holdings, LLC</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 17270</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13.0% fixed (PIK 13.0%), 12/30/2023</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Woodinville-Redmond Road</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Woodinville, WA 98072</w:t>
            </w: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CF512, Inc.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Media</w:t>
            </w:r>
          </w:p>
        </w:tc>
        <w:tc>
          <w:tcPr>
            <w:tcW w:w="328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58"/>
              <w:spacing w:after="0" w:line="126" w:lineRule="exact"/>
              <w:rPr>
                <w:sz w:val="20"/>
                <w:szCs w:val="20"/>
                <w:color w:val="auto"/>
              </w:rPr>
            </w:pPr>
            <w:r>
              <w:rPr>
                <w:rFonts w:ascii="Times New Roman" w:cs="Times New Roman" w:eastAsia="Times New Roman" w:hAnsi="Times New Roman"/>
                <w:sz w:val="14"/>
                <w:szCs w:val="14"/>
                <w:color w:val="auto"/>
              </w:rPr>
              <w:t>0.8%</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9,596</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(StellPen Holdings, LLC)</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08/20/2026</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960B Harvest Drive</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Blue Bell, PA 19422</w:t>
            </w:r>
          </w:p>
        </w:tc>
        <w:tc>
          <w:tcPr>
            <w:tcW w:w="1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Compex Legal Services, Inc.</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Business Services</w:t>
            </w:r>
          </w:p>
        </w:tc>
        <w:tc>
          <w:tcPr>
            <w:tcW w:w="3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tcPr>
          <w:p>
            <w:pPr>
              <w:jc w:val="right"/>
              <w:ind w:right="41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3,954</w:t>
            </w: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325 Maple Avenue</w:t>
            </w: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L+575, 02/09/2026</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Torrance, CA 90503</w:t>
            </w: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Connatix Buyer, Inc.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Media</w:t>
            </w:r>
          </w:p>
        </w:tc>
        <w:tc>
          <w:tcPr>
            <w:tcW w:w="328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58"/>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12,914</w:t>
            </w: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(Connatix Parent, LLC)</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07/13/2027</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666 Broadway, Floor 10</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 NY 10012</w:t>
            </w:r>
          </w:p>
        </w:tc>
        <w:tc>
          <w:tcPr>
            <w:tcW w:w="1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Crane 1 Services, Inc.</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Personal, Food</w:t>
            </w:r>
          </w:p>
        </w:tc>
        <w:tc>
          <w:tcPr>
            <w:tcW w:w="3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tcPr>
          <w:p>
            <w:pPr>
              <w:jc w:val="right"/>
              <w:ind w:right="258"/>
              <w:spacing w:after="0"/>
              <w:rPr>
                <w:sz w:val="20"/>
                <w:szCs w:val="20"/>
                <w:color w:val="auto"/>
              </w:rPr>
            </w:pPr>
            <w:r>
              <w:rPr>
                <w:rFonts w:ascii="Times New Roman" w:cs="Times New Roman" w:eastAsia="Times New Roman" w:hAnsi="Times New Roman"/>
                <w:sz w:val="14"/>
                <w:szCs w:val="14"/>
                <w:color w:val="auto"/>
              </w:rPr>
              <w:t>0.1%</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1,934</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(Crane 1 Acquisition Parent Holdings, L.P.)</w:t>
            </w:r>
          </w:p>
        </w:tc>
        <w:tc>
          <w:tcPr>
            <w:tcW w:w="1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3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L+575, 08/16/2027</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1027 Byers Rd</w:t>
            </w:r>
          </w:p>
        </w:tc>
        <w:tc>
          <w:tcPr>
            <w:tcW w:w="1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Miscellaneous Services</w:t>
            </w:r>
          </w:p>
        </w:tc>
        <w:tc>
          <w:tcPr>
            <w:tcW w:w="3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Miamisburg, OH 45342</w:t>
            </w: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Crash Champions, LLC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Auto Sector</w:t>
            </w:r>
          </w:p>
        </w:tc>
        <w:tc>
          <w:tcPr>
            <w:tcW w:w="328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5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21,532</w:t>
            </w: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(Crash Champions Holdings, LLC</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L+500, 08/05/2025</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14330 S. Cicero Avenue</w:t>
            </w:r>
          </w:p>
        </w:tc>
        <w:tc>
          <w:tcPr>
            <w:tcW w:w="1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Crestwood, IL 60418</w:t>
            </w:r>
          </w:p>
        </w:tc>
        <w:tc>
          <w:tcPr>
            <w:tcW w:w="1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8" w:right="4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60" w:type="dxa"/>
            <w:vAlign w:val="bottom"/>
            <w:gridSpan w:val="2"/>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3700" w:type="dxa"/>
            <w:vAlign w:val="bottom"/>
            <w:gridSpan w:val="2"/>
            <w:vMerge w:val="continue"/>
          </w:tcPr>
          <w:p>
            <w:pPr>
              <w:spacing w:after="0"/>
              <w:rPr>
                <w:sz w:val="12"/>
                <w:szCs w:val="12"/>
                <w:color w:val="auto"/>
              </w:rPr>
            </w:pPr>
          </w:p>
        </w:tc>
        <w:tc>
          <w:tcPr>
            <w:tcW w:w="1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340" w:type="dxa"/>
            <w:vAlign w:val="bottom"/>
            <w:gridSpan w:val="2"/>
            <w:vMerge w:val="continue"/>
          </w:tcPr>
          <w:p>
            <w:pPr>
              <w:spacing w:after="0"/>
              <w:rPr>
                <w:sz w:val="12"/>
                <w:szCs w:val="12"/>
                <w:color w:val="auto"/>
              </w:rPr>
            </w:pPr>
          </w:p>
        </w:tc>
        <w:tc>
          <w:tcPr>
            <w:tcW w:w="1260" w:type="dxa"/>
            <w:vAlign w:val="bottom"/>
            <w:gridSpan w:val="2"/>
          </w:tcPr>
          <w:p>
            <w:pPr>
              <w:jc w:val="center"/>
              <w:ind w:right="398"/>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8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260" w:type="dxa"/>
            <w:vAlign w:val="bottom"/>
            <w:gridSpan w:val="2"/>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9"/>
        </w:trPr>
        <w:tc>
          <w:tcPr>
            <w:tcW w:w="370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Data Axle, Inc.</w:t>
            </w:r>
          </w:p>
        </w:tc>
        <w:tc>
          <w:tcPr>
            <w:tcW w:w="152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Other Media</w:t>
            </w:r>
          </w:p>
        </w:tc>
        <w:tc>
          <w:tcPr>
            <w:tcW w:w="280" w:type="dxa"/>
            <w:vAlign w:val="bottom"/>
            <w:tcBorders>
              <w:top w:val="single" w:sz="8" w:color="CCEEFF"/>
            </w:tcBorders>
            <w:shd w:val="clear" w:color="auto" w:fill="CCEEFF"/>
          </w:tcPr>
          <w:p>
            <w:pPr>
              <w:spacing w:after="0"/>
              <w:rPr>
                <w:sz w:val="9"/>
                <w:szCs w:val="9"/>
                <w:color w:val="auto"/>
              </w:rPr>
            </w:pPr>
          </w:p>
        </w:tc>
        <w:tc>
          <w:tcPr>
            <w:tcW w:w="30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Second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620"/>
              <w:spacing w:after="0" w:line="109" w:lineRule="exact"/>
              <w:rPr>
                <w:sz w:val="20"/>
                <w:szCs w:val="20"/>
                <w:color w:val="auto"/>
              </w:rPr>
            </w:pPr>
            <w:r>
              <w:rPr>
                <w:rFonts w:ascii="Times New Roman" w:cs="Times New Roman" w:eastAsia="Times New Roman" w:hAnsi="Times New Roman"/>
                <w:sz w:val="12"/>
                <w:szCs w:val="12"/>
                <w:color w:val="auto"/>
              </w:rPr>
              <w:t>1.1</w:t>
            </w:r>
          </w:p>
        </w:tc>
        <w:tc>
          <w:tcPr>
            <w:tcW w:w="460" w:type="dxa"/>
            <w:vAlign w:val="bottom"/>
            <w:tcBorders>
              <w:top w:val="single" w:sz="8" w:color="CCEEFF"/>
            </w:tcBorders>
            <w:shd w:val="clear" w:color="auto" w:fill="CCEEFF"/>
          </w:tcPr>
          <w:p>
            <w:pPr>
              <w:jc w:val="right"/>
              <w:ind w:right="27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23,893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(Infogroup Parent Holdings, Inc.)</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L+925, 04/03/2024</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1020 E 1st Street</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Papillion, NE 68046</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DermaRite Industries LLC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Manufacturing / Basic</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6,492</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7777 West Side Avenue</w:t>
            </w:r>
          </w:p>
        </w:tc>
        <w:tc>
          <w:tcPr>
            <w:tcW w:w="1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Industries</w:t>
            </w: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L+700, 03/03/2022</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North Bergen, NJ 07047</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Dr. Squatch, LLC</w:t>
            </w:r>
          </w:p>
        </w:tc>
        <w:tc>
          <w:tcPr>
            <w:tcW w:w="180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Personal and</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8,703</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2355 Westwood Blvd. #1834</w:t>
            </w:r>
          </w:p>
        </w:tc>
        <w:tc>
          <w:tcPr>
            <w:tcW w:w="18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Non-Durable Consumer</w:t>
            </w: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08/27/2026</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 Angeles, CA 90064</w:t>
            </w:r>
          </w:p>
        </w:tc>
        <w:tc>
          <w:tcPr>
            <w:tcW w:w="18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Products</w:t>
            </w: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DRS Holdings III, Inc.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Consumer Products</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4,910</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225 State Street</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L+575, 11/03/2025</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Boston MA 02109</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Duraco Specialty Tapes LLC</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Manufacturing / Basic</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8,079</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7400 Industrial Dr.</w:t>
            </w:r>
          </w:p>
        </w:tc>
        <w:tc>
          <w:tcPr>
            <w:tcW w:w="18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Industries</w:t>
            </w: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06/30/2024</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Forest Park, IL 60130</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ECL Entertainment, LLC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Hotels, Motels,</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10,100</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(Kentucky Racing Holdco, LLC</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Inns and Gaming</w:t>
            </w: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L+750, 03/31/2028</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5629 Nashville Road</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7"/>
              </w:rPr>
              <w:t>Warrants</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Franklin, KY 42134</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ECM Industries, LLC</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Electronics</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vertAlign w:val="subscript"/>
              </w:rPr>
              <w:t>— </w:t>
            </w:r>
            <w:r>
              <w:rPr>
                <w:rFonts w:ascii="Times New Roman" w:cs="Times New Roman" w:eastAsia="Times New Roman" w:hAnsi="Times New Roman"/>
                <w:sz w:val="8"/>
                <w:szCs w:val="8"/>
                <w:color w:val="auto"/>
              </w:rPr>
              <w:t xml:space="preserve"> (7)</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(ECM Investors, LLC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L+475, 12/23/2025</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16250 W Woods Edge Rd</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Berlin, WI 53151</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eCommission Holding Corporation</w:t>
            </w:r>
            <w:r>
              <w:rPr>
                <w:rFonts w:ascii="Times New Roman" w:cs="Times New Roman" w:eastAsia="Times New Roman" w:hAnsi="Times New Roman"/>
                <w:sz w:val="10"/>
                <w:szCs w:val="10"/>
                <w:color w:val="auto"/>
              </w:rPr>
              <w:t>(6)</w:t>
            </w: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Financial Services</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1.3%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1,269</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11612 Bee Caves Road, Building II,</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Suite 200 Austin, TX, 78738</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ENC Parent Corporation</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Second Lien Secured Debt,</w:t>
            </w:r>
          </w:p>
        </w:tc>
        <w:tc>
          <w:tcPr>
            <w:tcW w:w="126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7,425</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100-110 West Columbia Street</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L+750, 08/19/2029</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Schuylkill Haven, PA 17972</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Fairbanks Morse Defense</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Aerospace and Defense</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3,491</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701 White Avenue</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L+475, 06/17/2028</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Beloit, WI 53511</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Gantech Acquisition Corp.</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ind w:left="620"/>
              <w:spacing w:after="0" w:line="126" w:lineRule="exact"/>
              <w:rPr>
                <w:sz w:val="20"/>
                <w:szCs w:val="20"/>
                <w:color w:val="auto"/>
              </w:rPr>
            </w:pPr>
            <w:r>
              <w:rPr>
                <w:rFonts w:ascii="Times New Roman" w:cs="Times New Roman" w:eastAsia="Times New Roman" w:hAnsi="Times New Roman"/>
                <w:sz w:val="14"/>
                <w:szCs w:val="14"/>
                <w:color w:val="auto"/>
              </w:rPr>
              <w:t>3.9%</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20,177</w:t>
            </w: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(GCOM InvestCo LP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L+625, 05/14/2026</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9175 Guilford Road, Suite 101</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Columbia, MD 21046</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Graffiti Buyer, Inc.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Distribution</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25195 Brest Road</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L+575, 08/10/2027</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Taylor, MI 48180</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Halo Buyer, Inc.</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Consumer</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Second Lien Secured Debt,</w:t>
            </w:r>
          </w:p>
        </w:tc>
        <w:tc>
          <w:tcPr>
            <w:tcW w:w="126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31,119</w:t>
            </w: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1980 Industrial Drive</w:t>
            </w:r>
          </w:p>
        </w:tc>
        <w:tc>
          <w:tcPr>
            <w:tcW w:w="180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Products</w:t>
            </w: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L+825, 07/06/2026</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Sterling, IL 61081</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Hancock Roofing and Construction L.L.C.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Insurance</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0.4%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1,714</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(Hancock Claims Consultants</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L+500, 12/31/2026</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Investors, LLC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6875 Shiloh Rd. East</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Alpharetta, GA 30005</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8" w:right="4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60" w:type="dxa"/>
            <w:vAlign w:val="bottom"/>
            <w:gridSpan w:val="2"/>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3700" w:type="dxa"/>
            <w:vAlign w:val="bottom"/>
            <w:gridSpan w:val="2"/>
            <w:vMerge w:val="continue"/>
          </w:tcPr>
          <w:p>
            <w:pPr>
              <w:spacing w:after="0"/>
              <w:rPr>
                <w:sz w:val="12"/>
                <w:szCs w:val="12"/>
                <w:color w:val="auto"/>
              </w:rPr>
            </w:pPr>
          </w:p>
        </w:tc>
        <w:tc>
          <w:tcPr>
            <w:tcW w:w="1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340" w:type="dxa"/>
            <w:vAlign w:val="bottom"/>
            <w:gridSpan w:val="2"/>
            <w:vMerge w:val="continue"/>
          </w:tcPr>
          <w:p>
            <w:pPr>
              <w:spacing w:after="0"/>
              <w:rPr>
                <w:sz w:val="12"/>
                <w:szCs w:val="12"/>
                <w:color w:val="auto"/>
              </w:rPr>
            </w:pPr>
          </w:p>
        </w:tc>
        <w:tc>
          <w:tcPr>
            <w:tcW w:w="1260" w:type="dxa"/>
            <w:vAlign w:val="bottom"/>
            <w:gridSpan w:val="2"/>
          </w:tcPr>
          <w:p>
            <w:pPr>
              <w:jc w:val="center"/>
              <w:ind w:right="398"/>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8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260" w:type="dxa"/>
            <w:vAlign w:val="bottom"/>
            <w:gridSpan w:val="2"/>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9"/>
        </w:trPr>
        <w:tc>
          <w:tcPr>
            <w:tcW w:w="370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Holdco Sands Intermediate, LLC</w:t>
            </w:r>
          </w:p>
        </w:tc>
        <w:tc>
          <w:tcPr>
            <w:tcW w:w="152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Aerospace and Defense</w:t>
            </w:r>
          </w:p>
        </w:tc>
        <w:tc>
          <w:tcPr>
            <w:tcW w:w="280" w:type="dxa"/>
            <w:vAlign w:val="bottom"/>
            <w:tcBorders>
              <w:top w:val="single" w:sz="8" w:color="CCEEFF"/>
            </w:tcBorders>
            <w:shd w:val="clear" w:color="auto" w:fill="CCEEFF"/>
          </w:tcPr>
          <w:p>
            <w:pPr>
              <w:spacing w:after="0"/>
              <w:rPr>
                <w:sz w:val="9"/>
                <w:szCs w:val="9"/>
                <w:color w:val="auto"/>
              </w:rPr>
            </w:pPr>
          </w:p>
        </w:tc>
        <w:tc>
          <w:tcPr>
            <w:tcW w:w="30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9"/>
                <w:szCs w:val="9"/>
                <w:color w:val="auto"/>
              </w:rPr>
              <w:t>(4)</w:t>
            </w: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2.1</w:t>
            </w:r>
          </w:p>
        </w:tc>
        <w:tc>
          <w:tcPr>
            <w:tcW w:w="460" w:type="dxa"/>
            <w:vAlign w:val="bottom"/>
            <w:tcBorders>
              <w:top w:val="single" w:sz="8" w:color="CCEEFF"/>
            </w:tcBorders>
            <w:shd w:val="clear" w:color="auto" w:fill="CCEEFF"/>
          </w:tcPr>
          <w:p>
            <w:pPr>
              <w:jc w:val="right"/>
              <w:ind w:right="27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22,993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(OceanSound Discovery Equity, LP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L+600, 11/23/2028</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44150 Smartronix Way, STE 200</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Hollywood, MD 20636</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HW Holdco, LLC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Media</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41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7,819</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4000 MacArthur, Suite 400</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L+575, 12/10/2024</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Newport Beach, CA 92660</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Icon Partners V C, L.P. </w:t>
            </w:r>
            <w:r>
              <w:rPr>
                <w:rFonts w:ascii="Times New Roman" w:cs="Times New Roman" w:eastAsia="Times New Roman" w:hAnsi="Times New Roman"/>
                <w:sz w:val="10"/>
                <w:szCs w:val="10"/>
                <w:color w:val="auto"/>
              </w:rPr>
              <w:t>(5)</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(4)</w:t>
            </w:r>
          </w:p>
        </w:tc>
        <w:tc>
          <w:tcPr>
            <w:tcW w:w="1260" w:type="dxa"/>
            <w:vAlign w:val="bottom"/>
            <w:gridSpan w:val="2"/>
            <w:shd w:val="clear" w:color="auto" w:fill="CCEEFF"/>
          </w:tcPr>
          <w:p>
            <w:pPr>
              <w:jc w:val="right"/>
              <w:ind w:right="27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1,111</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233 Wilshire Boulevard, Suite 800</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Santa Monica, CA, 90401</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IDC Infusion Services, Inc.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Healthcare, Education and</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41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4,900</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3609 Park East Drive</w:t>
            </w:r>
          </w:p>
        </w:tc>
        <w:tc>
          <w:tcPr>
            <w:tcW w:w="1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12/30/2026</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Beachwood, OH 44122</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IG Investments Holdings, LLC</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418"/>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4,646</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1224 Hammond Drive, Suite 1500</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09/22/2028</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Atlanta, GA 30346</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Imagine Acquisitionco, LLC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Business Services</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278"/>
              <w:spacing w:after="0"/>
              <w:rPr>
                <w:sz w:val="20"/>
                <w:szCs w:val="20"/>
                <w:color w:val="auto"/>
              </w:rPr>
            </w:pPr>
            <w:r>
              <w:rPr>
                <w:rFonts w:ascii="Times New Roman" w:cs="Times New Roman" w:eastAsia="Times New Roman" w:hAnsi="Times New Roman"/>
                <w:sz w:val="14"/>
                <w:szCs w:val="14"/>
                <w:color w:val="auto"/>
              </w:rPr>
              <w:t>0.3%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6,238</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(Imagine Topco, LP)</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11/15/2027</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8757 Red Oak Blvd,</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Charlotte, NC 28217</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Inception Fertility Ventures, LLC</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418"/>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4,636</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650 Madison Avenue, 21st Floor</w:t>
            </w:r>
          </w:p>
        </w:tc>
        <w:tc>
          <w:tcPr>
            <w:tcW w:w="18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12/07/2023</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York, NY 10022</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Infolinks Media Buyco, LLC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Media</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278"/>
              <w:spacing w:after="0"/>
              <w:rPr>
                <w:sz w:val="20"/>
                <w:szCs w:val="20"/>
                <w:color w:val="auto"/>
              </w:rPr>
            </w:pPr>
            <w:r>
              <w:rPr>
                <w:rFonts w:ascii="Times New Roman" w:cs="Times New Roman" w:eastAsia="Times New Roman" w:hAnsi="Times New Roman"/>
                <w:sz w:val="14"/>
                <w:szCs w:val="14"/>
                <w:color w:val="auto"/>
              </w:rPr>
              <w:t>0.4%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6,851</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(Tower Arch Infolinks Media, LP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L+600, 11/01/2026</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45 North Broad Street</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(4)</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Ridgewood, NJ 07450</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Integrity Marketing Acquisition, LLC</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Insurance</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418"/>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23,911</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1445 Ross Avenue, 22nd Floor</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08/27/2025</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Dallas, TX 75202</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Inventus Power, Inc.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Electronics</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260" w:type="dxa"/>
            <w:vAlign w:val="bottom"/>
            <w:gridSpan w:val="2"/>
          </w:tcPr>
          <w:p>
            <w:pPr>
              <w:jc w:val="right"/>
              <w:ind w:right="41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16,178</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1200 Internationale Parkway</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L+850, 09/29/2024</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Woodridge, IL 60517, USA</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K2 Pure Solutions NoCal, L.P.</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Chemicals,</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418"/>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12,367</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3515 Massillion Road, Ste. 290</w:t>
            </w:r>
          </w:p>
        </w:tc>
        <w:tc>
          <w:tcPr>
            <w:tcW w:w="180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Plastics and Rubber</w:t>
            </w: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L+700, 12/20/2023</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Uniontown, OH 44685</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Kinetic Purchaser, LLC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Consumer Products</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41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25,346</w:t>
            </w: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12552 S. 125 West</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11/10/2027</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Draper, UT 84020</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Lariat ecoserv Co-invest Holdings, LLC</w:t>
            </w:r>
            <w:r>
              <w:rPr>
                <w:rFonts w:ascii="Times New Roman" w:cs="Times New Roman" w:eastAsia="Times New Roman" w:hAnsi="Times New Roman"/>
                <w:sz w:val="10"/>
                <w:szCs w:val="10"/>
                <w:color w:val="auto"/>
              </w:rPr>
              <w:t>(5)</w:t>
            </w:r>
          </w:p>
        </w:tc>
        <w:tc>
          <w:tcPr>
            <w:tcW w:w="180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Environmental Services</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Common Equity</w:t>
            </w:r>
          </w:p>
        </w:tc>
        <w:tc>
          <w:tcPr>
            <w:tcW w:w="1260" w:type="dxa"/>
            <w:vAlign w:val="bottom"/>
            <w:gridSpan w:val="2"/>
            <w:shd w:val="clear" w:color="auto" w:fill="CCEEFF"/>
          </w:tcPr>
          <w:p>
            <w:pPr>
              <w:jc w:val="right"/>
              <w:ind w:right="278"/>
              <w:spacing w:after="0" w:line="126" w:lineRule="exact"/>
              <w:rPr>
                <w:sz w:val="20"/>
                <w:szCs w:val="20"/>
                <w:color w:val="auto"/>
              </w:rPr>
            </w:pPr>
            <w:r>
              <w:rPr>
                <w:rFonts w:ascii="Times New Roman" w:cs="Times New Roman" w:eastAsia="Times New Roman" w:hAnsi="Times New Roman"/>
                <w:sz w:val="14"/>
                <w:szCs w:val="14"/>
                <w:color w:val="auto"/>
              </w:rPr>
              <w:t>2.6%</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1,116</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1331 17th Street, Ste. 812</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Denver, CO 80202</w:t>
            </w:r>
          </w:p>
        </w:tc>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Lash OpCo, LLC</w:t>
            </w: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Consumer Products</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278"/>
              <w:spacing w:after="0"/>
              <w:rPr>
                <w:sz w:val="20"/>
                <w:szCs w:val="20"/>
                <w:color w:val="auto"/>
              </w:rPr>
            </w:pPr>
            <w:r>
              <w:rPr>
                <w:rFonts w:ascii="Times New Roman" w:cs="Times New Roman" w:eastAsia="Times New Roman" w:hAnsi="Times New Roman"/>
                <w:sz w:val="14"/>
                <w:szCs w:val="14"/>
                <w:color w:val="auto"/>
              </w:rPr>
              <w:t>0.7%</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19,345</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(Gauge Lash Coinvest LLC)</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L+700, 02/18/2027</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1256 Main Street, Suite 256</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Southlake, TX 76092</w:t>
            </w: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LAV Gear Holdings, Inc.</w:t>
            </w:r>
          </w:p>
        </w:tc>
        <w:tc>
          <w:tcPr>
            <w:tcW w:w="18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Leisure, Amusement,</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jc w:val="right"/>
              <w:ind w:right="418"/>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755</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3165 W Sunset Rd,</w:t>
            </w:r>
          </w:p>
        </w:tc>
        <w:tc>
          <w:tcPr>
            <w:tcW w:w="18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Motion Pictures,</w:t>
            </w: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L+750 (PIK 5.0%),</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Las Vegas, NV 89118</w:t>
            </w:r>
          </w:p>
        </w:tc>
        <w:tc>
          <w:tcPr>
            <w:tcW w:w="18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Entertainment</w:t>
            </w:r>
          </w:p>
        </w:tc>
        <w:tc>
          <w:tcPr>
            <w:tcW w:w="3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10/31/2024</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8" w:right="4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360" w:type="dxa"/>
            <w:vAlign w:val="bottom"/>
            <w:gridSpan w:val="2"/>
          </w:tcPr>
          <w:p>
            <w:pPr>
              <w:jc w:val="center"/>
              <w:ind w:right="498"/>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366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200" w:type="dxa"/>
            <w:vAlign w:val="bottom"/>
            <w:gridSpan w:val="2"/>
            <w:vMerge w:val="continue"/>
          </w:tcPr>
          <w:p>
            <w:pPr>
              <w:spacing w:after="0"/>
              <w:rPr>
                <w:sz w:val="12"/>
                <w:szCs w:val="12"/>
                <w:color w:val="auto"/>
              </w:rPr>
            </w:pPr>
          </w:p>
        </w:tc>
        <w:tc>
          <w:tcPr>
            <w:tcW w:w="1360" w:type="dxa"/>
            <w:vAlign w:val="bottom"/>
            <w:gridSpan w:val="2"/>
          </w:tcPr>
          <w:p>
            <w:pPr>
              <w:jc w:val="center"/>
              <w:ind w:right="498"/>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78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3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360" w:type="dxa"/>
            <w:vAlign w:val="bottom"/>
            <w:gridSpan w:val="2"/>
          </w:tcPr>
          <w:p>
            <w:pPr>
              <w:jc w:val="center"/>
              <w:ind w:right="498"/>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36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Ledge Lounger, Inc.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Consumer Products</w:t>
            </w:r>
          </w:p>
        </w:tc>
        <w:tc>
          <w:tcPr>
            <w:tcW w:w="280" w:type="dxa"/>
            <w:vAlign w:val="bottom"/>
            <w:tcBorders>
              <w:top w:val="single" w:sz="8" w:color="CCEEFF"/>
            </w:tcBorders>
            <w:shd w:val="clear" w:color="auto" w:fill="CCEEFF"/>
          </w:tcPr>
          <w:p>
            <w:pPr>
              <w:spacing w:after="0"/>
              <w:rPr>
                <w:sz w:val="9"/>
                <w:szCs w:val="9"/>
                <w:color w:val="auto"/>
              </w:rPr>
            </w:pPr>
          </w:p>
        </w:tc>
        <w:tc>
          <w:tcPr>
            <w:tcW w:w="292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9"/>
                <w:szCs w:val="9"/>
                <w:color w:val="auto"/>
              </w:rPr>
              <w:t>(4)</w:t>
            </w: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620"/>
              <w:spacing w:after="0" w:line="109" w:lineRule="exact"/>
              <w:rPr>
                <w:sz w:val="20"/>
                <w:szCs w:val="20"/>
                <w:color w:val="auto"/>
              </w:rPr>
            </w:pPr>
            <w:r>
              <w:rPr>
                <w:rFonts w:ascii="Times New Roman" w:cs="Times New Roman" w:eastAsia="Times New Roman" w:hAnsi="Times New Roman"/>
                <w:sz w:val="12"/>
                <w:szCs w:val="12"/>
                <w:color w:val="auto"/>
              </w:rPr>
              <w:t>1.2</w:t>
            </w:r>
          </w:p>
        </w:tc>
        <w:tc>
          <w:tcPr>
            <w:tcW w:w="560" w:type="dxa"/>
            <w:vAlign w:val="bottom"/>
            <w:tcBorders>
              <w:top w:val="single" w:sz="8" w:color="CCEEFF"/>
            </w:tcBorders>
            <w:shd w:val="clear" w:color="auto" w:fill="CCEEFF"/>
          </w:tcPr>
          <w:p>
            <w:pPr>
              <w:jc w:val="right"/>
              <w:ind w:right="37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11,194</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(SP L2 Holdings, LLC)</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3M L+625, 11/09/2026</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616 Cane Island Pkwy Suite 200</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Katy, TX 77494</w:t>
            </w:r>
          </w:p>
        </w:tc>
        <w:tc>
          <w:tcPr>
            <w:tcW w:w="1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Lightspeed Buyer Inc.</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Healthcare, Education and</w:t>
            </w:r>
          </w:p>
        </w:tc>
        <w:tc>
          <w:tcPr>
            <w:tcW w:w="3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0.2%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5,390</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(Lightspeed Investment Holdco LLC)</w:t>
            </w:r>
          </w:p>
        </w:tc>
        <w:tc>
          <w:tcPr>
            <w:tcW w:w="1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L+575, 02/03/2026</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1457 East 40th Street</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Cleveland, OH 44103</w:t>
            </w: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Lombart Brothers, Inc.</w:t>
            </w:r>
          </w:p>
        </w:tc>
        <w:tc>
          <w:tcPr>
            <w:tcW w:w="18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2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6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2,788</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5358 Robin Hood Road</w:t>
            </w:r>
          </w:p>
        </w:tc>
        <w:tc>
          <w:tcPr>
            <w:tcW w:w="18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2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L+625, 04/13/2023</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Norfolk, VA 23513</w:t>
            </w:r>
          </w:p>
        </w:tc>
        <w:tc>
          <w:tcPr>
            <w:tcW w:w="1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Management Consulting &amp; Research, LLC</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Aerospace and Defense</w:t>
            </w:r>
          </w:p>
        </w:tc>
        <w:tc>
          <w:tcPr>
            <w:tcW w:w="3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13,661</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2010 Corporate Ridge #850</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08/16/2027</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Mars Acquisition Holdings Corp.</w:t>
            </w:r>
          </w:p>
        </w:tc>
        <w:tc>
          <w:tcPr>
            <w:tcW w:w="18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Media</w:t>
            </w:r>
          </w:p>
        </w:tc>
        <w:tc>
          <w:tcPr>
            <w:tcW w:w="320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(Mars Intermediate Holdings II, Inc.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05/14/2026</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25200 Telegraph Rd., 5th Floor</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Southfield, MI 48033</w:t>
            </w:r>
          </w:p>
        </w:tc>
        <w:tc>
          <w:tcPr>
            <w:tcW w:w="1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MBS Holdings, Inc.</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Telecommunications</w:t>
            </w:r>
          </w:p>
        </w:tc>
        <w:tc>
          <w:tcPr>
            <w:tcW w:w="3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880 Montclair Road Suite 400</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04/16/2027</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Birmingham, AL 35213</w:t>
            </w: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Meadowlark Acquirer, LLC</w:t>
            </w:r>
          </w:p>
        </w:tc>
        <w:tc>
          <w:tcPr>
            <w:tcW w:w="18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20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ind w:left="620"/>
              <w:spacing w:after="0" w:line="126" w:lineRule="exact"/>
              <w:rPr>
                <w:sz w:val="20"/>
                <w:szCs w:val="20"/>
                <w:color w:val="auto"/>
              </w:rPr>
            </w:pPr>
            <w:r>
              <w:rPr>
                <w:rFonts w:ascii="Times New Roman" w:cs="Times New Roman" w:eastAsia="Times New Roman" w:hAnsi="Times New Roman"/>
                <w:sz w:val="14"/>
                <w:szCs w:val="14"/>
                <w:color w:val="auto"/>
              </w:rPr>
              <w:t>0.8%</w:t>
            </w:r>
            <w:r>
              <w:rPr>
                <w:rFonts w:ascii="Times New Roman" w:cs="Times New Roman" w:eastAsia="Times New Roman" w:hAnsi="Times New Roman"/>
                <w:sz w:val="10"/>
                <w:szCs w:val="10"/>
                <w:color w:val="auto"/>
              </w:rPr>
              <w:t>(3)</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3,864</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(Meadowlark Title, LLC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12/10/2027</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888 Boylston, Ste. 1600,</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Boston, MA, 02199</w:t>
            </w:r>
          </w:p>
        </w:tc>
        <w:tc>
          <w:tcPr>
            <w:tcW w:w="1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MeritDirect, LLC</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Media</w:t>
            </w:r>
          </w:p>
        </w:tc>
        <w:tc>
          <w:tcPr>
            <w:tcW w:w="3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6,646</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(MeritDirect Holdings, LP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05/23/2024</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 International Drive</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Rye Brook, NY 10573</w:t>
            </w: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Municipal Emergency Services, Inc.</w:t>
            </w:r>
          </w:p>
        </w:tc>
        <w:tc>
          <w:tcPr>
            <w:tcW w:w="18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Distribution</w:t>
            </w:r>
          </w:p>
        </w:tc>
        <w:tc>
          <w:tcPr>
            <w:tcW w:w="320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ind w:left="620"/>
              <w:spacing w:after="0" w:line="126" w:lineRule="exact"/>
              <w:rPr>
                <w:sz w:val="20"/>
                <w:szCs w:val="20"/>
                <w:color w:val="auto"/>
              </w:rPr>
            </w:pPr>
            <w:r>
              <w:rPr>
                <w:rFonts w:ascii="Times New Roman" w:cs="Times New Roman" w:eastAsia="Times New Roman" w:hAnsi="Times New Roman"/>
                <w:sz w:val="14"/>
                <w:szCs w:val="14"/>
                <w:color w:val="auto"/>
              </w:rPr>
              <w:t>2.1%</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10,703</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 Turnberry Ln</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L+500, 09/28/2027</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Sandy Hook, CT 06482</w:t>
            </w:r>
          </w:p>
        </w:tc>
        <w:tc>
          <w:tcPr>
            <w:tcW w:w="1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NBH Group LLC</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Healthcare, Education and</w:t>
            </w:r>
          </w:p>
        </w:tc>
        <w:tc>
          <w:tcPr>
            <w:tcW w:w="3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3035 S Maryland Pkwy #110</w:t>
            </w:r>
          </w:p>
        </w:tc>
        <w:tc>
          <w:tcPr>
            <w:tcW w:w="1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08/19/2026</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89109</w:t>
            </w: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Neptune Flood Incorporated</w:t>
            </w:r>
            <w:r>
              <w:rPr>
                <w:rFonts w:ascii="Times New Roman" w:cs="Times New Roman" w:eastAsia="Times New Roman" w:hAnsi="Times New Roman"/>
                <w:sz w:val="10"/>
                <w:szCs w:val="10"/>
                <w:color w:val="auto"/>
              </w:rPr>
              <w:t>(6)</w:t>
            </w:r>
          </w:p>
        </w:tc>
        <w:tc>
          <w:tcPr>
            <w:tcW w:w="18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Financial Services</w:t>
            </w:r>
          </w:p>
        </w:tc>
        <w:tc>
          <w:tcPr>
            <w:tcW w:w="320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6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4,797</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400 6th Street S.</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10/14/2026</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 Petersburg, FL 33701</w:t>
            </w:r>
          </w:p>
        </w:tc>
        <w:tc>
          <w:tcPr>
            <w:tcW w:w="1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OHCP V BC COI, L.P.</w:t>
            </w:r>
            <w:r>
              <w:rPr>
                <w:rFonts w:ascii="Times New Roman" w:cs="Times New Roman" w:eastAsia="Times New Roman" w:hAnsi="Times New Roman"/>
                <w:sz w:val="10"/>
                <w:szCs w:val="10"/>
                <w:color w:val="auto"/>
              </w:rPr>
              <w:t>(5)</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Distribution</w:t>
            </w:r>
          </w:p>
        </w:tc>
        <w:tc>
          <w:tcPr>
            <w:tcW w:w="3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(4)</w:t>
            </w:r>
          </w:p>
        </w:tc>
        <w:tc>
          <w:tcPr>
            <w:tcW w:w="1360" w:type="dxa"/>
            <w:vAlign w:val="bottom"/>
            <w:gridSpan w:val="2"/>
          </w:tcPr>
          <w:p>
            <w:pPr>
              <w:ind w:left="600"/>
              <w:spacing w:after="0" w:line="233"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1"/>
                <w:szCs w:val="11"/>
                <w:color w:val="auto"/>
              </w:rPr>
              <w:t xml:space="preserve"> (7)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525 West Monroe Street</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Chicago, IL 60661</w:t>
            </w: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OIS Management Services, LLC</w:t>
            </w:r>
          </w:p>
        </w:tc>
        <w:tc>
          <w:tcPr>
            <w:tcW w:w="18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20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vertAlign w:val="subscript"/>
              </w:rPr>
              <w:t>— </w:t>
            </w:r>
            <w:r>
              <w:rPr>
                <w:rFonts w:ascii="Times New Roman" w:cs="Times New Roman" w:eastAsia="Times New Roman" w:hAnsi="Times New Roman"/>
                <w:sz w:val="8"/>
                <w:szCs w:val="8"/>
                <w:color w:val="auto"/>
              </w:rPr>
              <w:t xml:space="preserve"> (7)</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1,820</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(Oral Surgery (ITC) Holdings, LLC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8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2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L+450, 07/09/2026</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2600 S 56th Street A</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Lincoln, NE 68506</w:t>
            </w:r>
          </w:p>
        </w:tc>
        <w:tc>
          <w:tcPr>
            <w:tcW w:w="1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One Stop Mailing, LLC</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Cargo Transport</w:t>
            </w:r>
          </w:p>
        </w:tc>
        <w:tc>
          <w:tcPr>
            <w:tcW w:w="3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9,709</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601 Regency Drive</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L+625, 05/07/2027</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Glendale Heights, IL 60139</w:t>
            </w: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ORL Acquisition, Inc.</w:t>
            </w:r>
          </w:p>
        </w:tc>
        <w:tc>
          <w:tcPr>
            <w:tcW w:w="18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20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ind w:left="620"/>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5,081</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(ORL Holdco, Inc.)</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L+525, 09/03/2027</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5555 N Beach St #4100,</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Fort Worth, TX 76137</w:t>
            </w:r>
          </w:p>
        </w:tc>
        <w:tc>
          <w:tcPr>
            <w:tcW w:w="1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8" w:right="4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3680" w:type="dxa"/>
            <w:vAlign w:val="bottom"/>
            <w:gridSpan w:val="2"/>
            <w:vMerge w:val="continue"/>
          </w:tcPr>
          <w:p>
            <w:pPr>
              <w:spacing w:after="0"/>
              <w:rPr>
                <w:sz w:val="12"/>
                <w:szCs w:val="12"/>
                <w:color w:val="auto"/>
              </w:rPr>
            </w:pPr>
          </w:p>
        </w:tc>
        <w:tc>
          <w:tcPr>
            <w:tcW w:w="1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340" w:type="dxa"/>
            <w:vAlign w:val="bottom"/>
            <w:gridSpan w:val="2"/>
            <w:vMerge w:val="continue"/>
          </w:tcPr>
          <w:p>
            <w:pPr>
              <w:spacing w:after="0"/>
              <w:rPr>
                <w:sz w:val="12"/>
                <w:szCs w:val="12"/>
                <w:color w:val="auto"/>
              </w:rPr>
            </w:pPr>
          </w:p>
        </w:tc>
        <w:tc>
          <w:tcPr>
            <w:tcW w:w="126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8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368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Ox Two, LLC</w:t>
            </w: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Building Materials</w:t>
            </w:r>
          </w:p>
        </w:tc>
        <w:tc>
          <w:tcPr>
            <w:tcW w:w="280" w:type="dxa"/>
            <w:vAlign w:val="bottom"/>
            <w:tcBorders>
              <w:top w:val="single" w:sz="8" w:color="CCEEFF"/>
            </w:tcBorders>
            <w:shd w:val="clear" w:color="auto" w:fill="CCEEFF"/>
          </w:tcPr>
          <w:p>
            <w:pPr>
              <w:spacing w:after="0"/>
              <w:rPr>
                <w:sz w:val="9"/>
                <w:szCs w:val="9"/>
                <w:color w:val="auto"/>
              </w:rPr>
            </w:pPr>
          </w:p>
        </w:tc>
        <w:tc>
          <w:tcPr>
            <w:tcW w:w="30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9"/>
                <w:szCs w:val="9"/>
                <w:color w:val="auto"/>
              </w:rPr>
              <w:t>(4)</w:t>
            </w: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0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4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17,045</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22260 Haggerty Road #365</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L+600, 05/18/2026</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Northville, MI 48167</w:t>
            </w:r>
          </w:p>
        </w:tc>
        <w:tc>
          <w:tcPr>
            <w:tcW w:w="1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 Acquisitionco, LLC</w:t>
            </w: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Retail</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10,333</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(Pink Lily Holdco, LLC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L+650, 11/09/2027</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323 Mitch McConnell Way</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Bowling Green KY 42101</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PRA Events, Inc.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ind w:left="640"/>
              <w:spacing w:after="0" w:line="126" w:lineRule="exact"/>
              <w:rPr>
                <w:sz w:val="20"/>
                <w:szCs w:val="20"/>
                <w:color w:val="auto"/>
              </w:rPr>
            </w:pPr>
            <w:r>
              <w:rPr>
                <w:rFonts w:ascii="Times New Roman" w:cs="Times New Roman" w:eastAsia="Times New Roman" w:hAnsi="Times New Roman"/>
                <w:sz w:val="14"/>
                <w:szCs w:val="14"/>
                <w:color w:val="auto"/>
              </w:rPr>
              <w:t>1.5%</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26,567</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(CI (Allied) Investment Holdings, LLC</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L+1,050 (PIK 11.5%), 08/07/2025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One North LaSalle Street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Chicago, IL 60602</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Quantic Electronics, LLC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Aerospace and Defense</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2,657</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Four Embarcadero Center, Suite 3460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L+625, 11/19/2026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 Francisco, CA 94111</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QuantiTech LLC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Aerospace and Defense</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Second Lien Secured Debt,</w:t>
            </w:r>
          </w:p>
        </w:tc>
        <w:tc>
          <w:tcPr>
            <w:tcW w:w="1260" w:type="dxa"/>
            <w:vAlign w:val="bottom"/>
            <w:gridSpan w:val="2"/>
            <w:shd w:val="clear" w:color="auto" w:fill="CCEEFF"/>
          </w:tcPr>
          <w:p>
            <w:pPr>
              <w:ind w:left="640"/>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(QuantiTech InvestCo LP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L+1,000, 02/04/2027</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(QuantiTech InvestCo II LP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360A Quality Circle Suite 100</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Questex, LLC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Media</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22,148</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275 Grove Street, Suite 2-130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L+500, 09/07/2024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Newton, MA 02466</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Radius Aerospace, Inc.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Aerospace and Defense</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153 Extrusion Place</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L+575, 03/29/2025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Hot Springs, AR 71901</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Rancho Health MSO, Inc.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Healthcare, Education</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0.8%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1,154</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(RFMG Parent, LP)</w:t>
            </w:r>
          </w:p>
        </w:tc>
        <w:tc>
          <w:tcPr>
            <w:tcW w:w="1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and Childcare</w:t>
            </w:r>
          </w:p>
        </w:tc>
        <w:tc>
          <w:tcPr>
            <w:tcW w:w="3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 12/18/2025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31720 Temecula Pkwy Suite 100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Temecula, CA 92592</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Recteq, LLC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Consumer Products</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ind w:left="640"/>
              <w:spacing w:after="0" w:line="126" w:lineRule="exact"/>
              <w:rPr>
                <w:sz w:val="20"/>
                <w:szCs w:val="20"/>
                <w:color w:val="auto"/>
              </w:rPr>
            </w:pPr>
            <w:r>
              <w:rPr>
                <w:rFonts w:ascii="Times New Roman" w:cs="Times New Roman" w:eastAsia="Times New Roman" w:hAnsi="Times New Roman"/>
                <w:sz w:val="14"/>
                <w:szCs w:val="14"/>
                <w:color w:val="auto"/>
              </w:rPr>
              <w:t>0.6%</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1,273</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(NEPRT Parent Holdings, LLC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01/29/2026</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1061 Triad Ct., Ste. 3</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Marietta, GA 30062</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Research Horizons, LLC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Media</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22,776</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1140 Broadway, Suite 1002</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L+625, 06/28/2022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10001</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Research Now Group, Inc. and Dynata, LLC</w:t>
            </w:r>
          </w:p>
        </w:tc>
        <w:tc>
          <w:tcPr>
            <w:tcW w:w="17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2,835</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5800 Tennyson Parkway, Suite 600</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12/20/2024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Plano, TX 75024</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Riverpoint Medical, LLC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Healthcare, Education</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825 NE 25th Avenue</w:t>
            </w:r>
          </w:p>
        </w:tc>
        <w:tc>
          <w:tcPr>
            <w:tcW w:w="1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and Childcare</w:t>
            </w:r>
          </w:p>
        </w:tc>
        <w:tc>
          <w:tcPr>
            <w:tcW w:w="3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 06/20/2025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Portland, OR 97232</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Riverside Assessments, LLC</w:t>
            </w:r>
          </w:p>
        </w:tc>
        <w:tc>
          <w:tcPr>
            <w:tcW w:w="17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Education</w:t>
            </w:r>
          </w:p>
        </w:tc>
        <w:tc>
          <w:tcPr>
            <w:tcW w:w="334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15,320</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One Pierce Pl, Suite 900W</w:t>
            </w:r>
          </w:p>
        </w:tc>
        <w:tc>
          <w:tcPr>
            <w:tcW w:w="1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L+575, 03/10/2025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Itasca, IL 60143</w:t>
            </w: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Benchmark Index LLC</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Business Services</w:t>
            </w:r>
          </w:p>
        </w:tc>
        <w:tc>
          <w:tcPr>
            <w:tcW w:w="3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(SBI Holdings Investments LLC)</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01/07/2025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2021 McKinney Avenue Suite 550</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TX 75201</w:t>
            </w: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8" w:right="4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3660" w:type="dxa"/>
            <w:vAlign w:val="bottom"/>
            <w:gridSpan w:val="2"/>
            <w:vMerge w:val="continue"/>
          </w:tcPr>
          <w:p>
            <w:pPr>
              <w:spacing w:after="0"/>
              <w:rPr>
                <w:sz w:val="12"/>
                <w:szCs w:val="12"/>
                <w:color w:val="auto"/>
              </w:rPr>
            </w:pPr>
          </w:p>
        </w:tc>
        <w:tc>
          <w:tcPr>
            <w:tcW w:w="1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320" w:type="dxa"/>
            <w:vAlign w:val="bottom"/>
            <w:gridSpan w:val="2"/>
            <w:vMerge w:val="continue"/>
          </w:tcPr>
          <w:p>
            <w:pPr>
              <w:spacing w:after="0"/>
              <w:rPr>
                <w:sz w:val="12"/>
                <w:szCs w:val="12"/>
                <w:color w:val="auto"/>
              </w:rPr>
            </w:pPr>
          </w:p>
        </w:tc>
        <w:tc>
          <w:tcPr>
            <w:tcW w:w="126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7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36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Sargent &amp; Greenleaf Inc.</w:t>
            </w: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Electronics</w:t>
            </w:r>
          </w:p>
        </w:tc>
        <w:tc>
          <w:tcPr>
            <w:tcW w:w="28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r>
              <w:rPr>
                <w:rFonts w:ascii="Times New Roman" w:cs="Times New Roman" w:eastAsia="Times New Roman" w:hAnsi="Times New Roman"/>
                <w:sz w:val="9"/>
                <w:szCs w:val="9"/>
                <w:color w:val="auto"/>
              </w:rPr>
              <w:t>(4)</w:t>
            </w: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600"/>
              <w:spacing w:after="0" w:line="109" w:lineRule="exact"/>
              <w:rPr>
                <w:sz w:val="20"/>
                <w:szCs w:val="20"/>
                <w:color w:val="auto"/>
              </w:rPr>
            </w:pPr>
            <w:r>
              <w:rPr>
                <w:rFonts w:ascii="Times New Roman" w:cs="Times New Roman" w:eastAsia="Times New Roman" w:hAnsi="Times New Roman"/>
                <w:sz w:val="12"/>
                <w:szCs w:val="12"/>
                <w:color w:val="auto"/>
                <w:w w:val="99"/>
              </w:rPr>
              <w:t>— </w:t>
            </w:r>
          </w:p>
        </w:tc>
        <w:tc>
          <w:tcPr>
            <w:tcW w:w="46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493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One Security Drive</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L+550, 12/20/2024</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Nicholasville, KY 40356</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Schlesinger Global, Inc.</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Business Services</w:t>
            </w:r>
          </w:p>
        </w:tc>
        <w:tc>
          <w:tcPr>
            <w:tcW w:w="3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320"/>
              <w:spacing w:after="0" w:line="233"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1"/>
                <w:szCs w:val="11"/>
                <w:color w:val="auto"/>
              </w:rPr>
              <w:t xml:space="preserve"> (7)</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4,411</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(Gauge Schlesinger Coinvest, LLC)</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L+700 (PIK 1.0%), 07/14/2025</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101 Wood Avenue South, Suite 501</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Iselin, NJ 08830</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Sigma Defense Systems, LLC</w:t>
            </w:r>
          </w:p>
        </w:tc>
        <w:tc>
          <w:tcPr>
            <w:tcW w:w="18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Telecommunications</w:t>
            </w:r>
          </w:p>
        </w:tc>
        <w:tc>
          <w:tcPr>
            <w:tcW w:w="33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1.4%</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25,603</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(Delta InvestCo LP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L+850, 12/18/2025</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1812 Macon Rd, Perry, GA 31069</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10"/>
                <w:szCs w:val="10"/>
                <w:color w:val="auto"/>
              </w:rPr>
              <w:t>(4)</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Signature Systems Holding Company</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Chemicals, Plastics and</w:t>
            </w:r>
          </w:p>
        </w:tc>
        <w:tc>
          <w:tcPr>
            <w:tcW w:w="3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1.9%</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(Signature CR Intermediate Holdco, Inc.)</w:t>
            </w:r>
          </w:p>
        </w:tc>
        <w:tc>
          <w:tcPr>
            <w:tcW w:w="1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Rubber</w:t>
            </w: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05/03/2024</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1201 Lakeside Parkway, Suite 150</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Flower Mound, TX 75028</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Solutionreach, Inc.</w:t>
            </w:r>
          </w:p>
        </w:tc>
        <w:tc>
          <w:tcPr>
            <w:tcW w:w="18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33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ind w:left="66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2600 N. Ashton Blvd.</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01/17/2024</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Lehi, UT 84043</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Spear Education, LLC</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Education</w:t>
            </w:r>
          </w:p>
        </w:tc>
        <w:tc>
          <w:tcPr>
            <w:tcW w:w="3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14,860</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7201 E Princess Boulevard</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L+500, 02/26/2025</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Scottsdale, AZ 85255</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SSC Dominion Holdings, LLC</w:t>
            </w:r>
          </w:p>
        </w:tc>
        <w:tc>
          <w:tcPr>
            <w:tcW w:w="18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Electronics</w:t>
            </w:r>
          </w:p>
        </w:tc>
        <w:tc>
          <w:tcPr>
            <w:tcW w:w="332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Common Equity</w:t>
            </w:r>
          </w:p>
        </w:tc>
        <w:tc>
          <w:tcPr>
            <w:tcW w:w="1260" w:type="dxa"/>
            <w:vAlign w:val="bottom"/>
            <w:gridSpan w:val="2"/>
            <w:shd w:val="clear" w:color="auto" w:fill="CCEEFF"/>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2.9%</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5,619</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215 Spadina Avenue, Suite 200</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Toronto, ON MST 2C7</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TAC LifePort Purchaser, LLC</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Aerospace and Defense</w:t>
            </w:r>
          </w:p>
        </w:tc>
        <w:tc>
          <w:tcPr>
            <w:tcW w:w="3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(TAC LifePort Holdings, LLC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03/01/2026</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1610 Heritage St</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Woodland, WA 98674</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The Aegis Technologies Group, LLC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Aerospace and Defense</w:t>
            </w:r>
          </w:p>
        </w:tc>
        <w:tc>
          <w:tcPr>
            <w:tcW w:w="33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11,180</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4601 N. Fairfax Drive, Suite 900</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L+600, 10/31/2025</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Arlington, VA, 22203</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Bluebird Group LLC</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Business Services</w:t>
            </w:r>
          </w:p>
        </w:tc>
        <w:tc>
          <w:tcPr>
            <w:tcW w:w="3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2,644</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81 South Ninth Street, Suite 420,</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3M L+700, 07/27/2026</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Minneapolis, MN, 55402</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The Vertex Companies, LLC</w:t>
            </w:r>
          </w:p>
        </w:tc>
        <w:tc>
          <w:tcPr>
            <w:tcW w:w="1860" w:type="dxa"/>
            <w:vAlign w:val="bottom"/>
            <w:gridSpan w:val="2"/>
            <w:shd w:val="clear" w:color="auto" w:fill="CCEEFF"/>
          </w:tcPr>
          <w:p>
            <w:pPr>
              <w:jc w:val="center"/>
              <w:ind w:right="2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20"/>
              <w:spacing w:after="0" w:line="126" w:lineRule="exact"/>
              <w:rPr>
                <w:sz w:val="20"/>
                <w:szCs w:val="20"/>
                <w:color w:val="auto"/>
              </w:rPr>
            </w:pPr>
            <w:r>
              <w:rPr>
                <w:rFonts w:ascii="Times New Roman" w:cs="Times New Roman" w:eastAsia="Times New Roman" w:hAnsi="Times New Roman"/>
                <w:sz w:val="14"/>
                <w:szCs w:val="14"/>
                <w:color w:val="auto"/>
                <w:vertAlign w:val="subscript"/>
              </w:rPr>
              <w:t>— </w:t>
            </w:r>
            <w:r>
              <w:rPr>
                <w:rFonts w:ascii="Times New Roman" w:cs="Times New Roman" w:eastAsia="Times New Roman" w:hAnsi="Times New Roman"/>
                <w:sz w:val="8"/>
                <w:szCs w:val="8"/>
                <w:color w:val="auto"/>
              </w:rPr>
              <w:t xml:space="preserve"> (7)</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(TWD Parent Holdings, LLC)</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 08/30/2027</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398 Libbey Industrial Pkwy,</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Weymouth, MA 02189</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TPC Canada Parent, Inc. and TPC US Parent, LLC</w:t>
            </w:r>
            <w:r>
              <w:rPr>
                <w:rFonts w:ascii="Times New Roman" w:cs="Times New Roman" w:eastAsia="Times New Roman" w:hAnsi="Times New Roman"/>
                <w:sz w:val="10"/>
                <w:szCs w:val="10"/>
                <w:color w:val="auto"/>
              </w:rPr>
              <w:t>(6)</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Food</w:t>
            </w:r>
          </w:p>
        </w:tc>
        <w:tc>
          <w:tcPr>
            <w:tcW w:w="3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1,986</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(TPC Holding Company, LP</w:t>
            </w:r>
            <w:r>
              <w:rPr>
                <w:rFonts w:ascii="Times New Roman" w:cs="Times New Roman" w:eastAsia="Times New Roman" w:hAnsi="Times New Roman"/>
                <w:sz w:val="10"/>
                <w:szCs w:val="10"/>
                <w:color w:val="auto"/>
              </w:rPr>
              <w:t>(6)</w:t>
            </w:r>
            <w:r>
              <w:rPr>
                <w:rFonts w:ascii="Times New Roman" w:cs="Times New Roman" w:eastAsia="Times New Roman" w:hAnsi="Times New Roman"/>
                <w:sz w:val="14"/>
                <w:szCs w:val="14"/>
                <w:color w:val="auto"/>
              </w:rPr>
              <w:t>)</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3M L+525, 11/24/2025</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151 Struthers Street</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Warren, PA 16365</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TVC Enterprises, LLC</w:t>
            </w:r>
          </w:p>
        </w:tc>
        <w:tc>
          <w:tcPr>
            <w:tcW w:w="186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4"/>
                <w:szCs w:val="14"/>
                <w:color w:val="auto"/>
              </w:rPr>
              <w:t>Transportation</w:t>
            </w:r>
          </w:p>
        </w:tc>
        <w:tc>
          <w:tcPr>
            <w:tcW w:w="3320" w:type="dxa"/>
            <w:vAlign w:val="bottom"/>
            <w:gridSpan w:val="2"/>
            <w:shd w:val="clear" w:color="auto" w:fill="CCEEFF"/>
          </w:tcPr>
          <w:p>
            <w:pPr>
              <w:jc w:val="center"/>
              <w:ind w:right="30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1.5%</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18,752</w:t>
            </w: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(Gauge TVC Coinvest, LLC)</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L+575, 03/26/2026</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6100 Lake Forrest Drive</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Atlanta, GA 30328</w:t>
            </w: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TWS Acquisition Corporation</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Education</w:t>
            </w:r>
          </w:p>
        </w:tc>
        <w:tc>
          <w:tcPr>
            <w:tcW w:w="3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4,137</w:t>
            </w: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120 N. 44th Street #230</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1M L+625, 06/16/2025</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 AZ 85034</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8" w:right="4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300" w:type="dxa"/>
            <w:vAlign w:val="bottom"/>
            <w:gridSpan w:val="2"/>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3700" w:type="dxa"/>
            <w:vAlign w:val="bottom"/>
            <w:gridSpan w:val="2"/>
            <w:vMerge w:val="continue"/>
          </w:tcPr>
          <w:p>
            <w:pPr>
              <w:spacing w:after="0"/>
              <w:rPr>
                <w:sz w:val="12"/>
                <w:szCs w:val="12"/>
                <w:color w:val="auto"/>
              </w:rPr>
            </w:pPr>
          </w:p>
        </w:tc>
        <w:tc>
          <w:tcPr>
            <w:tcW w:w="1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360" w:type="dxa"/>
            <w:vAlign w:val="bottom"/>
            <w:gridSpan w:val="2"/>
            <w:vMerge w:val="continue"/>
          </w:tcPr>
          <w:p>
            <w:pPr>
              <w:spacing w:after="0"/>
              <w:rPr>
                <w:sz w:val="12"/>
                <w:szCs w:val="12"/>
                <w:color w:val="auto"/>
              </w:rPr>
            </w:pPr>
          </w:p>
        </w:tc>
        <w:tc>
          <w:tcPr>
            <w:tcW w:w="1300" w:type="dxa"/>
            <w:vAlign w:val="bottom"/>
            <w:gridSpan w:val="2"/>
          </w:tcPr>
          <w:p>
            <w:pPr>
              <w:jc w:val="center"/>
              <w:ind w:right="438"/>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8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300" w:type="dxa"/>
            <w:vAlign w:val="bottom"/>
            <w:gridSpan w:val="2"/>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9"/>
        </w:trPr>
        <w:tc>
          <w:tcPr>
            <w:tcW w:w="370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Tyto Athene, LLC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Aerospace and Defense</w:t>
            </w:r>
          </w:p>
        </w:tc>
        <w:tc>
          <w:tcPr>
            <w:tcW w:w="200" w:type="dxa"/>
            <w:vAlign w:val="bottom"/>
            <w:tcBorders>
              <w:top w:val="single" w:sz="8" w:color="CCEEFF"/>
            </w:tcBorders>
            <w:shd w:val="clear" w:color="auto" w:fill="CCEEFF"/>
          </w:tcPr>
          <w:p>
            <w:pPr>
              <w:spacing w:after="0"/>
              <w:rPr>
                <w:sz w:val="9"/>
                <w:szCs w:val="9"/>
                <w:color w:val="auto"/>
              </w:rPr>
            </w:pPr>
          </w:p>
        </w:tc>
        <w:tc>
          <w:tcPr>
            <w:tcW w:w="31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0.2</w:t>
            </w:r>
          </w:p>
        </w:tc>
        <w:tc>
          <w:tcPr>
            <w:tcW w:w="500" w:type="dxa"/>
            <w:vAlign w:val="bottom"/>
            <w:tcBorders>
              <w:top w:val="single" w:sz="8" w:color="CCEEFF"/>
            </w:tcBorders>
            <w:shd w:val="clear" w:color="auto" w:fill="CCEEFF"/>
          </w:tcPr>
          <w:p>
            <w:pPr>
              <w:jc w:val="right"/>
              <w:ind w:right="31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5,437</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(NXOF Holdings, Inc.)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L+550, 04/01/2026</w:t>
            </w: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510 Spring Street, Suite 200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Herndon, VA 20170</w:t>
            </w: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Well Services, Inc.</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Oil and Gas</w:t>
            </w: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Common Equity</w:t>
            </w:r>
          </w:p>
        </w:tc>
        <w:tc>
          <w:tcPr>
            <w:tcW w:w="1300" w:type="dxa"/>
            <w:vAlign w:val="bottom"/>
            <w:gridSpan w:val="2"/>
          </w:tcPr>
          <w:p>
            <w:pPr>
              <w:jc w:val="right"/>
              <w:ind w:right="318"/>
              <w:spacing w:after="0"/>
              <w:rPr>
                <w:sz w:val="20"/>
                <w:szCs w:val="20"/>
                <w:color w:val="auto"/>
              </w:rPr>
            </w:pPr>
            <w:r>
              <w:rPr>
                <w:rFonts w:ascii="Times New Roman" w:cs="Times New Roman" w:eastAsia="Times New Roman" w:hAnsi="Times New Roman"/>
                <w:sz w:val="14"/>
                <w:szCs w:val="14"/>
                <w:color w:val="auto"/>
              </w:rPr>
              <w:t>4.0%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770 South Post Oak Lane, Suite 405</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 TX 77056</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UniVista Insurance </w:t>
            </w:r>
            <w:r>
              <w:rPr>
                <w:rFonts w:ascii="Times New Roman" w:cs="Times New Roman" w:eastAsia="Times New Roman" w:hAnsi="Times New Roman"/>
                <w:sz w:val="10"/>
                <w:szCs w:val="10"/>
                <w:color w:val="auto"/>
              </w:rPr>
              <w:t>(5)</w:t>
            </w:r>
          </w:p>
        </w:tc>
        <w:tc>
          <w:tcPr>
            <w:tcW w:w="174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33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Common Equity</w:t>
            </w:r>
          </w:p>
        </w:tc>
        <w:tc>
          <w:tcPr>
            <w:tcW w:w="1300" w:type="dxa"/>
            <w:vAlign w:val="bottom"/>
            <w:gridSpan w:val="2"/>
            <w:shd w:val="clear" w:color="auto" w:fill="CCEEFF"/>
          </w:tcPr>
          <w:p>
            <w:pPr>
              <w:jc w:val="right"/>
              <w:ind w:right="31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528 NW 7th Ave,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Miami, FL 33136</w:t>
            </w: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VT Topco, Inc.</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Business Services</w:t>
            </w:r>
          </w:p>
        </w:tc>
        <w:tc>
          <w:tcPr>
            <w:tcW w:w="3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300" w:type="dxa"/>
            <w:vAlign w:val="bottom"/>
            <w:gridSpan w:val="2"/>
          </w:tcPr>
          <w:p>
            <w:pPr>
              <w:jc w:val="right"/>
              <w:ind w:right="318"/>
              <w:spacing w:after="0"/>
              <w:rPr>
                <w:sz w:val="20"/>
                <w:szCs w:val="20"/>
                <w:color w:val="auto"/>
              </w:rPr>
            </w:pPr>
            <w:r>
              <w:rPr>
                <w:rFonts w:ascii="Times New Roman" w:cs="Times New Roman" w:eastAsia="Times New Roman" w:hAnsi="Times New Roman"/>
                <w:sz w:val="14"/>
                <w:szCs w:val="14"/>
                <w:color w:val="auto"/>
              </w:rPr>
              <w:t>0.3%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20,700</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(Green Veracity Holdings, LP)</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L+675, 08/17/2026</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290 West Mount Pleasant Avenue, Suite 3200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Livingston, NJ 07039</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Walker Edison Furniture Company LLC</w:t>
            </w:r>
          </w:p>
        </w:tc>
        <w:tc>
          <w:tcPr>
            <w:tcW w:w="174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Home and Office</w:t>
            </w:r>
          </w:p>
        </w:tc>
        <w:tc>
          <w:tcPr>
            <w:tcW w:w="336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00" w:type="dxa"/>
            <w:vAlign w:val="bottom"/>
            <w:gridSpan w:val="2"/>
            <w:shd w:val="clear" w:color="auto" w:fill="CCEEFF"/>
          </w:tcPr>
          <w:p>
            <w:pPr>
              <w:jc w:val="right"/>
              <w:ind w:right="318"/>
              <w:spacing w:after="0" w:line="126" w:lineRule="exact"/>
              <w:rPr>
                <w:sz w:val="20"/>
                <w:szCs w:val="20"/>
                <w:color w:val="auto"/>
              </w:rPr>
            </w:pPr>
            <w:r>
              <w:rPr>
                <w:rFonts w:ascii="Times New Roman" w:cs="Times New Roman" w:eastAsia="Times New Roman" w:hAnsi="Times New Roman"/>
                <w:sz w:val="14"/>
                <w:szCs w:val="14"/>
                <w:color w:val="auto"/>
              </w:rPr>
              <w:t>1.3%</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28,265</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(JWC-WE Holdings, L.P. </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7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Furnishings</w:t>
            </w: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L+875, 03/31/2027</w:t>
            </w: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4350 West 2100 South, Suite A</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Salt Lake City, UT 84120</w:t>
            </w: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Wildcat Buyerco, Inc.</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Electronics</w:t>
            </w:r>
          </w:p>
        </w:tc>
        <w:tc>
          <w:tcPr>
            <w:tcW w:w="3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00" w:type="dxa"/>
            <w:vAlign w:val="bottom"/>
            <w:gridSpan w:val="2"/>
          </w:tcPr>
          <w:p>
            <w:pPr>
              <w:jc w:val="right"/>
              <w:ind w:right="318"/>
              <w:spacing w:after="0"/>
              <w:rPr>
                <w:sz w:val="20"/>
                <w:szCs w:val="20"/>
                <w:color w:val="auto"/>
              </w:rPr>
            </w:pPr>
            <w:r>
              <w:rPr>
                <w:rFonts w:ascii="Times New Roman" w:cs="Times New Roman" w:eastAsia="Times New Roman" w:hAnsi="Times New Roman"/>
                <w:sz w:val="14"/>
                <w:szCs w:val="14"/>
                <w:color w:val="auto"/>
              </w:rPr>
              <w:t>0.1%</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4,633</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(Wildcat Parent, LP)</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L+575, 02/27/2026</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9730 Northcross Center Court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Huntersville, NC 28078</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Zips Car Wash, LLC</w:t>
            </w:r>
          </w:p>
        </w:tc>
        <w:tc>
          <w:tcPr>
            <w:tcW w:w="174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Auto Sector</w:t>
            </w:r>
          </w:p>
        </w:tc>
        <w:tc>
          <w:tcPr>
            <w:tcW w:w="336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First Lien Secured Debt</w:t>
            </w:r>
            <w:r>
              <w:rPr>
                <w:rFonts w:ascii="Times New Roman" w:cs="Times New Roman" w:eastAsia="Times New Roman" w:hAnsi="Times New Roman"/>
                <w:sz w:val="10"/>
                <w:szCs w:val="10"/>
                <w:color w:val="auto"/>
              </w:rPr>
              <w:t>(4)</w:t>
            </w: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458"/>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22,955</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1809 East Parker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L+675, 03/01/2024</w:t>
            </w: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Jonesboro, AR 72404</w:t>
            </w: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Companies 5% to 24% Owned</w:t>
            </w: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ETX Energy, LLC</w:t>
            </w:r>
            <w:r>
              <w:rPr>
                <w:rFonts w:ascii="Times New Roman" w:cs="Times New Roman" w:eastAsia="Times New Roman" w:hAnsi="Times New Roman"/>
                <w:sz w:val="10"/>
                <w:szCs w:val="10"/>
                <w:color w:val="auto"/>
              </w:rPr>
              <w:t>(5)</w:t>
            </w:r>
          </w:p>
        </w:tc>
        <w:tc>
          <w:tcPr>
            <w:tcW w:w="174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Oil and Gas</w:t>
            </w:r>
          </w:p>
        </w:tc>
        <w:tc>
          <w:tcPr>
            <w:tcW w:w="33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Preferred Equity</w:t>
            </w:r>
          </w:p>
        </w:tc>
        <w:tc>
          <w:tcPr>
            <w:tcW w:w="1300" w:type="dxa"/>
            <w:vAlign w:val="bottom"/>
            <w:gridSpan w:val="2"/>
            <w:shd w:val="clear" w:color="auto" w:fill="CCEEFF"/>
          </w:tcPr>
          <w:p>
            <w:pPr>
              <w:jc w:val="right"/>
              <w:ind w:right="178"/>
              <w:spacing w:after="0" w:line="126" w:lineRule="exact"/>
              <w:rPr>
                <w:sz w:val="20"/>
                <w:szCs w:val="20"/>
                <w:color w:val="auto"/>
              </w:rPr>
            </w:pPr>
            <w:r>
              <w:rPr>
                <w:rFonts w:ascii="Times New Roman" w:cs="Times New Roman" w:eastAsia="Times New Roman" w:hAnsi="Times New Roman"/>
                <w:sz w:val="14"/>
                <w:szCs w:val="14"/>
                <w:color w:val="auto"/>
              </w:rPr>
              <w:t>14.4%</w:t>
            </w:r>
            <w:r>
              <w:rPr>
                <w:rFonts w:ascii="Times New Roman" w:cs="Times New Roman" w:eastAsia="Times New Roman" w:hAnsi="Times New Roman"/>
                <w:sz w:val="10"/>
                <w:szCs w:val="10"/>
                <w:color w:val="auto"/>
              </w:rPr>
              <w:t>(3)</w:t>
            </w:r>
          </w:p>
        </w:tc>
        <w:tc>
          <w:tcPr>
            <w:tcW w:w="920" w:type="dxa"/>
            <w:vAlign w:val="bottom"/>
            <w:gridSpan w:val="2"/>
            <w:shd w:val="clear" w:color="auto" w:fill="CCEEFF"/>
          </w:tcPr>
          <w:p>
            <w:pPr>
              <w:ind w:left="66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10441 S. Regal Blvd. Ste. 210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Tulsa, OK 74133</w:t>
            </w: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Companies 25% or More Owned</w:t>
            </w: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AKW Holdings Limited</w:t>
            </w:r>
            <w:r>
              <w:rPr>
                <w:rFonts w:ascii="Times New Roman" w:cs="Times New Roman" w:eastAsia="Times New Roman" w:hAnsi="Times New Roman"/>
                <w:sz w:val="10"/>
                <w:szCs w:val="10"/>
                <w:color w:val="auto"/>
              </w:rPr>
              <w:t>(6)</w:t>
            </w:r>
          </w:p>
        </w:tc>
        <w:tc>
          <w:tcPr>
            <w:tcW w:w="174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36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First Lien Secured Debt,</w:t>
            </w:r>
          </w:p>
        </w:tc>
        <w:tc>
          <w:tcPr>
            <w:tcW w:w="1300" w:type="dxa"/>
            <w:vAlign w:val="bottom"/>
            <w:gridSpan w:val="2"/>
            <w:shd w:val="clear" w:color="auto" w:fill="CCEEFF"/>
          </w:tcPr>
          <w:p>
            <w:pPr>
              <w:jc w:val="right"/>
              <w:ind w:right="178"/>
              <w:spacing w:after="0" w:line="126" w:lineRule="exact"/>
              <w:rPr>
                <w:sz w:val="20"/>
                <w:szCs w:val="20"/>
                <w:color w:val="auto"/>
              </w:rPr>
            </w:pPr>
            <w:r>
              <w:rPr>
                <w:rFonts w:ascii="Times New Roman" w:cs="Times New Roman" w:eastAsia="Times New Roman" w:hAnsi="Times New Roman"/>
                <w:sz w:val="14"/>
                <w:szCs w:val="14"/>
                <w:color w:val="auto"/>
              </w:rPr>
              <w:t>81.8%</w:t>
            </w:r>
            <w:r>
              <w:rPr>
                <w:rFonts w:ascii="Times New Roman" w:cs="Times New Roman" w:eastAsia="Times New Roman" w:hAnsi="Times New Roman"/>
                <w:sz w:val="10"/>
                <w:szCs w:val="10"/>
                <w:color w:val="auto"/>
              </w:rPr>
              <w:t>(3)</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44,697</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Unit L, Snugborough Trading Estate</w:t>
            </w:r>
          </w:p>
        </w:tc>
        <w:tc>
          <w:tcPr>
            <w:tcW w:w="17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L+700, 03/13/2024</w:t>
            </w: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Braddan, Isle of Man IM4 4LH</w:t>
            </w: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MailSouth, Inc.</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Printing and Publishing</w:t>
            </w:r>
          </w:p>
        </w:tc>
        <w:tc>
          <w:tcPr>
            <w:tcW w:w="3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300" w:type="dxa"/>
            <w:vAlign w:val="bottom"/>
            <w:gridSpan w:val="2"/>
          </w:tcPr>
          <w:p>
            <w:pPr>
              <w:jc w:val="right"/>
              <w:ind w:right="178"/>
              <w:spacing w:after="0"/>
              <w:rPr>
                <w:sz w:val="20"/>
                <w:szCs w:val="20"/>
                <w:color w:val="auto"/>
              </w:rPr>
            </w:pPr>
            <w:r>
              <w:rPr>
                <w:rFonts w:ascii="Times New Roman" w:cs="Times New Roman" w:eastAsia="Times New Roman" w:hAnsi="Times New Roman"/>
                <w:sz w:val="14"/>
                <w:szCs w:val="14"/>
                <w:color w:val="auto"/>
              </w:rPr>
              <w:t>51.1%</w:t>
            </w:r>
            <w:r>
              <w:rPr>
                <w:rFonts w:ascii="Times New Roman" w:cs="Times New Roman" w:eastAsia="Times New Roman" w:hAnsi="Times New Roman"/>
                <w:sz w:val="10"/>
                <w:szCs w:val="10"/>
                <w:color w:val="auto"/>
              </w:rPr>
              <w:t>(3)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11,506</w:t>
            </w: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(MSpark, LLC)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15.0% fixed (PIK 15.0%), 04/23/2025</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5901 Highway 52 East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Helena, AL 35080</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MidOcean JF Holdings Corp.</w:t>
            </w:r>
          </w:p>
        </w:tc>
        <w:tc>
          <w:tcPr>
            <w:tcW w:w="174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Distribution</w:t>
            </w:r>
          </w:p>
        </w:tc>
        <w:tc>
          <w:tcPr>
            <w:tcW w:w="3360" w:type="dxa"/>
            <w:vAlign w:val="bottom"/>
            <w:gridSpan w:val="2"/>
            <w:shd w:val="clear" w:color="auto" w:fill="CCEEFF"/>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Preferred Equity</w:t>
            </w:r>
          </w:p>
        </w:tc>
        <w:tc>
          <w:tcPr>
            <w:tcW w:w="1300" w:type="dxa"/>
            <w:vAlign w:val="bottom"/>
            <w:gridSpan w:val="2"/>
            <w:shd w:val="clear" w:color="auto" w:fill="CCEEFF"/>
          </w:tcPr>
          <w:p>
            <w:pPr>
              <w:jc w:val="right"/>
              <w:ind w:right="178"/>
              <w:spacing w:after="0" w:line="126" w:lineRule="exact"/>
              <w:rPr>
                <w:sz w:val="20"/>
                <w:szCs w:val="20"/>
                <w:color w:val="auto"/>
              </w:rPr>
            </w:pPr>
            <w:r>
              <w:rPr>
                <w:rFonts w:ascii="Times New Roman" w:cs="Times New Roman" w:eastAsia="Times New Roman" w:hAnsi="Times New Roman"/>
                <w:sz w:val="14"/>
                <w:szCs w:val="14"/>
                <w:color w:val="auto"/>
              </w:rPr>
              <w:t>35.8%</w:t>
            </w:r>
            <w:r>
              <w:rPr>
                <w:rFonts w:ascii="Times New Roman" w:cs="Times New Roman" w:eastAsia="Times New Roman" w:hAnsi="Times New Roman"/>
                <w:sz w:val="10"/>
                <w:szCs w:val="10"/>
                <w:color w:val="auto"/>
              </w:rPr>
              <w:t>(3)</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51,122</w:t>
            </w: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1330 St. Mary’s Street, Ste. 210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Raleigh, NC 27605</w:t>
            </w: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PennantPark Senior Loan Fund, LLC</w:t>
            </w:r>
            <w:r>
              <w:rPr>
                <w:rFonts w:ascii="Times New Roman" w:cs="Times New Roman" w:eastAsia="Times New Roman" w:hAnsi="Times New Roman"/>
                <w:sz w:val="10"/>
                <w:szCs w:val="10"/>
                <w:color w:val="auto"/>
              </w:rPr>
              <w:t>(6)</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Financial Services</w:t>
            </w: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Subordinated Debt,</w:t>
            </w:r>
          </w:p>
        </w:tc>
        <w:tc>
          <w:tcPr>
            <w:tcW w:w="1300" w:type="dxa"/>
            <w:vAlign w:val="bottom"/>
            <w:gridSpan w:val="2"/>
          </w:tcPr>
          <w:p>
            <w:pPr>
              <w:jc w:val="right"/>
              <w:ind w:right="178"/>
              <w:spacing w:after="0"/>
              <w:rPr>
                <w:sz w:val="20"/>
                <w:szCs w:val="20"/>
                <w:color w:val="auto"/>
              </w:rPr>
            </w:pPr>
            <w:r>
              <w:rPr>
                <w:rFonts w:ascii="Times New Roman" w:cs="Times New Roman" w:eastAsia="Times New Roman" w:hAnsi="Times New Roman"/>
                <w:sz w:val="14"/>
                <w:szCs w:val="14"/>
                <w:color w:val="auto"/>
              </w:rPr>
              <w:t>50.0%</w:t>
            </w:r>
            <w:r>
              <w:rPr>
                <w:rFonts w:ascii="Times New Roman" w:cs="Times New Roman" w:eastAsia="Times New Roman" w:hAnsi="Times New Roman"/>
                <w:sz w:val="10"/>
                <w:szCs w:val="10"/>
                <w:color w:val="auto"/>
              </w:rPr>
              <w:t>(3)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105,754</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1691 Michigan Avenue, Miami Beach, FL 33139</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L+800, 07/31/2027</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8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PT Network Intermediate Holdings, LLC</w:t>
            </w:r>
            <w:r>
              <w:rPr>
                <w:rFonts w:ascii="Times New Roman" w:cs="Times New Roman" w:eastAsia="Times New Roman" w:hAnsi="Times New Roman"/>
                <w:sz w:val="10"/>
                <w:szCs w:val="10"/>
                <w:color w:val="auto"/>
              </w:rPr>
              <w:t>(5)</w:t>
            </w:r>
          </w:p>
        </w:tc>
        <w:tc>
          <w:tcPr>
            <w:tcW w:w="174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Healthcare, Education and</w:t>
            </w:r>
          </w:p>
        </w:tc>
        <w:tc>
          <w:tcPr>
            <w:tcW w:w="336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Second Lien Secured Debt,</w:t>
            </w:r>
          </w:p>
        </w:tc>
        <w:tc>
          <w:tcPr>
            <w:tcW w:w="1300" w:type="dxa"/>
            <w:vAlign w:val="bottom"/>
            <w:gridSpan w:val="2"/>
            <w:shd w:val="clear" w:color="auto" w:fill="CCEEFF"/>
          </w:tcPr>
          <w:p>
            <w:pPr>
              <w:jc w:val="right"/>
              <w:ind w:right="178"/>
              <w:spacing w:after="0" w:line="126" w:lineRule="exact"/>
              <w:rPr>
                <w:sz w:val="20"/>
                <w:szCs w:val="20"/>
                <w:color w:val="auto"/>
              </w:rPr>
            </w:pPr>
            <w:r>
              <w:rPr>
                <w:rFonts w:ascii="Times New Roman" w:cs="Times New Roman" w:eastAsia="Times New Roman" w:hAnsi="Times New Roman"/>
                <w:sz w:val="14"/>
                <w:szCs w:val="14"/>
                <w:color w:val="auto"/>
              </w:rPr>
              <w:t>62.1%</w:t>
            </w:r>
            <w:r>
              <w:rPr>
                <w:rFonts w:ascii="Times New Roman" w:cs="Times New Roman" w:eastAsia="Times New Roman" w:hAnsi="Times New Roman"/>
                <w:sz w:val="10"/>
                <w:szCs w:val="10"/>
                <w:color w:val="auto"/>
              </w:rPr>
              <w:t>(3)</w:t>
            </w: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224,025</w:t>
            </w: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(CI (PTN) Investment Holdings II, LLC</w:t>
            </w:r>
            <w:r>
              <w:rPr>
                <w:rFonts w:ascii="Times New Roman" w:cs="Times New Roman" w:eastAsia="Times New Roman" w:hAnsi="Times New Roman"/>
                <w:sz w:val="10"/>
                <w:szCs w:val="10"/>
                <w:color w:val="auto"/>
              </w:rPr>
              <w:t>(5)</w:t>
            </w:r>
            <w:r>
              <w:rPr>
                <w:rFonts w:ascii="Times New Roman" w:cs="Times New Roman" w:eastAsia="Times New Roman" w:hAnsi="Times New Roman"/>
                <w:sz w:val="14"/>
                <w:szCs w:val="14"/>
                <w:color w:val="auto"/>
              </w:rPr>
              <w:t>)</w:t>
            </w:r>
          </w:p>
        </w:tc>
        <w:tc>
          <w:tcPr>
            <w:tcW w:w="174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Childcare</w:t>
            </w: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3M L+1,000 PIK, 11/30/2024</w:t>
            </w: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501 Fairmount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6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Preferred Equity</w:t>
            </w: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Towson, MD 21286</w:t>
            </w: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Common Equity</w:t>
            </w: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8" w:right="439" w:bottom="1440" w:gutter="0" w:footer="0" w:header="0"/>
        </w:sectPr>
      </w:pPr>
    </w:p>
    <w:bookmarkStart w:id="50" w:name="page51"/>
    <w:bookmarkEnd w:id="50"/>
    <w:tbl>
      <w:tblPr>
        <w:tblLayout w:type="fixed"/>
        <w:tblInd w:w="4"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300" w:type="dxa"/>
            <w:vAlign w:val="bottom"/>
            <w:gridSpan w:val="2"/>
          </w:tcPr>
          <w:p>
            <w:pPr>
              <w:jc w:val="center"/>
              <w:ind w:right="463"/>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9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3820" w:type="dxa"/>
            <w:vAlign w:val="bottom"/>
            <w:gridSpan w:val="2"/>
            <w:vMerge w:val="continue"/>
          </w:tcPr>
          <w:p>
            <w:pPr>
              <w:spacing w:after="0"/>
              <w:rPr>
                <w:sz w:val="12"/>
                <w:szCs w:val="12"/>
                <w:color w:val="auto"/>
              </w:rPr>
            </w:pPr>
          </w:p>
        </w:tc>
        <w:tc>
          <w:tcPr>
            <w:tcW w:w="1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Nature of Business</w:t>
            </w:r>
          </w:p>
        </w:tc>
        <w:tc>
          <w:tcPr>
            <w:tcW w:w="3300" w:type="dxa"/>
            <w:vAlign w:val="bottom"/>
            <w:gridSpan w:val="2"/>
            <w:vMerge w:val="continue"/>
          </w:tcPr>
          <w:p>
            <w:pPr>
              <w:spacing w:after="0"/>
              <w:rPr>
                <w:sz w:val="12"/>
                <w:szCs w:val="12"/>
                <w:color w:val="auto"/>
              </w:rPr>
            </w:pPr>
          </w:p>
        </w:tc>
        <w:tc>
          <w:tcPr>
            <w:tcW w:w="1300" w:type="dxa"/>
            <w:vAlign w:val="bottom"/>
            <w:gridSpan w:val="2"/>
          </w:tcPr>
          <w:p>
            <w:pPr>
              <w:jc w:val="center"/>
              <w:ind w:right="463"/>
              <w:spacing w:after="0" w:line="14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Address of Portfolio Company</w:t>
            </w:r>
          </w:p>
        </w:tc>
        <w:tc>
          <w:tcPr>
            <w:tcW w:w="19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Maturity</w:t>
            </w:r>
          </w:p>
        </w:tc>
        <w:tc>
          <w:tcPr>
            <w:tcW w:w="1300" w:type="dxa"/>
            <w:vAlign w:val="bottom"/>
            <w:gridSpan w:val="2"/>
          </w:tcPr>
          <w:p>
            <w:pPr>
              <w:jc w:val="center"/>
              <w:ind w:right="463"/>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9"/>
        </w:trPr>
        <w:tc>
          <w:tcPr>
            <w:tcW w:w="382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RAM Energy Holdings LLC</w:t>
            </w:r>
            <w:r>
              <w:rPr>
                <w:rFonts w:ascii="Times New Roman" w:cs="Times New Roman" w:eastAsia="Times New Roman" w:hAnsi="Times New Roman"/>
                <w:sz w:val="9"/>
                <w:szCs w:val="9"/>
                <w:color w:val="auto"/>
              </w:rPr>
              <w:t>(5)</w:t>
            </w:r>
          </w:p>
        </w:tc>
        <w:tc>
          <w:tcPr>
            <w:tcW w:w="1480" w:type="dxa"/>
            <w:vAlign w:val="bottom"/>
            <w:tcBorders>
              <w:top w:val="single" w:sz="8" w:color="auto"/>
            </w:tcBorders>
            <w:shd w:val="clear" w:color="auto" w:fill="CCEEFF"/>
          </w:tcPr>
          <w:p>
            <w:pPr>
              <w:ind w:left="160"/>
              <w:spacing w:after="0" w:line="109" w:lineRule="exact"/>
              <w:rPr>
                <w:sz w:val="20"/>
                <w:szCs w:val="20"/>
                <w:color w:val="auto"/>
              </w:rPr>
            </w:pPr>
            <w:r>
              <w:rPr>
                <w:rFonts w:ascii="Times New Roman" w:cs="Times New Roman" w:eastAsia="Times New Roman" w:hAnsi="Times New Roman"/>
                <w:sz w:val="12"/>
                <w:szCs w:val="12"/>
                <w:color w:val="auto"/>
              </w:rPr>
              <w:t>Energy and Utilities</w:t>
            </w:r>
          </w:p>
        </w:tc>
        <w:tc>
          <w:tcPr>
            <w:tcW w:w="200" w:type="dxa"/>
            <w:vAlign w:val="bottom"/>
            <w:tcBorders>
              <w:top w:val="single" w:sz="8" w:color="CCEEFF"/>
            </w:tcBorders>
            <w:shd w:val="clear" w:color="auto" w:fill="CCEEFF"/>
          </w:tcPr>
          <w:p>
            <w:pPr>
              <w:spacing w:after="0"/>
              <w:rPr>
                <w:sz w:val="9"/>
                <w:szCs w:val="9"/>
                <w:color w:val="auto"/>
              </w:rPr>
            </w:pPr>
          </w:p>
        </w:tc>
        <w:tc>
          <w:tcPr>
            <w:tcW w:w="310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rPr>
              <w:t>Common Equity</w:t>
            </w:r>
          </w:p>
        </w:tc>
        <w:tc>
          <w:tcPr>
            <w:tcW w:w="20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100.0</w:t>
            </w:r>
          </w:p>
        </w:tc>
        <w:tc>
          <w:tcPr>
            <w:tcW w:w="500" w:type="dxa"/>
            <w:vAlign w:val="bottom"/>
            <w:tcBorders>
              <w:top w:val="single" w:sz="8" w:color="CCEEFF"/>
            </w:tcBorders>
            <w:shd w:val="clear" w:color="auto" w:fill="CCEEFF"/>
          </w:tcPr>
          <w:p>
            <w:pPr>
              <w:jc w:val="right"/>
              <w:ind w:right="203"/>
              <w:spacing w:after="0" w:line="109" w:lineRule="exact"/>
              <w:rPr>
                <w:sz w:val="20"/>
                <w:szCs w:val="20"/>
                <w:color w:val="auto"/>
              </w:rPr>
            </w:pPr>
            <w:r>
              <w:rPr>
                <w:rFonts w:ascii="Times New Roman" w:cs="Times New Roman" w:eastAsia="Times New Roman" w:hAnsi="Times New Roman"/>
                <w:sz w:val="12"/>
                <w:szCs w:val="12"/>
                <w:color w:val="auto"/>
                <w:vertAlign w:val="subscript"/>
              </w:rPr>
              <w:t>%</w:t>
            </w:r>
            <w:r>
              <w:rPr>
                <w:rFonts w:ascii="Times New Roman" w:cs="Times New Roman" w:eastAsia="Times New Roman" w:hAnsi="Times New Roman"/>
                <w:sz w:val="7"/>
                <w:szCs w:val="7"/>
                <w:color w:val="auto"/>
              </w:rPr>
              <w:t>(3)</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76,461</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82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2100 South Utica Avenue, Ste. 165</w:t>
            </w: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Tulsa, OK 74114</w:t>
            </w: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1,445,390</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right="60" w:hanging="424"/>
        <w:spacing w:after="0" w:line="227" w:lineRule="auto"/>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basis point spread above index for floating rate instruments that accrue interest at a predetermined spread relative to an index, typically the applicable LIBOR or “L,” or Prime rate, or “P.” The spread may change based on the type of rate used. The terms disclosed are the actual interest rate in effect as of 12/31/21.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424" w:hanging="424"/>
        <w:spacing w:after="0" w:line="221" w:lineRule="auto"/>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ownership percentage refers only to common equity, preferred equity and warrants held, if any, were we to have voting rights.</w:t>
      </w:r>
    </w:p>
    <w:p>
      <w:pPr>
        <w:ind w:left="424" w:hanging="424"/>
        <w:spacing w:after="0" w:line="221" w:lineRule="auto"/>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hold one or more voting seats on the portfolio company’s board of directors/managers.</w:t>
      </w:r>
    </w:p>
    <w:p>
      <w:pPr>
        <w:ind w:left="424" w:right="60" w:hanging="424"/>
        <w:spacing w:after="0" w:line="221" w:lineRule="auto"/>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424" w:hanging="424"/>
        <w:spacing w:after="0" w:line="221" w:lineRule="auto"/>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is held through our Taxable Subsidiary.</w:t>
      </w:r>
    </w:p>
    <w:p>
      <w:pPr>
        <w:ind w:left="424" w:right="420" w:hanging="424"/>
        <w:spacing w:after="0" w:line="221" w:lineRule="auto"/>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2021, qualifying assets represent 90% of the Company’s total assets and non-qualifying assets represent 10% of the Company’s total assets.</w:t>
      </w:r>
    </w:p>
    <w:p>
      <w:pPr>
        <w:ind w:left="424" w:hanging="424"/>
        <w:spacing w:after="0"/>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0.1% voting ownership percentage.</w:t>
      </w:r>
    </w:p>
    <w:p>
      <w:pPr>
        <w:spacing w:after="0" w:line="19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a brief description of each portfolio company in which we have made an investment that represents greater than 5% of our total assets as of December 31, 2021:</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PennantPark Senior Loan Fund, LLC (Financial Services)</w:t>
      </w:r>
    </w:p>
    <w:p>
      <w:pPr>
        <w:spacing w:after="0" w:line="117" w:lineRule="exact"/>
        <w:rPr>
          <w:sz w:val="20"/>
          <w:szCs w:val="20"/>
          <w:color w:val="auto"/>
        </w:rPr>
      </w:pPr>
    </w:p>
    <w:p>
      <w:pPr>
        <w:jc w:val="both"/>
        <w:ind w:left="984" w:right="100"/>
        <w:spacing w:after="0" w:line="266" w:lineRule="auto"/>
        <w:rPr>
          <w:sz w:val="20"/>
          <w:szCs w:val="20"/>
          <w:color w:val="auto"/>
        </w:rPr>
      </w:pPr>
      <w:r>
        <w:rPr>
          <w:rFonts w:ascii="Times New Roman" w:cs="Times New Roman" w:eastAsia="Times New Roman" w:hAnsi="Times New Roman"/>
          <w:sz w:val="18"/>
          <w:szCs w:val="18"/>
          <w:color w:val="auto"/>
        </w:rPr>
        <w:t>PSLF is an unconsolidated joint venture between the Company and certain entities and managed accounts of the private credit investment manager of Pantheon Ventures (UK) LLP, or Pantheon, which invests primarily in middle-market and other corporate debt consistent with the Company’s strategy.</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PT Network Intermediate Holdings, LLC (CI (PTN) Investment Holdings II, LLC) (Healthcare, Education and Childcare)</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PT Network Intermediate Holdings, LLC is a provider of physical therapy, corporate wellness and occupational health services.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RAM Energy Holdings LLC (Energy and Utilities)</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RAM Energy Holdings LLC is an exploration and production company focused on operations in the East Texas.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78" w:right="439" w:bottom="1440" w:gutter="0" w:footer="0" w:header="0"/>
        </w:sectPr>
      </w:pPr>
    </w:p>
    <w:bookmarkStart w:id="51" w:name="page52"/>
    <w:bookmarkEnd w:id="5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table below describes investments by industry classification and enumerates the percentage, by fair value, of the total portfolio assets (excluding cash and cash equivalents) in such industries as of:</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2820" w:type="dxa"/>
            <w:vAlign w:val="bottom"/>
          </w:tcPr>
          <w:p>
            <w:pPr>
              <w:spacing w:after="0"/>
              <w:rPr>
                <w:sz w:val="15"/>
                <w:szCs w:val="15"/>
                <w:color w:val="auto"/>
              </w:rPr>
            </w:pPr>
          </w:p>
        </w:tc>
        <w:tc>
          <w:tcPr>
            <w:tcW w:w="29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 2021</w:t>
            </w:r>
            <w:r>
              <w:rPr>
                <w:rFonts w:ascii="Times New Roman" w:cs="Times New Roman" w:eastAsia="Times New Roman" w:hAnsi="Times New Roman"/>
                <w:sz w:val="10"/>
                <w:szCs w:val="10"/>
                <w:b w:val="1"/>
                <w:bCs w:val="1"/>
                <w:color w:val="auto"/>
              </w:rPr>
              <w:t>(1)</w:t>
            </w:r>
          </w:p>
        </w:tc>
        <w:tc>
          <w:tcPr>
            <w:tcW w:w="2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 2021</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
        </w:trPr>
        <w:tc>
          <w:tcPr>
            <w:tcW w:w="4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Education and Childcare</w:t>
            </w:r>
          </w:p>
        </w:tc>
        <w:tc>
          <w:tcPr>
            <w:tcW w:w="86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040" w:type="dxa"/>
            <w:vAlign w:val="bottom"/>
            <w:gridSpan w:val="2"/>
            <w:shd w:val="clear" w:color="auto" w:fill="CCEEFF"/>
          </w:tcPr>
          <w:p>
            <w:pPr>
              <w:jc w:val="right"/>
              <w:ind w:right="600"/>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580" w:type="dxa"/>
            <w:vAlign w:val="bottom"/>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Utilities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 Sector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Services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Materials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and Office Furnishings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Media</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Cargo Transport</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Chemicals, Plastics and Rubber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Hotels, Motels, Inns and Gaming</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 Basic Industries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and Non-Durable Consumer Products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Personal, Food and Miscellaneous Services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Publishing</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19"/>
                <w:szCs w:val="19"/>
                <w:color w:val="auto"/>
              </w:rPr>
            </w:pPr>
          </w:p>
        </w:tc>
        <w:tc>
          <w:tcPr>
            <w:tcW w:w="2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715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(1)Excludes investments in PSLF.</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340"/>
          </w:cols>
          <w:pgMar w:left="440" w:top="297" w:right="111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PORTFOLIO MANAGEMENT</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Our Investment Adviser, which manages our day-to-day investment activities under the supervision of our board of directors, has seven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Arthur H. Penn became the Chief Executive Officer and a Director of PennantPark Investment at its inception in 2007.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94"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José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3"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Ryan Raskopf joined PennantPark Investment Advisers in August 2007. Previously, Mr. Raskopf was an Analyst in the Financial Institutions Group at Credit Suisse Securities (USA) LLC from 2005 to 2007.</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93" w:right="459" w:bottom="1440" w:gutter="0" w:footer="0" w:header="0"/>
        </w:sectPr>
      </w:pPr>
    </w:p>
    <w:bookmarkStart w:id="53" w:name="page54"/>
    <w:bookmarkEnd w:id="53"/>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w:t>
      </w:r>
    </w:p>
    <w:p>
      <w:pPr>
        <w:spacing w:after="0" w:line="183"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 He is also currently a Director of Mspark, LLC and previously served as an Independent Director of Shopko Stores, Caesars Entertainment Operating Company, The Gymboree Corporation, and Linn Acquisition Company, LLC.</w:t>
      </w:r>
    </w:p>
    <w:p>
      <w:pPr>
        <w:spacing w:after="0" w:line="194"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to managing our investments, as of December 31, 2021, our portfolio managers also managed investments on behalf of the following entities:</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520" w:type="dxa"/>
            <w:vAlign w:val="bottom"/>
            <w:vMerge w:val="restart"/>
          </w:tcPr>
          <w:p>
            <w:pPr>
              <w:spacing w:after="0"/>
              <w:rPr>
                <w:sz w:val="13"/>
                <w:szCs w:val="13"/>
                <w:color w:val="auto"/>
              </w:rPr>
            </w:pPr>
          </w:p>
        </w:tc>
        <w:tc>
          <w:tcPr>
            <w:tcW w:w="22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96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Investment Focus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3960" w:type="dxa"/>
            <w:vAlign w:val="bottom"/>
            <w:gridSpan w:val="2"/>
            <w:vMerge w:val="continue"/>
          </w:tcPr>
          <w:p>
            <w:pPr>
              <w:spacing w:after="0"/>
              <w:rPr>
                <w:sz w:val="15"/>
                <w:szCs w:val="15"/>
                <w:color w:val="auto"/>
              </w:rPr>
            </w:pP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176"/>
        </w:trPr>
        <w:tc>
          <w:tcPr>
            <w:tcW w:w="38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PennantPark Floating Rate Capital Ltd.</w:t>
            </w:r>
          </w:p>
        </w:tc>
        <w:tc>
          <w:tcPr>
            <w:tcW w:w="19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Business development</w:t>
            </w:r>
          </w:p>
        </w:tc>
        <w:tc>
          <w:tcPr>
            <w:tcW w:w="340" w:type="dxa"/>
            <w:vAlign w:val="bottom"/>
          </w:tcPr>
          <w:p>
            <w:pPr>
              <w:spacing w:after="0"/>
              <w:rPr>
                <w:sz w:val="15"/>
                <w:szCs w:val="15"/>
                <w:color w:val="auto"/>
              </w:rPr>
            </w:pPr>
          </w:p>
        </w:tc>
        <w:tc>
          <w:tcPr>
            <w:tcW w:w="36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Primarily floating rate loans, with an emphasis on</w:t>
            </w:r>
          </w:p>
        </w:tc>
        <w:tc>
          <w:tcPr>
            <w:tcW w:w="320" w:type="dxa"/>
            <w:vAlign w:val="bottom"/>
          </w:tcPr>
          <w:p>
            <w:pPr>
              <w:spacing w:after="0"/>
              <w:rPr>
                <w:sz w:val="15"/>
                <w:szCs w:val="15"/>
                <w:color w:val="auto"/>
              </w:rPr>
            </w:pPr>
          </w:p>
        </w:tc>
        <w:tc>
          <w:tcPr>
            <w:tcW w:w="86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w:t>
            </w: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loans, in middle-</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 leveraged companies.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PennantPark Senior Secured</w:t>
            </w:r>
          </w:p>
        </w:tc>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Joint Venture</w:t>
            </w: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Primarily floating rate loans, with an emphasis 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02"/>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 Fund I LLC</w:t>
            </w: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secured loans, in middle-market leveraged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companies.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PennantPark Senior Loan Fund, LLC</w:t>
            </w:r>
          </w:p>
        </w:tc>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Joint Venture</w:t>
            </w: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Primarily invests in middle-market and other corporate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 consistent with the Company’s strategy.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Managed Funds</w:t>
            </w:r>
          </w:p>
        </w:tc>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 Lending</w:t>
            </w: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credit opportunities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Funds</w:t>
            </w: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dollar range of our common stock beneficially owned by each of our senior investment professionals as of December 31, 2021. Information as to the beneficial ownerships is based on information furnished to us by such persons. We are not part of a “family of investment companies,” as that term is defined in the 1940 Act.</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2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 Range of the</w:t>
            </w:r>
          </w:p>
        </w:tc>
      </w:tr>
      <w:tr>
        <w:trPr>
          <w:trHeight w:val="148"/>
        </w:trPr>
        <w:tc>
          <w:tcPr>
            <w:tcW w:w="9020" w:type="dxa"/>
            <w:vAlign w:val="bottom"/>
          </w:tcPr>
          <w:p>
            <w:pPr>
              <w:spacing w:after="0"/>
              <w:rPr>
                <w:sz w:val="12"/>
                <w:szCs w:val="12"/>
                <w:color w:val="auto"/>
              </w:rPr>
            </w:pPr>
          </w:p>
        </w:tc>
        <w:tc>
          <w:tcPr>
            <w:tcW w:w="20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of</w:t>
            </w:r>
          </w:p>
        </w:tc>
      </w:tr>
      <w:tr>
        <w:trPr>
          <w:trHeight w:val="149"/>
        </w:trPr>
        <w:tc>
          <w:tcPr>
            <w:tcW w:w="9020" w:type="dxa"/>
            <w:vAlign w:val="bottom"/>
          </w:tcPr>
          <w:p>
            <w:pPr>
              <w:spacing w:after="0"/>
              <w:rPr>
                <w:sz w:val="12"/>
                <w:szCs w:val="12"/>
                <w:color w:val="auto"/>
              </w:rPr>
            </w:pPr>
          </w:p>
        </w:tc>
        <w:tc>
          <w:tcPr>
            <w:tcW w:w="20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PennantPark Investment</w:t>
            </w:r>
          </w:p>
        </w:tc>
      </w:tr>
      <w:tr>
        <w:trPr>
          <w:trHeight w:val="173"/>
        </w:trPr>
        <w:tc>
          <w:tcPr>
            <w:tcW w:w="9020" w:type="dxa"/>
            <w:vAlign w:val="bottom"/>
          </w:tcPr>
          <w:p>
            <w:pPr>
              <w:spacing w:after="0"/>
              <w:rPr>
                <w:sz w:val="15"/>
                <w:szCs w:val="15"/>
                <w:color w:val="auto"/>
              </w:rPr>
            </w:pPr>
          </w:p>
        </w:tc>
        <w:tc>
          <w:tcPr>
            <w:tcW w:w="2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Corporation</w:t>
            </w:r>
            <w:r>
              <w:rPr>
                <w:rFonts w:ascii="Times New Roman" w:cs="Times New Roman" w:eastAsia="Times New Roman" w:hAnsi="Times New Roman"/>
                <w:sz w:val="10"/>
                <w:szCs w:val="10"/>
                <w:b w:val="1"/>
                <w:bCs w:val="1"/>
                <w:color w:val="auto"/>
              </w:rPr>
              <w:t>(1)</w:t>
            </w:r>
          </w:p>
        </w:tc>
      </w:tr>
      <w:tr>
        <w:trPr>
          <w:trHeight w:val="196"/>
        </w:trPr>
        <w:tc>
          <w:tcPr>
            <w:tcW w:w="9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Arthur H. Penn</w:t>
            </w:r>
            <w:r>
              <w:rPr>
                <w:rFonts w:ascii="Times New Roman" w:cs="Times New Roman" w:eastAsia="Times New Roman" w:hAnsi="Times New Roman"/>
                <w:sz w:val="22"/>
                <w:szCs w:val="22"/>
                <w:color w:val="auto"/>
                <w:vertAlign w:val="superscript"/>
              </w:rPr>
              <w:t>(2)</w:t>
            </w:r>
          </w:p>
        </w:tc>
        <w:tc>
          <w:tcPr>
            <w:tcW w:w="1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Over $1,000,000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9020" w:type="dxa"/>
            <w:vAlign w:val="bottom"/>
          </w:tcPr>
          <w:p>
            <w:pPr>
              <w:spacing w:after="0"/>
              <w:rPr>
                <w:sz w:val="20"/>
                <w:szCs w:val="20"/>
                <w:color w:val="auto"/>
              </w:rPr>
            </w:pPr>
            <w:r>
              <w:rPr>
                <w:rFonts w:ascii="Times New Roman" w:cs="Times New Roman" w:eastAsia="Times New Roman" w:hAnsi="Times New Roman"/>
                <w:sz w:val="16"/>
                <w:szCs w:val="16"/>
                <w:color w:val="auto"/>
              </w:rPr>
              <w:t>José A. Briones</w:t>
            </w:r>
          </w:p>
        </w:tc>
        <w:tc>
          <w:tcPr>
            <w:tcW w:w="2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$500,001 - $1,000,000</w:t>
            </w:r>
          </w:p>
        </w:tc>
      </w:tr>
      <w:tr>
        <w:trPr>
          <w:trHeight w:val="203"/>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Salvatore Giannetti III</w:t>
            </w:r>
          </w:p>
        </w:tc>
        <w:tc>
          <w:tcPr>
            <w:tcW w:w="2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$500,001 - $1,000,000</w:t>
            </w:r>
          </w:p>
        </w:tc>
      </w:tr>
      <w:tr>
        <w:trPr>
          <w:trHeight w:val="203"/>
        </w:trPr>
        <w:tc>
          <w:tcPr>
            <w:tcW w:w="9020" w:type="dxa"/>
            <w:vAlign w:val="bottom"/>
          </w:tcPr>
          <w:p>
            <w:pPr>
              <w:spacing w:after="0"/>
              <w:rPr>
                <w:sz w:val="20"/>
                <w:szCs w:val="20"/>
                <w:color w:val="auto"/>
              </w:rPr>
            </w:pPr>
            <w:r>
              <w:rPr>
                <w:rFonts w:ascii="Times New Roman" w:cs="Times New Roman" w:eastAsia="Times New Roman" w:hAnsi="Times New Roman"/>
                <w:sz w:val="16"/>
                <w:szCs w:val="16"/>
                <w:color w:val="auto"/>
              </w:rPr>
              <w:t>Ryan Raskopf</w:t>
            </w:r>
          </w:p>
        </w:tc>
        <w:tc>
          <w:tcPr>
            <w:tcW w:w="2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$500,001 - $1,000,000</w:t>
            </w:r>
          </w:p>
        </w:tc>
      </w:tr>
      <w:tr>
        <w:trPr>
          <w:trHeight w:val="203"/>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Dan Horn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   500,000</w:t>
            </w:r>
          </w:p>
        </w:tc>
      </w:tr>
      <w:tr>
        <w:trPr>
          <w:trHeight w:val="203"/>
        </w:trPr>
        <w:tc>
          <w:tcPr>
            <w:tcW w:w="9020" w:type="dxa"/>
            <w:vAlign w:val="bottom"/>
          </w:tcPr>
          <w:p>
            <w:pPr>
              <w:spacing w:after="0"/>
              <w:rPr>
                <w:sz w:val="20"/>
                <w:szCs w:val="20"/>
                <w:color w:val="auto"/>
              </w:rPr>
            </w:pPr>
            <w:r>
              <w:rPr>
                <w:rFonts w:ascii="Times New Roman" w:cs="Times New Roman" w:eastAsia="Times New Roman" w:hAnsi="Times New Roman"/>
                <w:sz w:val="16"/>
                <w:szCs w:val="16"/>
                <w:color w:val="auto"/>
              </w:rPr>
              <w:t>James Stone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 $     10,000</w:t>
            </w:r>
          </w:p>
        </w:tc>
      </w:tr>
      <w:tr>
        <w:trPr>
          <w:trHeight w:val="203"/>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Steve Winograd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50,001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424" w:right="320" w:hanging="424"/>
        <w:spacing w:after="0" w:line="260" w:lineRule="auto"/>
        <w:tabs>
          <w:tab w:leader="none" w:pos="42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Dollar ranges are as follows: None; $1-$10,000; $10,001-$50,000; $50,001-$100,000; $100,001-$500,000; $500,001-$1,000,000; or over $1,000,000. Beneficial ownership has been determined in accordance with Rule 16a-1(a)(2) promulgated under the Exchange Act.</w:t>
      </w:r>
    </w:p>
    <w:p>
      <w:pPr>
        <w:spacing w:after="0" w:line="1"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PennantPark Investment Advisers, LLC.</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4"/>
          </w:cols>
          <w:pgMar w:left="436" w:top="297" w:right="4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DETERMINATION OF NET ASSET VALUE</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NAV per share of our outstanding shares of common stock is determined quarterly by dividing the value of total assets minus liabilities by the total number of shares outstanding.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9" w:lineRule="exact"/>
        <w:rPr>
          <w:sz w:val="20"/>
          <w:szCs w:val="20"/>
          <w:color w:val="auto"/>
        </w:rPr>
      </w:pPr>
    </w:p>
    <w:p>
      <w:pPr>
        <w:ind w:left="96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management of our Investment Adviser;</w:t>
      </w:r>
    </w:p>
    <w:p>
      <w:pPr>
        <w:spacing w:after="0" w:line="130" w:lineRule="exact"/>
        <w:rPr>
          <w:rFonts w:ascii="Times New Roman" w:cs="Times New Roman" w:eastAsia="Times New Roman" w:hAnsi="Times New Roman"/>
          <w:sz w:val="18"/>
          <w:szCs w:val="18"/>
          <w:color w:val="auto"/>
        </w:rPr>
      </w:pPr>
    </w:p>
    <w:p>
      <w:pPr>
        <w:ind w:left="960" w:right="140" w:hanging="532"/>
        <w:spacing w:after="0" w:line="261"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5" w:lineRule="exact"/>
        <w:rPr>
          <w:rFonts w:ascii="Times New Roman" w:cs="Times New Roman" w:eastAsia="Times New Roman" w:hAnsi="Times New Roman"/>
          <w:sz w:val="18"/>
          <w:szCs w:val="18"/>
          <w:color w:val="auto"/>
        </w:rPr>
      </w:pPr>
    </w:p>
    <w:p>
      <w:pPr>
        <w:ind w:left="960" w:right="80" w:hanging="532"/>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1"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93" w:right="459" w:bottom="1440" w:gutter="0" w:footer="0" w:header="0"/>
        </w:sectPr>
      </w:pPr>
    </w:p>
    <w:bookmarkStart w:id="55" w:name="page56"/>
    <w:bookmarkEnd w:id="55"/>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extent we invest in derivative instruments in the future, such instruments would be valued in accordance with our valuation policy.</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ASC 820 classifies the inputs used to measure these fair values into the following hierarchies:</w:t>
      </w:r>
    </w:p>
    <w:p>
      <w:pPr>
        <w:spacing w:after="0" w:line="131" w:lineRule="exact"/>
        <w:rPr>
          <w:sz w:val="20"/>
          <w:szCs w:val="20"/>
          <w:color w:val="auto"/>
        </w:rPr>
      </w:pPr>
    </w:p>
    <w:p>
      <w:pPr>
        <w:ind w:left="1560" w:right="1180" w:hanging="1120"/>
        <w:spacing w:after="0" w:line="282" w:lineRule="auto"/>
        <w:tabs>
          <w:tab w:leader="none" w:pos="15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that are quoted prices (unadjusted) in active markets for identical assets or liabilities, accessible by us at the measurement date.</w:t>
      </w:r>
    </w:p>
    <w:p>
      <w:pPr>
        <w:spacing w:after="0" w:line="54" w:lineRule="exact"/>
        <w:rPr>
          <w:sz w:val="20"/>
          <w:szCs w:val="20"/>
          <w:color w:val="auto"/>
        </w:rPr>
      </w:pPr>
    </w:p>
    <w:p>
      <w:pPr>
        <w:ind w:left="1560" w:right="440" w:hanging="1120"/>
        <w:spacing w:after="0" w:line="266" w:lineRule="auto"/>
        <w:tabs>
          <w:tab w:leader="none" w:pos="15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68" w:lineRule="exact"/>
        <w:rPr>
          <w:sz w:val="20"/>
          <w:szCs w:val="20"/>
          <w:color w:val="auto"/>
        </w:rPr>
      </w:pPr>
    </w:p>
    <w:p>
      <w:pPr>
        <w:ind w:left="1560" w:right="880" w:hanging="1120"/>
        <w:spacing w:after="0" w:line="282" w:lineRule="auto"/>
        <w:tabs>
          <w:tab w:leader="none" w:pos="15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an asset or liability because they are based on our own assumptions about how market participants would price the asset or liability.</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Generally, most of our investments, our Truist Credit Facility and our SBA debentures are classified as Level 3. Our 2026 Notes and our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SEC recently adopted Rule 2a-5 under the 1940 Act which established requirements for determining fair value in good faith purposes of the 1940 Act. We will comply with the requirement of the rule before the required compliance date in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89" w:lineRule="exact"/>
        <w:rPr>
          <w:sz w:val="20"/>
          <w:szCs w:val="20"/>
          <w:color w:val="auto"/>
        </w:rPr>
      </w:pPr>
    </w:p>
    <w:p>
      <w:pPr>
        <w:ind w:left="5420" w:right="2640" w:hanging="4884"/>
        <w:spacing w:after="0" w:line="454" w:lineRule="auto"/>
        <w:tabs>
          <w:tab w:leader="none" w:pos="9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NAV of our common stock disclosed in the most recent periodic report that we filed with the SEC; 34</w:t>
      </w:r>
    </w:p>
    <w:p>
      <w:pPr>
        <w:sectPr>
          <w:pgSz w:w="11900" w:h="16838" w:orient="portrait"/>
          <w:cols w:equalWidth="0" w:num="1">
            <w:col w:w="10980"/>
          </w:cols>
          <w:pgMar w:left="440" w:top="297" w:right="479" w:bottom="1440" w:gutter="0" w:footer="0" w:header="0"/>
        </w:sectPr>
      </w:pPr>
    </w:p>
    <w:bookmarkStart w:id="56" w:name="page57"/>
    <w:bookmarkEnd w:id="56"/>
    <w:p>
      <w:pPr>
        <w:ind w:left="960" w:right="60" w:hanging="424"/>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1"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62"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independent directors who have no financial interest in the sale must have approved the sale; and</w:t>
      </w:r>
    </w:p>
    <w:p>
      <w:pPr>
        <w:spacing w:after="0" w:line="130"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440" w:top="297" w:right="5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DIVIDEND REINVESTMENT PLAN</w:t>
      </w:r>
    </w:p>
    <w:p>
      <w:pPr>
        <w:spacing w:after="0" w:line="229" w:lineRule="exact"/>
        <w:rPr>
          <w:sz w:val="20"/>
          <w:szCs w:val="20"/>
          <w:color w:val="auto"/>
        </w:rPr>
      </w:pPr>
    </w:p>
    <w:p>
      <w:pPr>
        <w:ind w:right="46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80"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7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62" w:lineRule="exact"/>
        <w:rPr>
          <w:sz w:val="20"/>
          <w:szCs w:val="20"/>
          <w:color w:val="auto"/>
        </w:rPr>
      </w:pPr>
    </w:p>
    <w:p>
      <w:pPr>
        <w:ind w:right="260" w:firstLine="440"/>
        <w:spacing w:after="0" w:line="254" w:lineRule="auto"/>
        <w:rPr>
          <w:sz w:val="20"/>
          <w:szCs w:val="20"/>
          <w:color w:val="auto"/>
        </w:rPr>
      </w:pPr>
      <w:r>
        <w:rPr>
          <w:rFonts w:ascii="Times New Roman" w:cs="Times New Roman" w:eastAsia="Times New Roman" w:hAnsi="Times New Roman"/>
          <w:sz w:val="18"/>
          <w:szCs w:val="18"/>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New York Stock Exchange on the valuation date for such distribution. Market price per share on that date will be the closing price for such shares on The New York Stock Exchange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92"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80"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1"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Participants may terminate their accounts under the plan by notifying the plan administrator via its website at </w:t>
      </w:r>
      <w:r>
        <w:rPr>
          <w:rFonts w:ascii="Times New Roman" w:cs="Times New Roman" w:eastAsia="Times New Roman" w:hAnsi="Times New Roman"/>
          <w:sz w:val="18"/>
          <w:szCs w:val="18"/>
          <w:i w:val="1"/>
          <w:iCs w:val="1"/>
          <w:u w:val="single" w:color="auto"/>
          <w:color w:val="auto"/>
        </w:rPr>
        <w:t>www.amstock.com</w:t>
      </w:r>
      <w:r>
        <w:rPr>
          <w:rFonts w:ascii="Times New Roman" w:cs="Times New Roman" w:eastAsia="Times New Roman" w:hAnsi="Times New Roman"/>
          <w:sz w:val="18"/>
          <w:szCs w:val="18"/>
          <w:color w:val="auto"/>
        </w:rPr>
        <w:t xml:space="preserve"> or by filling out the transaction request form located at bottom of their statement and sending it to the plan administrator.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93" w:right="459" w:bottom="1440" w:gutter="0" w:footer="0" w:header="0"/>
        </w:sectPr>
      </w:pPr>
    </w:p>
    <w:bookmarkStart w:id="58" w:name="page59"/>
    <w:bookmarkEnd w:id="58"/>
    <w:p>
      <w:pPr>
        <w:ind w:firstLine="440"/>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Brooklyn, New York 11219, or by the plan administrator’s Interactive Voice Response System at 1-800-278-4353.</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97" w:right="45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OUR CAPITAL STOCK</w:t>
      </w:r>
    </w:p>
    <w:p>
      <w:pPr>
        <w:spacing w:after="0" w:line="229"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2022, our authorized capital stock consisted of 100,000,000 shares of stock, par value $0.001 per share, all of which is classified as common stock. Our common stock is quoted on The New York Stock Exchange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last reported closing market price of our common stock on April 19, 2022 was $7.95 per share. As of March 31, 2022, we had 6 stockholders of record.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are our outstanding classes of securities as of March 31, 2022:</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5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Amount Held by</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53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50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56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Account</w:t>
            </w:r>
          </w:p>
        </w:tc>
        <w:tc>
          <w:tcPr>
            <w:tcW w:w="9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 par value $0.001 per share</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100,000,000</w:t>
            </w:r>
          </w:p>
        </w:tc>
        <w:tc>
          <w:tcPr>
            <w:tcW w:w="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66,131,651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93" w:right="459" w:bottom="1440" w:gutter="0" w:footer="0" w:header="0"/>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94"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97"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Provisions of the Maryland General Corporation Law and our Charter and Bylaws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The terms of the first, second and third classes will expire at the annual meeting of stockholders held in 2023, 2024 and 2025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stockholders</w:t>
      </w:r>
    </w:p>
    <w:p>
      <w:pPr>
        <w:spacing w:after="0" w:line="121"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93"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Advance notice provisions for stockholder nominations and stockholder proposals</w:t>
      </w:r>
    </w:p>
    <w:p>
      <w:pPr>
        <w:spacing w:after="0" w:line="121" w:lineRule="exact"/>
        <w:rPr>
          <w:sz w:val="20"/>
          <w:szCs w:val="20"/>
          <w:color w:val="auto"/>
        </w:rPr>
      </w:pPr>
    </w:p>
    <w:p>
      <w:pPr>
        <w:ind w:right="20" w:firstLine="440"/>
        <w:spacing w:after="0" w:line="272" w:lineRule="auto"/>
        <w:rPr>
          <w:sz w:val="20"/>
          <w:szCs w:val="20"/>
          <w:color w:val="auto"/>
        </w:rPr>
      </w:pPr>
      <w:r>
        <w:rPr>
          <w:rFonts w:ascii="Times New Roman" w:cs="Times New Roman" w:eastAsia="Times New Roman" w:hAnsi="Times New Roman"/>
          <w:sz w:val="17"/>
          <w:szCs w:val="17"/>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7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Calling of special meetings of stockholders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extraordinary corporate action; amendment of charter and bylaws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93" w:right="479" w:bottom="1440" w:gutter="0" w:footer="0" w:header="0"/>
        </w:sectPr>
      </w:pPr>
    </w:p>
    <w:bookmarkStart w:id="63" w:name="page64"/>
    <w:bookmarkEnd w:id="63"/>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charter and bylaws provide that the board of directors will have the exclusive power to adopt, alter or repeal any provision of our bylaws and to make new bylaws.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appraisal rights</w:t>
      </w:r>
    </w:p>
    <w:p>
      <w:pPr>
        <w:spacing w:after="0" w:line="121"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Act any and all acquisitions by any person of shares of our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such provision will not be amended or eliminated at any time in the future to the extent permitted by the 1940 Act.</w:t>
      </w:r>
    </w:p>
    <w:p>
      <w:pPr>
        <w:spacing w:after="0" w:line="20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3" w:lineRule="exact"/>
        <w:rPr>
          <w:sz w:val="20"/>
          <w:szCs w:val="20"/>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76"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97" w:right="479" w:bottom="1440" w:gutter="0" w:footer="0" w:header="0"/>
        </w:sectPr>
      </w:pPr>
    </w:p>
    <w:bookmarkStart w:id="64" w:name="page65"/>
    <w:bookmarkEnd w:id="64"/>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440" w:firstLine="440"/>
        <w:spacing w:after="0" w:line="261"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85" w:lineRule="exact"/>
        <w:rPr>
          <w:sz w:val="20"/>
          <w:szCs w:val="20"/>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directly or indirectly, 10% or more of the voting power of the corporation’s shares; or</w:t>
      </w:r>
    </w:p>
    <w:p>
      <w:pPr>
        <w:spacing w:after="0" w:line="130"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62"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67" w:lineRule="exact"/>
        <w:rPr>
          <w:sz w:val="20"/>
          <w:szCs w:val="20"/>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130"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76"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40"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with 1940 Act</w:t>
      </w:r>
    </w:p>
    <w:p>
      <w:pPr>
        <w:spacing w:after="0" w:line="121"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97" w:right="45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OUR PREFERRED STOCK</w:t>
      </w:r>
    </w:p>
    <w:p>
      <w:pPr>
        <w:spacing w:after="0" w:line="22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firstLine="440"/>
        <w:spacing w:after="0" w:line="238" w:lineRule="auto"/>
        <w:rPr>
          <w:sz w:val="20"/>
          <w:szCs w:val="20"/>
          <w:color w:val="auto"/>
        </w:rPr>
      </w:pPr>
      <w:r>
        <w:rPr>
          <w:rFonts w:ascii="Times New Roman" w:cs="Times New Roman" w:eastAsia="Times New Roman" w:hAnsi="Times New Roman"/>
          <w:sz w:val="18"/>
          <w:szCs w:val="18"/>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20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of directors will determine and the prospectus supplement relating to such series will describe:</w:t>
      </w:r>
    </w:p>
    <w:p>
      <w:pPr>
        <w:spacing w:after="0" w:line="67" w:lineRule="exact"/>
        <w:rPr>
          <w:sz w:val="20"/>
          <w:szCs w:val="20"/>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 preferences and participating, optional or special rights of shares of such series, and the qualifications, limitations or restrictions thereof.</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93" w:right="47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OUR WARRANTS</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1" w:lineRule="exact"/>
        <w:rPr>
          <w:rFonts w:ascii="Times New Roman" w:cs="Times New Roman" w:eastAsia="Times New Roman" w:hAnsi="Times New Roman"/>
          <w:sz w:val="18"/>
          <w:szCs w:val="18"/>
          <w:color w:val="auto"/>
        </w:rPr>
      </w:pPr>
    </w:p>
    <w:p>
      <w:pPr>
        <w:jc w:val="both"/>
        <w:ind w:left="960" w:hanging="424"/>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will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93" w:right="459" w:bottom="1440" w:gutter="0" w:footer="0" w:header="0"/>
        </w:sectPr>
      </w:pPr>
    </w:p>
    <w:bookmarkStart w:id="67" w:name="page68"/>
    <w:bookmarkEnd w:id="67"/>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97" w:right="45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OUR SUBSCRIPTION RIGHTS</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94"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67" w:lineRule="exact"/>
        <w:rPr>
          <w:sz w:val="20"/>
          <w:szCs w:val="20"/>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a formula for the determination of the exercise price for such subscription rights;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such subscription rights issued to each stockholder;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U.S. federal income tax considerations applicable to the issuance or exercise of such subscription rights;</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would commence, and the date on which such rights will expire (subject to any extension);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67"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60"/>
          </w:cols>
          <w:pgMar w:left="440" w:top="293" w:right="499" w:bottom="1440" w:gutter="0" w:footer="0" w:header="0"/>
        </w:sectPr>
      </w:pPr>
    </w:p>
    <w:bookmarkStart w:id="69" w:name="page70"/>
    <w:bookmarkEnd w:id="69"/>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0"/>
          </w:cols>
          <w:pgMar w:left="440" w:top="297" w:right="49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OUR DEBT SECURITIES</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In October 2021, we issued $165.0 million in aggregate principal amount of our 2026 Notes-2 at a public offering price per note of 99.436%. Interest on the 2026 Notes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9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prospectus supplement, which will accompany this prospectus, will describe the particular series of debt securities being offered by including:</w:t>
      </w:r>
    </w:p>
    <w:p>
      <w:pPr>
        <w:spacing w:after="0" w:line="131" w:lineRule="exact"/>
        <w:rPr>
          <w:sz w:val="20"/>
          <w:szCs w:val="20"/>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 and whether or not the offering may be reopened for additional securities of that series and on what terms;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93" w:right="459" w:bottom="1440" w:gutter="0" w:footer="0" w:header="0"/>
        </w:sectPr>
      </w:pPr>
    </w:p>
    <w:bookmarkStart w:id="71" w:name="page72"/>
    <w:bookmarkEnd w:id="71"/>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federal income tax considerations relating to original issue discount, or “OID”;</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97" w:right="479" w:bottom="1440" w:gutter="0" w:footer="0" w:header="0"/>
        </w:sectPr>
      </w:pPr>
    </w:p>
    <w:bookmarkStart w:id="72" w:name="page73"/>
    <w:bookmarkEnd w:id="72"/>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 entity.</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Securities in Registered Form</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97" w:right="479" w:bottom="1440" w:gutter="0" w:footer="0" w:header="0"/>
        </w:sectPr>
      </w:pPr>
    </w:p>
    <w:bookmarkStart w:id="73" w:name="page74"/>
    <w:bookmarkEnd w:id="73"/>
    <w:p>
      <w:pPr>
        <w:ind w:right="3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Book-Entry Holders</w:t>
      </w:r>
    </w:p>
    <w:p>
      <w:pPr>
        <w:spacing w:after="0" w:line="11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3"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Street Name Holders</w:t>
      </w:r>
    </w:p>
    <w:p>
      <w:pPr>
        <w:spacing w:after="0" w:line="11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Holders</w:t>
      </w:r>
    </w:p>
    <w:p>
      <w:pPr>
        <w:spacing w:after="0" w:line="11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97" w:right="439" w:bottom="1440" w:gutter="0" w:footer="0" w:header="0"/>
        </w:sectPr>
      </w:pPr>
    </w:p>
    <w:bookmarkStart w:id="74" w:name="page75"/>
    <w:bookmarkEnd w:id="74"/>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3"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Indirect Holders</w:t>
      </w:r>
    </w:p>
    <w:p>
      <w:pPr>
        <w:spacing w:after="0" w:line="11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If you hold debt securities through a bank, broker or other financial institution, either in book-entry form or in street name, we urge you to check with that institution to find out:</w:t>
      </w:r>
    </w:p>
    <w:p>
      <w:pPr>
        <w:spacing w:after="0" w:line="67" w:lineRule="exact"/>
        <w:rPr>
          <w:sz w:val="20"/>
          <w:szCs w:val="20"/>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debt securities registered in your own name so you can be a holder, if that is permitted in the future for a particular series of debt securities;</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debt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97"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Special Considerations for Global Securities</w:t>
      </w:r>
    </w:p>
    <w:p>
      <w:pPr>
        <w:spacing w:after="0" w:line="119"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960" w:right="24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1"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debt securities to some insurance companies and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jc w:val="both"/>
        <w:ind w:left="960" w:right="40" w:hanging="424"/>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81"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67" w:lineRule="exact"/>
        <w:rPr>
          <w:rFonts w:ascii="Times New Roman" w:cs="Times New Roman" w:eastAsia="Times New Roman" w:hAnsi="Times New Roman"/>
          <w:sz w:val="18"/>
          <w:szCs w:val="18"/>
          <w:color w:val="auto"/>
        </w:rPr>
      </w:pPr>
    </w:p>
    <w:p>
      <w:pPr>
        <w:jc w:val="both"/>
        <w:ind w:left="960" w:right="460" w:hanging="424"/>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1"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1" w:lineRule="exact"/>
        <w:rPr>
          <w:rFonts w:ascii="Times New Roman" w:cs="Times New Roman" w:eastAsia="Times New Roman" w:hAnsi="Times New Roman"/>
          <w:sz w:val="18"/>
          <w:szCs w:val="18"/>
          <w:color w:val="auto"/>
        </w:rPr>
      </w:pPr>
    </w:p>
    <w:p>
      <w:pPr>
        <w:ind w:left="960" w:right="80" w:hanging="424"/>
        <w:spacing w:after="0" w:line="261"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Situations when a Global Security Will Be Terminated</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95" w:right="479" w:bottom="1440" w:gutter="0" w:footer="0" w:header="0"/>
        </w:sectPr>
      </w:pPr>
    </w:p>
    <w:bookmarkStart w:id="76" w:name="page77"/>
    <w:bookmarkEnd w:id="7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special situations for termination of a global security are as follows:</w:t>
      </w:r>
    </w:p>
    <w:p>
      <w:pPr>
        <w:spacing w:after="0" w:line="131" w:lineRule="exact"/>
        <w:rPr>
          <w:sz w:val="20"/>
          <w:szCs w:val="20"/>
          <w:color w:val="auto"/>
        </w:rPr>
      </w:pPr>
    </w:p>
    <w:p>
      <w:pPr>
        <w:ind w:left="960" w:right="140" w:hanging="424"/>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the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119"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Certificated Securities</w:t>
      </w:r>
    </w:p>
    <w:p>
      <w:pPr>
        <w:spacing w:after="0" w:line="119"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97"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Payment When Offices Are Closed</w:t>
      </w:r>
    </w:p>
    <w:p>
      <w:pPr>
        <w:spacing w:after="0" w:line="119"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8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w:t>
      </w:r>
    </w:p>
    <w:p>
      <w:pPr>
        <w:spacing w:after="0" w:line="130"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w:t>
      </w:r>
    </w:p>
    <w:p>
      <w:pPr>
        <w:spacing w:after="0" w:line="130"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prospectus supplement occurs, including certain defaults by any of our significant subsidiaries.</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11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20"/>
          </w:cols>
          <w:pgMar w:left="440" w:top="295" w:right="539" w:bottom="1440" w:gutter="0" w:footer="0" w:header="0"/>
        </w:sectPr>
      </w:pPr>
    </w:p>
    <w:bookmarkStart w:id="78" w:name="page79"/>
    <w:bookmarkEnd w:id="78"/>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the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 and</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60-day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11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21"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67" w:lineRule="exact"/>
        <w:rPr>
          <w:sz w:val="20"/>
          <w:szCs w:val="20"/>
          <w:color w:val="auto"/>
        </w:rPr>
      </w:pPr>
    </w:p>
    <w:p>
      <w:pPr>
        <w:ind w:left="960" w:right="260" w:hanging="42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our assets, the resulting entity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will exist;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Your Approval</w:t>
      </w:r>
    </w:p>
    <w:p>
      <w:pPr>
        <w:spacing w:after="0" w:line="119"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67" w:lineRule="exact"/>
        <w:rPr>
          <w:sz w:val="20"/>
          <w:szCs w:val="20"/>
          <w:color w:val="auto"/>
        </w:rPr>
      </w:pPr>
    </w:p>
    <w:p>
      <w:pPr>
        <w:ind w:left="5420" w:right="4660" w:hanging="4884"/>
        <w:spacing w:after="0" w:line="454" w:lineRule="auto"/>
        <w:tabs>
          <w:tab w:leader="none" w:pos="97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 57</w:t>
      </w:r>
    </w:p>
    <w:p>
      <w:pPr>
        <w:sectPr>
          <w:pgSz w:w="11900" w:h="16838" w:orient="portrait"/>
          <w:cols w:equalWidth="0" w:num="1">
            <w:col w:w="11000"/>
          </w:cols>
          <w:pgMar w:left="440" w:top="297" w:right="459" w:bottom="1440" w:gutter="0" w:footer="0" w:header="0"/>
        </w:sectPr>
      </w:pPr>
    </w:p>
    <w:bookmarkStart w:id="79" w:name="page80"/>
    <w:bookmarkEnd w:id="79"/>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reduce any amounts due on a debt security;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 debt security (except as otherwise described in the prospectus or prospectus supplement);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11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Majority Approval</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960" w:right="160" w:hanging="42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60" w:right="68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OID securities, we will use the principal amount that would be due and payable on the voting date if the maturity of these debt securities were accelerated to that date because of a default;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97" w:right="459" w:bottom="1440" w:gutter="0" w:footer="0" w:header="0"/>
        </w:sectPr>
      </w:pPr>
    </w:p>
    <w:bookmarkStart w:id="80" w:name="page81"/>
    <w:bookmarkEnd w:id="80"/>
    <w:p>
      <w:pPr>
        <w:ind w:left="960" w:right="160" w:hanging="42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debt securities whose principal amount is not known (for example, because it is based on an index), we will use a special rule for that debt security described in the prospectus supplement;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1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89" w:lineRule="exact"/>
        <w:rPr>
          <w:sz w:val="20"/>
          <w:szCs w:val="20"/>
          <w:color w:val="auto"/>
        </w:rPr>
      </w:pPr>
    </w:p>
    <w:p>
      <w:pPr>
        <w:ind w:left="960" w:right="80" w:hanging="424"/>
        <w:spacing w:after="0" w:line="266"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1"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40" w:top="297"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Full Defeasance</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960" w:right="100" w:hanging="424"/>
        <w:spacing w:after="0" w:line="266"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960" w:right="60" w:hanging="424"/>
        <w:spacing w:after="0" w:line="256"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2"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31" w:lineRule="exact"/>
        <w:rPr>
          <w:sz w:val="20"/>
          <w:szCs w:val="20"/>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in denominations of $1,000 and amounts that are multiples of $1,000.</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95" w:right="459" w:bottom="1440" w:gutter="0" w:footer="0" w:header="0"/>
        </w:sectPr>
      </w:pPr>
    </w:p>
    <w:bookmarkStart w:id="82" w:name="page83"/>
    <w:bookmarkEnd w:id="82"/>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3"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60" w:right="360" w:hanging="424"/>
        <w:spacing w:after="0" w:line="261"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97" w:right="459" w:bottom="1440" w:gutter="0" w:footer="0" w:header="0"/>
        </w:sectPr>
      </w:pPr>
    </w:p>
    <w:bookmarkStart w:id="83" w:name="page84"/>
    <w:bookmarkEnd w:id="8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American Stock Transfer &amp; Trust Company, LLC is the trustee under the indenture.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right="460" w:firstLine="440"/>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440" w:top="297" w:right="499" w:bottom="1440" w:gutter="0" w:footer="0" w:header="0"/>
        </w:sectPr>
      </w:pPr>
    </w:p>
    <w:bookmarkStart w:id="84" w:name="page85"/>
    <w:bookmarkEnd w:id="84"/>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OUR UNITS</w:t>
      </w:r>
    </w:p>
    <w:p>
      <w:pPr>
        <w:spacing w:after="0" w:line="229"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85" w:lineRule="exact"/>
        <w:rPr>
          <w:sz w:val="20"/>
          <w:szCs w:val="20"/>
          <w:color w:val="auto"/>
        </w:rPr>
      </w:pPr>
    </w:p>
    <w:p>
      <w:pPr>
        <w:ind w:left="964" w:right="420" w:hanging="424"/>
        <w:spacing w:after="0" w:line="282" w:lineRule="auto"/>
        <w:tabs>
          <w:tab w:leader="none" w:pos="9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2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92" w:lineRule="exact"/>
        <w:rPr>
          <w:sz w:val="20"/>
          <w:szCs w:val="20"/>
          <w:color w:val="auto"/>
        </w:rPr>
      </w:pPr>
    </w:p>
    <w:p>
      <w:pPr>
        <w:ind w:left="4" w:right="400" w:firstLine="440"/>
        <w:spacing w:after="0" w:line="276" w:lineRule="auto"/>
        <w:rPr>
          <w:sz w:val="20"/>
          <w:szCs w:val="20"/>
          <w:color w:val="auto"/>
        </w:rPr>
      </w:pPr>
      <w:r>
        <w:rPr>
          <w:rFonts w:ascii="Times New Roman" w:cs="Times New Roman" w:eastAsia="Times New Roman" w:hAnsi="Times New Roman"/>
          <w:sz w:val="17"/>
          <w:szCs w:val="17"/>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w:t>
      </w:r>
    </w:p>
    <w:p>
      <w:pPr>
        <w:spacing w:after="0" w:line="1" w:lineRule="exact"/>
        <w:rPr>
          <w:sz w:val="20"/>
          <w:szCs w:val="20"/>
          <w:color w:val="auto"/>
        </w:rPr>
      </w:pPr>
    </w:p>
    <w:p>
      <w:pPr>
        <w:ind w:left="4" w:right="20" w:hanging="4"/>
        <w:spacing w:after="0" w:line="252"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9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80" w:lineRule="exact"/>
        <w:rPr>
          <w:sz w:val="20"/>
          <w:szCs w:val="20"/>
          <w:color w:val="auto"/>
        </w:rPr>
      </w:pPr>
    </w:p>
    <w:p>
      <w:pPr>
        <w:ind w:left="4" w:firstLine="440"/>
        <w:spacing w:after="0" w:line="312" w:lineRule="auto"/>
        <w:rPr>
          <w:sz w:val="20"/>
          <w:szCs w:val="20"/>
          <w:color w:val="auto"/>
        </w:rPr>
      </w:pPr>
      <w:r>
        <w:rPr>
          <w:rFonts w:ascii="Times New Roman" w:cs="Times New Roman" w:eastAsia="Times New Roman" w:hAnsi="Times New Roman"/>
          <w:sz w:val="17"/>
          <w:szCs w:val="17"/>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4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64"/>
          </w:cols>
          <w:pgMar w:left="436" w:top="293" w:right="49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BROKERAGE ALLOCATIONS AND OTHER PRACTICES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93" w:right="45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MATERIAL U.S. FEDERAL INCOME TAX CONSIDERATIONS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960" w:hanging="424"/>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67" w:lineRule="exact"/>
        <w:rPr>
          <w:rFonts w:ascii="Times New Roman" w:cs="Times New Roman" w:eastAsia="Times New Roman" w:hAnsi="Times New Roman"/>
          <w:sz w:val="18"/>
          <w:szCs w:val="18"/>
          <w:color w:val="auto"/>
        </w:rPr>
      </w:pPr>
    </w:p>
    <w:p>
      <w:pPr>
        <w:ind w:left="960" w:right="240" w:hanging="424"/>
        <w:spacing w:after="0" w:line="266"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that is neither a U.S. stockholder nor a partnership for U.S. federal income tax purposes.</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0"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in Connection with Holding Securities other than our Common Stock</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93"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prospectus supplement the U.S. federal income tax considerations applicable to holders of our debt securities who are not “U.S. persons.”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to be Taxed as a RIC</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order to qualify as a RIC for federal income tax purposes, we must:</w:t>
      </w:r>
    </w:p>
    <w:p>
      <w:pPr>
        <w:spacing w:after="0" w:line="131" w:lineRule="exact"/>
        <w:rPr>
          <w:sz w:val="20"/>
          <w:szCs w:val="20"/>
          <w:color w:val="auto"/>
        </w:rPr>
      </w:pPr>
    </w:p>
    <w:p>
      <w:pPr>
        <w:ind w:left="960" w:hanging="424"/>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election to be treated as a BDC under the 1940 Act at all times during each taxable year;</w:t>
      </w:r>
    </w:p>
    <w:p>
      <w:pPr>
        <w:spacing w:after="0" w:line="130"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or the Diversification Tests, so that at the end of each quarter of the taxable year:</w:t>
      </w:r>
    </w:p>
    <w:p>
      <w:pPr>
        <w:spacing w:after="0" w:line="130" w:lineRule="exact"/>
        <w:rPr>
          <w:rFonts w:ascii="Times New Roman" w:cs="Times New Roman" w:eastAsia="Times New Roman" w:hAnsi="Times New Roman"/>
          <w:sz w:val="18"/>
          <w:szCs w:val="18"/>
          <w:color w:val="auto"/>
        </w:rPr>
      </w:pPr>
    </w:p>
    <w:p>
      <w:pPr>
        <w:ind w:left="1420" w:right="200" w:hanging="439"/>
        <w:spacing w:after="0" w:line="266" w:lineRule="auto"/>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1" w:lineRule="exact"/>
        <w:rPr>
          <w:rFonts w:ascii="Times New Roman" w:cs="Times New Roman" w:eastAsia="Times New Roman" w:hAnsi="Times New Roman"/>
          <w:sz w:val="18"/>
          <w:szCs w:val="18"/>
          <w:color w:val="auto"/>
        </w:rPr>
      </w:pPr>
    </w:p>
    <w:p>
      <w:pPr>
        <w:jc w:val="both"/>
        <w:ind w:left="1420" w:hanging="439"/>
        <w:spacing w:after="0" w:line="266" w:lineRule="auto"/>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8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97"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or capital gains rather than distribute such amount as dividends and accordingly cause us to bear the excise tax burden associated therewith.</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as a RIC</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w:t>
      </w:r>
    </w:p>
    <w:p>
      <w:pPr>
        <w:spacing w:after="0" w:line="188"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 portfolio company in which we invest may face financial difficulty that requires us to work-out, modify or otherwise restructure our investment in the portfolio company. Any such restructuring could, depending on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97" w:right="459" w:bottom="1440" w:gutter="0" w:footer="0" w:header="0"/>
        </w:sectPr>
      </w:pPr>
    </w:p>
    <w:bookmarkStart w:id="89" w:name="page90"/>
    <w:bookmarkEnd w:id="89"/>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w:t>
      </w:r>
    </w:p>
    <w:p>
      <w:pPr>
        <w:spacing w:after="0" w:line="17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Certain of our investment practices may be subject to special and complex U.S. federal income tax provisions that may, among other things,</w:t>
      </w:r>
    </w:p>
    <w:p>
      <w:pPr>
        <w:spacing w:after="0" w:line="27" w:lineRule="exact"/>
        <w:rPr>
          <w:sz w:val="20"/>
          <w:szCs w:val="20"/>
          <w:color w:val="auto"/>
        </w:rPr>
      </w:pPr>
    </w:p>
    <w:p>
      <w:pPr>
        <w:jc w:val="both"/>
        <w:ind w:left="4" w:right="120" w:hanging="4"/>
        <w:spacing w:after="0" w:line="250" w:lineRule="auto"/>
        <w:tabs>
          <w:tab w:leader="none" w:pos="24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w:t>
      </w:r>
    </w:p>
    <w:p>
      <w:pPr>
        <w:spacing w:after="0" w:line="1" w:lineRule="exact"/>
        <w:rPr>
          <w:rFonts w:ascii="Times New Roman" w:cs="Times New Roman" w:eastAsia="Times New Roman" w:hAnsi="Times New Roman"/>
          <w:sz w:val="18"/>
          <w:szCs w:val="18"/>
          <w:color w:val="auto"/>
        </w:rPr>
      </w:pPr>
    </w:p>
    <w:p>
      <w:pPr>
        <w:ind w:left="4" w:right="40" w:hanging="4"/>
        <w:spacing w:after="0" w:line="253" w:lineRule="auto"/>
        <w:tabs>
          <w:tab w:leader="none" w:pos="2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alter the characterization of certain complex financial transactions, (f) treat dividends that would otherwise constitute qualified dividend income as non- qualified dividend income, (g) 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w:t>
      </w:r>
    </w:p>
    <w:p>
      <w:pPr>
        <w:spacing w:after="0" w:line="187" w:lineRule="exact"/>
        <w:rPr>
          <w:sz w:val="20"/>
          <w:szCs w:val="20"/>
          <w:color w:val="auto"/>
        </w:rPr>
      </w:pPr>
    </w:p>
    <w:p>
      <w:pPr>
        <w:ind w:left="4" w:right="580" w:firstLine="440"/>
        <w:spacing w:after="0" w:line="266" w:lineRule="auto"/>
        <w:rPr>
          <w:sz w:val="20"/>
          <w:szCs w:val="20"/>
          <w:color w:val="auto"/>
        </w:rPr>
      </w:pPr>
      <w:r>
        <w:rPr>
          <w:rFonts w:ascii="Times New Roman" w:cs="Times New Roman" w:eastAsia="Times New Roman" w:hAnsi="Times New Roman"/>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76"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We are authorized to borrow funds and to sell assets in order to satisfy our Annual Distribution Requirement or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87"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83" w:lineRule="exact"/>
        <w:rPr>
          <w:sz w:val="20"/>
          <w:szCs w:val="20"/>
          <w:color w:val="auto"/>
        </w:rPr>
      </w:pPr>
    </w:p>
    <w:p>
      <w:pPr>
        <w:ind w:left="4" w:right="20" w:firstLine="440"/>
        <w:spacing w:after="0" w:line="271" w:lineRule="auto"/>
        <w:rPr>
          <w:sz w:val="20"/>
          <w:szCs w:val="20"/>
          <w:color w:val="auto"/>
        </w:rPr>
      </w:pPr>
      <w:r>
        <w:rPr>
          <w:rFonts w:ascii="Times New Roman" w:cs="Times New Roman" w:eastAsia="Times New Roman" w:hAnsi="Times New Roman"/>
          <w:sz w:val="17"/>
          <w:szCs w:val="17"/>
          <w:color w:val="auto"/>
        </w:rPr>
        <w:t>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 end of each taxable year our shares in such PFIC; in this case, we will recognize as ordinary income any increase in the value of such shares, and as ordinary loss any decrease in such value to the extent it does not exceed prior</w:t>
      </w:r>
    </w:p>
    <w:p>
      <w:pPr>
        <w:spacing w:after="0" w:line="10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4"/>
          </w:cols>
          <w:pgMar w:left="436" w:top="297" w:right="479" w:bottom="1440" w:gutter="0" w:footer="0" w:header="0"/>
        </w:sectPr>
      </w:pPr>
    </w:p>
    <w:bookmarkStart w:id="90" w:name="page91"/>
    <w:bookmarkEnd w:id="90"/>
    <w:p>
      <w:pPr>
        <w:ind w:right="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our distributions from PFICs and our proceeds from dispositions of PFIC stock during that year, and such income will nevertheless be subject to the Annual Distribution Requirement and will be taken into account for purposes of determining whether we satisfy the Excise Tax Avoidance Requirement.</w:t>
      </w:r>
    </w:p>
    <w:p>
      <w:pPr>
        <w:spacing w:after="0" w:line="164"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If we are deemed to own ten percent (10%) or more (by vote or value) of the stock of a non-U.S. corporation that qualifies as a “controlled foreign corporation,” or “CFC,” for U.S. federal income tax purposes, we would be required to include in income the amount of the CFC’s “Subpart F income” to which it would have been entitled had the CFC currently distributed all of its earnings. Additionally, all or any part of any gain resulting from the sale or exchange of stock of the CFC could be treated as a dividend. For this purpose, a non-U.S. corporation is generally considered a CFC if more than 50% of the corporation’s stock (by vote or value) is owned, directly or indirectly or through application of certain constructive ownership rules, by U.S. persons who each own, directly or indirectly or constructively, 10% or more (by vote or value) of the non-U.S. corporation’s voting stock, or a “U.S. Shareholder.” If we are treated as receiving a deemed inclusion of income from a CFC, we would be required to include such distribution in our investment company taxable income regardless of whether we receive any distributions from such CFC, and we would be required to include such deemed inclusion of income in determining our satisfaction of the Annual Distribution Requirement and the Excise Tax Avoidance Requirement.</w:t>
      </w:r>
    </w:p>
    <w:p>
      <w:pPr>
        <w:spacing w:after="0" w:line="17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PFIC rules would not apply to us with respect to any investment for any period during which the CFC rules were applicable to such investment. Furthermore, in determining the amount of any deemed inclusion of income from any CFC, we are required to include in gross income each taxable year our share of any “global intangible low-taxed income,” or “GILTI.” Rules relating to GILTI and CFCs are complex. As such, shareholders should consult their own tax advisors about the applicability and U.S. federal income tax consequences of the CFC rules to their investment in our shares, including the potential impact of rules governing the inclusion of Subpart F income and the related GILTI rules.</w:t>
      </w:r>
    </w:p>
    <w:p>
      <w:pPr>
        <w:spacing w:after="0" w:line="183"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w:t>
      </w:r>
    </w:p>
    <w:p>
      <w:pPr>
        <w:spacing w:after="0" w:line="19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 net operating losses generally will not pass through to our stockholders. In addition, expenses can be used only to offset investment company taxable income, and may not be used to offset net capital gain. As a RIC, we may not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97" w:right="479" w:bottom="1440" w:gutter="0" w:footer="0" w:header="0"/>
        </w:sectPr>
      </w:pPr>
    </w:p>
    <w:bookmarkStart w:id="91" w:name="page92"/>
    <w:bookmarkEnd w:id="91"/>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use any net capital losses (that is, realized capital losses in excess of realized capital gains) to offset our investment company taxable income, but may carry forward those losses, and use them to offset future capital gains, indefinitely. Further, our deduction of net business interest expense is generally limited to 30% of our “adjusted taxable income” plus “floor plan financing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Qualify as a RIC</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promulgated guidance for publicly offered RICs stating that as long as at least 20% (10% of distributions declared on or before June 30, 2022) of the dividends are paid in cash and if certain other requirements are met, stockholders will be subject to tax on 100% of such dividends in the same manner as a cash dividend, even though most of the dividends were paid in shares of common stock.</w:t>
      </w:r>
    </w:p>
    <w:p>
      <w:pPr>
        <w:spacing w:after="0" w:line="192"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To the extent such distributions paid by us to non-corporate stockholders (including individuals) are attributable to dividends from U.S. corporations and certain qualified foreign corporations, properly designated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60"/>
          </w:cols>
          <w:pgMar w:left="440" w:top="297" w:right="499" w:bottom="1440" w:gutter="0" w:footer="0" w:header="0"/>
        </w:sectPr>
      </w:pPr>
    </w:p>
    <w:bookmarkStart w:id="92" w:name="page93"/>
    <w:bookmarkEnd w:id="92"/>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 Distributions out of our current and accumulated earnings and profits will not be eligible for the 20% pass through deduction under Section 199A of the Code.</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87" w:lineRule="exact"/>
        <w:rPr>
          <w:sz w:val="20"/>
          <w:szCs w:val="20"/>
          <w:color w:val="auto"/>
        </w:rPr>
      </w:pPr>
    </w:p>
    <w:p>
      <w:pPr>
        <w:jc w:val="both"/>
        <w:ind w:right="60" w:firstLine="440"/>
        <w:spacing w:after="0" w:line="312" w:lineRule="auto"/>
        <w:rPr>
          <w:sz w:val="20"/>
          <w:szCs w:val="20"/>
          <w:color w:val="auto"/>
        </w:rPr>
      </w:pPr>
      <w:r>
        <w:rPr>
          <w:rFonts w:ascii="Times New Roman" w:cs="Times New Roman" w:eastAsia="Times New Roman" w:hAnsi="Times New Roman"/>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4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 stockholder generally will recognize taxable gain or loss if the stockholder sells or otherwise disposes of his, her or its shares of our common stock. Any gain or loss arising from such sale or disposition generally will</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60"/>
          </w:cols>
          <w:pgMar w:left="440" w:top="297" w:right="499" w:bottom="1440" w:gutter="0" w:footer="0" w:header="0"/>
        </w:sectPr>
      </w:pPr>
    </w:p>
    <w:bookmarkStart w:id="93" w:name="page94"/>
    <w:bookmarkEnd w:id="93"/>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w:t>
      </w:r>
    </w:p>
    <w:p>
      <w:pPr>
        <w:spacing w:after="0" w:line="18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83"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A U.S. stockholder (other than an “exempt recipient,” including a “C” corporation and certain other persons who, when required, demonstrate their exempt status) may be subject to federal income tax withholding (“backup</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97" w:right="459" w:bottom="1440" w:gutter="0" w:footer="0" w:header="0"/>
        </w:sectPr>
      </w:pPr>
    </w:p>
    <w:bookmarkStart w:id="94" w:name="page95"/>
    <w:bookmarkEnd w:id="94"/>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7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8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8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60"/>
          </w:cols>
          <w:pgMar w:left="440" w:top="297" w:right="499" w:bottom="1440" w:gutter="0" w:footer="0" w:header="0"/>
        </w:sectPr>
      </w:pPr>
    </w:p>
    <w:bookmarkStart w:id="95" w:name="page96"/>
    <w:bookmarkEnd w:id="95"/>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Non-U.S. persons should consult their own tax advisors with respect to the U.S. federal income tax and withholding tax, and state, local and foreign tax consequences of an investment in the shares.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60"/>
          </w:cols>
          <w:pgMar w:left="440" w:top="297" w:right="499"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PLAN OF DISTRIBUTION</w:t>
      </w:r>
    </w:p>
    <w:p>
      <w:pPr>
        <w:spacing w:after="0" w:line="229"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85" w:lineRule="exact"/>
        <w:rPr>
          <w:sz w:val="20"/>
          <w:szCs w:val="20"/>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securities and the proceeds to us and any discounts, commissions or concessions allowed or reallowed or paid to dealers;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83"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0"/>
          </w:cols>
          <w:pgMar w:left="440" w:top="293" w:right="479" w:bottom="1440" w:gutter="0" w:footer="0" w:header="0"/>
        </w:sectPr>
      </w:pPr>
    </w:p>
    <w:bookmarkStart w:id="97" w:name="page98"/>
    <w:bookmarkEnd w:id="9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0"/>
          </w:cols>
          <w:pgMar w:left="440" w:top="297" w:right="49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SUB-ADMINISTRATOR, CUSTODIAN, TRANSFER AGENT AND TRUSTEE</w:t>
      </w:r>
    </w:p>
    <w:p>
      <w:pPr>
        <w:spacing w:after="0" w:line="229" w:lineRule="exact"/>
        <w:rPr>
          <w:sz w:val="20"/>
          <w:szCs w:val="20"/>
          <w:color w:val="auto"/>
        </w:rPr>
      </w:pPr>
    </w:p>
    <w:p>
      <w:pPr>
        <w:ind w:right="60" w:firstLine="440"/>
        <w:spacing w:after="0" w:line="236" w:lineRule="auto"/>
        <w:rPr>
          <w:sz w:val="20"/>
          <w:szCs w:val="20"/>
          <w:color w:val="auto"/>
        </w:rPr>
      </w:pPr>
      <w:r>
        <w:rPr>
          <w:rFonts w:ascii="Times New Roman" w:cs="Times New Roman" w:eastAsia="Times New Roman" w:hAnsi="Times New Roman"/>
          <w:sz w:val="18"/>
          <w:szCs w:val="18"/>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AST serves as trustee under our 2026 Notes and 2026 Notes-2.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15th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Brooklyn, NY 11219, telephone number: (800) 937-5449.</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regarding the securities offered by this prospectus will be passed upon for us by Dechert LLP, Washington, D.C., and by Venable LLP, as special Maryland counsel. Certain legal matters will be passed upon for underwriters, if any, by the counsel named in the prospectus supplement, if any.</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PennantPark Investment Corporation as of September 30, 2021 and 2020 and for each of the years in the three-year period ended September 30, 2021 and the effectiveness of internal control over financial reporting as of September 30, 2021 incorporated in this Prospectus by reference from the PennantPark Investment Corporation Annual Report on Form 10-K for the year ended September 30, 2021 have been audited by RSM US LLP, an independent registered public accounting firm, as stated in their reports thereon, incorporated herein by reference, and have been incorporated in this Prospectus and Registration Statement in reliance upon such reports and upon the authority of such firm as experts in accounting and auditing.</w:t>
      </w:r>
    </w:p>
    <w:p>
      <w:pPr>
        <w:spacing w:after="0" w:line="18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senior securities table of the Company included in this Prospectus and elsewhere in the Registration Statement has been included in reliance upon the report of RSM US LLP, an independent registered public accounting firm, as stated in their report filed as exhibit 99.5 to the Company’s Annual Report on Form 10-K for the year ended September 30, 2021, which is incorporated herein by reference.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AUDITORS</w:t>
      </w:r>
    </w:p>
    <w:p>
      <w:pPr>
        <w:spacing w:after="0" w:line="22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RAM Energy Holdings LLC as of and for the years ended September 30, 2021, 2020, and 2019 incorporated by reference in this Prospectus and in the Registration Statement have been so incorporated in reliance on the reports of BDO USA, LLP, an independent auditor, incorporated herein by reference, given on the authority of said firm as experts in auditing and accounting.</w:t>
      </w:r>
    </w:p>
    <w:p>
      <w:pPr>
        <w:spacing w:after="0" w:line="392"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PT Network Intermediate Holdings, LLC as of December 31, 2021 and 2020, and for each of the three years in the period ended December 31, 2021 incorporated by reference in this Prospectus and in the Registration Statement have been so incorporated in reliance on the reports of Dixon Hughes Goodman LLP, an independent auditor, incorporated herein by reference, given on the authority of said firm as experts in auditing and accounting.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0"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93" w:right="479" w:bottom="1440" w:gutter="0" w:footer="0" w:header="0"/>
        </w:sectPr>
      </w:pPr>
    </w:p>
    <w:bookmarkStart w:id="99" w:name="page100"/>
    <w:bookmarkEnd w:id="99"/>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 and any prospectus supplement incorporates by reference the documents set forth below that have previously been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112" w:lineRule="exact"/>
        <w:rPr>
          <w:sz w:val="20"/>
          <w:szCs w:val="20"/>
          <w:color w:val="auto"/>
        </w:rPr>
      </w:pPr>
    </w:p>
    <w:p>
      <w:pPr>
        <w:ind w:left="960" w:right="180" w:hanging="424"/>
        <w:spacing w:after="0" w:line="266"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September 30, 2021, filed with the SEC on November 17, 2021 and amended on March 30, 2022, including the information specifically incorporated by reference to the Form 10-K from our Definitive Proxy Statement on </w:t>
      </w:r>
      <w:hyperlink r:id="rId129">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December 9, 2021;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30">
        <w:r>
          <w:rPr>
            <w:rFonts w:ascii="Times New Roman" w:cs="Times New Roman" w:eastAsia="Times New Roman" w:hAnsi="Times New Roman"/>
            <w:sz w:val="18"/>
            <w:szCs w:val="18"/>
            <w:u w:val="single" w:color="auto"/>
            <w:color w:val="0000EE"/>
          </w:rPr>
          <w:t>Form 10-Q</w:t>
        </w:r>
      </w:hyperlink>
      <w:r>
        <w:rPr>
          <w:rFonts w:ascii="Times New Roman" w:cs="Times New Roman" w:eastAsia="Times New Roman" w:hAnsi="Times New Roman"/>
          <w:sz w:val="18"/>
          <w:szCs w:val="18"/>
          <w:color w:val="auto"/>
        </w:rPr>
        <w:t>, filed with the SEC for the quarterly period ended December 31, 2021 filed on February 9, 2022;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131">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with the SEC on March 30, 2022.</w:t>
      </w:r>
    </w:p>
    <w:p>
      <w:pPr>
        <w:spacing w:after="0" w:line="225"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rFonts w:ascii="Times New Roman" w:cs="Times New Roman" w:eastAsia="Times New Roman" w:hAnsi="Times New Roman"/>
          <w:sz w:val="18"/>
          <w:szCs w:val="18"/>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and any accompanying prospectus supplement,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Copies of these reports, proxy and information statements and other information may be obtained, after paying a duplicating fee, by sending a request by email to: publicinfo@sec.gov.</w:t>
      </w:r>
    </w:p>
    <w:p>
      <w:pPr>
        <w:spacing w:after="0" w:line="12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97" w:right="47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2891155</wp:posOffset>
            </wp:positionH>
            <wp:positionV relativeFrom="page">
              <wp:posOffset>628650</wp:posOffset>
            </wp:positionV>
            <wp:extent cx="1765935" cy="4286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Up to $100 million</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388620</wp:posOffset>
            </wp:positionV>
            <wp:extent cx="1474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40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Truist Securities</w:t>
            </w:r>
          </w:p>
        </w:tc>
        <w:tc>
          <w:tcPr>
            <w:tcW w:w="762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Keefe, Bruyette &amp; Woods</w:t>
            </w:r>
          </w:p>
        </w:tc>
      </w:tr>
      <w:tr>
        <w:trPr>
          <w:trHeight w:val="190"/>
        </w:trPr>
        <w:tc>
          <w:tcPr>
            <w:tcW w:w="3400" w:type="dxa"/>
            <w:vAlign w:val="bottom"/>
          </w:tcPr>
          <w:p>
            <w:pPr>
              <w:spacing w:after="0"/>
              <w:rPr>
                <w:sz w:val="16"/>
                <w:szCs w:val="16"/>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A Stifel Company</w:t>
            </w:r>
          </w:p>
        </w:tc>
      </w:tr>
      <w:tr>
        <w:trPr>
          <w:trHeight w:val="428"/>
        </w:trPr>
        <w:tc>
          <w:tcPr>
            <w:tcW w:w="3400" w:type="dxa"/>
            <w:vAlign w:val="bottom"/>
          </w:tcPr>
          <w:p>
            <w:pPr>
              <w:spacing w:after="0"/>
              <w:rPr>
                <w:sz w:val="24"/>
                <w:szCs w:val="24"/>
                <w:color w:val="auto"/>
              </w:rPr>
            </w:pPr>
          </w:p>
        </w:tc>
        <w:tc>
          <w:tcPr>
            <w:tcW w:w="7620" w:type="dxa"/>
            <w:vAlign w:val="bottom"/>
          </w:tcPr>
          <w:p>
            <w:pPr>
              <w:jc w:val="right"/>
              <w:ind w:right="4944"/>
              <w:spacing w:after="0"/>
              <w:rPr>
                <w:sz w:val="20"/>
                <w:szCs w:val="20"/>
                <w:color w:val="auto"/>
              </w:rPr>
            </w:pPr>
            <w:r>
              <w:rPr>
                <w:rFonts w:ascii="Times New Roman" w:cs="Times New Roman" w:eastAsia="Times New Roman" w:hAnsi="Times New Roman"/>
                <w:sz w:val="18"/>
                <w:szCs w:val="18"/>
                <w:b w:val="1"/>
                <w:bCs w:val="1"/>
                <w:color w:val="auto"/>
              </w:rPr>
              <w:t>June 4, 2024</w:t>
            </w:r>
          </w:p>
        </w:tc>
      </w:tr>
      <w:tr>
        <w:trPr>
          <w:trHeight w:val="661"/>
        </w:trPr>
        <w:tc>
          <w:tcPr>
            <w:tcW w:w="34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r>
        <w:trPr>
          <w:trHeight w:val="81"/>
        </w:trPr>
        <w:tc>
          <w:tcPr>
            <w:tcW w:w="3400" w:type="dxa"/>
            <w:vAlign w:val="bottom"/>
            <w:tcBorders>
              <w:bottom w:val="single" w:sz="8" w:color="auto"/>
            </w:tcBorders>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020"/>
      </w:cols>
      <w:pgMar w:left="44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1)"/>
      <w:numFmt w:val="decimal"/>
      <w:start w:val="8"/>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212"/>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8"/>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8"/>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upperLetter"/>
      <w:start w:val="2"/>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decimal"/>
      <w:start w:val="3"/>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lvl w:ilvl="1">
      <w:lvlJc w:val="left"/>
      <w:lvlText w:val="%2)"/>
      <w:numFmt w:val="decimal"/>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lowerLetter"/>
      <w:start w:val="5"/>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jpe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jpeg"/><Relationship Id="rId136" Type="http://schemas.openxmlformats.org/officeDocument/2006/relationships/image" Target="media/image118.png"/><Relationship Id="rId137" Type="http://schemas.openxmlformats.org/officeDocument/2006/relationships/image" Target="media/image119.png"/><Relationship Id="rId28" Type="http://schemas.openxmlformats.org/officeDocument/2006/relationships/hyperlink" Target="http://www.sec.gov/ix?doc=/Archives/edgar/data/1383414/000095017023068909/pnnt-20230930.htm" TargetMode="External"/><Relationship Id="rId30" Type="http://schemas.openxmlformats.org/officeDocument/2006/relationships/hyperlink" Target="http://www.sec.gov/Archives/edgar/data/1383414/000095017023070036/pnnt-2024-def_14a.htm" TargetMode="External"/><Relationship Id="rId31" Type="http://schemas.openxmlformats.org/officeDocument/2006/relationships/hyperlink" Target="http://www.sec.gov/ix?doc=/Archives/edgar/data/1383414/000095017024012191/pnnt-20231231.htm" TargetMode="External"/><Relationship Id="rId32" Type="http://schemas.openxmlformats.org/officeDocument/2006/relationships/hyperlink" Target="http://www.sec.gov/ix?doc=/Archives/edgar/data/1383414/000095017024055646/pnnt-20240331.htm" TargetMode="External"/><Relationship Id="rId33" Type="http://schemas.openxmlformats.org/officeDocument/2006/relationships/hyperlink" Target="http://www.sec.gov/ix?doc=/Archives/edgar/data/1383414/000095017024013258/pnnt-20240206.htm" TargetMode="External"/><Relationship Id="rId34" Type="http://schemas.openxmlformats.org/officeDocument/2006/relationships/hyperlink" Target="http://www.sec.gov/Archives/edgar/data/1383414/000156459019044110/pnnt-ex47_7.htm" TargetMode="External"/><Relationship Id="rId35" Type="http://schemas.openxmlformats.org/officeDocument/2006/relationships/hyperlink" Target="http://www.sec.gov/Archives/edgar/data/1383414/000156459019044110/pnnt-10k_20190930.htm" TargetMode="External"/><Relationship Id="rId128" Type="http://schemas.openxmlformats.org/officeDocument/2006/relationships/hyperlink" Target="http://www.sec.gov/Archives/edgar/data/1383414/000156459021057446/pnnt-10k_20210930.htm" TargetMode="External"/><Relationship Id="rId129" Type="http://schemas.openxmlformats.org/officeDocument/2006/relationships/hyperlink" Target="http://www.sec.gov/Archives/edgar/data/1383414/000095012321016092/pnnt-def14a_20220208.htm" TargetMode="External"/><Relationship Id="rId130" Type="http://schemas.openxmlformats.org/officeDocument/2006/relationships/hyperlink" Target="http://www.sec.gov/Archives/edgar/data/1383414/000095017022000974/pnnt-10q-20211231-no_xbr.htm" TargetMode="External"/><Relationship Id="rId131" Type="http://schemas.openxmlformats.org/officeDocument/2006/relationships/hyperlink" Target="http://www.sec.gov/Archives/edgar/data/1383414/000117184322002184/f8k_033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2024-06-04T16:40:56Z</dcterms:created>
  <dcterms:modified xsi:type="dcterms:W3CDTF">2024-06-04T16:40:56Z</dcterms:modified>
</cp:coreProperties>
</file>