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3263d10ka.htm"/>
      <w:bookmarkStart w:id="1" w:name="ksd933263d10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SEPTEMBER 30, 2024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814-00736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PENNANTPARK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3935"/>
        <w:gridCol w:w="60"/>
        <w:gridCol w:w="188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20-8250744</w:t>
            </w:r>
          </w:p>
        </w:tc>
      </w:tr>
      <w:tr>
        <w:trPr/>
        <w:tc>
          <w:tcPr>
            <w:tcW w:w="3935" w:type="dxa"/>
            <w:tcBorders/>
            <w:vAlign w:val="center"/>
          </w:tcPr>
          <w:p>
            <w:pPr>
              <w:pStyle w:val="TableContents"/>
              <w:bidi w:val="0"/>
              <w:spacing w:before="0" w:after="0"/>
              <w:jc w:val="center"/>
              <w:rPr>
                <w:b/>
                <w:spacing w:val="0"/>
              </w:rPr>
            </w:pPr>
            <w:r>
              <w:rPr>
                <w:b/>
                <w:spacing w:val="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1691 Michigan Avenue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Miami, Florida</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33319</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(786)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PNNT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common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of the Registrant on March 31, 2024 based on the closing price on that date of $6.88 on The New York Stock Exchange was approximately $433.6 million. For the purposes of calculating the aggregate market value of common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all directors and executive officers of the Registrant have been treated as affiliates. There were 65,296,094 shares of the Registrant’s common stock outstanding as of February 10, 2025.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Portions of the Registrant’s Proxy Statement relating to the Registrant’s 2025 Annual Meeting of Stockholders, filed pursuant to Regulation 14A with the Securities and Exchange Commission on December 11, 2024, are incorporated by reference into Part III of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Corporation, a Maryland corporation, or together with its subsidiaries, where applicable, or the Company, which may also be referred to as “we,” “us” or “our,” is filing this Amendment No. 1, or the Amendment, to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September 30, 2024, or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which was initially filed with the Securities and Exchange Commission, or the SEC, on November 26, 2024.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Amendment to provide audited financial statements for our investment in an unconsolidated portfolio company, JF Holdings Corp. (“JF Holdings”), for the years ended December 31, 2024 and 2023 (as Exhibit 99.3), and financial statements for our investment in JF Holdings for the years ended December 31, 2023 and 2022 (as Exhibit 99.2).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that this unconsolidated portfolio company has met the conditions of a significant subsidiary under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1-02(w)</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for which we are required, pursuant to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3-09</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to provide separate financial statements as exhibits to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3-09(b)(1),</w:t>
      </w:r>
    </w:p>
    <w:p>
      <w:pPr>
        <w:pStyle w:val="TextBody"/>
        <w:bidi w:val="0"/>
        <w:spacing w:before="240" w:after="0"/>
        <w:jc w:val="left"/>
        <w:rPr>
          <w:rFonts w:ascii="Times New Roman" w:hAnsi="Times New Roman"/>
          <w:sz w:val="20"/>
        </w:rPr>
      </w:pPr>
      <w:r>
        <w:rPr>
          <w:rFonts w:ascii="Times New Roman" w:hAnsi="Times New Roman"/>
          <w:sz w:val="20"/>
        </w:rPr>
        <w:t xml:space="preserve">the separate audited financial statements of JF Holdings are being filed as an amendment to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also includes the filing of new Exhibits 31.1, 31.2, 32.1 and 32.2, certifications of our Chief Executive Officer and Chief Financial Officer, pursuant to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13a-14(a)</w:t>
      </w:r>
    </w:p>
    <w:p>
      <w:pPr>
        <w:pStyle w:val="TextBody"/>
        <w:bidi w:val="0"/>
        <w:spacing w:before="240" w:after="0"/>
        <w:jc w:val="left"/>
        <w:rPr>
          <w:rFonts w:ascii="Times New Roman" w:hAnsi="Times New Roman"/>
          <w:sz w:val="20"/>
        </w:rPr>
      </w:pPr>
      <w:r>
        <w:rPr>
          <w:rFonts w:ascii="Times New Roman" w:hAnsi="Times New Roman"/>
          <w:sz w:val="20"/>
        </w:rPr>
        <w:t xml:space="preserve">and (b)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other changes have been made to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does not reflect subsequent events that may have occurred after the original filing date of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or modify or update in any way disclosures made in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to reflect the revisions discussed above. Among other things, forward-looking statements made in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have not been revised to reflect events that occurred or facts that became known to us after filing of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and such forward-looking statements should be read in their historical context. Furthermore, this Amendment should be read in conjunction with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283"/>
        <w:jc w:val="left"/>
        <w:rPr>
          <w:rFonts w:ascii="Times New Roman" w:hAnsi="Times New Roman"/>
          <w:sz w:val="20"/>
        </w:rPr>
      </w:pPr>
      <w:r>
        <w:rPr>
          <w:rFonts w:ascii="Times New Roman" w:hAnsi="Times New Roman"/>
          <w:sz w:val="20"/>
        </w:rPr>
        <w:t xml:space="preserve">and with our subsequent filings with the SEC.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845"/>
        <w:gridCol w:w="3755"/>
      </w:tblGrid>
      <w:tr>
        <w:trPr/>
        <w:tc>
          <w:tcPr>
            <w:tcW w:w="845" w:type="dxa"/>
            <w:tcBorders/>
            <w:vAlign w:val="center"/>
          </w:tcPr>
          <w:p>
            <w:pPr>
              <w:pStyle w:val="TableContents"/>
              <w:bidi w:val="0"/>
              <w:spacing w:before="0" w:after="283"/>
              <w:jc w:val="left"/>
              <w:rPr>
                <w:b/>
              </w:rPr>
            </w:pPr>
            <w:r>
              <w:rPr>
                <w:b/>
              </w:rPr>
              <w:t>Item 15.</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part of this Annual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Statements—Refer to Item 8 starting on page 60 of the Registrant’s Annual Report on Form 10-K filed on November 26, 2024.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290"/>
        <w:gridCol w:w="3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 Schedules—None.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2">
              <w:r>
                <w:rPr>
                  <w:rStyle w:val="InternetLink"/>
                </w:rPr>
                <w:t>Articles of Incorporation (Incorporated by reference to Exhibit 99(a) to the Registrant’s Pre-Effective Amendment No. 3 to the Registration Statement on Form N-2/A (File No. 333-140092), filed on April 5, 2007).</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3">
              <w:r>
                <w:rPr>
                  <w:rStyle w:val="InternetLink"/>
                </w:rPr>
                <w:t>Articles of Amendment to Articles of Incorporation of the Registrant (Incorporated by reference to Exhibit 3.2 to the Registrant’s Quarterly Report on Form 10-Q (File No. 814-00736), filed on August 7, 2024).</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4">
              <w:r>
                <w:rPr>
                  <w:rStyle w:val="InternetLink"/>
                </w:rPr>
                <w:t>Second Amended and Restated Bylaws of the Registrant (Incorporated by reference to Exhibit 3.2 to the Registrant’s Quarterly Report on Form 10-Q (File No. 814-00736), filed on May 11, 2020).</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5">
              <w:r>
                <w:rPr>
                  <w:rStyle w:val="InternetLink"/>
                </w:rPr>
                <w:t>Form of Share Certificate (Incorporated by reference to Exhibit 99(d)(1) to the Registrant’s Registration Statement on Form N-2 (File No. 333-150033), filed on April 2, 2008).</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6">
              <w:r>
                <w:rPr>
                  <w:rStyle w:val="InternetLink"/>
                </w:rPr>
                <w:t>Base Indenture, dated as of January 22, 2013, relating to the 6.25% Senior Notes due 2025, between the Registrant and American Stock Transfer &amp; Trust Company, LLC, as trustee (Incorporated by reference to Exhibit 99(d)(8) to the Registrant’s Post-Effective Amendment No.4 to the Registration Statement on Form N-2/A (File No.333-172524), filed on January 22, 2013).</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7">
              <w:r>
                <w:rPr>
                  <w:rStyle w:val="InternetLink"/>
                </w:rPr>
                <w:t>Fourth Supplemental Indenture, dated as of April 21, 2021, by and between the Company and American Stock Transfer &amp; Trust Company, LLC, as trustee (Incorporated by reference to Exhibit 4.1 to the Registrant’s Form 8-K (File No. 814-00736), filed April 22, 2021).</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8">
              <w:r>
                <w:rPr>
                  <w:rStyle w:val="InternetLink"/>
                </w:rPr>
                <w:t>Form of 4.50% Notes due 2026 (included as part of Exhibit 4.3).</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9">
              <w:r>
                <w:rPr>
                  <w:rStyle w:val="InternetLink"/>
                </w:rPr>
                <w:t>Fifth Supplemental Indenture, dated as of October 21, 2021, by and between the Company and American Stock Transfer &amp; Trust Company, LLC, as trustee (Incorporated by reference to Exhibit 4.1 to the Registrant’s Form 8-K (File No. 814-00736), filed on October 21, 2021).</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10">
              <w:r>
                <w:rPr>
                  <w:rStyle w:val="InternetLink"/>
                </w:rPr>
                <w:t>Form of 4.00% Notes due 2026 (included as part of Exhibit 4.5).</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4.7</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11">
              <w:r>
                <w:rPr>
                  <w:rStyle w:val="InternetLink"/>
                </w:rPr>
                <w:t>Description of Securities (Incorporated by reference to Exhibit 4.7 to the Registrant’s Form 10-K (File No. 814-00736), filed November 21, 2019).</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12">
              <w:r>
                <w:rPr>
                  <w:rStyle w:val="InternetLink"/>
                </w:rPr>
                <w:t xml:space="preserve">Amended and Restated Administration Agreement, dated as of May 20, 2024, between the Registrant and PennantPark Investment Administration, LLC (Incorporated by reference to Exhibit 10.2 to the Registrant’s Quarterly Report on Form 10-Q (File No. 814-00736), filed on August 7, 2024).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r:id="rId13">
              <w:r>
                <w:rPr>
                  <w:rStyle w:val="InternetLink"/>
                </w:rPr>
                <w:t>Dividend Reinvestment Plan (Incorporated by reference to Exhibit 99(e) to the Registrant’s Registration Statement on Form N-2 (File No. 333-150033), filed on April 2, 2008).</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695"/>
        <w:gridCol w:w="120"/>
        <w:gridCol w:w="939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4">
              <w:r>
                <w:rPr>
                  <w:rStyle w:val="InternetLink"/>
                </w:rPr>
                <w:t>First Omnibus Amendment to Second Amended and Restated Senior Secured Revolving Credit Agreement and Second Amended and Restated Guarantee and Security Agreement, dated as of May 25, 2017, among the Registrant, the lenders party thereto and SunTrust Bank, as administrative agent for the lenders (Incorporated by reference to Exhibit 10.1 to the Registrant’s Quarterly Report on Form 10-Q (File No. 814-00736), filed on August 7, 2017).</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5">
              <w:r>
                <w:rPr>
                  <w:rStyle w:val="InternetLink"/>
                </w:rPr>
                <w:t>Indemnification Agreement, dated as of November 15, 2016, between PennantPark Investment Corporation and each of the directors and officers listed on Schedule A attached thereto (Incorporated by reference to Exhibit 10.5 to the Registrant’s Annual Report on Form 10-K (File No. 814-00736) filed on November 21, 2016).</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6">
              <w:r>
                <w:rPr>
                  <w:rStyle w:val="InternetLink"/>
                </w:rPr>
                <w:t xml:space="preserve">Fourth Amended and Restated Investment Advisory Management Agreement, dated as of May 20, 2024, between the Registrant and PennantPark Investment Advisers, LLC (Incorporated by reference to Exhibit 10.1 to the Registrant’s Quarterly Report on Form 10-Q (File No. 814-00736) filed on August 7, 2024). </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7">
              <w:r>
                <w:rPr>
                  <w:rStyle w:val="InternetLink"/>
                </w:rPr>
                <w:t>Second Amendment to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PNNT CI (GALLS) Prime Investment Holdings, LLC, PNNT Investment Holdings, LLC, PNNT New Gulf Resources, LLC, PNNT ecoserve, LLC and PNNT Cascade Environmental Holdings, LLC (Incorporated by reference to Exhibit 10.1 to the Registrant’s Current Report on Form 8-K (File No. 814-00736), filed on September 4, 2019).</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8">
              <w:r>
                <w:rPr>
                  <w:rStyle w:val="InternetLink"/>
                </w:rPr>
                <w:t>Amended and Restated Limited Liability Company Agreement of PennantPark Senior Loan Fund, LLC, dated as of July 31, 2020, by and among PennantPark Investment Corporation, Pantheon Private Debt Program SCSp SICAV - RAIF In Respect Of Its Compartment Pantheon Senior Debt Secondaries II (USD) and Solutio Premium Private Debt I SCSp (Incorporated by reference to Exhibit 10.1 to the Registrant’s Current Report on Form 8-K (File No. 814-00736), filed on August 4, 2020).</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9">
              <w:r>
                <w:rPr>
                  <w:rStyle w:val="InternetLink"/>
                </w:rPr>
                <w:t>First Amendment to the Amended and Restated Limited Liability Company Agreement of PennantPark Senior Loan Fund, LLC, dated as of October 31, 2020, by and among PennantPark Investment Corporation, Pantheon Private Debt Program SCSp SICAV - RAIF In Respect Of Its Compartment Pantheon Senior Debt Secondaries II (USD), Pantheon Private Debt Program SCSp SICAV-RAIF In Respect Of Its Compartment Pantheon Credit Opportunities II (USD), Pantheon Private Debt Program SCSp SICAV-RAIF In Respect Of Its Compartment Tubera Credit 2020 and Solutio Premium Private Debt I SCSp (Incorporated by reference to Exhibit 10.12 to the Registrant’s Annual Report on Form 10-K (File No. 814-00736), filed on November 19, 2020).</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20">
              <w:r>
                <w:rPr>
                  <w:rStyle w:val="InternetLink"/>
                </w:rPr>
                <w:t>Second Amendment to the Amended and Restated Limited Liability Company Agreement of PennantPark Senior Loan Fund, LLC, dated as of October 31, 2020, by and among PennantPark Investment Corporation, Pantheon Private Debt Program SCSp SICAV - RAIF In Respect Of Its Compartment Pantheon Senior Debt Secondaries II (USD), Pantheon Private Debt Program SCSp SICAV-RAIF In Respect Of Its Compartment Pantheon Credit Opportunities II (USD), Pantheon Private Debt Program SCSp SICAV-RAIF In Respect Of Its Compartment Tubera Credit 2020 and Solutio Premium Private Debt I SCSp (Incorporated by reference to Exhibit 10.1 to the Registrant’s Current Report on Form 8-K (File No. 814-00736), filed on September 4,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21">
              <w:r>
                <w:rPr>
                  <w:rStyle w:val="InternetLink"/>
                </w:rPr>
                <w:t>Fifth Amendment to Second Amended and Restated Senior Secured Revolving Credit Agreement and Second Amended and Restated Guarantee and Security Agreement, dated as of July 29, 2022, among the Registrant, the lenders party thereto and Truist Bank, as administrative agent for the lenders (Incorporated by reference to Exhibit 10.2 to the Registrant’s Form 10-Q (File No. 814-00736), filed on August 3, 2022).</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75"/>
        <w:gridCol w:w="120"/>
        <w:gridCol w:w="9310"/>
      </w:tblGrid>
      <w:tr>
        <w:trPr/>
        <w:tc>
          <w:tcPr>
            <w:tcW w:w="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2">
              <w:r>
                <w:rPr>
                  <w:rStyle w:val="InternetLink"/>
                </w:rPr>
                <w:t>Equity Distribution Agreement, dated as of June 4, 2024, by and among PennantPark Investment Corporation, PennantPark Investment Advisers, LLC, PennantPark Investment Administration, LLC and Truist Securities, Inc., as the sales agent (Incorporated by reference to Ex. 1.1 to the Registrant’s Current Report on Form 8-K (File No. 814-00736), filed on June 4, 2024).</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3">
              <w:r>
                <w:rPr>
                  <w:rStyle w:val="InternetLink"/>
                </w:rPr>
                <w:t>Equity Distribution Agreement, dated as of June 4, 2024 by and among PennantPark Investment Corporation, PennantPark Investment Advisers, LLC, PennantPark Investment Administration, LLC and Keefe, Bruyette &amp; Woods, Inc., as the sales agent (Incorporated by reference to Ex. 1.2 to the Registrant’s Current Report on Form 8-K (File No. 814-00736), filed on June 4, 2024).</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4">
              <w:r>
                <w:rPr>
                  <w:rStyle w:val="InternetLink"/>
                </w:rPr>
                <w:t>Sixth Amendment to Second Amended and Restated Senior Secured Revolving Credit Agreement, dated as of June 25, 2024, by and among PennantPark Investment Corporation and Truist Bank, as administrative agent. (Incorporated by reference to Exhibit 10.5 to the Registrant’s Quarterly Report on Form 10-Q (File No. 814-00736), filed on August 7, 2024).</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14.1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5">
              <w:r>
                <w:rPr>
                  <w:rStyle w:val="InternetLink"/>
                </w:rPr>
                <w:t xml:space="preserve">Joint Code of Ethics of the Registrant (Incorporated by reference to Exhibit 14.1 to the Registrant’s Annual Report on Form 10-K (File No. 814-00736), filed on December 8, 2023).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19.1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6">
              <w:r>
                <w:rPr>
                  <w:rStyle w:val="InternetLink"/>
                </w:rPr>
                <w:t xml:space="preserve">Insider Trading Policy (included in the Joint Code of Ethics of the Registrant) (Incorporated by reference to Exhibit 19.1 to the Registrant’s Annual Report on Form 10-K (File No. 814-00736), filed on November 26, 2024).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7">
              <w:r>
                <w:rPr>
                  <w:rStyle w:val="InternetLink"/>
                </w:rPr>
                <w:t>Subsidiaries of the Registrant (Incorporated by reference to Exhibit 21.1 to the Registrant’s Annual Report on Form 10-K (File No. 814-00736), filed on November 26, 2024)</w:t>
              </w:r>
            </w:hyperlink>
            <w:r>
              <w:rPr/>
              <w:t>.</w:t>
            </w:r>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311.htm">
              <w:r>
                <w:rPr>
                  <w:rStyle w:val="InternetLink"/>
                </w:rPr>
                <w:t xml:space="preserve">Certification of Chief Executive Officer pursuant to Rule 13a-14 of the Securities Exchange Act of 1934, as amended.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312.htm">
              <w:r>
                <w:rPr>
                  <w:rStyle w:val="InternetLink"/>
                </w:rPr>
                <w:t xml:space="preserve">Certification of Chief Financial Officer pursuant to Rule 13a-14 of the Securities Exchange Act of 1934, as amended.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321.htm">
              <w:r>
                <w:rPr>
                  <w:rStyle w:val="InternetLink"/>
                </w:rPr>
                <w:t xml:space="preserve">Certification of Chief Executive Officer pursuant to section 906 of the Sarbanes-Oxley Act of 2002.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322.htm">
              <w:r>
                <w:rPr>
                  <w:rStyle w:val="InternetLink"/>
                </w:rPr>
                <w:t xml:space="preserve">Certification of Chief Financial Officer pursuant to section 906 of the Sarbanes-Oxley Act of 2002.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97.1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8">
              <w:r>
                <w:rPr>
                  <w:rStyle w:val="InternetLink"/>
                </w:rPr>
                <w:t>Clawback Policy (Incorporated by reference to Exhibit 97.1 to the Registrant’s Annual Report on Form 10-K (File No. 814-00736), filed on December 8, 2023).</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29">
              <w:r>
                <w:rPr>
                  <w:rStyle w:val="InternetLink"/>
                </w:rPr>
                <w:t>Privacy Policy of the Registrant (Incorporated by reference to Exhibit 99.1 to the Registrant’s Annual Report on Form 10-K (File No. 814-00736), filed on December 8, 2023).</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992.htm">
              <w:r>
                <w:rPr>
                  <w:rStyle w:val="InternetLink"/>
                </w:rPr>
                <w:t xml:space="preserve">Audited Consolidated Financial Statements of JF Holdings Corp. and Subsidiaries for the Years Ended December 31, 2023 and 2022.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w:anchor="d933263dex993.htm">
              <w:r>
                <w:rPr>
                  <w:rStyle w:val="InternetLink"/>
                </w:rPr>
                <w:t xml:space="preserve">Audited Consolidated Financial Statements of JF Holdings Corp. and Subsidiaries for the Years Ended December 31, 2024 and 2023.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hyperlink r:id="rId30">
              <w:r>
                <w:rPr>
                  <w:rStyle w:val="InternetLink"/>
                </w:rPr>
                <w:t xml:space="preserve">Report of RSM US LLP, on Senior Securities Table. RSM US LLP, New York, New York (PCAOB ID: 49) (Incorporated by reference to Exhibit 99.2 to the Registrant’s Annual Report on Form 10-K (File No. 814-00736), filed on November 26, 2024). </w:t>
              </w:r>
            </w:hyperlink>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r>
              <w:rPr/>
              <w:t>Inline XBRL Instance Document</w:t>
            </w:r>
          </w:p>
        </w:tc>
      </w:tr>
      <w:tr>
        <w:trPr/>
        <w:tc>
          <w:tcPr>
            <w:tcW w:w="775" w:type="dxa"/>
            <w:tcBorders/>
            <w:vAlign w:val="center"/>
          </w:tcPr>
          <w:p>
            <w:pPr>
              <w:pStyle w:val="TableContents"/>
              <w:bidi w:val="0"/>
              <w:spacing w:before="0" w:after="283"/>
              <w:jc w:val="left"/>
              <w:rPr>
                <w:sz w:val="4"/>
                <w:szCs w:val="4"/>
              </w:rPr>
            </w:pPr>
            <w:r>
              <w:rPr>
                <w:sz w:val="4"/>
                <w:szCs w:val="4"/>
              </w:rPr>
            </w:r>
          </w:p>
        </w:tc>
        <w:tc>
          <w:tcPr>
            <w:tcW w:w="943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left"/>
              <w:rPr/>
            </w:pPr>
            <w:r>
              <w:rPr/>
              <w:t>Inline XBRL Taxonomy Extension Schema</w:t>
            </w:r>
          </w:p>
        </w:tc>
      </w:tr>
    </w:tbl>
    <w:p>
      <w:pPr>
        <w:pStyle w:val="HorizontalLine"/>
        <w:bidi w:val="0"/>
        <w:jc w:val="left"/>
        <w:rPr/>
      </w:pPr>
      <w:r>
        <w:br w:type="page"/>
      </w:r>
      <w:r>
        <w:rPr/>
      </w:r>
    </w:p>
    <w:tbl>
      <w:tblPr>
        <w:tblW w:w="9775" w:type="dxa"/>
        <w:jc w:val="left"/>
        <w:tblInd w:w="0" w:type="dxa"/>
        <w:tblLayout w:type="fixed"/>
        <w:tblCellMar>
          <w:top w:w="0" w:type="dxa"/>
          <w:left w:w="0" w:type="dxa"/>
          <w:bottom w:w="0" w:type="dxa"/>
          <w:right w:w="0" w:type="dxa"/>
        </w:tblCellMar>
      </w:tblPr>
      <w:tblGrid>
        <w:gridCol w:w="1070"/>
        <w:gridCol w:w="120"/>
        <w:gridCol w:w="858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8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Inline XBRL Taxonomy Extension Calculation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Inline XBRL Taxonomy Extension Definition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Inline XBRL Taxonomy Extension Label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Inline XBRL Taxonomy Extension Presentation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on May 2, 2025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665"/>
        <w:gridCol w:w="60"/>
        <w:gridCol w:w="65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b/>
              </w:rPr>
            </w:pPr>
            <w:r>
              <w:rPr>
                <w:b/>
              </w:rPr>
              <w:t>Arthur H. Penn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b/>
              </w:rPr>
            </w:pPr>
            <w:r>
              <w:rPr>
                <w:b/>
              </w:rPr>
              <w:t>Chief Executive Officer and 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tbl>
      <w:tblPr>
        <w:tblW w:w="9885" w:type="dxa"/>
        <w:jc w:val="left"/>
        <w:tblInd w:w="0" w:type="dxa"/>
        <w:tblLayout w:type="fixed"/>
        <w:tblCellMar>
          <w:top w:w="0" w:type="dxa"/>
          <w:left w:w="0" w:type="dxa"/>
          <w:bottom w:w="0" w:type="dxa"/>
          <w:right w:w="0" w:type="dxa"/>
        </w:tblCellMar>
      </w:tblPr>
      <w:tblGrid>
        <w:gridCol w:w="2285"/>
        <w:gridCol w:w="120"/>
        <w:gridCol w:w="6110"/>
        <w:gridCol w:w="120"/>
        <w:gridCol w:w="125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61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Chief Executive Officer and Chairman of the Board of Directors</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Arthur H. Penn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(Principal Executive Officer)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Chief Financial Officer and Treasurer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Richard T. Allorto,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(Principal Financial and Accounting Officer)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K. Bernstein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Adam K. Bernstein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Flug</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Jeffrey Flug</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Marshall Brozost</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Marshall Brozost</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L. Katz</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Samuel L. Katz</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José A. Briones,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May 2, 2025</w:t>
            </w:r>
          </w:p>
        </w:tc>
      </w:tr>
      <w:tr>
        <w:trPr/>
        <w:tc>
          <w:tcPr>
            <w:tcW w:w="2285" w:type="dxa"/>
            <w:tcBorders/>
            <w:vAlign w:val="center"/>
          </w:tcPr>
          <w:p>
            <w:pPr>
              <w:pStyle w:val="TableContents"/>
              <w:bidi w:val="0"/>
              <w:spacing w:before="0" w:after="283"/>
              <w:jc w:val="left"/>
              <w:rPr>
                <w:b/>
              </w:rPr>
            </w:pPr>
            <w:r>
              <w:rPr>
                <w:b/>
              </w:rPr>
              <w:t>José A. Briones,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 w:name="d933263dex311.htm"/>
      <w:bookmarkStart w:id="3" w:name="ksd933263dex311"/>
      <w:bookmarkEnd w:id="2"/>
      <w:bookmarkEnd w:id="3"/>
      <w:r>
        <w:rPr>
          <w:rFonts w:ascii="Times New Roman" w:hAnsi="Times New Roman"/>
          <w:b/>
          <w:sz w:val="20"/>
        </w:rPr>
        <w:t xml:space="preserve">EXHIBIT 31.1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PURSUANT TO SECTION 302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Arthur H. Penn, Chief Executive Officer and Chairman of the Board of Directors of PennantPark Investment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10-K/A of PennantPark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2,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H.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 w:name="d933263dex312.htm"/>
      <w:bookmarkStart w:id="5" w:name="ksd933263dex312"/>
      <w:bookmarkEnd w:id="4"/>
      <w:bookmarkEnd w:id="5"/>
      <w:r>
        <w:rPr>
          <w:rFonts w:ascii="Times New Roman" w:hAnsi="Times New Roman"/>
          <w:b/>
          <w:sz w:val="20"/>
        </w:rPr>
        <w:t xml:space="preserve">Exhibit 31.2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PURSUANT TO SECTION 302 </w:t>
      </w:r>
    </w:p>
    <w:p>
      <w:pPr>
        <w:pStyle w:val="TextBody"/>
        <w:bidi w:val="0"/>
        <w:spacing w:before="0" w:after="0"/>
        <w:jc w:val="center"/>
        <w:rPr>
          <w:rFonts w:ascii="Times New Roman" w:hAnsi="Times New Roman"/>
          <w:b/>
          <w:sz w:val="20"/>
        </w:rPr>
      </w:pPr>
      <w:r>
        <w:rPr>
          <w:rFonts w:ascii="Times New Roman" w:hAnsi="Times New Roman"/>
          <w:b/>
          <w:sz w:val="20"/>
        </w:rPr>
        <w:t xml:space="preserve">CHIEF FINANCIAL OFFICER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Richard T. Allorto, Jr., Chief Financial Officer of PennantPark Investment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10-K/A of PennantPark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2,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Richard T. Allorto, Jr.</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6" w:name="d933263dex321.htm"/>
      <w:bookmarkStart w:id="7" w:name="ksd933263dex321"/>
      <w:bookmarkEnd w:id="6"/>
      <w:bookmarkEnd w:id="7"/>
      <w:r>
        <w:rPr>
          <w:rFonts w:ascii="Times New Roman" w:hAnsi="Times New Roman"/>
          <w:b/>
          <w:sz w:val="20"/>
        </w:rPr>
        <w:t xml:space="preserve">EXHIBIT 32.1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(18 U.S.C. Section 1350)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10-K/A of PennantPark Investment Corporation for the annual period ended September 30, 2024 as filed with the Securities and Exchange Commission on the date hereof (the Report), I, Arthur H. Penn, as Chief Executive Officer of the Registrant hereby certify, to the best of my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Registrant.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H.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r>
        <w:trPr/>
        <w:tc>
          <w:tcPr>
            <w:tcW w:w="705" w:type="dxa"/>
            <w:tcBorders/>
          </w:tcPr>
          <w:p>
            <w:pPr>
              <w:pStyle w:val="TableContents"/>
              <w:bidi w:val="0"/>
              <w:spacing w:before="0" w:after="283"/>
              <w:jc w:val="left"/>
              <w:rPr/>
            </w:pPr>
            <w:r>
              <w:rPr/>
              <w:t>Date: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May 2, 2025</w:t>
            </w:r>
          </w:p>
        </w:tc>
      </w:tr>
    </w:tbl>
    <w:p>
      <w:pPr>
        <w:pStyle w:val="TextBody"/>
        <w:bidi w:val="0"/>
        <w:spacing w:before="0" w:after="0"/>
        <w:jc w:val="right"/>
        <w:rPr>
          <w:rFonts w:ascii="Times New Roman" w:hAnsi="Times New Roman"/>
          <w:b/>
          <w:sz w:val="20"/>
        </w:rPr>
      </w:pPr>
      <w:bookmarkStart w:id="8" w:name="d933263dex322.htm"/>
      <w:bookmarkStart w:id="9" w:name="ksd933263dex322"/>
      <w:bookmarkEnd w:id="8"/>
      <w:bookmarkEnd w:id="9"/>
      <w:r>
        <w:rPr>
          <w:rFonts w:ascii="Times New Roman" w:hAnsi="Times New Roman"/>
          <w:b/>
          <w:sz w:val="20"/>
        </w:rPr>
        <w:t xml:space="preserve">EXHIBIT 32.2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(18 U.S.C. Section 1350)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10-K/A of PennantPark Investment Corporation for the annual period ended September 30, 2024 as filed with the Securities and Exchange Commission on the date hereof (the Report), I, Richard T. Allorto, Jr., as Chief Financial Officer of the Registrant hereby certify, to the best of my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Registrant.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Allorto</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Richard T. Allorto, Jr.</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r>
        <w:trPr/>
        <w:tc>
          <w:tcPr>
            <w:tcW w:w="704"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May 2, 2025</w:t>
            </w:r>
          </w:p>
        </w:tc>
      </w:tr>
    </w:tbl>
    <w:p>
      <w:pPr>
        <w:pStyle w:val="TextBody"/>
        <w:bidi w:val="0"/>
        <w:spacing w:before="0" w:after="0"/>
        <w:jc w:val="right"/>
        <w:rPr>
          <w:rFonts w:ascii="Times New Roman" w:hAnsi="Times New Roman"/>
          <w:b/>
          <w:sz w:val="20"/>
        </w:rPr>
      </w:pPr>
      <w:bookmarkStart w:id="10" w:name="d933263dex992.htm"/>
      <w:bookmarkStart w:id="11" w:name="ksd933263dex992"/>
      <w:bookmarkEnd w:id="10"/>
      <w:bookmarkEnd w:id="11"/>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1"/>
                    <a:stretch>
                      <a:fillRect/>
                    </a:stretch>
                  </pic:blipFill>
                  <pic:spPr bwMode="auto">
                    <a:xfrm>
                      <a:off x="0" y="0"/>
                      <a:ext cx="647700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Years Ended December 31, 2023 and 2022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0"/>
        <w:gridCol w:w="155"/>
        <w:gridCol w:w="60"/>
        <w:gridCol w:w="578"/>
        <w:gridCol w:w="62"/>
      </w:tblGrid>
      <w:tr>
        <w:trPr/>
        <w:tc>
          <w:tcPr>
            <w:tcW w:w="93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Auditors Report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Stockholders (Deficit) Equity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10-28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44"/>
        <w:gridCol w:w="105"/>
        <w:gridCol w:w="2549"/>
        <w:gridCol w:w="121"/>
        <w:gridCol w:w="2286"/>
      </w:tblGrid>
      <w:tr>
        <w:trPr/>
        <w:tc>
          <w:tcPr>
            <w:tcW w:w="514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5144" w:type="dxa"/>
            <w:vMerge w:val="restart"/>
            <w:tcBorders/>
          </w:tcPr>
          <w:p>
            <w:pPr>
              <w:pStyle w:val="TableContents"/>
              <w:bidi w:val="0"/>
              <w:spacing w:before="0" w:after="283"/>
              <w:jc w:val="left"/>
              <w:rPr/>
            </w:pPr>
            <w:r>
              <w:rPr/>
              <w:drawing>
                <wp:inline distT="0" distB="0" distL="0" distR="0">
                  <wp:extent cx="10572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2"/>
                          <a:stretch>
                            <a:fillRect/>
                          </a:stretch>
                        </pic:blipFill>
                        <pic:spPr bwMode="auto">
                          <a:xfrm>
                            <a:off x="0" y="0"/>
                            <a:ext cx="1057275" cy="49530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Tel: 919-754-9370</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421 Fayetteville St</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Fax: 919-754-9369</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Suite 300</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www.bdo.com</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Raleigh, NC 27601</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JF Holdings Corp.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JF Holdings Corp. and its subsidiaries (the Company), which comprise the consolidated balance sheets as of December 31, 2023 and 2022, and the related consolidated statements of operations, changes in stockholders (deficit) equity, and cash flows for the years then ended,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the Company as of December 31, 2023 and 2022, and the results of its operations and its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BDO USA, P.C., a Virginia professional corporation, is the U.S. member of BDO International Limited, a UK company limited by guarantee, and forms part of the international BDO network of independent member firms. </w:t>
      </w:r>
    </w:p>
    <w:p>
      <w:pPr>
        <w:pStyle w:val="TextBody"/>
        <w:bidi w:val="0"/>
        <w:spacing w:before="240" w:after="0"/>
        <w:jc w:val="left"/>
        <w:rPr>
          <w:rFonts w:ascii="Times New Roman" w:hAnsi="Times New Roman"/>
          <w:sz w:val="20"/>
        </w:rPr>
      </w:pPr>
      <w:r>
        <w:rPr>
          <w:rFonts w:ascii="Times New Roman" w:hAnsi="Times New Roman"/>
          <w:sz w:val="20"/>
        </w:rPr>
        <w:t xml:space="preserve">BDO is the brand name for the BDO network and for each of the BDO Member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4"/>
        <w:gridCol w:w="105"/>
        <w:gridCol w:w="2549"/>
        <w:gridCol w:w="121"/>
        <w:gridCol w:w="2286"/>
      </w:tblGrid>
      <w:tr>
        <w:trPr/>
        <w:tc>
          <w:tcPr>
            <w:tcW w:w="514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5144" w:type="dxa"/>
            <w:vMerge w:val="restart"/>
            <w:tcBorders/>
          </w:tcPr>
          <w:p>
            <w:pPr>
              <w:pStyle w:val="TableContents"/>
              <w:bidi w:val="0"/>
              <w:spacing w:before="0" w:after="283"/>
              <w:jc w:val="left"/>
              <w:rPr/>
            </w:pPr>
            <w:r>
              <w:rPr/>
              <w:drawing>
                <wp:inline distT="0" distB="0" distL="0" distR="0">
                  <wp:extent cx="1057275"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3"/>
                          <a:stretch>
                            <a:fillRect/>
                          </a:stretch>
                        </pic:blipFill>
                        <pic:spPr bwMode="auto">
                          <a:xfrm>
                            <a:off x="0" y="0"/>
                            <a:ext cx="1057275" cy="49530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Tel: 919-754-9370</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421 Fayetteville St</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Fax: 919-754-9369</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Suite 300</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www.bdo.com</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Raleigh, NC 27601</w:t>
            </w:r>
          </w:p>
        </w:tc>
      </w:tr>
    </w:tbl>
    <w:p>
      <w:pPr>
        <w:pStyle w:val="TextBody"/>
        <w:bidi w:val="0"/>
        <w:spacing w:before="0" w:after="0"/>
        <w:jc w:val="left"/>
        <w:rPr/>
      </w:pPr>
      <w:r>
        <w:rPr/>
        <w: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0" w:after="0"/>
        <w:jc w:val="left"/>
        <w:rPr/>
      </w:pPr>
      <w:r>
        <w:rPr/>
        <w:t> </w:t>
      </w:r>
    </w:p>
    <w:p>
      <w:pPr>
        <w:pStyle w:val="TextBody"/>
        <w:bidi w:val="0"/>
        <w:spacing w:before="0" w:after="0"/>
        <w:jc w:val="left"/>
        <w:rPr/>
      </w:pPr>
      <w:r>
        <w:rPr/>
        <w:drawing>
          <wp:inline distT="0" distB="0" distL="0" distR="0">
            <wp:extent cx="140017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4"/>
                    <a:stretch>
                      <a:fillRect/>
                    </a:stretch>
                  </pic:blipFill>
                  <pic:spPr bwMode="auto">
                    <a:xfrm>
                      <a:off x="0" y="0"/>
                      <a:ext cx="1400175"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May 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Financial Statements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0"/>
        <w:gridCol w:w="142"/>
        <w:gridCol w:w="140"/>
        <w:gridCol w:w="1315"/>
        <w:gridCol w:w="155"/>
        <w:gridCol w:w="110"/>
        <w:gridCol w:w="140"/>
        <w:gridCol w:w="1315"/>
        <w:gridCol w:w="158"/>
      </w:tblGrid>
      <w:tr>
        <w:trPr/>
        <w:tc>
          <w:tcPr>
            <w:tcW w:w="673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December 31,</w:t>
            </w:r>
          </w:p>
        </w:tc>
        <w:tc>
          <w:tcPr>
            <w:tcW w:w="142"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8,304,631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5" w:type="dxa"/>
            <w:tcBorders/>
            <w:shd w:fill="CCEEFF" w:val="clear"/>
            <w:vAlign w:val="bottom"/>
          </w:tcPr>
          <w:p>
            <w:pPr>
              <w:pStyle w:val="TableContents"/>
              <w:bidi w:val="0"/>
              <w:spacing w:before="0" w:after="283"/>
              <w:jc w:val="right"/>
              <w:rPr/>
            </w:pPr>
            <w:r>
              <w:rPr/>
              <w:t>8,889,734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4,623,379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1,627,410</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112,526,480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95,978,274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84,538,915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77,304,421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11,807,818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10,649,407</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9,124,469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6,045,226</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230,925,692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200,494,472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6,821,531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3,514,758</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15,567,356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11,129,145</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21,366,610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17,931,603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52,308,714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25,593,898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net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20,262,735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23,787,217</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200,809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412,917</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347,453,447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5" w:type="dxa"/>
            <w:tcBorders/>
            <w:vAlign w:val="bottom"/>
          </w:tcPr>
          <w:p>
            <w:pPr>
              <w:pStyle w:val="TableContents"/>
              <w:bidi w:val="0"/>
              <w:spacing w:before="0" w:after="283"/>
              <w:jc w:val="right"/>
              <w:rPr/>
            </w:pPr>
            <w:r>
              <w:rPr/>
              <w:t>282,864,010</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 Equity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61,706,489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5" w:type="dxa"/>
            <w:tcBorders/>
            <w:shd w:fill="CCEEFF" w:val="clear"/>
            <w:vAlign w:val="bottom"/>
          </w:tcPr>
          <w:p>
            <w:pPr>
              <w:pStyle w:val="TableContents"/>
              <w:bidi w:val="0"/>
              <w:spacing w:before="0" w:after="283"/>
              <w:jc w:val="right"/>
              <w:rPr/>
            </w:pPr>
            <w:r>
              <w:rPr/>
              <w:t>50,489,371</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11,306,115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5,721,047</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8,246,458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4,623,839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571,303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1,339,114</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4,235,219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2,892,516</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8,855,033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7,100,290</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installments of long-term debt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2,127,450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1,540,000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17,104,085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17,078,283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8,463,602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5,166,282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1,450,000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124,065,754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95,950,742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Line of credit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11,000,000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liability, net of current portion</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11,910,581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8,810,538</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finance lease liability, net of current portion</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14,123,438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12,260,817</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 and excluding current installments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205,169,563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147,824,851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7,899,298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363,168,634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275,846,948</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contingences (Note 12)</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1,000 shares authorized; 1 share issued and outstanding</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143,269,512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140,362,096</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(158,984,699</w:t>
            </w:r>
          </w:p>
        </w:tc>
        <w:tc>
          <w:tcPr>
            <w:tcW w:w="155" w:type="dxa"/>
            <w:tcBorders/>
            <w:vAlign w:val="bottom"/>
          </w:tcPr>
          <w:p>
            <w:pPr>
              <w:pStyle w:val="TableContents"/>
              <w:bidi w:val="0"/>
              <w:spacing w:before="0" w:after="283"/>
              <w:jc w:val="left"/>
              <w:rPr>
                <w:b/>
              </w:rPr>
            </w:pPr>
            <w:r>
              <w:rPr>
                <w:b/>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(133,345,034</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(15,715,187</w:t>
            </w:r>
          </w:p>
        </w:tc>
        <w:tc>
          <w:tcPr>
            <w:tcW w:w="155" w:type="dxa"/>
            <w:tcBorders/>
            <w:shd w:fill="CCEEFF" w:val="clear"/>
            <w:vAlign w:val="bottom"/>
          </w:tcPr>
          <w:p>
            <w:pPr>
              <w:pStyle w:val="TableContents"/>
              <w:bidi w:val="0"/>
              <w:spacing w:before="0" w:after="283"/>
              <w:jc w:val="left"/>
              <w:rPr>
                <w:b/>
              </w:rPr>
            </w:pPr>
            <w:r>
              <w:rPr>
                <w:b/>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7,017,062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(deficit) equity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347,453,447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5" w:type="dxa"/>
            <w:tcBorders/>
            <w:vAlign w:val="bottom"/>
          </w:tcPr>
          <w:p>
            <w:pPr>
              <w:pStyle w:val="TableContents"/>
              <w:bidi w:val="0"/>
              <w:spacing w:before="0" w:after="283"/>
              <w:jc w:val="right"/>
              <w:rPr/>
            </w:pPr>
            <w:r>
              <w:rPr/>
              <w:t>282,864,010</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0"/>
        <w:gridCol w:w="138"/>
        <w:gridCol w:w="140"/>
        <w:gridCol w:w="1233"/>
        <w:gridCol w:w="155"/>
        <w:gridCol w:w="108"/>
        <w:gridCol w:w="140"/>
        <w:gridCol w:w="1233"/>
        <w:gridCol w:w="158"/>
      </w:tblGrid>
      <w:tr>
        <w:trPr/>
        <w:tc>
          <w:tcPr>
            <w:tcW w:w="690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0" w:type="dxa"/>
            <w:tcBorders/>
            <w:vAlign w:val="bottom"/>
          </w:tcPr>
          <w:p>
            <w:pPr>
              <w:pStyle w:val="TableContents"/>
              <w:bidi w:val="0"/>
              <w:spacing w:before="0" w:after="283"/>
              <w:jc w:val="left"/>
              <w:rPr>
                <w:i/>
              </w:rPr>
            </w:pPr>
            <w:r>
              <w:rPr>
                <w:i/>
              </w:rPr>
              <w:t>For the year ended December 31,</w:t>
            </w:r>
          </w:p>
        </w:tc>
        <w:tc>
          <w:tcPr>
            <w:tcW w:w="138"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pPr>
            <w:r>
              <w:rPr/>
              <w:t>2022</w:t>
            </w:r>
          </w:p>
        </w:tc>
        <w:tc>
          <w:tcPr>
            <w:tcW w:w="158" w:type="dxa"/>
            <w:tcBorders/>
            <w:vAlign w:val="bottom"/>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Parts and equipment</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33" w:type="dxa"/>
            <w:tcBorders/>
            <w:vAlign w:val="bottom"/>
          </w:tcPr>
          <w:p>
            <w:pPr>
              <w:pStyle w:val="TableContents"/>
              <w:bidi w:val="0"/>
              <w:spacing w:before="0" w:after="283"/>
              <w:jc w:val="right"/>
              <w:rPr>
                <w:b/>
              </w:rPr>
            </w:pPr>
            <w:r>
              <w:rPr>
                <w:b/>
              </w:rPr>
              <w:t>283,851,274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3" w:type="dxa"/>
            <w:tcBorders/>
            <w:vAlign w:val="bottom"/>
          </w:tcPr>
          <w:p>
            <w:pPr>
              <w:pStyle w:val="TableContents"/>
              <w:bidi w:val="0"/>
              <w:spacing w:before="0" w:after="283"/>
              <w:jc w:val="right"/>
              <w:rPr/>
            </w:pPr>
            <w:r>
              <w:rPr/>
              <w:t>300,117,542</w:t>
            </w:r>
          </w:p>
        </w:tc>
        <w:tc>
          <w:tcPr>
            <w:tcW w:w="158" w:type="dxa"/>
            <w:tcBorders/>
            <w:vAlign w:val="bottom"/>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and installation</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306,888,223</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251,703,308</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590,739,497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551,820,850</w:t>
            </w:r>
          </w:p>
        </w:tc>
        <w:tc>
          <w:tcPr>
            <w:tcW w:w="158" w:type="dxa"/>
            <w:tcBorders/>
            <w:vAlign w:val="bottom"/>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472,208,570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433,035,315</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118,530,927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118,785,535</w:t>
            </w:r>
          </w:p>
        </w:tc>
        <w:tc>
          <w:tcPr>
            <w:tcW w:w="158" w:type="dxa"/>
            <w:tcBorders/>
            <w:vAlign w:val="bottom"/>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113,741,394</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104,703,644</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12,852,495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12,779,986</w:t>
            </w:r>
          </w:p>
        </w:tc>
        <w:tc>
          <w:tcPr>
            <w:tcW w:w="158" w:type="dxa"/>
            <w:tcBorders/>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income from operations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(8,062,962</w:t>
            </w:r>
          </w:p>
        </w:tc>
        <w:tc>
          <w:tcPr>
            <w:tcW w:w="155" w:type="dxa"/>
            <w:tcBorders/>
            <w:shd w:fill="CCEEFF" w:val="clear"/>
            <w:vAlign w:val="bottom"/>
          </w:tcPr>
          <w:p>
            <w:pPr>
              <w:pStyle w:val="TableContents"/>
              <w:bidi w:val="0"/>
              <w:spacing w:before="0" w:after="283"/>
              <w:jc w:val="left"/>
              <w:rPr>
                <w:b/>
              </w:rPr>
            </w:pPr>
            <w:r>
              <w:rPr>
                <w:b/>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1,301,905</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(20,773,983</w:t>
            </w:r>
          </w:p>
        </w:tc>
        <w:tc>
          <w:tcPr>
            <w:tcW w:w="155" w:type="dxa"/>
            <w:tcBorders/>
            <w:shd w:fill="CCEEFF" w:val="clear"/>
            <w:vAlign w:val="bottom"/>
          </w:tcPr>
          <w:p>
            <w:pPr>
              <w:pStyle w:val="TableContents"/>
              <w:bidi w:val="0"/>
              <w:spacing w:before="0" w:after="283"/>
              <w:jc w:val="left"/>
              <w:rPr>
                <w:b/>
              </w:rPr>
            </w:pPr>
            <w:r>
              <w:rPr>
                <w:b/>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(14,719,550</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2,585,935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3,187,793</w:t>
            </w:r>
          </w:p>
        </w:tc>
        <w:tc>
          <w:tcPr>
            <w:tcW w:w="158" w:type="dxa"/>
            <w:tcBorders/>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(18,188,048</w:t>
            </w:r>
          </w:p>
        </w:tc>
        <w:tc>
          <w:tcPr>
            <w:tcW w:w="155" w:type="dxa"/>
            <w:tcBorders/>
            <w:shd w:fill="CCEEFF" w:val="clear"/>
            <w:vAlign w:val="bottom"/>
          </w:tcPr>
          <w:p>
            <w:pPr>
              <w:pStyle w:val="TableContents"/>
              <w:bidi w:val="0"/>
              <w:spacing w:before="0" w:after="283"/>
              <w:jc w:val="left"/>
              <w:rPr>
                <w:b/>
              </w:rPr>
            </w:pPr>
            <w:r>
              <w:rPr>
                <w:b/>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(11,531,757</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(26,251,010</w:t>
            </w:r>
          </w:p>
        </w:tc>
        <w:tc>
          <w:tcPr>
            <w:tcW w:w="155" w:type="dxa"/>
            <w:tcBorders/>
            <w:vAlign w:val="bottom"/>
          </w:tcPr>
          <w:p>
            <w:pPr>
              <w:pStyle w:val="TableContents"/>
              <w:bidi w:val="0"/>
              <w:spacing w:before="0" w:after="283"/>
              <w:jc w:val="left"/>
              <w:rPr>
                <w:b/>
              </w:rPr>
            </w:pPr>
            <w:r>
              <w:rPr>
                <w:b/>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(10,229,852</w:t>
            </w:r>
          </w:p>
        </w:tc>
        <w:tc>
          <w:tcPr>
            <w:tcW w:w="158" w:type="dxa"/>
            <w:tcBorders/>
            <w:vAlign w:val="bottom"/>
          </w:tcPr>
          <w:p>
            <w:pPr>
              <w:pStyle w:val="TableContents"/>
              <w:bidi w:val="0"/>
              <w:spacing w:before="0" w:after="283"/>
              <w:jc w:val="left"/>
              <w:rPr/>
            </w:pPr>
            <w:r>
              <w:rPr/>
              <w:t>) </w:t>
            </w:r>
          </w:p>
        </w:tc>
      </w:tr>
      <w:tr>
        <w:trPr/>
        <w:tc>
          <w:tcPr>
            <w:tcW w:w="6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(611,345</w:t>
            </w:r>
          </w:p>
        </w:tc>
        <w:tc>
          <w:tcPr>
            <w:tcW w:w="155" w:type="dxa"/>
            <w:tcBorders/>
            <w:shd w:fill="CCEEFF" w:val="clear"/>
            <w:vAlign w:val="bottom"/>
          </w:tcPr>
          <w:p>
            <w:pPr>
              <w:pStyle w:val="TableContents"/>
              <w:bidi w:val="0"/>
              <w:spacing w:before="0" w:after="283"/>
              <w:jc w:val="left"/>
              <w:rPr>
                <w:b/>
              </w:rPr>
            </w:pPr>
            <w:r>
              <w:rPr>
                <w:b/>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1,466,541</w:t>
            </w:r>
          </w:p>
        </w:tc>
        <w:tc>
          <w:tcPr>
            <w:tcW w:w="158" w:type="dxa"/>
            <w:tcBorders/>
            <w:shd w:fill="CCEEFF" w:val="clear"/>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33" w:type="dxa"/>
            <w:tcBorders/>
            <w:vAlign w:val="bottom"/>
          </w:tcPr>
          <w:p>
            <w:pPr>
              <w:pStyle w:val="TableContents"/>
              <w:bidi w:val="0"/>
              <w:spacing w:before="0" w:after="283"/>
              <w:jc w:val="right"/>
              <w:rPr>
                <w:b/>
              </w:rPr>
            </w:pPr>
            <w:r>
              <w:rPr>
                <w:b/>
              </w:rPr>
              <w:t>(25,639,665</w:t>
            </w:r>
          </w:p>
        </w:tc>
        <w:tc>
          <w:tcPr>
            <w:tcW w:w="155" w:type="dxa"/>
            <w:tcBorders/>
            <w:vAlign w:val="bottom"/>
          </w:tcPr>
          <w:p>
            <w:pPr>
              <w:pStyle w:val="TableContents"/>
              <w:bidi w:val="0"/>
              <w:spacing w:before="0" w:after="283"/>
              <w:jc w:val="left"/>
              <w:rPr>
                <w:b/>
              </w:rPr>
            </w:pPr>
            <w:r>
              <w:rPr>
                <w:b/>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3" w:type="dxa"/>
            <w:tcBorders/>
            <w:vAlign w:val="bottom"/>
          </w:tcPr>
          <w:p>
            <w:pPr>
              <w:pStyle w:val="TableContents"/>
              <w:bidi w:val="0"/>
              <w:spacing w:before="0" w:after="283"/>
              <w:jc w:val="right"/>
              <w:rPr/>
            </w:pPr>
            <w:r>
              <w:rPr/>
              <w:t>(11,696,393</w:t>
            </w:r>
          </w:p>
        </w:tc>
        <w:tc>
          <w:tcPr>
            <w:tcW w:w="158" w:type="dxa"/>
            <w:tcBorders/>
            <w:vAlign w:val="bottom"/>
          </w:tcPr>
          <w:p>
            <w:pPr>
              <w:pStyle w:val="TableContents"/>
              <w:bidi w:val="0"/>
              <w:spacing w:before="0" w:after="283"/>
              <w:jc w:val="left"/>
              <w:rPr/>
            </w:pPr>
            <w:r>
              <w:rPr/>
              <w:t>) </w:t>
            </w:r>
          </w:p>
        </w:tc>
      </w:tr>
      <w:tr>
        <w:trPr/>
        <w:tc>
          <w:tcPr>
            <w:tcW w:w="690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Changes in Stockholders Deficit (Equity)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5"/>
        <w:gridCol w:w="195"/>
        <w:gridCol w:w="220"/>
        <w:gridCol w:w="498"/>
        <w:gridCol w:w="60"/>
        <w:gridCol w:w="195"/>
        <w:gridCol w:w="140"/>
        <w:gridCol w:w="1327"/>
        <w:gridCol w:w="60"/>
        <w:gridCol w:w="195"/>
        <w:gridCol w:w="140"/>
        <w:gridCol w:w="1387"/>
        <w:gridCol w:w="155"/>
        <w:gridCol w:w="146"/>
        <w:gridCol w:w="140"/>
        <w:gridCol w:w="1242"/>
        <w:gridCol w:w="160"/>
      </w:tblGrid>
      <w:tr>
        <w:trPr/>
        <w:tc>
          <w:tcPr>
            <w:tcW w:w="394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27"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394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135,312,096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(121,648,641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13,663,455</w:t>
            </w:r>
          </w:p>
        </w:tc>
        <w:tc>
          <w:tcPr>
            <w:tcW w:w="160" w:type="dxa"/>
            <w:tcBorders/>
            <w:shd w:fill="CCEEFF" w:val="clear"/>
            <w:vAlign w:val="bottom"/>
          </w:tcPr>
          <w:p>
            <w:pPr>
              <w:pStyle w:val="TableContents"/>
              <w:bidi w:val="0"/>
              <w:spacing w:before="0" w:after="283"/>
              <w:jc w:val="left"/>
              <w:rPr/>
            </w:pPr>
            <w:r>
              <w:rPr/>
              <w:t> </w:t>
            </w:r>
          </w:p>
        </w:tc>
      </w:tr>
      <w:tr>
        <w:trPr/>
        <w:tc>
          <w:tcPr>
            <w:tcW w:w="3945"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stockholder</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5,050,000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5,050,000</w:t>
            </w:r>
          </w:p>
        </w:tc>
        <w:tc>
          <w:tcPr>
            <w:tcW w:w="160" w:type="dxa"/>
            <w:tcBorders/>
            <w:vAlign w:val="bottom"/>
          </w:tcPr>
          <w:p>
            <w:pPr>
              <w:pStyle w:val="TableContents"/>
              <w:bidi w:val="0"/>
              <w:spacing w:before="0" w:after="283"/>
              <w:jc w:val="left"/>
              <w:rPr/>
            </w:pPr>
            <w:r>
              <w:rPr/>
              <w:t> </w:t>
            </w:r>
          </w:p>
        </w:tc>
      </w:tr>
      <w:tr>
        <w:trPr/>
        <w:tc>
          <w:tcPr>
            <w:tcW w:w="3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(11,696,393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(11,696,393</w:t>
            </w:r>
          </w:p>
        </w:tc>
        <w:tc>
          <w:tcPr>
            <w:tcW w:w="160" w:type="dxa"/>
            <w:tcBorders/>
            <w:shd w:fill="CCEEFF" w:val="clear"/>
            <w:vAlign w:val="bottom"/>
          </w:tcPr>
          <w:p>
            <w:pPr>
              <w:pStyle w:val="TableContents"/>
              <w:bidi w:val="0"/>
              <w:spacing w:before="0" w:after="283"/>
              <w:jc w:val="left"/>
              <w:rPr/>
            </w:pPr>
            <w:r>
              <w:rPr/>
              <w:t>) </w:t>
            </w:r>
          </w:p>
        </w:tc>
      </w:tr>
      <w:tr>
        <w:trPr/>
        <w:tc>
          <w:tcPr>
            <w:tcW w:w="394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4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140,362,096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(133,345,034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7,017,062</w:t>
            </w:r>
          </w:p>
        </w:tc>
        <w:tc>
          <w:tcPr>
            <w:tcW w:w="160" w:type="dxa"/>
            <w:tcBorders/>
            <w:vAlign w:val="bottom"/>
          </w:tcPr>
          <w:p>
            <w:pPr>
              <w:pStyle w:val="TableContents"/>
              <w:bidi w:val="0"/>
              <w:spacing w:before="0" w:after="283"/>
              <w:jc w:val="left"/>
              <w:rPr/>
            </w:pPr>
            <w:r>
              <w:rPr/>
              <w:t> </w:t>
            </w:r>
          </w:p>
        </w:tc>
      </w:tr>
      <w:tr>
        <w:trPr/>
        <w:tc>
          <w:tcPr>
            <w:tcW w:w="3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stockholder</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2,907,416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2,907,416</w:t>
            </w:r>
          </w:p>
        </w:tc>
        <w:tc>
          <w:tcPr>
            <w:tcW w:w="160" w:type="dxa"/>
            <w:tcBorders/>
            <w:shd w:fill="CCEEFF" w:val="clear"/>
            <w:vAlign w:val="bottom"/>
          </w:tcPr>
          <w:p>
            <w:pPr>
              <w:pStyle w:val="TableContents"/>
              <w:bidi w:val="0"/>
              <w:spacing w:before="0" w:after="283"/>
              <w:jc w:val="left"/>
              <w:rPr/>
            </w:pPr>
            <w:r>
              <w:rPr/>
              <w:t> </w:t>
            </w:r>
          </w:p>
        </w:tc>
      </w:tr>
      <w:tr>
        <w:trPr/>
        <w:tc>
          <w:tcPr>
            <w:tcW w:w="394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(25,639,665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(25,639,665</w:t>
            </w:r>
          </w:p>
        </w:tc>
        <w:tc>
          <w:tcPr>
            <w:tcW w:w="160" w:type="dxa"/>
            <w:tcBorders/>
            <w:vAlign w:val="bottom"/>
          </w:tcPr>
          <w:p>
            <w:pPr>
              <w:pStyle w:val="TableContents"/>
              <w:bidi w:val="0"/>
              <w:spacing w:before="0" w:after="283"/>
              <w:jc w:val="left"/>
              <w:rPr/>
            </w:pPr>
            <w:r>
              <w:rPr/>
              <w:t>) </w:t>
            </w:r>
          </w:p>
        </w:tc>
      </w:tr>
      <w:tr>
        <w:trPr/>
        <w:tc>
          <w:tcPr>
            <w:tcW w:w="394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143,269,512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(158,984,699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(15,715,187</w:t>
            </w:r>
          </w:p>
        </w:tc>
        <w:tc>
          <w:tcPr>
            <w:tcW w:w="160" w:type="dxa"/>
            <w:tcBorders/>
            <w:shd w:fill="CCEEFF" w:val="clear"/>
            <w:vAlign w:val="bottom"/>
          </w:tcPr>
          <w:p>
            <w:pPr>
              <w:pStyle w:val="TableContents"/>
              <w:bidi w:val="0"/>
              <w:spacing w:before="0" w:after="283"/>
              <w:jc w:val="left"/>
              <w:rPr/>
            </w:pPr>
            <w:r>
              <w:rPr/>
              <w:t>) </w:t>
            </w:r>
          </w:p>
        </w:tc>
      </w:tr>
      <w:tr>
        <w:trPr/>
        <w:tc>
          <w:tcPr>
            <w:tcW w:w="394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1"/>
        <w:gridCol w:w="140"/>
        <w:gridCol w:w="140"/>
        <w:gridCol w:w="1183"/>
        <w:gridCol w:w="155"/>
        <w:gridCol w:w="105"/>
        <w:gridCol w:w="140"/>
        <w:gridCol w:w="1183"/>
        <w:gridCol w:w="158"/>
      </w:tblGrid>
      <w:tr>
        <w:trPr/>
        <w:tc>
          <w:tcPr>
            <w:tcW w:w="700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For the year ended December 31,</w:t>
            </w:r>
          </w:p>
        </w:tc>
        <w:tc>
          <w:tcPr>
            <w:tcW w:w="140"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3" w:type="dxa"/>
            <w:tcBorders/>
            <w:vAlign w:val="bottom"/>
          </w:tcPr>
          <w:p>
            <w:pPr>
              <w:pStyle w:val="TableContents"/>
              <w:bidi w:val="0"/>
              <w:spacing w:before="0" w:after="283"/>
              <w:jc w:val="right"/>
              <w:rPr>
                <w:b/>
              </w:rPr>
            </w:pPr>
            <w:r>
              <w:rPr>
                <w:b/>
              </w:rPr>
              <w:t>(25,639,665</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(11,696,393</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(used in)operating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Bad debt recovery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(688,727</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(282,453</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 amortization</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687,749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646,305</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19,981,514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18,290,100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133,712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203,103</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impact of acquisitions: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9,775,426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(6,447,060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(1,480,859</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(8,344,214</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960,572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(3,494,451</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(1,129,953</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(2,660,316</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212,107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(259,853</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(4,193,987</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645,205</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3,686,932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(567,807</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1,511,499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(732,983</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(767,811</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1,339,114</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25,802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3,210,202</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660,099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1,036,811</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3,734,410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(9,114,690</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(1,052,510</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(842,148</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326,500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Dykstra, net of cash</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(7,740,827</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Miller, net of cash acquired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(3,543,000</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Jones Covey, net of cash acquired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(31,082,539</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MIBA, net of cash acquired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(6,549,327</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(41,900,876</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(8,582,975</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line of credit, net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(11,000,000</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(500,000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term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(1,555,588</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(4,024,718</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term debt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60,000,000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30,000,000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finance lease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(8,574,496</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(6,586,087</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costs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(1,200,000</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(600,000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stockholder</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2,907,416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5,050,000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40,577,332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23,339,195</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2,410,866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5,641,530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10,517,144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4,875,614</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year</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12,928,010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10,517,144</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16,880,568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15,169,063</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and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Nature of Business </w:t>
      </w:r>
    </w:p>
    <w:p>
      <w:pPr>
        <w:pStyle w:val="TextBody"/>
        <w:bidi w:val="0"/>
        <w:spacing w:before="120" w:after="0"/>
        <w:jc w:val="left"/>
        <w:rPr>
          <w:rFonts w:ascii="Times New Roman" w:hAnsi="Times New Roman"/>
          <w:sz w:val="20"/>
        </w:rPr>
      </w:pPr>
      <w:r>
        <w:rPr>
          <w:rFonts w:ascii="Times New Roman" w:hAnsi="Times New Roman"/>
          <w:sz w:val="20"/>
        </w:rPr>
        <w:t xml:space="preserve">MidOcean JF Holdings Corp. was formed on December 30, 2011 to facilitate the purchase of JF Acquisition, LLC by certain institutional investors, in partnership with members of the Companys management. Effective November 20, 2023, MidOcean JF Holdings Corp. changed its legal name to JF Holdings Corp.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primarily engaged in the business of selling, servicing, and installing fluid handling equipment and related products. It conducts operations throughout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U.S. generally accepted accounting principles (U.S. GAAP), as set forth in the Financial Accounting Standards Boards (FASB) Accounting Standards Codification (ASC). The consolidated financial statements include the accounts of the Company and its wholly-owned subsidiaries.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 remaining maturity of three months or less at the date of purchase to be cash equivalents. The Company reclassifies any bank overdrafts for outstanding checks to accounts payable. Restricted cash consists of construction bonds.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Trade accounts receivable are recorded at the invoiced amount and do not bear interest. Retainage receivable are recorded on service and installation contracts and include billed and unbilled amounts for services and materials provided to customers for which the Company has an unconditional right to payment. Bill and unbilled amounts for which payment is contingent on anything other than the passage of time are included in contract assets and contract liabilities on a net basis at the individual contract level. The Company maintains an allowance for doubtful accounts for estimated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Accounts receivable write-offs were $0.3 million and $1.8 million during the years ended December 31,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parts and supplies and are valued at the lower of cost or net realizable value as determined using the average cost method. Provisions are recorded to reduce inventory for obsolete or slow-moving inventory based on assumptions about future demand and marketability of products. As of December 31, 2023 and 2022, the valuation allowance for inventory totaled $14.6 million and $13.2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less accumulated depreciation and amortization. Depreciation is computed using the straight-line method over the useful lives of the assets. Leasehold improvements are amortized on a straight-line basis over the shorter of the lease term or estimated useful life of the asset. </w:t>
      </w:r>
    </w:p>
    <w:p>
      <w:pPr>
        <w:pStyle w:val="TextBody"/>
        <w:bidi w:val="0"/>
        <w:spacing w:before="240" w:after="0"/>
        <w:jc w:val="left"/>
        <w:rPr>
          <w:rFonts w:ascii="Times New Roman" w:hAnsi="Times New Roman"/>
          <w:sz w:val="20"/>
        </w:rPr>
      </w:pPr>
      <w:r>
        <w:rPr>
          <w:rFonts w:ascii="Times New Roman" w:hAnsi="Times New Roman"/>
          <w:sz w:val="20"/>
        </w:rPr>
        <w:t xml:space="preserve">Expenditures for maintenance, repairs, and minor renewals are charged to expense as incurred. Major renewals and betterments are capitalized. The cost of assets retired or sold, together with their related accumulated depreciation, is removed from the accounts and any gain or loss on disposition is credited or charged to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amortize goodwill on a straight-line basis over 10 years. In addition, the Company has elected to test goodwill for impairment at the entity level whenever events or changes in circumstances indicate that the carrying amount of goodwill may not be recovered. Upon occurrence of a triggering event, the Company performs a qualitative assessment to determine whether it is more-likely-than-not that the fair value of the Company is less than its carrying amount. If the Company determines it is more-likely-than-not that the fair value of the Company is less than its carrying value, the Company will perform a one-step impairment test and recognize an impairment loss for the amount by which the carrying amount exceeds its fair value. The Company did not record any impairment for the years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 Company did not record any impairment for the years ended December 31, 2023 or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Revenue and Cost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when it satisfies performance obligations under the terms of its contracts, and control of its products and services are transferred to its customers in an amount that reflects the consideration the Company expects to receive from its customers in exchange for those goods and services. This process involves identifying the customer contract,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The Company considers a performance obligation satisfied once it has transferred control of goods and services to a customer, meaning the customer has the ability to use and obtain the benefit of the related asset. The Companys products are sold to customers throughout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Payment terms and conditions may vary by contract, although terms generally include a requirement of payment within 30-60 days after the performance obligation has been satisfied. As customer payment terms are typically less than one year, the Company has applied the practical expedient to exclude consideration of significant financing components from the determination of the transaction price. Costs to obtain contracts are generally not significant and are expensed in the period incurred. In addition, contracts with customers typically contain variable consideration in the form of early pay discounts and sales returns. The Company estimates the variable consideration, based on prior experience and current trends, and records a reduction to the sales price for the estimated variable consideration associated with the transaction. The total amount of variable consideration is not material. Taxes assessed by a government authority that are both imposed on and concurrent with a specific revenue-producing transaction, that are collected by the Company from a customer, are excluded from sales. </w:t>
      </w:r>
    </w:p>
    <w:p>
      <w:pPr>
        <w:pStyle w:val="TextBody"/>
        <w:bidi w:val="0"/>
        <w:spacing w:before="240" w:after="0"/>
        <w:jc w:val="left"/>
        <w:rPr>
          <w:rFonts w:ascii="Times New Roman" w:hAnsi="Times New Roman"/>
          <w:sz w:val="20"/>
        </w:rPr>
      </w:pPr>
      <w:r>
        <w:rPr>
          <w:rFonts w:ascii="Times New Roman" w:hAnsi="Times New Roman"/>
          <w:sz w:val="20"/>
        </w:rPr>
        <w:t xml:space="preserve">Revenue associated with parts and equipment sales is recognized when the performance obligation has been satisfied and the control has been transferred to a customer, which generally occurs upon shipment. Contracts with customers generally state the terms of the sale, including the quantity and price of each product purchased, along with any related discounts. Shipping and handling costs associated with outbound freight, after control over a product has transferred to a customer, are accounted for as a fulfillment cost and are included in cost of sales as incurred. For revenue transactions recognized under bill-and-hold arrangements, control transfers to the customer when the customer has the ability to direct the use of, and obtain substantially all of the remaining benefits from, the product even though it has decided not to exercise its right to take physical possession of that product. </w:t>
      </w:r>
    </w:p>
    <w:p>
      <w:pPr>
        <w:pStyle w:val="TextBody"/>
        <w:bidi w:val="0"/>
        <w:spacing w:before="240" w:after="0"/>
        <w:jc w:val="left"/>
        <w:rPr>
          <w:rFonts w:ascii="Times New Roman" w:hAnsi="Times New Roman"/>
          <w:sz w:val="20"/>
        </w:rPr>
      </w:pPr>
      <w:r>
        <w:rPr>
          <w:rFonts w:ascii="Times New Roman" w:hAnsi="Times New Roman"/>
          <w:sz w:val="20"/>
        </w:rPr>
        <w:t xml:space="preserve">Revenue associated with contracts from service and installation projects, including the respective parts and equipment, is recognized over time as the Companys performance creates or enhances assets that are controlled by the customer. These contracts have a single performance obligation, as the promise to transfer the individual goods or services is not separately identifiable from other promises in the contract and, therefore, is not distinct. Management applied the practical expedient in ASC 606-10-14 and excluded the value of unsatisfied performance obligations for contracts with an original expected length of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Revenue recognized at a point in time was approximately $250 million and $276 million for the years ended December 31, 2023 and 2022, respectively. Revenue recognized over time was approximately $341 million and $276 million for the years ended December 31,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contract types are generally comprised of either a time and material contract or a fixed-price contract. For time and material contracts, revenue is recognized primarily on an input basis, based on contract costs incurred as defined within the respective contracts. For fixed price contracts, revenue is measured by the costs incurred to date relative to the estimated total direct costs to fulfill each contract (cost-to-cost method). Incurred costs represent work performed, which corresponds with, and thereby best depicts, the transfer of control to the customer. Contract costs include labor, materials and overhead.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primarily represent revenue earnings over time that are not yet billable based on the terms of the contracts or billed and unbilled amounts for which payment is contingent on anything other than the passage of time. Retainage included in contract assets totaled approximately $4.3 million and $0 at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impairment losses associated with contracts with customers for the year ended December 31, 2023 and 2022. Contract liabilities consist of fees invoiced or paid by the Companys customers for which the associated performance obligations have not been satisfied and revenue has not been recognized based on the Companys revenue recognition criteria described above. Customer deposits for equipment sales are also considered contract liabilities and are presented separately within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contract liabilities are reported in a net position on an individual contract basis at the end of each reporting period. Additionally, both contract assets and contract liabilities are classified as current on the consolidated balance sheets as the Company expects to complete the related performance obligations and invoice the customers within one year of the balance sheet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24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approximates the fair value of receivables, payables, and accrued expenses based upon the short-term nature of these amounts. Borrowings under the line of credit and term notes as of December 31, 2023 and 2022 have variable interest rates that reflect currently available terms and conditions for similar debt. The carrying amount of this debt is a reasonable estimate of its fair value (level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effect of income tax positions only if those positions are more-likely-than-not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Advertising expenses included within selling, general and administrative expenses in the accompanying consolidated statements of operations were not material during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includes the results of operations of the businesses that it acquires as of the respective dates of acquisition. The Company records the fair value of the assets acquired and liabilities assumed as of the acquisition date. The excess of the fair value of the purchase price over the fair values of assets acquired and liabilities assumed is recorded as goodwill. The determination of the value and useful lives of the intangible assets acquired are valued using income and cost approaches and involve certain judgments and estimates which the Company considers to be Level 3 inputs. See Note 2 for further discussion of the Companys business combinations.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Financial Accounting Standards Board (FASB) issued Accounting Standards Update (ASU) No. 2016-02, Leases (Topic 842) effective January 1, 2022, using the optional transition method. As a result, the consolidated financial statements for the year ended December 31, 2022, reflect the impact of the adoption of Topic 842 on the Companys leases. </w:t>
      </w:r>
    </w:p>
    <w:p>
      <w:pPr>
        <w:pStyle w:val="TextBody"/>
        <w:bidi w:val="0"/>
        <w:spacing w:before="240" w:after="0"/>
        <w:jc w:val="left"/>
        <w:rPr>
          <w:rFonts w:ascii="Times New Roman" w:hAnsi="Times New Roman"/>
          <w:sz w:val="20"/>
        </w:rPr>
      </w:pPr>
      <w:r>
        <w:rPr>
          <w:rFonts w:ascii="Times New Roman" w:hAnsi="Times New Roman"/>
          <w:sz w:val="20"/>
        </w:rPr>
        <w:t xml:space="preserve">Upon the adoption of Topic 842, the Company has elected to apply the following package of practical expedients: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need not be reassessed to determine whether they are or contain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leases that were previously classified as operating leases continue to be classified as operating leases, and all existing leases that were previously classified as capital leases continue to be classified as finance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direct costs need not be reassessed.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also elected the following practical expedients: (1) not to separate lease components from non-lease components, and (2) as an accounting policy election, to apply the short-term lease exception, which does not require the capitalization of leases with terms of 12 months or less. </w:t>
      </w:r>
    </w:p>
    <w:p>
      <w:pPr>
        <w:pStyle w:val="TextBody"/>
        <w:bidi w:val="0"/>
        <w:spacing w:before="240" w:after="0"/>
        <w:jc w:val="left"/>
        <w:rPr>
          <w:rFonts w:ascii="Times New Roman" w:hAnsi="Times New Roman"/>
          <w:sz w:val="20"/>
        </w:rPr>
      </w:pPr>
      <w:r>
        <w:rPr>
          <w:rFonts w:ascii="Times New Roman" w:hAnsi="Times New Roman"/>
          <w:sz w:val="20"/>
        </w:rPr>
        <w:t xml:space="preserve">The adoption of Topic 842 resulted in the recognition of right-of-use assets and lease liabilities of approximately $10 million and $10.5 million, respectively, on the consolidated balance sheet as of January 1, 2022 for certain leases that were previously classified as operating leases. The Company has also updated its disclosures related to leasing arrangements to comply with the new standard. </w:t>
      </w:r>
    </w:p>
    <w:p>
      <w:pPr>
        <w:pStyle w:val="TextBody"/>
        <w:bidi w:val="0"/>
        <w:spacing w:before="240" w:after="0"/>
        <w:jc w:val="left"/>
        <w:rPr>
          <w:rFonts w:ascii="Times New Roman" w:hAnsi="Times New Roman"/>
          <w:sz w:val="20"/>
        </w:rPr>
      </w:pPr>
      <w:r>
        <w:rPr>
          <w:rFonts w:ascii="Times New Roman" w:hAnsi="Times New Roman"/>
          <w:sz w:val="20"/>
        </w:rPr>
        <w:t xml:space="preserve">At the lease commencement date, the Company determines if a lease should be classified as an operating or a finance lease, and it recognized a corresponding lease liability and a right-of-use asset on the consolidated balance sheet. The lease liability is initially and subsequently measured as the present value of the remaining fixed minimum rental payments using discount rates as of the commencement date. The right-of-use asset is initially and subsequently measured at the carrying amount of the lease liability adjusted for any prepaid or accrued lease payments, remaining balance of lease incentives received, unamortized initial direct costs, or impairment charges relating to the right-of-use asset. </w:t>
      </w:r>
    </w:p>
    <w:p>
      <w:pPr>
        <w:pStyle w:val="TextBody"/>
        <w:bidi w:val="0"/>
        <w:spacing w:before="240" w:after="0"/>
        <w:jc w:val="left"/>
        <w:rPr>
          <w:rFonts w:ascii="Times New Roman" w:hAnsi="Times New Roman"/>
          <w:sz w:val="20"/>
        </w:rPr>
      </w:pPr>
      <w:r>
        <w:rPr>
          <w:rFonts w:ascii="Times New Roman" w:hAnsi="Times New Roman"/>
          <w:sz w:val="20"/>
        </w:rPr>
        <w:t xml:space="preserve">Right-of-use assets are assessed for impairment using the long-lived assets impairment guidance. No impairments have been recorded during the years ended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For finance leases, the Company accounts for lease agreements with contractually required lease and non-lease components on a combined basis pursuant to lease accounting guidance. For operating leases, the Company separates lease and non-lease components and capitalizes only the contractually required lease payments. Variable payments for operating leases (including most utilities, real estate taxes, insurance and variable common area maintenance)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Short term leases and other insignificant leases are not recorded on the consolidated balance sheets but are expensed on a straight-line basis over the lease term.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Discount Rate </w:t>
      </w:r>
    </w:p>
    <w:p>
      <w:pPr>
        <w:pStyle w:val="TextBody"/>
        <w:bidi w:val="0"/>
        <w:spacing w:before="120" w:after="0"/>
        <w:jc w:val="left"/>
        <w:rPr>
          <w:rFonts w:ascii="Times New Roman" w:hAnsi="Times New Roman"/>
          <w:sz w:val="20"/>
        </w:rPr>
      </w:pPr>
      <w:r>
        <w:rPr>
          <w:rFonts w:ascii="Times New Roman" w:hAnsi="Times New Roman"/>
          <w:sz w:val="20"/>
        </w:rPr>
        <w:t xml:space="preserve">Under Topic 842, the discount rate used to calculate the lease liability should be the rate implicit in the lease if that rate can be readily determined. However, if the rate implicit in the lease cannot be readily determined, the Company will use the incremental borrowing rate (IBR) as the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IBR represents the rate of interest that the Company would have to pay to borrow funds on a collateralized basis over a similar term to the lease term. The Company will determine the IBR based on several factors, including creditworthiness, the underlying asset, the term of the lease, and the economic environment. The Company generally uses a portfolio approach to determine the IBR for leases with similar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to note that the Companys IBR may change over time due to changes in market conditions or creditworthiness. Therefore, the Company will need to reassess the IBR on a periodic basis, at least annually or when there is a significant event that may impact borrowing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ASC 835, Debt and Equity Financing, costs associated with issuing debt, such as various fees and commissions are capitalized and reflected in the accompanying consolidated balance sheets as a contra long-term liability, and amortized over the finite life of the underlying debt instrument. These costs are included in interest expense using the effective interest method. The unamortized amounts are presented as a reduction of the total debt in the accompanying consolidated balance sheets. Accumulated amortization was $2.5 million and $1.8 million as of December 31, 2023 and 2022, respectively, and amortization expense was $0.7 million and $0.6 million for the years ended December 31, 2023 and 2022, respectively. Original debt issuance costs were $4.5 million and $3.3 million as of December 31,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June 2016, the FASB issued ASU 2016-13, Financial Instruments  Credit Losses (Topic 326): Measurement of Credit Losses in Financial Instruments, and issued subsequent amendments to the initial guidance, collectively referred to as ASC 326. ASC 326 requires entities to measure all expected credit losses for most financial assets held at the reporting date based on an expected loss model, which includes historical experience, current conditions, and reasonable and supportable forecasts. Entities will now use forward-looking information to better form their credit loss estimates. This ASU also requires enhanced disclosures to help financial statement users better understand significant estimates and judgments used in estimating credit losses, as well as the credit quality and underwriting standards of an entitys portfolio. ASC 326 was effective for annual periods beginning after December 15, 2022. The adoption of this ASU did not have a material effect on the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Certain balances have been reclassified from prior year to conform to the current years presentation. Such reclassifications are not material and had no effect on the Companys prior year results of operations or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sz w:val="20"/>
        </w:rPr>
      </w:pPr>
      <w:r>
        <w:rPr>
          <w:rFonts w:ascii="Times New Roman" w:hAnsi="Times New Roman"/>
          <w:i/>
          <w:sz w:val="20"/>
        </w:rPr>
        <w:t>MIBA,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December 19, 2023, the Company acquired 100% of the equity interests of MIBA, INC. (MIBA) for consideration of $7.7 million. MIBA is a premier Midwestern U.S. general contracting, petroleum services, and construction company, headquartered in Dayton, Ohio, that also provides maintenance, repair, and compliance testing services. The Company has included MIBAs operating results from the date of the acquisition in the accompanying consolidated financial statements. This acquisition resulted in goodwill of $5.8 million related to customer relationships, synergies, and opportunities for growth through geographic expansion. The goodwill is expected to be deductible for tax purposes. Acquisition related costs of $0.3 million are included in selling, general and administrative expenses in the accompanying consolidated statement of operations for the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7"/>
        <w:gridCol w:w="395"/>
        <w:gridCol w:w="147"/>
        <w:gridCol w:w="1081"/>
        <w:gridCol w:w="159"/>
      </w:tblGrid>
      <w:tr>
        <w:trPr/>
        <w:tc>
          <w:tcPr>
            <w:tcW w:w="5157"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7,281,035</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450,000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7,731,035</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Recognized amount of identifiable assets acquired and assumed liabilities: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731,708</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2,815,700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870,858</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1,105,552</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(2,150,887</w:t>
            </w:r>
          </w:p>
        </w:tc>
        <w:tc>
          <w:tcPr>
            <w:tcW w:w="159" w:type="dxa"/>
            <w:tcBorders/>
            <w:vAlign w:val="bottom"/>
          </w:tcPr>
          <w:p>
            <w:pPr>
              <w:pStyle w:val="TableContents"/>
              <w:bidi w:val="0"/>
              <w:spacing w:before="0" w:after="283"/>
              <w:jc w:val="left"/>
              <w:rPr>
                <w:b/>
              </w:rPr>
            </w:pPr>
            <w:r>
              <w:rPr>
                <w:b/>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(1,458,671</w:t>
            </w:r>
          </w:p>
        </w:tc>
        <w:tc>
          <w:tcPr>
            <w:tcW w:w="159" w:type="dxa"/>
            <w:tcBorders/>
            <w:shd w:fill="CCEEFF" w:val="clear"/>
            <w:vAlign w:val="bottom"/>
          </w:tcPr>
          <w:p>
            <w:pPr>
              <w:pStyle w:val="TableContents"/>
              <w:bidi w:val="0"/>
              <w:spacing w:before="0" w:after="283"/>
              <w:jc w:val="left"/>
              <w:rPr>
                <w:b/>
              </w:rPr>
            </w:pPr>
            <w:r>
              <w:rPr>
                <w:b/>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1,914,261</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5,816,774</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net assets acquired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7,731,035</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MIBA contributed net sales of $0.5 million and net loss of $0.3 million, which has been included in the Companys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Jones/Covey Group Incorporated </w:t>
      </w:r>
    </w:p>
    <w:p>
      <w:pPr>
        <w:pStyle w:val="TextBody"/>
        <w:bidi w:val="0"/>
        <w:spacing w:before="120" w:after="0"/>
        <w:jc w:val="left"/>
        <w:rPr>
          <w:rFonts w:ascii="Times New Roman" w:hAnsi="Times New Roman"/>
          <w:sz w:val="20"/>
        </w:rPr>
      </w:pPr>
      <w:r>
        <w:rPr>
          <w:rFonts w:ascii="Times New Roman" w:hAnsi="Times New Roman"/>
          <w:sz w:val="20"/>
        </w:rPr>
        <w:t xml:space="preserve">On October 31, 2023, the Company acquired 100% of the equity interests of Jones/Covey Incorporated (Jones Covey) for consideration of $40.3 million, with $6.8 million of that amount scheduled as deferred payment due on June 30, 2025. Jones Covey is a premier national general contracting and construction company, headquartered in Southern California, that also provides maintenance, repair and compliance testing services in the Western US. The Company has included Jones Coveys operating results from the date of the acquisition in the accompanying consolidated financial statements. This acquisition resulted in goodwill of $20.2 million related to customer relationships, synergies, and opportunities for growth through geographic expansion. The goodwill is expected to be deductible for tax purposes. Acquisition related costs of $0.5 million are included in the accompanying consolidated statement of operations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6"/>
        <w:gridCol w:w="338"/>
        <w:gridCol w:w="146"/>
        <w:gridCol w:w="1260"/>
        <w:gridCol w:w="159"/>
      </w:tblGrid>
      <w:tr>
        <w:trPr/>
        <w:tc>
          <w:tcPr>
            <w:tcW w:w="5036"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33,550,094</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6,785,890</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40,335,984</w:t>
            </w:r>
          </w:p>
        </w:tc>
        <w:tc>
          <w:tcPr>
            <w:tcW w:w="159"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Identifiable assets acquired and liabilities assumed:</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2,467,555</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19,447,892</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4,707,414</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1,787,668</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2,035,632</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3,115,853</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3,000,000</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(11,015,314</w:t>
            </w:r>
          </w:p>
        </w:tc>
        <w:tc>
          <w:tcPr>
            <w:tcW w:w="159" w:type="dxa"/>
            <w:tcBorders/>
            <w:shd w:fill="CCEEFF" w:val="clear"/>
            <w:vAlign w:val="bottom"/>
          </w:tcPr>
          <w:p>
            <w:pPr>
              <w:pStyle w:val="TableContents"/>
              <w:bidi w:val="0"/>
              <w:spacing w:before="0" w:after="283"/>
              <w:jc w:val="left"/>
              <w:rPr>
                <w:b/>
              </w:rPr>
            </w:pPr>
            <w:r>
              <w:rPr>
                <w:b/>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(3,535,991</w:t>
            </w:r>
          </w:p>
        </w:tc>
        <w:tc>
          <w:tcPr>
            <w:tcW w:w="159" w:type="dxa"/>
            <w:tcBorders/>
            <w:vAlign w:val="bottom"/>
          </w:tcPr>
          <w:p>
            <w:pPr>
              <w:pStyle w:val="TableContents"/>
              <w:bidi w:val="0"/>
              <w:spacing w:before="0" w:after="283"/>
              <w:jc w:val="left"/>
              <w:rPr>
                <w:b/>
              </w:rPr>
            </w:pPr>
            <w:r>
              <w:rPr>
                <w:b/>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(1,920,563</w:t>
            </w:r>
          </w:p>
        </w:tc>
        <w:tc>
          <w:tcPr>
            <w:tcW w:w="159" w:type="dxa"/>
            <w:tcBorders/>
            <w:shd w:fill="CCEEFF" w:val="clear"/>
            <w:vAlign w:val="bottom"/>
          </w:tcPr>
          <w:p>
            <w:pPr>
              <w:pStyle w:val="TableContents"/>
              <w:bidi w:val="0"/>
              <w:spacing w:before="0" w:after="283"/>
              <w:jc w:val="left"/>
              <w:rPr>
                <w:b/>
              </w:rPr>
            </w:pPr>
            <w:r>
              <w:rPr>
                <w:b/>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20,090,146</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20,245,838</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40,335,984</w:t>
            </w:r>
          </w:p>
        </w:tc>
        <w:tc>
          <w:tcPr>
            <w:tcW w:w="159"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Jones Covey contributed net sales of $13.7 million and net loss of $1.2 million, which has been included in the Companys consolidated statement of operations. The determination of the estimated fair vales of net assets acquired was preliminary as of December 31, 2023 due to the limited amount of time since the acquisition date, as a result, further adjustments to these estimates may occur. The $6.8 million of deferred cash consideration is included in other liabilities on the accompanying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Miller Construction Management, LLC </w:t>
      </w:r>
    </w:p>
    <w:p>
      <w:pPr>
        <w:pStyle w:val="TextBody"/>
        <w:bidi w:val="0"/>
        <w:spacing w:before="120" w:after="0"/>
        <w:jc w:val="left"/>
        <w:rPr>
          <w:rFonts w:ascii="Times New Roman" w:hAnsi="Times New Roman"/>
          <w:sz w:val="20"/>
        </w:rPr>
      </w:pPr>
      <w:r>
        <w:rPr>
          <w:rFonts w:ascii="Times New Roman" w:hAnsi="Times New Roman"/>
          <w:sz w:val="20"/>
        </w:rPr>
        <w:t xml:space="preserve">On August 1, 2023, the Company acquired 100% of the equity interests of Miller Construction Management, LLC (MCM) for consideration of $5.5 million. MCM is a commercially certified, multi-industry contractor serving commercial and retail installation, construction sectors with specialized turn-key solutions for ground ups, remodels and building additions. The acquisition of MCM bolsters JFs General Contracting offering and expands its General Contracting reach across the Southeast and Gulf Coast regions. The Company has included MCMs operating results from the date of the acquisition in the accompanying consolidated financial statements. This acquisition resulted in goodwill of $4.6 million related to customer relationships, synergies, and opportunities for growth through geographic expansion. The goodwill is expected to be deductible for tax purposes. Acquisition related costs of $0.3 million are included in selling, general and administrative expenses in the accompanying consolidated statement of operations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7"/>
        <w:gridCol w:w="395"/>
        <w:gridCol w:w="147"/>
        <w:gridCol w:w="1081"/>
        <w:gridCol w:w="159"/>
      </w:tblGrid>
      <w:tr>
        <w:trPr/>
        <w:tc>
          <w:tcPr>
            <w:tcW w:w="5157"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3,543,000</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2,000,000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5,543,000</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Identifiable assets acquired and liabilities assumed:</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3,305,031</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463,945</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(2,262,694</w:t>
            </w:r>
          </w:p>
        </w:tc>
        <w:tc>
          <w:tcPr>
            <w:tcW w:w="159" w:type="dxa"/>
            <w:tcBorders/>
            <w:vAlign w:val="bottom"/>
          </w:tcPr>
          <w:p>
            <w:pPr>
              <w:pStyle w:val="TableContents"/>
              <w:bidi w:val="0"/>
              <w:spacing w:before="0" w:after="283"/>
              <w:jc w:val="left"/>
              <w:rPr>
                <w:b/>
              </w:rPr>
            </w:pPr>
            <w:r>
              <w:rPr>
                <w:b/>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(530,570</w:t>
            </w:r>
          </w:p>
        </w:tc>
        <w:tc>
          <w:tcPr>
            <w:tcW w:w="159" w:type="dxa"/>
            <w:tcBorders/>
            <w:shd w:fill="CCEEFF" w:val="clear"/>
            <w:vAlign w:val="bottom"/>
          </w:tcPr>
          <w:p>
            <w:pPr>
              <w:pStyle w:val="TableContents"/>
              <w:bidi w:val="0"/>
              <w:spacing w:before="0" w:after="283"/>
              <w:jc w:val="left"/>
              <w:rPr>
                <w:b/>
              </w:rPr>
            </w:pPr>
            <w:r>
              <w:rPr>
                <w:b/>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975,712</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4,567,288</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net assets acquired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5,543,000</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MCM contributed net sales of $10.2 million and net profit of $0.1 million, which has been included in the Companys consolidated statement of operations. The $2.0 million of deferred cash is expected to be paid in installments for $0.5 million commencing January 2024 and continuing every six months until July 2025. $1.0 million of deferred cash consideration is included in other current liabilities on the accompanying consolidated balance sheet, and $1.0 million is included in other liabilities on the accompanying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Dykstra Holdings, LLC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2022, the Company acquired 100% of the equity interests of Dykstra Holdings, LLC (Dykstra) for consideration of $7.8 million. Dykstra is a commercially certified, multi-industry contractor specializing in commercial and convenience store construction and petroleum equipment installation and repair. This acquisition strengthens the Companys leadership position in the industry and enhances its ability to serve customers in the Southeast region. The Company has included Dykstras operating results from the date of the acquisition in the accompanying consolidated financial statements. This acquisition resulted in goodwill of $6.1 million related to customer relationships, synergies and opportunities for growth through geographic expansion. The goodwill is expected to be deductible for tax purposes. Acquisition related costs of $0.6 million are included in the accompanying consolidated statement of operations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7"/>
        <w:gridCol w:w="393"/>
        <w:gridCol w:w="145"/>
        <w:gridCol w:w="1066"/>
        <w:gridCol w:w="158"/>
      </w:tblGrid>
      <w:tr>
        <w:trPr/>
        <w:tc>
          <w:tcPr>
            <w:tcW w:w="5177"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3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b/>
              </w:rPr>
            </w:pPr>
            <w:r>
              <w:rPr>
                <w:b/>
              </w:rPr>
              <w:t>7,840,827</w:t>
            </w:r>
          </w:p>
        </w:tc>
        <w:tc>
          <w:tcPr>
            <w:tcW w:w="158" w:type="dxa"/>
            <w:tcBorders/>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7,840,827</w:t>
            </w:r>
          </w:p>
        </w:tc>
        <w:tc>
          <w:tcPr>
            <w:tcW w:w="158"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Recognized amount of identifiable assets acquired and assumed liabilities:</w:t>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4,367,933</w:t>
            </w:r>
          </w:p>
        </w:tc>
        <w:tc>
          <w:tcPr>
            <w:tcW w:w="158" w:type="dxa"/>
            <w:tcBorders/>
            <w:shd w:fill="CCEEFF" w:val="clear"/>
            <w:vAlign w:val="bottom"/>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39,892</w:t>
            </w:r>
          </w:p>
        </w:tc>
        <w:tc>
          <w:tcPr>
            <w:tcW w:w="158" w:type="dxa"/>
            <w:tcBorders/>
            <w:vAlign w:val="bottom"/>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(2,675,513</w:t>
            </w:r>
          </w:p>
        </w:tc>
        <w:tc>
          <w:tcPr>
            <w:tcW w:w="158" w:type="dxa"/>
            <w:tcBorders/>
            <w:shd w:fill="CCEEFF" w:val="clear"/>
            <w:vAlign w:val="bottom"/>
          </w:tcPr>
          <w:p>
            <w:pPr>
              <w:pStyle w:val="TableContents"/>
              <w:bidi w:val="0"/>
              <w:spacing w:before="0" w:after="283"/>
              <w:jc w:val="left"/>
              <w:rPr>
                <w:b/>
              </w:rPr>
            </w:pPr>
            <w:r>
              <w:rPr>
                <w:b/>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1,732,312</w:t>
            </w:r>
          </w:p>
        </w:tc>
        <w:tc>
          <w:tcPr>
            <w:tcW w:w="158" w:type="dxa"/>
            <w:tcBorders/>
            <w:vAlign w:val="bottom"/>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6,108,515</w:t>
            </w:r>
          </w:p>
        </w:tc>
        <w:tc>
          <w:tcPr>
            <w:tcW w:w="158"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b/>
              </w:rPr>
            </w:pPr>
            <w:r>
              <w:rPr>
                <w:b/>
              </w:rPr>
              <w:t>7,840,827</w:t>
            </w:r>
          </w:p>
        </w:tc>
        <w:tc>
          <w:tcPr>
            <w:tcW w:w="158" w:type="dxa"/>
            <w:tcBorders/>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current assets acquired includes trade receivables with a fair value of $1.9 million. From the acquisition date through December 31, 2022, Dykstra contributed net sales of $41.6 million and net profit of $0.9 million, which has been included in the Companys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and intangible assets consisted of the following as of December 31: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56"/>
        <w:gridCol w:w="214"/>
        <w:gridCol w:w="102"/>
        <w:gridCol w:w="1271"/>
        <w:gridCol w:w="60"/>
        <w:gridCol w:w="214"/>
        <w:gridCol w:w="140"/>
        <w:gridCol w:w="1100"/>
        <w:gridCol w:w="60"/>
        <w:gridCol w:w="214"/>
        <w:gridCol w:w="145"/>
        <w:gridCol w:w="1238"/>
        <w:gridCol w:w="155"/>
        <w:gridCol w:w="174"/>
        <w:gridCol w:w="140"/>
        <w:gridCol w:w="1140"/>
        <w:gridCol w:w="65"/>
      </w:tblGrid>
      <w:tr>
        <w:trPr/>
        <w:tc>
          <w:tcPr>
            <w:tcW w:w="295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15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Amortization</w:t>
              <w:br/>
              <w:t>Period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5" w:type="dxa"/>
            <w:tcBorders/>
            <w:vAlign w:val="bottom"/>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Amortizing intangible assets:</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6"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4 years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45,750,499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38" w:type="dxa"/>
            <w:tcBorders/>
            <w:vAlign w:val="bottom"/>
          </w:tcPr>
          <w:p>
            <w:pPr>
              <w:pStyle w:val="TableContents"/>
              <w:bidi w:val="0"/>
              <w:spacing w:before="0" w:after="283"/>
              <w:jc w:val="right"/>
              <w:rPr>
                <w:b/>
              </w:rPr>
            </w:pPr>
            <w:r>
              <w:rPr>
                <w:b/>
              </w:rPr>
              <w:t>(36,135,233</w:t>
            </w:r>
          </w:p>
        </w:tc>
        <w:tc>
          <w:tcPr>
            <w:tcW w:w="155"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9,615,266</w:t>
            </w:r>
          </w:p>
        </w:tc>
        <w:tc>
          <w:tcPr>
            <w:tcW w:w="65" w:type="dxa"/>
            <w:tcBorders/>
            <w:vAlign w:val="bottom"/>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 and tradename</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b/>
              </w:rPr>
            </w:pPr>
            <w:r>
              <w:rPr>
                <w:b/>
              </w:rPr>
              <w:t>4 years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30,209,000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b/>
              </w:rPr>
            </w:pPr>
            <w:r>
              <w:rPr>
                <w:b/>
              </w:rPr>
              <w:t>(19,561,531</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b/>
              </w:rPr>
            </w:pPr>
            <w:r>
              <w:rPr>
                <w:b/>
              </w:rPr>
              <w:t>10,647,469</w:t>
            </w:r>
          </w:p>
        </w:tc>
        <w:tc>
          <w:tcPr>
            <w:tcW w:w="65"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5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75,959,499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38" w:type="dxa"/>
            <w:tcBorders/>
            <w:vAlign w:val="bottom"/>
          </w:tcPr>
          <w:p>
            <w:pPr>
              <w:pStyle w:val="TableContents"/>
              <w:bidi w:val="0"/>
              <w:spacing w:before="0" w:after="283"/>
              <w:jc w:val="right"/>
              <w:rPr>
                <w:b/>
              </w:rPr>
            </w:pPr>
            <w:r>
              <w:rPr>
                <w:b/>
              </w:rPr>
              <w:t>(55,696,764</w:t>
            </w:r>
          </w:p>
        </w:tc>
        <w:tc>
          <w:tcPr>
            <w:tcW w:w="155"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20,262,735</w:t>
            </w:r>
          </w:p>
        </w:tc>
        <w:tc>
          <w:tcPr>
            <w:tcW w:w="65"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b/>
              </w:rPr>
            </w:pPr>
            <w:r>
              <w:rPr>
                <w:b/>
              </w:rPr>
              <w:t>8 years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66,351,028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38" w:type="dxa"/>
            <w:tcBorders/>
            <w:shd w:fill="CCEEFF" w:val="clear"/>
            <w:vAlign w:val="bottom"/>
          </w:tcPr>
          <w:p>
            <w:pPr>
              <w:pStyle w:val="TableContents"/>
              <w:bidi w:val="0"/>
              <w:spacing w:before="0" w:after="283"/>
              <w:jc w:val="right"/>
              <w:rPr>
                <w:b/>
              </w:rPr>
            </w:pPr>
            <w:r>
              <w:rPr>
                <w:b/>
              </w:rPr>
              <w:t>(14,042,313</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40" w:type="dxa"/>
            <w:tcBorders/>
            <w:shd w:fill="CCEEFF" w:val="clear"/>
            <w:vAlign w:val="bottom"/>
          </w:tcPr>
          <w:p>
            <w:pPr>
              <w:pStyle w:val="TableContents"/>
              <w:bidi w:val="0"/>
              <w:spacing w:before="0" w:after="283"/>
              <w:jc w:val="right"/>
              <w:rPr>
                <w:b/>
              </w:rPr>
            </w:pPr>
            <w:r>
              <w:rPr>
                <w:b/>
              </w:rPr>
              <w:t>52,308,714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54"/>
        <w:gridCol w:w="214"/>
        <w:gridCol w:w="108"/>
        <w:gridCol w:w="1267"/>
        <w:gridCol w:w="60"/>
        <w:gridCol w:w="214"/>
        <w:gridCol w:w="140"/>
        <w:gridCol w:w="1100"/>
        <w:gridCol w:w="60"/>
        <w:gridCol w:w="214"/>
        <w:gridCol w:w="145"/>
        <w:gridCol w:w="1238"/>
        <w:gridCol w:w="155"/>
        <w:gridCol w:w="174"/>
        <w:gridCol w:w="140"/>
        <w:gridCol w:w="1140"/>
        <w:gridCol w:w="65"/>
      </w:tblGrid>
      <w:tr>
        <w:trPr/>
        <w:tc>
          <w:tcPr>
            <w:tcW w:w="295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15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295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Amortization</w:t>
              <w:br/>
              <w:t>Period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5" w:type="dxa"/>
            <w:tcBorders/>
            <w:vAlign w:val="bottom"/>
          </w:tcPr>
          <w:p>
            <w:pPr>
              <w:pStyle w:val="TableContents"/>
              <w:bidi w:val="0"/>
              <w:spacing w:before="0" w:after="283"/>
              <w:jc w:val="left"/>
              <w:rPr/>
            </w:pPr>
            <w:r>
              <w:rPr/>
              <w:t> </w:t>
            </w:r>
          </w:p>
        </w:tc>
      </w:tr>
      <w:tr>
        <w:trPr/>
        <w:tc>
          <w:tcPr>
            <w:tcW w:w="2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Amortizing intangible assets:</w:t>
            </w:r>
          </w:p>
        </w:tc>
        <w:tc>
          <w:tcPr>
            <w:tcW w:w="21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21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 years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45,750,499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(33,085,199</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12,665,300</w:t>
            </w:r>
          </w:p>
        </w:tc>
        <w:tc>
          <w:tcPr>
            <w:tcW w:w="65" w:type="dxa"/>
            <w:tcBorders/>
            <w:vAlign w:val="bottom"/>
          </w:tcPr>
          <w:p>
            <w:pPr>
              <w:pStyle w:val="TableContents"/>
              <w:bidi w:val="0"/>
              <w:spacing w:before="0" w:after="283"/>
              <w:jc w:val="left"/>
              <w:rPr/>
            </w:pPr>
            <w:r>
              <w:rPr/>
              <w:t> </w:t>
            </w:r>
          </w:p>
        </w:tc>
      </w:tr>
      <w:tr>
        <w:trPr/>
        <w:tc>
          <w:tcPr>
            <w:tcW w:w="2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 and tradename</w:t>
            </w:r>
          </w:p>
        </w:tc>
        <w:tc>
          <w:tcPr>
            <w:tcW w:w="21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5 years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27,209,000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(16,087,083</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11,121,917</w:t>
            </w:r>
          </w:p>
        </w:tc>
        <w:tc>
          <w:tcPr>
            <w:tcW w:w="65" w:type="dxa"/>
            <w:tcBorders/>
            <w:shd w:fill="CCEEFF" w:val="clear"/>
            <w:vAlign w:val="bottom"/>
          </w:tcPr>
          <w:p>
            <w:pPr>
              <w:pStyle w:val="TableContents"/>
              <w:bidi w:val="0"/>
              <w:spacing w:before="0" w:after="283"/>
              <w:jc w:val="left"/>
              <w:rPr/>
            </w:pPr>
            <w:r>
              <w:rPr/>
              <w:t> </w:t>
            </w:r>
          </w:p>
        </w:tc>
      </w:tr>
      <w:tr>
        <w:trPr/>
        <w:tc>
          <w:tcPr>
            <w:tcW w:w="29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5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72,959,499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(49,172,282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23,787,217</w:t>
            </w:r>
          </w:p>
        </w:tc>
        <w:tc>
          <w:tcPr>
            <w:tcW w:w="65" w:type="dxa"/>
            <w:tcBorders/>
            <w:vAlign w:val="bottom"/>
          </w:tcPr>
          <w:p>
            <w:pPr>
              <w:pStyle w:val="TableContents"/>
              <w:bidi w:val="0"/>
              <w:spacing w:before="0" w:after="283"/>
              <w:jc w:val="left"/>
              <w:rPr/>
            </w:pPr>
            <w:r>
              <w:rPr/>
              <w:t> </w:t>
            </w:r>
          </w:p>
        </w:tc>
      </w:tr>
      <w:tr>
        <w:trPr/>
        <w:tc>
          <w:tcPr>
            <w:tcW w:w="29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8 years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35,699,579</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(10,105,681</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25,593,898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changes in the carrying amount of goodwill and intangible assets are as follows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283"/>
        <w:gridCol w:w="145"/>
        <w:gridCol w:w="1153"/>
        <w:gridCol w:w="155"/>
        <w:gridCol w:w="232"/>
        <w:gridCol w:w="145"/>
        <w:gridCol w:w="1153"/>
        <w:gridCol w:w="163"/>
      </w:tblGrid>
      <w:tr>
        <w:trPr/>
        <w:tc>
          <w:tcPr>
            <w:tcW w:w="432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Goodwill</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Intangibles</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25,593,898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23,787,217</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Acquired</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b/>
              </w:rPr>
            </w:pPr>
            <w:r>
              <w:rPr>
                <w:b/>
              </w:rPr>
              <w:t>30,651,449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b/>
              </w:rPr>
            </w:pPr>
            <w:r>
              <w:rPr>
                <w:b/>
              </w:rPr>
              <w:t>3,000,000</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b/>
              </w:rPr>
            </w:pPr>
            <w:r>
              <w:rPr>
                <w:b/>
              </w:rPr>
              <w:t>(3,936,633</w:t>
            </w:r>
          </w:p>
        </w:tc>
        <w:tc>
          <w:tcPr>
            <w:tcW w:w="155" w:type="dxa"/>
            <w:tcBorders/>
            <w:shd w:fill="CCEEFF" w:val="clear"/>
            <w:vAlign w:val="bottom"/>
          </w:tcPr>
          <w:p>
            <w:pPr>
              <w:pStyle w:val="TableContents"/>
              <w:bidi w:val="0"/>
              <w:spacing w:before="0" w:after="283"/>
              <w:jc w:val="left"/>
              <w:rPr>
                <w:b/>
              </w:rPr>
            </w:pPr>
            <w:r>
              <w:rPr>
                <w:b/>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b/>
              </w:rPr>
            </w:pPr>
            <w:r>
              <w:rPr>
                <w:b/>
              </w:rPr>
              <w:t>(6,524,482</w:t>
            </w:r>
          </w:p>
        </w:tc>
        <w:tc>
          <w:tcPr>
            <w:tcW w:w="163" w:type="dxa"/>
            <w:tcBorders/>
            <w:shd w:fill="CCEEFF" w:val="clear"/>
            <w:vAlign w:val="bottom"/>
          </w:tcPr>
          <w:p>
            <w:pPr>
              <w:pStyle w:val="TableContents"/>
              <w:bidi w:val="0"/>
              <w:spacing w:before="0" w:after="283"/>
              <w:jc w:val="left"/>
              <w:rPr>
                <w:b/>
              </w:rPr>
            </w:pPr>
            <w:r>
              <w:rPr>
                <w:b/>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153" w:type="dxa"/>
            <w:tcBorders/>
            <w:vAlign w:val="bottom"/>
          </w:tcPr>
          <w:p>
            <w:pPr>
              <w:pStyle w:val="TableContents"/>
              <w:bidi w:val="0"/>
              <w:spacing w:before="0" w:after="283"/>
              <w:jc w:val="right"/>
              <w:rPr>
                <w:b/>
              </w:rPr>
            </w:pPr>
            <w:r>
              <w:rPr>
                <w:b/>
              </w:rPr>
              <w:t>52,308,714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153" w:type="dxa"/>
            <w:tcBorders/>
            <w:vAlign w:val="bottom"/>
          </w:tcPr>
          <w:p>
            <w:pPr>
              <w:pStyle w:val="TableContents"/>
              <w:bidi w:val="0"/>
              <w:spacing w:before="0" w:after="283"/>
              <w:jc w:val="right"/>
              <w:rPr>
                <w:b/>
              </w:rPr>
            </w:pPr>
            <w:r>
              <w:rPr>
                <w:b/>
              </w:rPr>
              <w:t>20,262,735</w:t>
            </w:r>
          </w:p>
        </w:tc>
        <w:tc>
          <w:tcPr>
            <w:tcW w:w="1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283"/>
        <w:gridCol w:w="145"/>
        <w:gridCol w:w="1153"/>
        <w:gridCol w:w="155"/>
        <w:gridCol w:w="232"/>
        <w:gridCol w:w="145"/>
        <w:gridCol w:w="1153"/>
        <w:gridCol w:w="163"/>
      </w:tblGrid>
      <w:tr>
        <w:trPr/>
        <w:tc>
          <w:tcPr>
            <w:tcW w:w="432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83" w:type="dxa"/>
            <w:gridSpan w:val="6"/>
            <w:tcBorders>
              <w:bottom w:val="single" w:sz="8" w:space="0" w:color="000000"/>
            </w:tcBorders>
            <w:tcMar>
              <w:bottom w:w="28" w:type="dxa"/>
            </w:tcMar>
            <w:vAlign w:val="bottom"/>
          </w:tcPr>
          <w:p>
            <w:pPr>
              <w:pStyle w:val="TableContents"/>
              <w:bidi w:val="0"/>
              <w:spacing w:before="0" w:after="283"/>
              <w:jc w:val="center"/>
              <w:rPr/>
            </w:pPr>
            <w:r>
              <w:rPr/>
              <w:t>2022</w:t>
            </w:r>
          </w:p>
        </w:tc>
        <w:tc>
          <w:tcPr>
            <w:tcW w:w="1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Goodwill</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Intangibles</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22,784,064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30,411,704</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Acquired</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6,108,514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(3,298,680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(6,624,487</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25,593,898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23,787,217</w:t>
            </w:r>
          </w:p>
        </w:tc>
        <w:tc>
          <w:tcPr>
            <w:tcW w:w="1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amortization expense for intangible assets and goodwill was $10.5 million and $9.9 million for the years ended December 31, 2023 and 2022, respectively. Amortization expense is expected to be approximately $12.3 million in 2024, $12.0 million in 2025, $11.2 million in 2026, $7.9 million in 2027, and $7.2 million in 2028, and $22.0 million thereafter.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receivable consisted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0"/>
        <w:gridCol w:w="279"/>
        <w:gridCol w:w="145"/>
        <w:gridCol w:w="1281"/>
        <w:gridCol w:w="155"/>
        <w:gridCol w:w="230"/>
        <w:gridCol w:w="145"/>
        <w:gridCol w:w="1149"/>
        <w:gridCol w:w="161"/>
      </w:tblGrid>
      <w:tr>
        <w:trPr/>
        <w:tc>
          <w:tcPr>
            <w:tcW w:w="421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1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1" w:type="dxa"/>
            <w:tcBorders/>
            <w:vAlign w:val="bottom"/>
          </w:tcPr>
          <w:p>
            <w:pPr>
              <w:pStyle w:val="TableContents"/>
              <w:bidi w:val="0"/>
              <w:spacing w:before="0" w:after="283"/>
              <w:jc w:val="left"/>
              <w:rPr/>
            </w:pPr>
            <w:r>
              <w:rPr/>
              <w:t> </w:t>
            </w:r>
          </w:p>
        </w:tc>
      </w:tr>
      <w:tr>
        <w:trPr/>
        <w:tc>
          <w:tcPr>
            <w:tcW w:w="4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81" w:type="dxa"/>
            <w:tcBorders/>
            <w:shd w:fill="CCEEFF" w:val="clear"/>
            <w:vAlign w:val="bottom"/>
          </w:tcPr>
          <w:p>
            <w:pPr>
              <w:pStyle w:val="TableContents"/>
              <w:bidi w:val="0"/>
              <w:spacing w:before="0" w:after="283"/>
              <w:jc w:val="right"/>
              <w:rPr>
                <w:b/>
              </w:rPr>
            </w:pPr>
            <w:r>
              <w:rPr>
                <w:b/>
              </w:rPr>
              <w:t>97,556,368</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83,043,391</w:t>
            </w:r>
          </w:p>
        </w:tc>
        <w:tc>
          <w:tcPr>
            <w:tcW w:w="161" w:type="dxa"/>
            <w:tcBorders/>
            <w:shd w:fill="CCEEFF" w:val="clear"/>
            <w:vAlign w:val="bottom"/>
          </w:tcPr>
          <w:p>
            <w:pPr>
              <w:pStyle w:val="TableContents"/>
              <w:bidi w:val="0"/>
              <w:spacing w:before="0" w:after="283"/>
              <w:jc w:val="left"/>
              <w:rPr/>
            </w:pPr>
            <w:r>
              <w:rPr/>
              <w:t> </w:t>
            </w:r>
          </w:p>
        </w:tc>
      </w:tr>
      <w:tr>
        <w:trPr/>
        <w:tc>
          <w:tcPr>
            <w:tcW w:w="4210" w:type="dxa"/>
            <w:tcBorders/>
          </w:tcPr>
          <w:p>
            <w:pPr>
              <w:pStyle w:val="TableContents"/>
              <w:bidi w:val="0"/>
              <w:spacing w:before="0" w:after="0"/>
              <w:jc w:val="left"/>
              <w:rPr>
                <w:rFonts w:ascii="Times New Roman" w:hAnsi="Times New Roman"/>
                <w:sz w:val="20"/>
              </w:rPr>
            </w:pPr>
            <w:r>
              <w:rPr>
                <w:rFonts w:ascii="Times New Roman" w:hAnsi="Times New Roman"/>
                <w:sz w:val="20"/>
              </w:rPr>
              <w:t>Retainage receivables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b/>
              </w:rPr>
            </w:pPr>
            <w:r>
              <w:rPr>
                <w:b/>
              </w:rPr>
              <w:t>4,100,081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1,064,175</w:t>
            </w:r>
          </w:p>
        </w:tc>
        <w:tc>
          <w:tcPr>
            <w:tcW w:w="161" w:type="dxa"/>
            <w:tcBorders/>
            <w:vAlign w:val="bottom"/>
          </w:tcPr>
          <w:p>
            <w:pPr>
              <w:pStyle w:val="TableContents"/>
              <w:bidi w:val="0"/>
              <w:spacing w:before="0" w:after="283"/>
              <w:jc w:val="left"/>
              <w:rPr/>
            </w:pPr>
            <w:r>
              <w:rPr/>
              <w:t> </w:t>
            </w:r>
          </w:p>
        </w:tc>
      </w:tr>
      <w:tr>
        <w:trPr/>
        <w:tc>
          <w:tcPr>
            <w:tcW w:w="4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b/>
              </w:rPr>
            </w:pPr>
            <w:r>
              <w:rPr>
                <w:b/>
              </w:rPr>
              <w:t>12,882,510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14,565,283</w:t>
            </w:r>
          </w:p>
        </w:tc>
        <w:tc>
          <w:tcPr>
            <w:tcW w:w="161" w:type="dxa"/>
            <w:tcBorders/>
            <w:shd w:fill="CCEEFF" w:val="clear"/>
            <w:vAlign w:val="bottom"/>
          </w:tcPr>
          <w:p>
            <w:pPr>
              <w:pStyle w:val="TableContents"/>
              <w:bidi w:val="0"/>
              <w:spacing w:before="0" w:after="283"/>
              <w:jc w:val="left"/>
              <w:rPr/>
            </w:pPr>
            <w:r>
              <w:rPr/>
              <w:t> </w:t>
            </w:r>
          </w:p>
        </w:tc>
      </w:tr>
      <w:tr>
        <w:trPr/>
        <w:tc>
          <w:tcPr>
            <w:tcW w:w="4210"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b/>
              </w:rPr>
            </w:pPr>
            <w:r>
              <w:rPr>
                <w:b/>
              </w:rPr>
              <w:t>1,306,194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293,821</w:t>
            </w:r>
          </w:p>
        </w:tc>
        <w:tc>
          <w:tcPr>
            <w:tcW w:w="161" w:type="dxa"/>
            <w:tcBorders/>
            <w:vAlign w:val="bottom"/>
          </w:tcPr>
          <w:p>
            <w:pPr>
              <w:pStyle w:val="TableContents"/>
              <w:bidi w:val="0"/>
              <w:spacing w:before="0" w:after="283"/>
              <w:jc w:val="left"/>
              <w:rPr/>
            </w:pPr>
            <w:r>
              <w:rPr/>
              <w:t> </w:t>
            </w:r>
          </w:p>
        </w:tc>
      </w:tr>
      <w:tr>
        <w:trPr/>
        <w:tc>
          <w:tcPr>
            <w:tcW w:w="421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10" w:type="dxa"/>
            <w:tcBorders/>
            <w:shd w:fill="CCEEFF" w:val="clear"/>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b/>
              </w:rPr>
            </w:pPr>
            <w:r>
              <w:rPr>
                <w:b/>
              </w:rPr>
              <w:t>115,845,153</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98,966,670</w:t>
            </w:r>
          </w:p>
        </w:tc>
        <w:tc>
          <w:tcPr>
            <w:tcW w:w="161" w:type="dxa"/>
            <w:tcBorders/>
            <w:shd w:fill="CCEEFF" w:val="clear"/>
            <w:vAlign w:val="bottom"/>
          </w:tcPr>
          <w:p>
            <w:pPr>
              <w:pStyle w:val="TableContents"/>
              <w:bidi w:val="0"/>
              <w:spacing w:before="0" w:after="283"/>
              <w:jc w:val="left"/>
              <w:rPr/>
            </w:pPr>
            <w:r>
              <w:rPr/>
              <w:t> </w:t>
            </w:r>
          </w:p>
        </w:tc>
      </w:tr>
      <w:tr>
        <w:trPr/>
        <w:tc>
          <w:tcPr>
            <w:tcW w:w="4210" w:type="dxa"/>
            <w:tcBorders/>
          </w:tcPr>
          <w:p>
            <w:pPr>
              <w:pStyle w:val="TableContents"/>
              <w:bidi w:val="0"/>
              <w:spacing w:before="0" w:after="0"/>
              <w:jc w:val="left"/>
              <w:rPr>
                <w:rFonts w:ascii="Times New Roman" w:hAnsi="Times New Roman"/>
                <w:sz w:val="20"/>
              </w:rPr>
            </w:pPr>
            <w:r>
              <w:rPr>
                <w:rFonts w:ascii="Times New Roman" w:hAnsi="Times New Roman"/>
                <w:sz w:val="20"/>
              </w:rPr>
              <w:t>Less allowance for uncollectible accounts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b/>
              </w:rPr>
            </w:pPr>
            <w:r>
              <w:rPr>
                <w:b/>
              </w:rPr>
              <w:t>(3,318,673</w:t>
            </w:r>
          </w:p>
        </w:tc>
        <w:tc>
          <w:tcPr>
            <w:tcW w:w="155" w:type="dxa"/>
            <w:tcBorders/>
            <w:vAlign w:val="bottom"/>
          </w:tcPr>
          <w:p>
            <w:pPr>
              <w:pStyle w:val="TableContents"/>
              <w:bidi w:val="0"/>
              <w:spacing w:before="0" w:after="283"/>
              <w:jc w:val="left"/>
              <w:rPr>
                <w:b/>
              </w:rPr>
            </w:pPr>
            <w:r>
              <w:rPr>
                <w:b/>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(2,988,396</w:t>
            </w:r>
          </w:p>
        </w:tc>
        <w:tc>
          <w:tcPr>
            <w:tcW w:w="161" w:type="dxa"/>
            <w:tcBorders/>
            <w:vAlign w:val="bottom"/>
          </w:tcPr>
          <w:p>
            <w:pPr>
              <w:pStyle w:val="TableContents"/>
              <w:bidi w:val="0"/>
              <w:spacing w:before="0" w:after="283"/>
              <w:jc w:val="left"/>
              <w:rPr/>
            </w:pPr>
            <w:r>
              <w:rPr/>
              <w:t>) </w:t>
            </w:r>
          </w:p>
        </w:tc>
      </w:tr>
      <w:tr>
        <w:trPr/>
        <w:tc>
          <w:tcPr>
            <w:tcW w:w="421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10" w:type="dxa"/>
            <w:tcBorders/>
            <w:shd w:fill="CCEEFF" w:val="clear"/>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81" w:type="dxa"/>
            <w:tcBorders/>
            <w:shd w:fill="CCEEFF" w:val="clear"/>
            <w:vAlign w:val="bottom"/>
          </w:tcPr>
          <w:p>
            <w:pPr>
              <w:pStyle w:val="TableContents"/>
              <w:bidi w:val="0"/>
              <w:spacing w:before="0" w:after="283"/>
              <w:jc w:val="right"/>
              <w:rPr>
                <w:b/>
              </w:rPr>
            </w:pPr>
            <w:r>
              <w:rPr>
                <w:b/>
              </w:rPr>
              <w:t>112,526,480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95,978,274</w:t>
            </w:r>
          </w:p>
        </w:tc>
        <w:tc>
          <w:tcPr>
            <w:tcW w:w="161" w:type="dxa"/>
            <w:tcBorders/>
            <w:shd w:fill="CCEEFF" w:val="clear"/>
            <w:vAlign w:val="bottom"/>
          </w:tcPr>
          <w:p>
            <w:pPr>
              <w:pStyle w:val="TableContents"/>
              <w:bidi w:val="0"/>
              <w:spacing w:before="0" w:after="283"/>
              <w:jc w:val="left"/>
              <w:rPr/>
            </w:pPr>
            <w:r>
              <w:rPr/>
              <w:t> </w:t>
            </w:r>
          </w:p>
        </w:tc>
      </w:tr>
      <w:tr>
        <w:trPr/>
        <w:tc>
          <w:tcPr>
            <w:tcW w:w="421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consisted of the following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6"/>
        <w:gridCol w:w="248"/>
        <w:gridCol w:w="147"/>
        <w:gridCol w:w="1130"/>
        <w:gridCol w:w="60"/>
        <w:gridCol w:w="248"/>
        <w:gridCol w:w="140"/>
        <w:gridCol w:w="1179"/>
        <w:gridCol w:w="155"/>
        <w:gridCol w:w="219"/>
        <w:gridCol w:w="140"/>
        <w:gridCol w:w="1179"/>
        <w:gridCol w:w="161"/>
      </w:tblGrid>
      <w:tr>
        <w:trPr/>
        <w:tc>
          <w:tcPr>
            <w:tcW w:w="356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6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pPr>
            <w:r>
              <w:rPr>
                <w:b/>
              </w:rPr>
              <w:t>Useful Lives</w:t>
              <w:br/>
            </w:r>
            <w:r>
              <w:rPr/>
              <w:t>(years)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Autos &amp; trucks</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9" w:type="dxa"/>
            <w:tcBorders/>
            <w:shd w:fill="CCEEFF" w:val="clear"/>
            <w:vAlign w:val="bottom"/>
          </w:tcPr>
          <w:p>
            <w:pPr>
              <w:pStyle w:val="TableContents"/>
              <w:bidi w:val="0"/>
              <w:spacing w:before="0" w:after="283"/>
              <w:jc w:val="right"/>
              <w:rPr>
                <w:b/>
              </w:rPr>
            </w:pPr>
            <w:r>
              <w:rPr>
                <w:b/>
              </w:rPr>
              <w:t>10,163,071</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3,713,696</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Furniture &amp; equipment</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4,323,228</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4,137,183</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8,407,143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7,705,479</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Machinery &amp; equipment</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5,996,898</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3,277,215</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3-10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1,633,446</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1,435,783</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(23,702,255</w:t>
            </w:r>
          </w:p>
        </w:tc>
        <w:tc>
          <w:tcPr>
            <w:tcW w:w="155" w:type="dxa"/>
            <w:tcBorders/>
            <w:vAlign w:val="bottom"/>
          </w:tcPr>
          <w:p>
            <w:pPr>
              <w:pStyle w:val="TableContents"/>
              <w:bidi w:val="0"/>
              <w:spacing w:before="0" w:after="283"/>
              <w:jc w:val="left"/>
              <w:rPr>
                <w:b/>
              </w:rPr>
            </w:pPr>
            <w:r>
              <w:rPr>
                <w:b/>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(16,754,598</w:t>
            </w:r>
          </w:p>
        </w:tc>
        <w:tc>
          <w:tcPr>
            <w:tcW w:w="161" w:type="dxa"/>
            <w:tcBorders/>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9" w:type="dxa"/>
            <w:tcBorders/>
            <w:shd w:fill="CCEEFF" w:val="clear"/>
            <w:vAlign w:val="bottom"/>
          </w:tcPr>
          <w:p>
            <w:pPr>
              <w:pStyle w:val="TableContents"/>
              <w:bidi w:val="0"/>
              <w:spacing w:before="0" w:after="283"/>
              <w:jc w:val="right"/>
              <w:rPr>
                <w:b/>
              </w:rPr>
            </w:pPr>
            <w:r>
              <w:rPr>
                <w:b/>
              </w:rPr>
              <w:t>6,821,531</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3,514,758</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and amortization expense for property and equipment for the years ended December 31, 2023 and 2022 was $0.8 million and $1.7 million,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$119.5 million credit agreement on July 31, 2019, which includes a revolving line of credit and a debt facility. The credit facility includes multiple lenders, one of which is a stockholder of the Companys ultimate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Revolving Line of Credit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$12.5 million revolving line of credit. Borrowings are secured by substantially all of the assets of the Company and guaranteed by the Companys stockholder. The revolving line of credit expires on July 31, 2026 and bears interest on either a floating rate equal to the Base Rate plus the Applicable Margin or LIBOR plus the Applicable Margin. The Applicable Margin is based on the Companys leverage ratio and is 4.5% for Base Rate loans and 5.5% for LIBOR loans. The effective interest rate was 10.98% and 9.57% at December 31, 2023 and 2022, respectively. The Base Rate is equal to the higher of the Prime Rate or the Federal Funds Rate plus 0.5%, and LIBOR is subject to a 1.0% minimum floor. The unused portion of the revolving line of credit bears interest at 0.5%. There were no outstanding borrowings on December 31, 2023, and $11 million on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Facility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credit agreement that includes a term note. Borrowings are secured by substantially all of the assets of the Company and guaranteed by the Companys stockholder. The term note matures on July 31, 2026 and bears interest on either a floating rate equal to the Base Rate plus the Applicable Margin or LIBOR plus the Applicable Margin. The Applicable Margin is based on the Companys leverage ratio and is 4.5% for Base Rate loans and 5.5% for LIBOR loans. The Base Rate is equal to the higher of the Prime Rate or the Federal Funds Rate plus 0.5%, and LIBOR is subject to a 1.0% minimum floor. The effective interest rate was 10.98% and 9.57% at December 31, 2023 and 2022, respectively. On October 31, 2023, the Company entered into an amendment to the 2019 debt agreement which allowed for $60 million of incremental borrowing under the term debt. </w:t>
      </w:r>
    </w:p>
    <w:p>
      <w:pPr>
        <w:pStyle w:val="TextBody"/>
        <w:bidi w:val="0"/>
        <w:spacing w:before="240" w:after="0"/>
        <w:jc w:val="left"/>
        <w:rPr>
          <w:rFonts w:ascii="Times New Roman" w:hAnsi="Times New Roman"/>
          <w:sz w:val="20"/>
        </w:rPr>
      </w:pPr>
      <w:r>
        <w:rPr>
          <w:rFonts w:ascii="Times New Roman" w:hAnsi="Times New Roman"/>
          <w:sz w:val="20"/>
        </w:rPr>
        <w:t xml:space="preserve">Aggregate principal maturities required on the debt facility as of December 31, 2023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9"/>
        <w:gridCol w:w="288"/>
        <w:gridCol w:w="141"/>
        <w:gridCol w:w="1357"/>
        <w:gridCol w:w="64"/>
      </w:tblGrid>
      <w:tr>
        <w:trPr/>
        <w:tc>
          <w:tcPr>
            <w:tcW w:w="5089"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57" w:type="dxa"/>
            <w:tcBorders/>
            <w:shd w:fill="CCEEFF" w:val="clear"/>
            <w:vAlign w:val="bottom"/>
          </w:tcPr>
          <w:p>
            <w:pPr>
              <w:pStyle w:val="TableContents"/>
              <w:bidi w:val="0"/>
              <w:spacing w:before="0" w:after="283"/>
              <w:jc w:val="right"/>
              <w:rPr>
                <w:b/>
              </w:rPr>
            </w:pPr>
            <w:r>
              <w:rPr>
                <w:b/>
              </w:rPr>
              <w:t>2,127,450</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b/>
              </w:rPr>
            </w:pPr>
            <w:r>
              <w:rPr>
                <w:b/>
              </w:rPr>
              <w:t>2,127,450</w:t>
            </w:r>
          </w:p>
        </w:tc>
        <w:tc>
          <w:tcPr>
            <w:tcW w:w="64"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b/>
              </w:rPr>
            </w:pPr>
            <w:r>
              <w:rPr>
                <w:b/>
              </w:rPr>
              <w:t>205,072,012</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209,326,912</w:t>
            </w:r>
          </w:p>
        </w:tc>
        <w:tc>
          <w:tcPr>
            <w:tcW w:w="64"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35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2,029,899</w:t>
            </w:r>
          </w:p>
        </w:tc>
        <w:tc>
          <w:tcPr>
            <w:tcW w:w="64"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installments</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b/>
              </w:rPr>
            </w:pPr>
            <w:r>
              <w:rPr>
                <w:b/>
              </w:rPr>
              <w:t>2,127,450</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unamortized debt issuance costs</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205,169,563</w:t>
            </w:r>
          </w:p>
        </w:tc>
        <w:tc>
          <w:tcPr>
            <w:tcW w:w="64"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credit agreement contains certain covenants, which among other things, require the Company to maintain certain financial ratios. The Company was in compliance with these covenants as of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consisted of the following for the years ended December 31: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74"/>
        <w:gridCol w:w="315"/>
        <w:gridCol w:w="145"/>
        <w:gridCol w:w="947"/>
        <w:gridCol w:w="156"/>
        <w:gridCol w:w="269"/>
        <w:gridCol w:w="145"/>
        <w:gridCol w:w="1022"/>
        <w:gridCol w:w="66"/>
      </w:tblGrid>
      <w:tr>
        <w:trPr/>
        <w:tc>
          <w:tcPr>
            <w:tcW w:w="3874"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6"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income tax</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874"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47" w:type="dxa"/>
            <w:tcBorders/>
            <w:vAlign w:val="bottom"/>
          </w:tcPr>
          <w:p>
            <w:pPr>
              <w:pStyle w:val="TableContents"/>
              <w:bidi w:val="0"/>
              <w:spacing w:before="0" w:after="283"/>
              <w:jc w:val="right"/>
              <w:rPr>
                <w:b/>
              </w:rPr>
            </w:pPr>
            <w:r>
              <w:rPr>
                <w:b/>
              </w:rPr>
              <w:t>(966,630</w:t>
            </w:r>
          </w:p>
        </w:tc>
        <w:tc>
          <w:tcPr>
            <w:tcW w:w="156" w:type="dxa"/>
            <w:tcBorders/>
            <w:vAlign w:val="bottom"/>
          </w:tcPr>
          <w:p>
            <w:pPr>
              <w:pStyle w:val="TableContents"/>
              <w:bidi w:val="0"/>
              <w:spacing w:before="0" w:after="283"/>
              <w:jc w:val="left"/>
              <w:rPr>
                <w:b/>
              </w:rPr>
            </w:pPr>
            <w:r>
              <w:rPr>
                <w:b/>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966,630</w:t>
            </w:r>
          </w:p>
        </w:tc>
        <w:tc>
          <w:tcPr>
            <w:tcW w:w="66"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355,285</w:t>
            </w:r>
          </w:p>
        </w:tc>
        <w:tc>
          <w:tcPr>
            <w:tcW w:w="1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499,911</w:t>
            </w:r>
          </w:p>
        </w:tc>
        <w:tc>
          <w:tcPr>
            <w:tcW w:w="66"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47" w:type="dxa"/>
            <w:tcBorders/>
            <w:vAlign w:val="bottom"/>
          </w:tcPr>
          <w:p>
            <w:pPr>
              <w:pStyle w:val="TableContents"/>
              <w:bidi w:val="0"/>
              <w:spacing w:before="0" w:after="283"/>
              <w:jc w:val="right"/>
              <w:rPr>
                <w:b/>
              </w:rPr>
            </w:pPr>
            <w:r>
              <w:rPr>
                <w:b/>
              </w:rPr>
              <w:t>(611,345</w:t>
            </w:r>
          </w:p>
        </w:tc>
        <w:tc>
          <w:tcPr>
            <w:tcW w:w="156" w:type="dxa"/>
            <w:tcBorders/>
            <w:vAlign w:val="bottom"/>
          </w:tcPr>
          <w:p>
            <w:pPr>
              <w:pStyle w:val="TableContents"/>
              <w:bidi w:val="0"/>
              <w:spacing w:before="0" w:after="283"/>
              <w:jc w:val="left"/>
              <w:rPr>
                <w:b/>
              </w:rPr>
            </w:pPr>
            <w:r>
              <w:rPr>
                <w:b/>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1,466,541</w:t>
            </w:r>
          </w:p>
        </w:tc>
        <w:tc>
          <w:tcPr>
            <w:tcW w:w="66"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874"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47" w:type="dxa"/>
            <w:tcBorders/>
            <w:vAlign w:val="bottom"/>
          </w:tcPr>
          <w:p>
            <w:pPr>
              <w:pStyle w:val="TableContents"/>
              <w:bidi w:val="0"/>
              <w:spacing w:before="0" w:after="283"/>
              <w:jc w:val="right"/>
              <w:rPr>
                <w:b/>
              </w:rPr>
            </w:pPr>
            <w:r>
              <w:rPr>
                <w:b/>
              </w:rPr>
              <w:t> </w:t>
            </w:r>
          </w:p>
        </w:tc>
        <w:tc>
          <w:tcPr>
            <w:tcW w:w="1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 </w:t>
            </w:r>
          </w:p>
        </w:tc>
        <w:tc>
          <w:tcPr>
            <w:tcW w:w="1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947" w:type="dxa"/>
            <w:tcBorders/>
            <w:shd w:fill="CCEEFF" w:val="clear"/>
            <w:vAlign w:val="bottom"/>
          </w:tcPr>
          <w:p>
            <w:pPr>
              <w:pStyle w:val="TableContents"/>
              <w:bidi w:val="0"/>
              <w:spacing w:before="0" w:after="283"/>
              <w:jc w:val="right"/>
              <w:rPr>
                <w:b/>
              </w:rPr>
            </w:pPr>
            <w:r>
              <w:rPr>
                <w:b/>
              </w:rPr>
              <w:t>(611,345</w:t>
            </w:r>
          </w:p>
        </w:tc>
        <w:tc>
          <w:tcPr>
            <w:tcW w:w="156" w:type="dxa"/>
            <w:tcBorders/>
            <w:shd w:fill="CCEEFF" w:val="clear"/>
            <w:vAlign w:val="bottom"/>
          </w:tcPr>
          <w:p>
            <w:pPr>
              <w:pStyle w:val="TableContents"/>
              <w:bidi w:val="0"/>
              <w:spacing w:before="0" w:after="283"/>
              <w:jc w:val="left"/>
              <w:rPr>
                <w:b/>
              </w:rPr>
            </w:pPr>
            <w:r>
              <w:rPr>
                <w:b/>
              </w:rPr>
              <w:t>) </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1,466,541</w:t>
            </w:r>
          </w:p>
        </w:tc>
        <w:tc>
          <w:tcPr>
            <w:tcW w:w="66"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Income tax expense differs from the amounts that would result from applying the federal statutory rate of 21% to the Companys loss before income tax expense as follows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38"/>
        <w:gridCol w:w="330"/>
        <w:gridCol w:w="140"/>
        <w:gridCol w:w="1206"/>
        <w:gridCol w:w="156"/>
        <w:gridCol w:w="280"/>
        <w:gridCol w:w="140"/>
        <w:gridCol w:w="1104"/>
        <w:gridCol w:w="161"/>
      </w:tblGrid>
      <w:tr>
        <w:trPr/>
        <w:tc>
          <w:tcPr>
            <w:tcW w:w="4238"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3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1" w:type="dxa"/>
            <w:tcBorders/>
            <w:vAlign w:val="bottom"/>
          </w:tcPr>
          <w:p>
            <w:pPr>
              <w:pStyle w:val="TableContents"/>
              <w:bidi w:val="0"/>
              <w:spacing w:before="0" w:after="283"/>
              <w:jc w:val="left"/>
              <w:rPr/>
            </w:pPr>
            <w:r>
              <w:rPr/>
              <w:t> </w:t>
            </w:r>
          </w:p>
        </w:tc>
      </w:tr>
      <w:tr>
        <w:trPr/>
        <w:tc>
          <w:tcPr>
            <w:tcW w:w="4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tax expense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06" w:type="dxa"/>
            <w:tcBorders/>
            <w:shd w:fill="CCEEFF" w:val="clear"/>
            <w:vAlign w:val="bottom"/>
          </w:tcPr>
          <w:p>
            <w:pPr>
              <w:pStyle w:val="TableContents"/>
              <w:bidi w:val="0"/>
              <w:spacing w:before="0" w:after="283"/>
              <w:jc w:val="right"/>
              <w:rPr>
                <w:b/>
              </w:rPr>
            </w:pPr>
            <w:r>
              <w:rPr>
                <w:b/>
              </w:rPr>
              <w:t>(4,819,723</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(2,148,269</w:t>
            </w:r>
          </w:p>
        </w:tc>
        <w:tc>
          <w:tcPr>
            <w:tcW w:w="161" w:type="dxa"/>
            <w:tcBorders/>
            <w:shd w:fill="CCEEFF" w:val="clear"/>
            <w:vAlign w:val="bottom"/>
          </w:tcPr>
          <w:p>
            <w:pPr>
              <w:pStyle w:val="TableContents"/>
              <w:bidi w:val="0"/>
              <w:spacing w:before="0" w:after="283"/>
              <w:jc w:val="left"/>
              <w:rPr/>
            </w:pPr>
            <w:r>
              <w:rPr/>
              <w:t>) </w:t>
            </w:r>
          </w:p>
        </w:tc>
      </w:tr>
      <w:tr>
        <w:trPr/>
        <w:tc>
          <w:tcPr>
            <w:tcW w:w="4238"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(486,455</w:t>
            </w:r>
          </w:p>
        </w:tc>
        <w:tc>
          <w:tcPr>
            <w:tcW w:w="156" w:type="dxa"/>
            <w:tcBorders/>
            <w:vAlign w:val="bottom"/>
          </w:tcPr>
          <w:p>
            <w:pPr>
              <w:pStyle w:val="TableContents"/>
              <w:bidi w:val="0"/>
              <w:spacing w:before="0" w:after="283"/>
              <w:jc w:val="left"/>
              <w:rPr>
                <w:b/>
              </w:rPr>
            </w:pPr>
            <w:r>
              <w:rPr>
                <w:b/>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66,309</w:t>
            </w:r>
          </w:p>
        </w:tc>
        <w:tc>
          <w:tcPr>
            <w:tcW w:w="161" w:type="dxa"/>
            <w:tcBorders/>
            <w:vAlign w:val="bottom"/>
          </w:tcPr>
          <w:p>
            <w:pPr>
              <w:pStyle w:val="TableContents"/>
              <w:bidi w:val="0"/>
              <w:spacing w:before="0" w:after="283"/>
              <w:jc w:val="left"/>
              <w:rPr/>
            </w:pPr>
            <w:r>
              <w:rPr/>
              <w:t> </w:t>
            </w:r>
          </w:p>
        </w:tc>
      </w:tr>
      <w:tr>
        <w:trPr/>
        <w:tc>
          <w:tcPr>
            <w:tcW w:w="4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tax rate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(192,833</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484,917</w:t>
            </w:r>
          </w:p>
        </w:tc>
        <w:tc>
          <w:tcPr>
            <w:tcW w:w="161" w:type="dxa"/>
            <w:tcBorders/>
            <w:shd w:fill="CCEEFF" w:val="clear"/>
            <w:vAlign w:val="bottom"/>
          </w:tcPr>
          <w:p>
            <w:pPr>
              <w:pStyle w:val="TableContents"/>
              <w:bidi w:val="0"/>
              <w:spacing w:before="0" w:after="283"/>
              <w:jc w:val="left"/>
              <w:rPr/>
            </w:pPr>
            <w:r>
              <w:rPr/>
              <w:t> </w:t>
            </w:r>
          </w:p>
        </w:tc>
      </w:tr>
      <w:tr>
        <w:trPr/>
        <w:tc>
          <w:tcPr>
            <w:tcW w:w="4238"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16,788,225</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(9,600,722</w:t>
            </w:r>
          </w:p>
        </w:tc>
        <w:tc>
          <w:tcPr>
            <w:tcW w:w="161" w:type="dxa"/>
            <w:tcBorders/>
            <w:vAlign w:val="bottom"/>
          </w:tcPr>
          <w:p>
            <w:pPr>
              <w:pStyle w:val="TableContents"/>
              <w:bidi w:val="0"/>
              <w:spacing w:before="0" w:after="283"/>
              <w:jc w:val="left"/>
              <w:rPr/>
            </w:pPr>
            <w:r>
              <w:rPr/>
              <w:t>) </w:t>
            </w:r>
          </w:p>
        </w:tc>
      </w:tr>
      <w:tr>
        <w:trPr/>
        <w:tc>
          <w:tcPr>
            <w:tcW w:w="4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434,073</w:t>
            </w:r>
          </w:p>
        </w:tc>
        <w:tc>
          <w:tcPr>
            <w:tcW w:w="15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312,646</w:t>
            </w:r>
          </w:p>
        </w:tc>
        <w:tc>
          <w:tcPr>
            <w:tcW w:w="161" w:type="dxa"/>
            <w:tcBorders/>
            <w:shd w:fill="CCEEFF" w:val="clear"/>
            <w:vAlign w:val="bottom"/>
          </w:tcPr>
          <w:p>
            <w:pPr>
              <w:pStyle w:val="TableContents"/>
              <w:bidi w:val="0"/>
              <w:spacing w:before="0" w:after="283"/>
              <w:jc w:val="left"/>
              <w:rPr/>
            </w:pPr>
            <w:r>
              <w:rPr/>
              <w:t> </w:t>
            </w:r>
          </w:p>
        </w:tc>
      </w:tr>
      <w:tr>
        <w:trPr/>
        <w:tc>
          <w:tcPr>
            <w:tcW w:w="423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53,500</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(133,085</w:t>
            </w:r>
          </w:p>
        </w:tc>
        <w:tc>
          <w:tcPr>
            <w:tcW w:w="161" w:type="dxa"/>
            <w:tcBorders/>
            <w:vAlign w:val="bottom"/>
          </w:tcPr>
          <w:p>
            <w:pPr>
              <w:pStyle w:val="TableContents"/>
              <w:bidi w:val="0"/>
              <w:spacing w:before="0" w:after="283"/>
              <w:jc w:val="left"/>
              <w:rPr/>
            </w:pPr>
            <w:r>
              <w:rPr/>
              <w:t>) </w:t>
            </w:r>
          </w:p>
        </w:tc>
      </w:tr>
      <w:tr>
        <w:trPr/>
        <w:tc>
          <w:tcPr>
            <w:tcW w:w="4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adjustment  Section 382 limitation</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(12,388,132</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12,484,745</w:t>
            </w:r>
          </w:p>
        </w:tc>
        <w:tc>
          <w:tcPr>
            <w:tcW w:w="161" w:type="dxa"/>
            <w:tcBorders/>
            <w:shd w:fill="CCEEFF" w:val="clear"/>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(611,345</w:t>
            </w:r>
          </w:p>
        </w:tc>
        <w:tc>
          <w:tcPr>
            <w:tcW w:w="156" w:type="dxa"/>
            <w:tcBorders/>
            <w:vAlign w:val="bottom"/>
          </w:tcPr>
          <w:p>
            <w:pPr>
              <w:pStyle w:val="TableContents"/>
              <w:bidi w:val="0"/>
              <w:spacing w:before="0" w:after="283"/>
              <w:jc w:val="left"/>
              <w:rPr>
                <w:b/>
              </w:rPr>
            </w:pPr>
            <w:r>
              <w:rPr>
                <w:b/>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1,466,541</w:t>
            </w:r>
          </w:p>
        </w:tc>
        <w:tc>
          <w:tcPr>
            <w:tcW w:w="161" w:type="dxa"/>
            <w:tcBorders/>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Temporary differences that give rise to the components of deferred tax assets and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4"/>
        <w:gridCol w:w="455"/>
        <w:gridCol w:w="140"/>
        <w:gridCol w:w="1181"/>
        <w:gridCol w:w="155"/>
        <w:gridCol w:w="410"/>
        <w:gridCol w:w="140"/>
        <w:gridCol w:w="1181"/>
        <w:gridCol w:w="159"/>
      </w:tblGrid>
      <w:tr>
        <w:trPr/>
        <w:tc>
          <w:tcPr>
            <w:tcW w:w="3934"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695,517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611,526</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3,940,016</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3,369,872</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13,331,915</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12,632,674</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1,475,837</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and property and equipment</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3,450,629</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8,942,102</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7,174,483</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9,022,097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3,704,165</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162,818</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41,020,931</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27,492,720</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(8,874,800</w:t>
            </w:r>
          </w:p>
        </w:tc>
        <w:tc>
          <w:tcPr>
            <w:tcW w:w="155" w:type="dxa"/>
            <w:tcBorders/>
            <w:vAlign w:val="bottom"/>
          </w:tcPr>
          <w:p>
            <w:pPr>
              <w:pStyle w:val="TableContents"/>
              <w:bidi w:val="0"/>
              <w:spacing w:before="0" w:after="283"/>
              <w:jc w:val="left"/>
              <w:rPr>
                <w:b/>
              </w:rPr>
            </w:pPr>
            <w:r>
              <w:rPr>
                <w:b/>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(6,723,362</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(34,962</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and property and equipment</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(5,376,547</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(8,874,800</w:t>
            </w:r>
          </w:p>
        </w:tc>
        <w:tc>
          <w:tcPr>
            <w:tcW w:w="155" w:type="dxa"/>
            <w:tcBorders/>
            <w:shd w:fill="CCEEFF" w:val="clear"/>
            <w:vAlign w:val="bottom"/>
          </w:tcPr>
          <w:p>
            <w:pPr>
              <w:pStyle w:val="TableContents"/>
              <w:bidi w:val="0"/>
              <w:spacing w:before="0" w:after="283"/>
              <w:jc w:val="left"/>
              <w:rPr>
                <w:b/>
              </w:rPr>
            </w:pPr>
            <w:r>
              <w:rPr>
                <w:b/>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(12,134,871</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32,146,131</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15,357,849</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(32,146,131</w:t>
            </w:r>
          </w:p>
        </w:tc>
        <w:tc>
          <w:tcPr>
            <w:tcW w:w="155" w:type="dxa"/>
            <w:tcBorders/>
            <w:shd w:fill="CCEEFF" w:val="clear"/>
            <w:vAlign w:val="bottom"/>
          </w:tcPr>
          <w:p>
            <w:pPr>
              <w:pStyle w:val="TableContents"/>
              <w:bidi w:val="0"/>
              <w:spacing w:before="0" w:after="283"/>
              <w:jc w:val="left"/>
              <w:rPr>
                <w:b/>
              </w:rPr>
            </w:pPr>
            <w:r>
              <w:rPr>
                <w:b/>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(15,357,849</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Deferred Tax Asset</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2022, the Company has federal net operating losses of $53.9 million and $51.3 million, respectively. The net operating loss of $41 million, generated pre-2018 will expire between 2034 and 2037. The $12 million generated in 2018  2022 can be carried forward indefinitely, subject to 80% taxable income limitation.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exclusive of scheduled reversal of deferred tax liabilities, and tax-planning strategies in making this assessment. Based upon the level of historical book losses, management believes it is not more-likely than-not that the Company will realize the benefits of these deductible differences, and accordingly, has a valuation allowance in the amount of $32.1 million and $15.4 million as of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does not have any material unrecognized tax benefits and accordingly has not recorded any interest or penalties related to unrecognized tax benefits. The Companys policy is to record interest as part of tax expense. The Company files a consolidated federal return and various state returns. These returns remain subject to examination by taxing authorities for the years 2014, and 2016 through 2022 due to net operating loss carryforward. </w:t>
      </w:r>
    </w:p>
    <w:p>
      <w:pPr>
        <w:pStyle w:val="TextBody"/>
        <w:bidi w:val="0"/>
        <w:spacing w:before="240" w:after="0"/>
        <w:jc w:val="left"/>
        <w:rPr>
          <w:rFonts w:ascii="Times New Roman" w:hAnsi="Times New Roman"/>
          <w:sz w:val="20"/>
        </w:rPr>
      </w:pPr>
      <w:r>
        <w:rPr>
          <w:rFonts w:ascii="Times New Roman" w:hAnsi="Times New Roman"/>
          <w:sz w:val="20"/>
        </w:rPr>
        <w:t xml:space="preserve">Certain tax attributes are subject to an annual limitation due to a change in ownership as defined under Internal Revenue Code 382. The Company is in the process of finalizing the section 382 study.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lease commitments with third parties under various finance and operating leases for office facilities, trucks, machinery and office equipment. Operating leases generally contain renewal options for periods ranging from 5 to 7 years. Because the Company is not reasonably certain to exercise these non-binding renewal options, the options are not considered in determining the lease term and associated potential option payments are excluded from future minimum lease payments. Rent expense totaled $4.1 million and $3.5 million for the year ended December 31,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quantitative information concerning the Companys operating and finance leases as of and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9"/>
        <w:gridCol w:w="310"/>
        <w:gridCol w:w="140"/>
        <w:gridCol w:w="1211"/>
        <w:gridCol w:w="321"/>
        <w:gridCol w:w="216"/>
        <w:gridCol w:w="140"/>
        <w:gridCol w:w="1211"/>
        <w:gridCol w:w="287"/>
      </w:tblGrid>
      <w:tr>
        <w:trPr/>
        <w:tc>
          <w:tcPr>
            <w:tcW w:w="391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right-to-use assets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8,700,991</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6,684,596</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1,479,159</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1,548,045</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4,077,301</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3,491,287</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966,396</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650,276</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15,223,847</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12,374,204</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 operating cash flows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1,448,276</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1,538,438</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 financing cash flows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8,548,735</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6,595,694</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 operating cash flows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7,226,459</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6,171,315</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Right-of-use Assets Obtained in Exchange for</w:t>
              <w:br/>
              <w:t>Lease Liabilities: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6,985,242</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13,961,173</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11,684,403</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10,751,494</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2.97 years</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2.98 years</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4.77 years</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4.94 years</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10.18</w:t>
            </w:r>
          </w:p>
        </w:tc>
        <w:tc>
          <w:tcPr>
            <w:tcW w:w="321"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11.18</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7.33</w:t>
            </w:r>
          </w:p>
        </w:tc>
        <w:tc>
          <w:tcPr>
            <w:tcW w:w="321"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7.39</w:t>
            </w:r>
          </w:p>
        </w:tc>
        <w:tc>
          <w:tcPr>
            <w:tcW w:w="28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maturity analysis of annual undiscounted cash flows for lease liabilities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7"/>
        <w:gridCol w:w="291"/>
        <w:gridCol w:w="146"/>
        <w:gridCol w:w="1159"/>
        <w:gridCol w:w="156"/>
        <w:gridCol w:w="238"/>
        <w:gridCol w:w="146"/>
        <w:gridCol w:w="1159"/>
        <w:gridCol w:w="163"/>
      </w:tblGrid>
      <w:tr>
        <w:trPr/>
        <w:tc>
          <w:tcPr>
            <w:tcW w:w="4297"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Maturity</w:t>
            </w:r>
          </w:p>
        </w:tc>
        <w:tc>
          <w:tcPr>
            <w:tcW w:w="291"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5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63"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10,137,127</w:t>
            </w:r>
          </w:p>
        </w:tc>
        <w:tc>
          <w:tcPr>
            <w:tcW w:w="15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4,603,892</w:t>
            </w:r>
          </w:p>
        </w:tc>
        <w:tc>
          <w:tcPr>
            <w:tcW w:w="163"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8,350,961</w:t>
            </w:r>
          </w:p>
        </w:tc>
        <w:tc>
          <w:tcPr>
            <w:tcW w:w="15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4,346,635</w:t>
            </w:r>
          </w:p>
        </w:tc>
        <w:tc>
          <w:tcPr>
            <w:tcW w:w="163"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b/>
              </w:rPr>
            </w:pPr>
            <w:r>
              <w:rPr>
                <w:b/>
              </w:rPr>
              <w:t>4,422,263</w:t>
            </w:r>
          </w:p>
        </w:tc>
        <w:tc>
          <w:tcPr>
            <w:tcW w:w="15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b/>
              </w:rPr>
            </w:pPr>
            <w:r>
              <w:rPr>
                <w:b/>
              </w:rPr>
              <w:t>3,555,525</w:t>
            </w:r>
          </w:p>
        </w:tc>
        <w:tc>
          <w:tcPr>
            <w:tcW w:w="163"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1,355,624</w:t>
            </w:r>
          </w:p>
        </w:tc>
        <w:tc>
          <w:tcPr>
            <w:tcW w:w="15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2,514,417</w:t>
            </w:r>
          </w:p>
        </w:tc>
        <w:tc>
          <w:tcPr>
            <w:tcW w:w="163"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b/>
              </w:rPr>
            </w:pPr>
            <w:r>
              <w:rPr>
                <w:b/>
              </w:rPr>
              <w:t>364,125</w:t>
            </w:r>
          </w:p>
        </w:tc>
        <w:tc>
          <w:tcPr>
            <w:tcW w:w="15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b/>
              </w:rPr>
            </w:pPr>
            <w:r>
              <w:rPr>
                <w:b/>
              </w:rPr>
              <w:t>1,670,540</w:t>
            </w:r>
          </w:p>
        </w:tc>
        <w:tc>
          <w:tcPr>
            <w:tcW w:w="163"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In aggregate thereafter</w:t>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739,710</w:t>
            </w:r>
          </w:p>
        </w:tc>
        <w:tc>
          <w:tcPr>
            <w:tcW w:w="15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b/>
              </w:rPr>
            </w:pPr>
            <w:r>
              <w:rPr>
                <w:b/>
              </w:rPr>
              <w:t>1,809,717</w:t>
            </w:r>
          </w:p>
        </w:tc>
        <w:tc>
          <w:tcPr>
            <w:tcW w:w="163"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25,369,810</w:t>
            </w:r>
          </w:p>
        </w:tc>
        <w:tc>
          <w:tcPr>
            <w:tcW w:w="15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18,500,726</w:t>
            </w:r>
          </w:p>
        </w:tc>
        <w:tc>
          <w:tcPr>
            <w:tcW w:w="163"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159" w:type="dxa"/>
            <w:tcBorders/>
            <w:vAlign w:val="bottom"/>
          </w:tcPr>
          <w:p>
            <w:pPr>
              <w:pStyle w:val="TableContents"/>
              <w:bidi w:val="0"/>
              <w:spacing w:before="0" w:after="283"/>
              <w:jc w:val="right"/>
              <w:rPr>
                <w:b/>
              </w:rPr>
            </w:pPr>
            <w:r>
              <w:rPr>
                <w:b/>
              </w:rPr>
              <w:t>(2,391,339</w:t>
            </w:r>
          </w:p>
        </w:tc>
        <w:tc>
          <w:tcPr>
            <w:tcW w:w="156" w:type="dxa"/>
            <w:tcBorders/>
            <w:vAlign w:val="bottom"/>
          </w:tcPr>
          <w:p>
            <w:pPr>
              <w:pStyle w:val="TableContents"/>
              <w:bidi w:val="0"/>
              <w:spacing w:before="0" w:after="283"/>
              <w:jc w:val="left"/>
              <w:rPr>
                <w:b/>
              </w:rPr>
            </w:pPr>
            <w:r>
              <w:rPr>
                <w:b/>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159" w:type="dxa"/>
            <w:tcBorders/>
            <w:vAlign w:val="bottom"/>
          </w:tcPr>
          <w:p>
            <w:pPr>
              <w:pStyle w:val="TableContents"/>
              <w:bidi w:val="0"/>
              <w:spacing w:before="0" w:after="283"/>
              <w:jc w:val="right"/>
              <w:rPr>
                <w:b/>
              </w:rPr>
            </w:pPr>
            <w:r>
              <w:rPr>
                <w:b/>
              </w:rPr>
              <w:t>(2,354,926</w:t>
            </w:r>
          </w:p>
        </w:tc>
        <w:tc>
          <w:tcPr>
            <w:tcW w:w="163" w:type="dxa"/>
            <w:tcBorders/>
            <w:vAlign w:val="bottom"/>
          </w:tcPr>
          <w:p>
            <w:pPr>
              <w:pStyle w:val="TableContents"/>
              <w:bidi w:val="0"/>
              <w:spacing w:before="0" w:after="283"/>
              <w:jc w:val="left"/>
              <w:rPr>
                <w:b/>
              </w:rPr>
            </w:pPr>
            <w:r>
              <w:rPr>
                <w:b/>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22,978,471</w:t>
            </w:r>
          </w:p>
        </w:tc>
        <w:tc>
          <w:tcPr>
            <w:tcW w:w="15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159" w:type="dxa"/>
            <w:tcBorders/>
            <w:shd w:fill="CCEEFF" w:val="clear"/>
            <w:vAlign w:val="bottom"/>
          </w:tcPr>
          <w:p>
            <w:pPr>
              <w:pStyle w:val="TableContents"/>
              <w:bidi w:val="0"/>
              <w:spacing w:before="0" w:after="283"/>
              <w:jc w:val="right"/>
              <w:rPr>
                <w:b/>
              </w:rPr>
            </w:pPr>
            <w:r>
              <w:rPr>
                <w:b/>
              </w:rPr>
              <w:t>16,145,800</w:t>
            </w:r>
          </w:p>
        </w:tc>
        <w:tc>
          <w:tcPr>
            <w:tcW w:w="163"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provides a tax-qualified employee savings and retirement plan, commonly known as a 401(k) plan (the Plan), which covers the Companys eligible employees. Pursuant to the Plan, employees may elect to reduce their current compensation up to the IRS annual contribution limit. The amount contributed to the Plan is on a pre-tax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provides for discretionary matching contributions as determined by the Board of Directors for each calendar year. All matching contributions vest based on length of service, participants are 100% vested after 4 years of service. The program during fiscal 2023 and 2022 is to match $0.50 for every Dollar contributed by the employee up to the first 3% of pay. The Companys matching contributions to the Plan totaled approximately $1.9 million and $1.8 million for the years ended December 31, 2023 and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MCM acquisition described in Note 2 resulted in $2 million of deferred cash consideration to the seller. This seller has continued with the acquired entity as a key member of management. </w:t>
      </w:r>
    </w:p>
    <w:p>
      <w:pPr>
        <w:pStyle w:val="TextBody"/>
        <w:bidi w:val="0"/>
        <w:spacing w:before="240" w:after="0"/>
        <w:jc w:val="left"/>
        <w:rPr>
          <w:rFonts w:ascii="Times New Roman" w:hAnsi="Times New Roman"/>
          <w:sz w:val="20"/>
        </w:rPr>
      </w:pPr>
      <w:r>
        <w:rPr>
          <w:rFonts w:ascii="Times New Roman" w:hAnsi="Times New Roman"/>
          <w:sz w:val="20"/>
        </w:rPr>
        <w:t xml:space="preserve">A stockholder of the Companys ultimate parent is one of the lenders in the Companys credit facility (Note 6). The stockholders portion of the credit facility was $60 million as of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Concentrations of 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credit risks consist principally of uninsured bank deposits and trade accounts receivable. The Companys policy is to place its cash deposits with high-credit quality financial institutions and at times cash accounts may exceed FDIC insurance limits. The Company has never experienced any losses related to these balances. The Company routinely assesses the financial strength of its customers and believes that its trade receivable credit risk exposure is limited. The Company does not require collateral relating to its trade receivables.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made purchases from three vendors in 2023 and 2022, which accounted for 35% and 42% of purchases during 2023 and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periodically involved in legal actions and claims that arise as a result of events that occur in the normal course of operations. Management does not expect the ultimate resolution of these actions to have a material effect on the Companys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the effects of all subsequent events from December 31, 2023, through May 1, 2024, the date the consolidated financial statements were available for issuance and did not identify any additional items that would materially affect the consolidated financial statements or require additional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right"/>
        <w:rPr>
          <w:rFonts w:ascii="Times New Roman" w:hAnsi="Times New Roman"/>
          <w:b/>
          <w:sz w:val="20"/>
        </w:rPr>
      </w:pPr>
      <w:bookmarkStart w:id="12" w:name="d933263dex993.htm"/>
      <w:bookmarkStart w:id="13" w:name="ksd933263dex993"/>
      <w:bookmarkEnd w:id="12"/>
      <w:bookmarkEnd w:id="13"/>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0" cy="838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5"/>
                    <a:stretch>
                      <a:fillRect/>
                    </a:stretch>
                  </pic:blipFill>
                  <pic:spPr bwMode="auto">
                    <a:xfrm>
                      <a:off x="0" y="0"/>
                      <a:ext cx="647700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Years Ended December 31, 2024 and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0"/>
        <w:gridCol w:w="155"/>
        <w:gridCol w:w="60"/>
        <w:gridCol w:w="578"/>
        <w:gridCol w:w="62"/>
      </w:tblGrid>
      <w:tr>
        <w:trPr/>
        <w:tc>
          <w:tcPr>
            <w:tcW w:w="93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Auditors Report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Stockholders 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350" w:type="dxa"/>
            <w:tcBorders/>
            <w:vAlign w:val="center"/>
          </w:tcPr>
          <w:p>
            <w:pPr>
              <w:pStyle w:val="TableContents"/>
              <w:bidi w:val="0"/>
              <w:spacing w:before="0" w:after="283"/>
              <w:jc w:val="left"/>
              <w:rPr>
                <w:sz w:val="4"/>
                <w:szCs w:val="4"/>
              </w:rPr>
            </w:pPr>
            <w:r>
              <w:rPr>
                <w:sz w:val="4"/>
                <w:szCs w:val="4"/>
              </w:rPr>
            </w:r>
          </w:p>
        </w:tc>
        <w:tc>
          <w:tcPr>
            <w:tcW w:w="85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10-27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44"/>
        <w:gridCol w:w="105"/>
        <w:gridCol w:w="2549"/>
        <w:gridCol w:w="121"/>
        <w:gridCol w:w="2286"/>
      </w:tblGrid>
      <w:tr>
        <w:trPr/>
        <w:tc>
          <w:tcPr>
            <w:tcW w:w="514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5144" w:type="dxa"/>
            <w:vMerge w:val="restart"/>
            <w:tcBorders/>
          </w:tcPr>
          <w:p>
            <w:pPr>
              <w:pStyle w:val="TableContents"/>
              <w:bidi w:val="0"/>
              <w:spacing w:before="0" w:after="283"/>
              <w:jc w:val="left"/>
              <w:rPr/>
            </w:pPr>
            <w:r>
              <w:rPr/>
              <w:drawing>
                <wp:inline distT="0" distB="0" distL="0" distR="0">
                  <wp:extent cx="1057275"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6"/>
                          <a:stretch>
                            <a:fillRect/>
                          </a:stretch>
                        </pic:blipFill>
                        <pic:spPr bwMode="auto">
                          <a:xfrm>
                            <a:off x="0" y="0"/>
                            <a:ext cx="1057275" cy="49530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Tel: 919-754-9370</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421 Fayetteville St</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Fax: 919-754-9369</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Suite 300</w:t>
            </w:r>
          </w:p>
        </w:tc>
      </w:tr>
      <w:tr>
        <w:trPr/>
        <w:tc>
          <w:tcPr>
            <w:tcW w:w="5144"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2549" w:type="dxa"/>
            <w:tcBorders/>
          </w:tcPr>
          <w:p>
            <w:pPr>
              <w:pStyle w:val="TableContents"/>
              <w:bidi w:val="0"/>
              <w:spacing w:before="0" w:after="283"/>
              <w:jc w:val="left"/>
              <w:rPr/>
            </w:pPr>
            <w:r>
              <w:rPr/>
              <w:t>www.bdo.com</w:t>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Raleigh, NC 27601</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JF Holdings Corp.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w:t>
      </w:r>
    </w:p>
    <w:p>
      <w:pPr>
        <w:pStyle w:val="TextBody"/>
        <w:bidi w:val="0"/>
        <w:spacing w:before="24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JF Holdings Corp. and its subsidiaries (the Company), which comprise the consolidated balance sheets as of December 31, 2024 and 2023, and the related consolidated statements of operations, changes in stockholders deficit, and cash flows for the years then ended,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BDO USA, P.C., a Virginia professional corporation, is the U.S. member of BDO International Limited, a UK company limited by guarantee, and forms part of the international BDO network of independent member firms. </w:t>
      </w:r>
    </w:p>
    <w:p>
      <w:pPr>
        <w:pStyle w:val="TextBody"/>
        <w:bidi w:val="0"/>
        <w:spacing w:before="240" w:after="0"/>
        <w:jc w:val="left"/>
        <w:rPr>
          <w:rFonts w:ascii="Times New Roman" w:hAnsi="Times New Roman"/>
          <w:sz w:val="20"/>
        </w:rPr>
      </w:pPr>
      <w:r>
        <w:rPr>
          <w:rFonts w:ascii="Times New Roman" w:hAnsi="Times New Roman"/>
          <w:sz w:val="20"/>
        </w:rPr>
        <w:t xml:space="preserve">BDO is the brand name for the BDO network and for each of the BDO Member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57275"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7"/>
                    <a:stretch>
                      <a:fillRect/>
                    </a:stretch>
                  </pic:blipFill>
                  <pic:spPr bwMode="auto">
                    <a:xfrm>
                      <a:off x="0" y="0"/>
                      <a:ext cx="1057275" cy="495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0" w:after="0"/>
        <w:jc w:val="left"/>
        <w:rPr/>
      </w:pPr>
      <w:r>
        <w:rPr/>
        <w:t> </w:t>
      </w:r>
    </w:p>
    <w:p>
      <w:pPr>
        <w:pStyle w:val="TextBody"/>
        <w:bidi w:val="0"/>
        <w:spacing w:before="0" w:after="0"/>
        <w:jc w:val="left"/>
        <w:rPr/>
      </w:pPr>
      <w:r>
        <w:rPr/>
        <w:drawing>
          <wp:inline distT="0" distB="0" distL="0" distR="0">
            <wp:extent cx="1400175" cy="23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8"/>
                    <a:stretch>
                      <a:fillRect/>
                    </a:stretch>
                  </pic:blipFill>
                  <pic:spPr bwMode="auto">
                    <a:xfrm>
                      <a:off x="0" y="0"/>
                      <a:ext cx="1400175"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April 28,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Financial Statements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0"/>
        <w:gridCol w:w="142"/>
        <w:gridCol w:w="140"/>
        <w:gridCol w:w="1315"/>
        <w:gridCol w:w="155"/>
        <w:gridCol w:w="110"/>
        <w:gridCol w:w="140"/>
        <w:gridCol w:w="1315"/>
        <w:gridCol w:w="158"/>
      </w:tblGrid>
      <w:tr>
        <w:trPr/>
        <w:tc>
          <w:tcPr>
            <w:tcW w:w="673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December 31,</w:t>
            </w:r>
          </w:p>
        </w:tc>
        <w:tc>
          <w:tcPr>
            <w:tcW w:w="142"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6,418,470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8,304,631</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7,886,449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4,623,379</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120,956,082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112,526,480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87,256,677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84,538,915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14,638,825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11,807,818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12,280,173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9,124,469</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249,436,676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230,925,692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7,217,221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6,821,531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17,282,425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15,567,356</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31,966,354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21,366,610</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45,851,491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52,308,714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net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14,453,749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20,262,735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542,660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200,809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366,750,576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347,453,447</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74,739,766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5" w:type="dxa"/>
            <w:tcBorders/>
            <w:shd w:fill="CCEEFF" w:val="clear"/>
            <w:vAlign w:val="bottom"/>
          </w:tcPr>
          <w:p>
            <w:pPr>
              <w:pStyle w:val="TableContents"/>
              <w:bidi w:val="0"/>
              <w:spacing w:before="0" w:after="283"/>
              <w:jc w:val="right"/>
              <w:rPr>
                <w:b/>
              </w:rPr>
            </w:pPr>
            <w:r>
              <w:rPr>
                <w:b/>
              </w:rPr>
              <w:t>61,706,489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6,810,169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11,306,115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9,817,612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8,246,458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541,011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571,303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4,363,382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4,235,219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12,589,013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8,855,033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installments of long-term debt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2,127,630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2,127,450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17,991,120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17,104,085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12,591,822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8,463,602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8,594,391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1,450,000</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150,165,916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124,065,754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Line of credit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7,000,000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 </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liability, net of current portion</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13,870,188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11,910,581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finance lease liability, net of current portion</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20,795,564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14,123,438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 and unamortized debt issuance costs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203,824,196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205,169,563</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7,899,298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395,655,864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363,168,634</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contingences (Note 12)</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1,000 shares authorized; 1 share issued and outstanding</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143,269,512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143,269,512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(172,174,800</w:t>
            </w:r>
          </w:p>
        </w:tc>
        <w:tc>
          <w:tcPr>
            <w:tcW w:w="155" w:type="dxa"/>
            <w:tcBorders/>
            <w:vAlign w:val="bottom"/>
          </w:tcPr>
          <w:p>
            <w:pPr>
              <w:pStyle w:val="TableContents"/>
              <w:bidi w:val="0"/>
              <w:spacing w:before="0" w:after="283"/>
              <w:jc w:val="left"/>
              <w:rPr>
                <w:b/>
              </w:rPr>
            </w:pPr>
            <w:r>
              <w:rPr>
                <w:b/>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(158,984,699</w:t>
            </w:r>
          </w:p>
        </w:tc>
        <w:tc>
          <w:tcPr>
            <w:tcW w:w="158" w:type="dxa"/>
            <w:tcBorders/>
            <w:vAlign w:val="bottom"/>
          </w:tcPr>
          <w:p>
            <w:pPr>
              <w:pStyle w:val="TableContents"/>
              <w:bidi w:val="0"/>
              <w:spacing w:before="0" w:after="283"/>
              <w:jc w:val="left"/>
              <w:rPr>
                <w:b/>
              </w:rPr>
            </w:pPr>
            <w:r>
              <w:rPr>
                <w:b/>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(28,905,288</w:t>
            </w:r>
          </w:p>
        </w:tc>
        <w:tc>
          <w:tcPr>
            <w:tcW w:w="155" w:type="dxa"/>
            <w:tcBorders/>
            <w:shd w:fill="CCEEFF" w:val="clear"/>
            <w:vAlign w:val="bottom"/>
          </w:tcPr>
          <w:p>
            <w:pPr>
              <w:pStyle w:val="TableContents"/>
              <w:bidi w:val="0"/>
              <w:spacing w:before="0" w:after="283"/>
              <w:jc w:val="left"/>
              <w:rPr>
                <w:b/>
              </w:rPr>
            </w:pPr>
            <w:r>
              <w:rPr>
                <w:b/>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(15,715,187</w:t>
            </w:r>
          </w:p>
        </w:tc>
        <w:tc>
          <w:tcPr>
            <w:tcW w:w="158" w:type="dxa"/>
            <w:tcBorders/>
            <w:shd w:fill="CCEEFF" w:val="clear"/>
            <w:vAlign w:val="bottom"/>
          </w:tcPr>
          <w:p>
            <w:pPr>
              <w:pStyle w:val="TableContents"/>
              <w:bidi w:val="0"/>
              <w:spacing w:before="0" w:after="283"/>
              <w:jc w:val="left"/>
              <w:rPr>
                <w:b/>
              </w:rPr>
            </w:pPr>
            <w:r>
              <w:rPr>
                <w:b/>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366,750,576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15" w:type="dxa"/>
            <w:tcBorders/>
            <w:vAlign w:val="bottom"/>
          </w:tcPr>
          <w:p>
            <w:pPr>
              <w:pStyle w:val="TableContents"/>
              <w:bidi w:val="0"/>
              <w:spacing w:before="0" w:after="283"/>
              <w:jc w:val="right"/>
              <w:rPr>
                <w:b/>
              </w:rPr>
            </w:pPr>
            <w:r>
              <w:rPr>
                <w:b/>
              </w:rPr>
              <w:t>347,453,447</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5"/>
        <w:gridCol w:w="137"/>
        <w:gridCol w:w="140"/>
        <w:gridCol w:w="1242"/>
        <w:gridCol w:w="156"/>
        <w:gridCol w:w="104"/>
        <w:gridCol w:w="140"/>
        <w:gridCol w:w="1242"/>
        <w:gridCol w:w="159"/>
      </w:tblGrid>
      <w:tr>
        <w:trPr/>
        <w:tc>
          <w:tcPr>
            <w:tcW w:w="688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For the year ended December 31,</w:t>
            </w:r>
          </w:p>
        </w:tc>
        <w:tc>
          <w:tcPr>
            <w:tcW w:w="137"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Parts and equipment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336,691,910</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283,851,274</w:t>
            </w:r>
          </w:p>
        </w:tc>
        <w:tc>
          <w:tcPr>
            <w:tcW w:w="159"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and installation</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527,711,916</w:t>
            </w:r>
          </w:p>
        </w:tc>
        <w:tc>
          <w:tcPr>
            <w:tcW w:w="156"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306,888,223</w:t>
            </w:r>
          </w:p>
        </w:tc>
        <w:tc>
          <w:tcPr>
            <w:tcW w:w="159"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864,403,826</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590,739,497</w:t>
            </w:r>
          </w:p>
        </w:tc>
        <w:tc>
          <w:tcPr>
            <w:tcW w:w="159"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685,259,421</w:t>
            </w:r>
          </w:p>
        </w:tc>
        <w:tc>
          <w:tcPr>
            <w:tcW w:w="156"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472,208,570</w:t>
            </w:r>
          </w:p>
        </w:tc>
        <w:tc>
          <w:tcPr>
            <w:tcW w:w="159"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179,144,405</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118,530,927</w:t>
            </w:r>
          </w:p>
        </w:tc>
        <w:tc>
          <w:tcPr>
            <w:tcW w:w="159"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149,403,275</w:t>
            </w:r>
          </w:p>
        </w:tc>
        <w:tc>
          <w:tcPr>
            <w:tcW w:w="156"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113,741,394</w:t>
            </w:r>
          </w:p>
        </w:tc>
        <w:tc>
          <w:tcPr>
            <w:tcW w:w="159"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16,664,271</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12,852,495</w:t>
            </w:r>
          </w:p>
        </w:tc>
        <w:tc>
          <w:tcPr>
            <w:tcW w:w="159"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13,076,859</w:t>
            </w:r>
          </w:p>
        </w:tc>
        <w:tc>
          <w:tcPr>
            <w:tcW w:w="156"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(8,062,962</w:t>
            </w:r>
          </w:p>
        </w:tc>
        <w:tc>
          <w:tcPr>
            <w:tcW w:w="159" w:type="dxa"/>
            <w:tcBorders/>
            <w:shd w:fill="CCEEFF" w:val="clear"/>
            <w:vAlign w:val="bottom"/>
          </w:tcPr>
          <w:p>
            <w:pPr>
              <w:pStyle w:val="TableContents"/>
              <w:bidi w:val="0"/>
              <w:spacing w:before="0" w:after="283"/>
              <w:jc w:val="left"/>
              <w:rPr>
                <w:b/>
              </w:rPr>
            </w:pPr>
            <w:r>
              <w:rPr>
                <w:b/>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(27,000,019</w:t>
            </w:r>
          </w:p>
        </w:tc>
        <w:tc>
          <w:tcPr>
            <w:tcW w:w="156"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(20,773,983</w:t>
            </w:r>
          </w:p>
        </w:tc>
        <w:tc>
          <w:tcPr>
            <w:tcW w:w="159" w:type="dxa"/>
            <w:tcBorders/>
            <w:shd w:fill="CCEEFF" w:val="clear"/>
            <w:vAlign w:val="bottom"/>
          </w:tcPr>
          <w:p>
            <w:pPr>
              <w:pStyle w:val="TableContents"/>
              <w:bidi w:val="0"/>
              <w:spacing w:before="0" w:after="283"/>
              <w:jc w:val="left"/>
              <w:rPr>
                <w:b/>
              </w:rPr>
            </w:pPr>
            <w:r>
              <w:rPr>
                <w:b/>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1,195,318</w:t>
            </w:r>
          </w:p>
        </w:tc>
        <w:tc>
          <w:tcPr>
            <w:tcW w:w="156"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2,585,935</w:t>
            </w:r>
          </w:p>
        </w:tc>
        <w:tc>
          <w:tcPr>
            <w:tcW w:w="159"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(25,804,701</w:t>
            </w:r>
          </w:p>
        </w:tc>
        <w:tc>
          <w:tcPr>
            <w:tcW w:w="156" w:type="dxa"/>
            <w:tcBorders/>
            <w:shd w:fill="CCEEFF" w:val="clear"/>
            <w:vAlign w:val="bottom"/>
          </w:tcPr>
          <w:p>
            <w:pPr>
              <w:pStyle w:val="TableContents"/>
              <w:bidi w:val="0"/>
              <w:spacing w:before="0" w:after="283"/>
              <w:jc w:val="left"/>
              <w:rPr>
                <w:b/>
              </w:rPr>
            </w:pPr>
            <w:r>
              <w:rPr>
                <w:b/>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(18,188,048</w:t>
            </w:r>
          </w:p>
        </w:tc>
        <w:tc>
          <w:tcPr>
            <w:tcW w:w="159" w:type="dxa"/>
            <w:tcBorders/>
            <w:shd w:fill="CCEEFF" w:val="clear"/>
            <w:vAlign w:val="bottom"/>
          </w:tcPr>
          <w:p>
            <w:pPr>
              <w:pStyle w:val="TableContents"/>
              <w:bidi w:val="0"/>
              <w:spacing w:before="0" w:after="283"/>
              <w:jc w:val="left"/>
              <w:rPr>
                <w:b/>
              </w:rPr>
            </w:pPr>
            <w:r>
              <w:rPr>
                <w:b/>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(12,727,842</w:t>
            </w:r>
          </w:p>
        </w:tc>
        <w:tc>
          <w:tcPr>
            <w:tcW w:w="156" w:type="dxa"/>
            <w:tcBorders/>
            <w:vAlign w:val="bottom"/>
          </w:tcPr>
          <w:p>
            <w:pPr>
              <w:pStyle w:val="TableContents"/>
              <w:bidi w:val="0"/>
              <w:spacing w:before="0" w:after="283"/>
              <w:jc w:val="left"/>
              <w:rPr>
                <w:b/>
              </w:rPr>
            </w:pPr>
            <w:r>
              <w:rPr>
                <w:b/>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(26,251,010</w:t>
            </w:r>
          </w:p>
        </w:tc>
        <w:tc>
          <w:tcPr>
            <w:tcW w:w="159" w:type="dxa"/>
            <w:tcBorders/>
            <w:vAlign w:val="bottom"/>
          </w:tcPr>
          <w:p>
            <w:pPr>
              <w:pStyle w:val="TableContents"/>
              <w:bidi w:val="0"/>
              <w:spacing w:before="0" w:after="283"/>
              <w:jc w:val="left"/>
              <w:rPr>
                <w:b/>
              </w:rPr>
            </w:pPr>
            <w:r>
              <w:rPr>
                <w:b/>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462,259</w:t>
            </w:r>
          </w:p>
        </w:tc>
        <w:tc>
          <w:tcPr>
            <w:tcW w:w="156"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(611,345</w:t>
            </w:r>
          </w:p>
        </w:tc>
        <w:tc>
          <w:tcPr>
            <w:tcW w:w="159" w:type="dxa"/>
            <w:tcBorders/>
            <w:shd w:fill="CCEEFF" w:val="clear"/>
            <w:vAlign w:val="bottom"/>
          </w:tcPr>
          <w:p>
            <w:pPr>
              <w:pStyle w:val="TableContents"/>
              <w:bidi w:val="0"/>
              <w:spacing w:before="0" w:after="283"/>
              <w:jc w:val="left"/>
              <w:rPr>
                <w:b/>
              </w:rPr>
            </w:pPr>
            <w:r>
              <w:rPr>
                <w:b/>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(13,190,101</w:t>
            </w:r>
          </w:p>
        </w:tc>
        <w:tc>
          <w:tcPr>
            <w:tcW w:w="156" w:type="dxa"/>
            <w:tcBorders/>
            <w:vAlign w:val="bottom"/>
          </w:tcPr>
          <w:p>
            <w:pPr>
              <w:pStyle w:val="TableContents"/>
              <w:bidi w:val="0"/>
              <w:spacing w:before="0" w:after="283"/>
              <w:jc w:val="left"/>
              <w:rPr>
                <w:b/>
              </w:rPr>
            </w:pPr>
            <w:r>
              <w:rPr>
                <w:b/>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(25,639,665</w:t>
            </w:r>
          </w:p>
        </w:tc>
        <w:tc>
          <w:tcPr>
            <w:tcW w:w="159" w:type="dxa"/>
            <w:tcBorders/>
            <w:vAlign w:val="bottom"/>
          </w:tcPr>
          <w:p>
            <w:pPr>
              <w:pStyle w:val="TableContents"/>
              <w:bidi w:val="0"/>
              <w:spacing w:before="0" w:after="283"/>
              <w:jc w:val="left"/>
              <w:rPr>
                <w:b/>
              </w:rPr>
            </w:pPr>
            <w:r>
              <w:rPr>
                <w:b/>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Changes in Stockholders Deficit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4"/>
        <w:gridCol w:w="195"/>
        <w:gridCol w:w="220"/>
        <w:gridCol w:w="498"/>
        <w:gridCol w:w="60"/>
        <w:gridCol w:w="195"/>
        <w:gridCol w:w="140"/>
        <w:gridCol w:w="1327"/>
        <w:gridCol w:w="60"/>
        <w:gridCol w:w="195"/>
        <w:gridCol w:w="140"/>
        <w:gridCol w:w="1387"/>
        <w:gridCol w:w="155"/>
        <w:gridCol w:w="147"/>
        <w:gridCol w:w="140"/>
        <w:gridCol w:w="1241"/>
        <w:gridCol w:w="161"/>
      </w:tblGrid>
      <w:tr>
        <w:trPr/>
        <w:tc>
          <w:tcPr>
            <w:tcW w:w="3944"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27"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140,362,096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(133,345,034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7,017,062</w:t>
            </w:r>
          </w:p>
        </w:tc>
        <w:tc>
          <w:tcPr>
            <w:tcW w:w="161" w:type="dxa"/>
            <w:tcBorders/>
            <w:shd w:fill="CCEEFF" w:val="clear"/>
            <w:vAlign w:val="bottom"/>
          </w:tcPr>
          <w:p>
            <w:pPr>
              <w:pStyle w:val="TableContents"/>
              <w:bidi w:val="0"/>
              <w:spacing w:before="0" w:after="283"/>
              <w:jc w:val="left"/>
              <w:rPr/>
            </w:pPr>
            <w:r>
              <w:rPr/>
              <w:t> </w:t>
            </w:r>
          </w:p>
        </w:tc>
      </w:tr>
      <w:tr>
        <w:trPr/>
        <w:tc>
          <w:tcPr>
            <w:tcW w:w="3944"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stockholder</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2,907,416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2,907,416</w:t>
            </w:r>
          </w:p>
        </w:tc>
        <w:tc>
          <w:tcPr>
            <w:tcW w:w="161"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(25,639,665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(25,639,665</w:t>
            </w:r>
          </w:p>
        </w:tc>
        <w:tc>
          <w:tcPr>
            <w:tcW w:w="161" w:type="dxa"/>
            <w:tcBorders/>
            <w:shd w:fill="CCEEFF" w:val="clear"/>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143,269,512</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(158,984,699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(15,715,187</w:t>
            </w:r>
          </w:p>
        </w:tc>
        <w:tc>
          <w:tcPr>
            <w:tcW w:w="161"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(13,190,101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(13,190,101</w:t>
            </w:r>
          </w:p>
        </w:tc>
        <w:tc>
          <w:tcPr>
            <w:tcW w:w="161" w:type="dxa"/>
            <w:tcBorders/>
            <w:shd w:fill="CCEEFF" w:val="clear"/>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7" w:type="dxa"/>
            <w:tcBorders/>
            <w:vAlign w:val="bottom"/>
          </w:tcPr>
          <w:p>
            <w:pPr>
              <w:pStyle w:val="TableContents"/>
              <w:bidi w:val="0"/>
              <w:spacing w:before="0" w:after="283"/>
              <w:jc w:val="right"/>
              <w:rPr/>
            </w:pPr>
            <w:r>
              <w:rPr/>
              <w:t>143,269,512</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(172,174,800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(28,905,288</w:t>
            </w:r>
          </w:p>
        </w:tc>
        <w:tc>
          <w:tcPr>
            <w:tcW w:w="161" w:type="dxa"/>
            <w:tcBorders/>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1"/>
        <w:gridCol w:w="140"/>
        <w:gridCol w:w="140"/>
        <w:gridCol w:w="1183"/>
        <w:gridCol w:w="155"/>
        <w:gridCol w:w="105"/>
        <w:gridCol w:w="140"/>
        <w:gridCol w:w="1183"/>
        <w:gridCol w:w="158"/>
      </w:tblGrid>
      <w:tr>
        <w:trPr/>
        <w:tc>
          <w:tcPr>
            <w:tcW w:w="700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For the year ended December 31,</w:t>
            </w:r>
          </w:p>
        </w:tc>
        <w:tc>
          <w:tcPr>
            <w:tcW w:w="140"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3" w:type="dxa"/>
            <w:tcBorders/>
            <w:vAlign w:val="bottom"/>
          </w:tcPr>
          <w:p>
            <w:pPr>
              <w:pStyle w:val="TableContents"/>
              <w:bidi w:val="0"/>
              <w:spacing w:before="0" w:after="283"/>
              <w:jc w:val="right"/>
              <w:rPr>
                <w:b/>
              </w:rPr>
            </w:pPr>
            <w:r>
              <w:rPr>
                <w:b/>
              </w:rPr>
              <w:t>(13,190,101</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(25,639,665</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 amortization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782,263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687,749</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26,230,155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19,981,514</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(income)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(237,390</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133,712</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impact of acquisitions: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(8,429,602</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9,086,699</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(2,717,762</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(1,480,859</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(2,831,007</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960,572</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(3,155,704</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(1,129,953</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(341,851</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212,107</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13,033,277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(4,193,987</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(4,495,946</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3,686,932</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1,571,154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1,511,499</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(30,292</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(767,811</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887,035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25,802</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4,128,220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660,099</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(754,907</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10,447,542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3,734,410</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(1,902,500</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(1,052,510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147,526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326,500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Miller, net of cash acquired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(3,543,000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Jones Covey, net of cash acquired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(31,082,539</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MIBA, net of cash acquired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(6,549,327</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(1,754,974</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(41,900,876</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line of credit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(11,000,000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line of credit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7,000,000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term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(2,127,450</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(1,555,588</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term debt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60,000,000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finance lease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(12,188,208</w:t>
            </w:r>
          </w:p>
        </w:tc>
        <w:tc>
          <w:tcPr>
            <w:tcW w:w="155"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(8,574,496</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costs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(1,200,000</w:t>
            </w:r>
          </w:p>
        </w:tc>
        <w:tc>
          <w:tcPr>
            <w:tcW w:w="158" w:type="dxa"/>
            <w:tcBorders/>
            <w:vAlign w:val="bottom"/>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stockholder</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2,907,416</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(7,315,658</w:t>
            </w:r>
          </w:p>
        </w:tc>
        <w:tc>
          <w:tcPr>
            <w:tcW w:w="155" w:type="dxa"/>
            <w:tcBorders/>
            <w:vAlign w:val="bottom"/>
          </w:tcPr>
          <w:p>
            <w:pPr>
              <w:pStyle w:val="TableContents"/>
              <w:bidi w:val="0"/>
              <w:spacing w:before="0" w:after="283"/>
              <w:jc w:val="left"/>
              <w:rPr>
                <w:b/>
              </w:rPr>
            </w:pPr>
            <w:r>
              <w:rPr>
                <w:b/>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40,577,332</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b/>
              </w:rPr>
            </w:pPr>
            <w:r>
              <w:rPr>
                <w:b/>
              </w:rPr>
              <w:t>1,376,909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2,410,866</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b/>
              </w:rPr>
            </w:pPr>
            <w:r>
              <w:rPr>
                <w:b/>
              </w:rPr>
              <w:t>12,928,010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10,517,144</w:t>
            </w:r>
          </w:p>
        </w:tc>
        <w:tc>
          <w:tcPr>
            <w:tcW w:w="158" w:type="dxa"/>
            <w:tcBorders/>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year</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14,304,919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12,928,010</w:t>
            </w:r>
          </w:p>
        </w:tc>
        <w:tc>
          <w:tcPr>
            <w:tcW w:w="158" w:type="dxa"/>
            <w:tcBorders/>
            <w:shd w:fill="CCEEFF" w:val="clear"/>
            <w:vAlign w:val="bottom"/>
          </w:tcPr>
          <w:p>
            <w:pPr>
              <w:pStyle w:val="TableContents"/>
              <w:bidi w:val="0"/>
              <w:spacing w:before="0" w:after="283"/>
              <w:jc w:val="left"/>
              <w:rPr/>
            </w:pPr>
            <w:r>
              <w:rPr/>
              <w:t> </w:t>
            </w:r>
          </w:p>
        </w:tc>
      </w:tr>
      <w:tr>
        <w:trPr/>
        <w:tc>
          <w:tcPr>
            <w:tcW w:w="700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1"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27,761,179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16,880,568</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right"/>
        <w:rPr>
          <w:rFonts w:ascii="Times New Roman" w:hAnsi="Times New Roman"/>
          <w:i/>
          <w:sz w:val="20"/>
        </w:rPr>
      </w:pPr>
      <w:r>
        <w:rPr>
          <w:rFonts w:ascii="Times New Roman" w:hAnsi="Times New Roman"/>
          <w:i/>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and Significant Accounting Policies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Nature of Business </w:t>
      </w:r>
    </w:p>
    <w:p>
      <w:pPr>
        <w:pStyle w:val="TextBody"/>
        <w:bidi w:val="0"/>
        <w:spacing w:before="120" w:after="0"/>
        <w:jc w:val="left"/>
        <w:rPr>
          <w:rFonts w:ascii="Times New Roman" w:hAnsi="Times New Roman"/>
          <w:sz w:val="20"/>
        </w:rPr>
      </w:pPr>
      <w:r>
        <w:rPr>
          <w:rFonts w:ascii="Times New Roman" w:hAnsi="Times New Roman"/>
          <w:sz w:val="20"/>
        </w:rPr>
        <w:t xml:space="preserve">MidOcean JF Holdings Corp. was formed on December 30, 2011 to facilitate the purchase of JF Acquisition, LLC by certain institutional investors, in partnership with members of the Companys management. Effective November 20, 2023, MidOcean JF Holdings Corp. changed its legal name to JF Holdings Corp.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primarily engaged in the business of selling, servicing, and installing fluid handling equipment and related products. It conducts operations throughout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U.S. generally accepted accounting principles (U.S. GAAP), as set forth in the Financial Accounting Standards Boards (FASB) Accounting Standards Codification (ASC). The consolidated financial statements include the accounts of the Company and its wholly-owned subsidiaries.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 remaining maturity of three months or less at the date of purchase to be cash equivalents. The Company reclassifies any bank overdrafts for outstanding checks to accounts payable. Restricted cash consists of construction bonds.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Trade accounts receivable are recorded at the invoiced amount and do not bear interest. Retainage receivable are recorded on service and installation contracts and include billed and unbilled amounts for services and materials provided to customers for which the Company has an unconditional right to payment. Bill and unbilled amounts for which payment is contingent on anything other than the passage of time are included in contract assets and contract liabilities on a net basis at the individual contract level. The Company maintains an allowance for credit losses for estimated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Accounts receivable write-offs were approximately $1.2 million and $0.3 million during the years ended December 31,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parts and supplies and are valued at the lower of cost or net realizable value as determined using the average cost method. Provisions are recorded to reduce inventory for obsolete or slow-moving inventory based on assumptions about future demand and marketability of products. As of December 31, 2024 and 2023, the valuation allowance for inventory totaled approximately $16.0 million and $14.6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less accumulated depreciation and amortization. Depreciation is computed using the straight-line method over the useful lives of the assets. Leasehold improvements are amortized on a straight-line basis over the shorter of the lease term or estimated useful life of the asset. </w:t>
      </w:r>
    </w:p>
    <w:p>
      <w:pPr>
        <w:pStyle w:val="TextBody"/>
        <w:bidi w:val="0"/>
        <w:spacing w:before="240" w:after="0"/>
        <w:jc w:val="left"/>
        <w:rPr>
          <w:rFonts w:ascii="Times New Roman" w:hAnsi="Times New Roman"/>
          <w:sz w:val="20"/>
        </w:rPr>
      </w:pPr>
      <w:r>
        <w:rPr>
          <w:rFonts w:ascii="Times New Roman" w:hAnsi="Times New Roman"/>
          <w:sz w:val="20"/>
        </w:rPr>
        <w:t xml:space="preserve">Expenditures for maintenance, repairs, and minor renewals are charged to expense as incurred. Major renewals and betterments are capitalized. The cost of assets retired or sold, together with their related accumulated depreciation, is removed from the accounts and any gain or loss on disposition is credited or charged to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amortize goodwill on a straight-line basis over 10 years. In addition, the Company has elected to test goodwill for impairment at the entity level whenever events or changes in circumstances indicate that the carrying amount of goodwill may not be recovered. Upon occurrence of a triggering event, the Company performs a qualitative assessment to determine whether it is more-likely-than-not that the fair value of the Company is less than its carrying amount. If the Company determines it is more-likely-than-not that the fair value of the Company is less than its carrying value, the Company will perform a one-step impairment test and recognize an impairment loss for the amount by which the carrying amount exceeds its fair value. The Company did not record any impairment for the years ended December 31, 2024 or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 Company did not record any impairment for the years ended December 31, 2024 or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Revenue and Cost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when it satisfies performance obligations under the terms of its contracts, and control of its products and services are transferred to its customers in an amount that reflects the consideration the Company expects to receive from its customers in exchange for those goods and services. This process involves identifying the customer contract,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The Company considers a performance obligation satisfied once it has transferred control of goods and services to a customer, meaning the customer has the ability to use and obtain the benefit of the related asset. The Companys products are sold to customers throughout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Payment terms and conditions may vary by contract, although terms generally include a requirement of payment within 30-60 days after the performance obligation has been satisfied. As customer payment terms are typically less than one year, the Company has applied the practical expedient to exclude consideration of significant financing components from the determination of the transaction price. Costs to obtain contracts are generally not significant and are expensed in the period incurred. In addition, contracts with customers typically contain variable consideration in the form of early pay discounts and sales returns. The Company estimates the variable consideration, based on prior experience and current trends, and records a reduction to the sales price for the estimated variable consideration associated with the transaction. The total amount of variable consideration is not material. Taxes assessed by a government authority that are both imposed on and concurrent with a specific revenue-producing transaction, that are collected by the Company from a customer, are excluded from sales. </w:t>
      </w:r>
    </w:p>
    <w:p>
      <w:pPr>
        <w:pStyle w:val="TextBody"/>
        <w:bidi w:val="0"/>
        <w:spacing w:before="240" w:after="0"/>
        <w:jc w:val="left"/>
        <w:rPr>
          <w:rFonts w:ascii="Times New Roman" w:hAnsi="Times New Roman"/>
          <w:sz w:val="20"/>
        </w:rPr>
      </w:pPr>
      <w:r>
        <w:rPr>
          <w:rFonts w:ascii="Times New Roman" w:hAnsi="Times New Roman"/>
          <w:sz w:val="20"/>
        </w:rPr>
        <w:t xml:space="preserve">Revenue associated with parts and equipment sales is recognized when the performance obligation has been satisfied and the control has been transferred to a customer, which generally occurs upon shipment. Contracts with customers generally state the terms of the sale, including the quantity and price of each product purchased, along with any related discounts. Shipping and handling costs associated with outbound freight, after control over a product has transferred to a customer, are accounted for as a fulfillment cost and are included in cost of sales as incurred. For revenue transactions recognized under bill-and-hold arrangements, control transfers to the customer when the customer has the ability to direct the use of, and obtain substantially all of the remaining benefits from, the product even though it has decided not to exercise its right to take physical possession of that product. </w:t>
      </w:r>
    </w:p>
    <w:p>
      <w:pPr>
        <w:pStyle w:val="TextBody"/>
        <w:bidi w:val="0"/>
        <w:spacing w:before="240" w:after="0"/>
        <w:jc w:val="left"/>
        <w:rPr>
          <w:rFonts w:ascii="Times New Roman" w:hAnsi="Times New Roman"/>
          <w:sz w:val="20"/>
        </w:rPr>
      </w:pPr>
      <w:r>
        <w:rPr>
          <w:rFonts w:ascii="Times New Roman" w:hAnsi="Times New Roman"/>
          <w:sz w:val="20"/>
        </w:rPr>
        <w:t xml:space="preserve">Revenue associated with contracts from service and installation projects, including the respective parts and equipment, is recognized over time as the Companys performance creates or enhances assets that are controlled by the customer. These contracts have a single performance obligation, as the promise to transfer the individual goods or services is not separately identifiable from other promises in the contract and, therefore, is not distinct.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contract types are generally comprised of either a time and material contract or a fixed-price contract. For time and material contracts, revenue is recognized primarily on an input basis, based on contract costs incurred as defined within the respective contracts. For fixed price contracts, revenue is measured by the costs incurred to date relative to the estimated total direct costs to fulfill each contract (cost-to-cost method). Incurred costs represent work performed, which corresponds with, and thereby best depicts, the transfer of control to the customer. Contract costs include labor, materials and overhead. </w:t>
      </w:r>
    </w:p>
    <w:p>
      <w:pPr>
        <w:pStyle w:val="TextBody"/>
        <w:bidi w:val="0"/>
        <w:spacing w:before="240" w:after="0"/>
        <w:jc w:val="left"/>
        <w:rPr>
          <w:rFonts w:ascii="Times New Roman" w:hAnsi="Times New Roman"/>
          <w:sz w:val="20"/>
        </w:rPr>
      </w:pPr>
      <w:r>
        <w:rPr>
          <w:rFonts w:ascii="Times New Roman" w:hAnsi="Times New Roman"/>
          <w:sz w:val="20"/>
        </w:rPr>
        <w:t xml:space="preserve">Revenue recognized at a point in time was approximately $287 million and $250 million for the years ended December 31, 2024 and 2023, respectively. Revenue recognized over time was approximately $577 million and $341 million for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primarily represent revenue earnings over time that are not yet billable based on the terms of the contracts or billed and unbilled amounts for which payment is contingent on anything other than the passage of time. Retainage included in contract assets totaled approximately $6.0 million and $4.3 at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impairment losses associated with contracts with customers for the years ended December 31, 2024 and 2023. Contract liabilities consist of fees invoiced or paid by the Companys customers for which the associated performance obligations have not been satisfied and revenue has not been recognized based on the Companys revenue recognition criteria described above. Customer deposits for equipment sales are also considered contract liabilities and are presented separately within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contract liabilities are reported in a net position on an individual contract basis at the end of each reporting period. Additionally, both contract assets and contract liabilities are classified as current on the consolidated balance sheets as the Company expects to complete the related performance obligations and invoice the customers within one year of the balance sheet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24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measurement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carrying value approximates the fair value of receivables, payables, and accrued expenses based upon the short-term nature of these amounts. Borrowings under the line of credit and term notes as of December 31, 2024 and 2023 have variable interest rates that reflect currently available terms and conditions for similar debt. The carrying amount of this debt is a reasonable estimate of its fair value (level 2).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effect of income tax positions only if those positions are more-likely-than-not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Advertising expenses included within selling, general and administrative expenses in the accompanying consolidated statements of operations were not material during the years ended December 31, 2024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includes the results of operations of the businesses that it acquires as of the respective dates of acquisition. The Company records the fair value of the assets acquired and liabilities assumed as of the acquisition date. The excess of the fair value of the purchase price over the fair values of assets acquired and liabilities assumed is recorded as goodwill. The determination of the value and useful lives of the intangible assets acquired are valued using income and cost approaches and involve certain judgments and estimates which the Company considers to be Level 3 inputs. See Note 2 for further discussion of the Companys business combinations.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Financial Accounting Standards Board (FASB) issued Accounting Standards Update (ASU) No. 2016-02, Leases (Topic 842) effective January 1, 2022, using the optional transition method. Upon the adoption of Topic 842, the Company has elected to apply the following package of practical expedients: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need not be reassessed to determine whether they are or contain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leases that were previously classified as operating leases continue to be classified as operating leases, and all existing leases that were previously classified as capital leases continue to be classified as finance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direct costs need not be reassessed.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also elected the following practical expedients: (1) not to separate lease components from non-lease components, and (2) as an accounting policy election, to apply the short-term lease exception, which does not require the capitalization of leases with terms of 12 months or less. </w:t>
      </w:r>
    </w:p>
    <w:p>
      <w:pPr>
        <w:pStyle w:val="TextBody"/>
        <w:bidi w:val="0"/>
        <w:spacing w:before="240" w:after="0"/>
        <w:jc w:val="left"/>
        <w:rPr>
          <w:rFonts w:ascii="Times New Roman" w:hAnsi="Times New Roman"/>
          <w:sz w:val="20"/>
        </w:rPr>
      </w:pPr>
      <w:r>
        <w:rPr>
          <w:rFonts w:ascii="Times New Roman" w:hAnsi="Times New Roman"/>
          <w:sz w:val="20"/>
        </w:rPr>
        <w:t xml:space="preserve">At the lease commencement date, the Company determines if a lease should be classified as an operating or a finance lease, and it recognized a corresponding lease liability and a right-of-use asset on the consolidated balance sheet. The lease liability is initially and subsequently measured as the present value of the remaining fixed minimum rental payments using discount rates as of the commencement date. The right-of-use asset is initially and subsequently measured at the carrying amount of the lease liability adjusted for any prepaid or accrued lease payments, remaining balance of lease incentives received, unamortized initial direct costs, or impairment charges relating to the right-of-use asset. </w:t>
      </w:r>
    </w:p>
    <w:p>
      <w:pPr>
        <w:pStyle w:val="TextBody"/>
        <w:bidi w:val="0"/>
        <w:spacing w:before="240" w:after="0"/>
        <w:jc w:val="left"/>
        <w:rPr>
          <w:rFonts w:ascii="Times New Roman" w:hAnsi="Times New Roman"/>
          <w:sz w:val="20"/>
        </w:rPr>
      </w:pPr>
      <w:r>
        <w:rPr>
          <w:rFonts w:ascii="Times New Roman" w:hAnsi="Times New Roman"/>
          <w:sz w:val="20"/>
        </w:rPr>
        <w:t xml:space="preserve">Right-of-use assets are assessed for impairment using the long-lived assets impairment guidance. No impairments have been recorded during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For finance leases, the Company accounts for lease agreements with contractually required lease and non-lease components on a combined basis pursuant to lease accounting guidance. For operating leases, the Company separates lease and non-lease components and capitalizes only the contractually required lease payments. Variable payments for operating leases (including most utilities, real estate taxes, insurance and variable common area maintenance)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Short term leases and other insignificant leases are not recorded on the consolidated balance sheets but are expensed on a straight-line basis over the lease term.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Discount Rate </w:t>
      </w:r>
    </w:p>
    <w:p>
      <w:pPr>
        <w:pStyle w:val="TextBody"/>
        <w:bidi w:val="0"/>
        <w:spacing w:before="120" w:after="0"/>
        <w:jc w:val="left"/>
        <w:rPr>
          <w:rFonts w:ascii="Times New Roman" w:hAnsi="Times New Roman"/>
          <w:sz w:val="20"/>
        </w:rPr>
      </w:pPr>
      <w:r>
        <w:rPr>
          <w:rFonts w:ascii="Times New Roman" w:hAnsi="Times New Roman"/>
          <w:sz w:val="20"/>
        </w:rPr>
        <w:t xml:space="preserve">Under Topic 842, the discount rate used to calculate the lease liability should be the rate implicit in the lease if that rate can be readily determined. However, if the rate implicit in the lease cannot be readily determined, the Company will use the incremental borrowing rate (IBR) as the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IBR represents the rate of interest that the Company would have to pay to borrow funds on a collateralized basis over a similar term to the lease term. The Company will determine the IBR based on several factors, including creditworthiness, the underlying asset, the term of the lease, and the economic environment. The Company generally uses a portfolio approach to determine the IBR for leases with similar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to note that the Companys IBR may change over time due to changes in market conditions or creditworthiness. Therefore, the Company will need to reassess the IBR on a periodic basis, at least annually or when there is a significant event that may impact borrowing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ASC 835, </w:t>
      </w:r>
      <w:r>
        <w:rPr>
          <w:rFonts w:ascii="Times New Roman" w:hAnsi="Times New Roman"/>
          <w:i/>
          <w:sz w:val="20"/>
        </w:rPr>
        <w:t>Debt and Equity Financing</w:t>
      </w:r>
      <w:r>
        <w:rPr>
          <w:rFonts w:ascii="Times New Roman" w:hAnsi="Times New Roman"/>
          <w:sz w:val="20"/>
        </w:rPr>
        <w:t xml:space="preserve">, costs associated with issuing debt, such as various fees and commissions are capitalized and reflected in the accompanying consolidated balance sheets as a contra long-term liability, and amortized over the finite life of the underlying debt instrument. These costs are included in interest expense using the effective interest method. The unamortized amounts are presented as a reduction of the total debt in the accompanying consolidated balance sheets. Accumulated amortization was approximately $3.2 million and $2.5 million as of December 31, 2024 and 2023, respectively, and amortization expense was approximately $0.8 million and $0.7 million for the years ended December 31, 2024 and 2023, respectively. Original debt issuance costs were approximately $4.5 million as of December 31, 2024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the FASB issued Accounting Standards Update (ASU) No. 2021-08,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which requires an entity (acquirer) to recognize and measure contract assets and contract liabilities acquired in a business combination in accordance with Topic 606 as if it had originated the contracts. The amendments in this update improve comparability for both the recognition and measurement of acquired revenue contracts with customers at the date of and after a business combination. This update was effective for annual periods beginning after December 15, 2023, including interim periods within those fiscal years. The adoption of this ASU did not have a material effect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The amendments in ASU 2023-09 require greater disaggregation of income tax disclosures related to the income tax rate reconciliation and income taxes paid. In addition, the amendments required (1) disclosure of income (or loss) from continuing operations from income tax expense (or benefit) disaggregated between domestic and foreign and (2) disclosure of income tax expense (or benefit) from continuing operations disaggregated by federal (national), state, and foreign. The amendments in the ASU also eliminate (1) the requirement for all entities to (a) disclose the nature and estimate of the range of the reasonably possible change in the unrecognized tax benefits balance in the next 12 months or (b) make a statement that an estimate of the range cannot be made; and (2) the requirement to disclose the cumulative amount of each type of temporary difference when a deferred tax liability is not recognized because of the exceptions to comprehensive recognition of deferred taxes related to subsidiaries and corporate joint ventures. For entities other than public business entities, the amendments are effective for annual periods beginning after December 15, 2025. Early adoption is permitted. The amendments in this ASU should be applied on a prospective basis. Retrospective application is permitted. The Company is currently evaluating the effect that ASU 2023-09 will have on the consolidated financial statements and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MIBA,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19, 2023, the Company acquired 100% of the equity interests of MIBA, INC. (MIBA) for consideration of approximately $7.7 million. MIBA is a premier Midwestern U.S. general contracting, petroleum services, and construction company, headquartered in Dayton, Ohio, that also provides maintenance, repair, and compliance testing services. The Company has included MIBAs operating results from the date of the acquisition in the accompanying consolidated financial statements. This acquisition resulted in goodwill of approximately $5.8 million related to customer relationships, synergies, and opportunities for growth through geographic expansion. The goodwill is expected to be deductible for tax purposes. Acquisition related costs of approximately $0.3 million are included in selling, general and administrative expenses in the accompanying consolidated statement of operations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7"/>
        <w:gridCol w:w="395"/>
        <w:gridCol w:w="147"/>
        <w:gridCol w:w="1081"/>
        <w:gridCol w:w="159"/>
      </w:tblGrid>
      <w:tr>
        <w:trPr/>
        <w:tc>
          <w:tcPr>
            <w:tcW w:w="5157"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7,281,035</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450,000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7,731,035</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Recognized amount of identifiable assets acquired and assumed liabilities: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731,708</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2,815,700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870,858</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1,105,552</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(2,150,887</w:t>
            </w:r>
          </w:p>
        </w:tc>
        <w:tc>
          <w:tcPr>
            <w:tcW w:w="159" w:type="dxa"/>
            <w:tcBorders/>
            <w:vAlign w:val="bottom"/>
          </w:tcPr>
          <w:p>
            <w:pPr>
              <w:pStyle w:val="TableContents"/>
              <w:bidi w:val="0"/>
              <w:spacing w:before="0" w:after="283"/>
              <w:jc w:val="left"/>
              <w:rPr>
                <w:b/>
              </w:rPr>
            </w:pPr>
            <w:r>
              <w:rPr>
                <w:b/>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(1,458,671</w:t>
            </w:r>
          </w:p>
        </w:tc>
        <w:tc>
          <w:tcPr>
            <w:tcW w:w="159" w:type="dxa"/>
            <w:tcBorders/>
            <w:shd w:fill="CCEEFF" w:val="clear"/>
            <w:vAlign w:val="bottom"/>
          </w:tcPr>
          <w:p>
            <w:pPr>
              <w:pStyle w:val="TableContents"/>
              <w:bidi w:val="0"/>
              <w:spacing w:before="0" w:after="283"/>
              <w:jc w:val="left"/>
              <w:rPr>
                <w:b/>
              </w:rPr>
            </w:pPr>
            <w:r>
              <w:rPr>
                <w:b/>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1,914,261</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5,816,774</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net assets acquired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7,731,035</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MIBA contributed net sales of approximately $0.5 million and net loss of approximately $0.3 million, which has been included in the Companys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Jones/Covey Group Incorporated </w:t>
      </w:r>
    </w:p>
    <w:p>
      <w:pPr>
        <w:pStyle w:val="TextBody"/>
        <w:bidi w:val="0"/>
        <w:spacing w:before="120" w:after="0"/>
        <w:jc w:val="left"/>
        <w:rPr>
          <w:rFonts w:ascii="Times New Roman" w:hAnsi="Times New Roman"/>
          <w:sz w:val="20"/>
        </w:rPr>
      </w:pPr>
      <w:r>
        <w:rPr>
          <w:rFonts w:ascii="Times New Roman" w:hAnsi="Times New Roman"/>
          <w:sz w:val="20"/>
        </w:rPr>
        <w:t xml:space="preserve">On October 31, 2023, the Company acquired 100% of the equity interests of Jones/Covey Incorporated (Jones Covey) for consideration of approximately $40.3 million, with approximately $6.8 million of that amount scheduled as deferred payment due on June 30, 2025. Jones Covey is a premier national general contracting and construction company, headquartered in Southern California, that also provides maintenance, repair and compliance testing services in the Western US. The Company has included Jones Coveys operating results from the date of the acquisition in the accompanying consolidated financial statements. This acquisition resulted in goodwill of approximately $20.2 million related to customer relationships, synergies, and opportunities for growth through geographic expansion. The goodwill is expected to be deductible for tax purposes. Acquisition related costs of approximately $0.5 million are included in the accompanying consolidated statement of operations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6"/>
        <w:gridCol w:w="338"/>
        <w:gridCol w:w="146"/>
        <w:gridCol w:w="1260"/>
        <w:gridCol w:w="159"/>
      </w:tblGrid>
      <w:tr>
        <w:trPr/>
        <w:tc>
          <w:tcPr>
            <w:tcW w:w="5036"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33,550,094</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6,785,890</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40,335,984</w:t>
            </w:r>
          </w:p>
        </w:tc>
        <w:tc>
          <w:tcPr>
            <w:tcW w:w="159"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Identifiable assets acquired and liabilities assumed:</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2,467,555</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19,447,892</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4,707,414</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1,787,668</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2,035,632</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3,115,853</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3,000,000</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(11,015,314</w:t>
            </w:r>
          </w:p>
        </w:tc>
        <w:tc>
          <w:tcPr>
            <w:tcW w:w="159" w:type="dxa"/>
            <w:tcBorders/>
            <w:shd w:fill="CCEEFF" w:val="clear"/>
            <w:vAlign w:val="bottom"/>
          </w:tcPr>
          <w:p>
            <w:pPr>
              <w:pStyle w:val="TableContents"/>
              <w:bidi w:val="0"/>
              <w:spacing w:before="0" w:after="283"/>
              <w:jc w:val="left"/>
              <w:rPr>
                <w:b/>
              </w:rPr>
            </w:pPr>
            <w:r>
              <w:rPr>
                <w:b/>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(3,535,991</w:t>
            </w:r>
          </w:p>
        </w:tc>
        <w:tc>
          <w:tcPr>
            <w:tcW w:w="159" w:type="dxa"/>
            <w:tcBorders/>
            <w:vAlign w:val="bottom"/>
          </w:tcPr>
          <w:p>
            <w:pPr>
              <w:pStyle w:val="TableContents"/>
              <w:bidi w:val="0"/>
              <w:spacing w:before="0" w:after="283"/>
              <w:jc w:val="left"/>
              <w:rPr>
                <w:b/>
              </w:rPr>
            </w:pPr>
            <w:r>
              <w:rPr>
                <w:b/>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(1,920,563</w:t>
            </w:r>
          </w:p>
        </w:tc>
        <w:tc>
          <w:tcPr>
            <w:tcW w:w="159" w:type="dxa"/>
            <w:tcBorders/>
            <w:shd w:fill="CCEEFF" w:val="clear"/>
            <w:vAlign w:val="bottom"/>
          </w:tcPr>
          <w:p>
            <w:pPr>
              <w:pStyle w:val="TableContents"/>
              <w:bidi w:val="0"/>
              <w:spacing w:before="0" w:after="283"/>
              <w:jc w:val="left"/>
              <w:rPr>
                <w:b/>
              </w:rPr>
            </w:pPr>
            <w:r>
              <w:rPr>
                <w:b/>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20,090,146</w:t>
            </w:r>
          </w:p>
        </w:tc>
        <w:tc>
          <w:tcPr>
            <w:tcW w:w="159"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20,245,838</w:t>
            </w:r>
          </w:p>
        </w:tc>
        <w:tc>
          <w:tcPr>
            <w:tcW w:w="159"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40,335,984</w:t>
            </w:r>
          </w:p>
        </w:tc>
        <w:tc>
          <w:tcPr>
            <w:tcW w:w="159"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Jones Covey contributed net sales of approximately $13.7 million and net loss of approximately $1.2 million, which has been included in the Companys consolidated statement of operations. The deferred cash consideration is included in other current liabilities on the accompanying consolidated balance sheet as of December 31, 2024 and other liabilities as of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Miller Construction Management, LLC </w:t>
      </w:r>
    </w:p>
    <w:p>
      <w:pPr>
        <w:pStyle w:val="TextBody"/>
        <w:bidi w:val="0"/>
        <w:spacing w:before="120" w:after="0"/>
        <w:jc w:val="left"/>
        <w:rPr>
          <w:rFonts w:ascii="Times New Roman" w:hAnsi="Times New Roman"/>
          <w:sz w:val="20"/>
        </w:rPr>
      </w:pPr>
      <w:r>
        <w:rPr>
          <w:rFonts w:ascii="Times New Roman" w:hAnsi="Times New Roman"/>
          <w:sz w:val="20"/>
        </w:rPr>
        <w:t xml:space="preserve">On August 1, 2023, the Company acquired 100% of the equity interests of Miller Construction Management, LLC (MCM) for consideration of approximately $5.5 million. MCM is a commercially certified, multi-industry contractor serving commercial and retail installation, construction sectors with specialized turn-key solutions for ground ups, remodels and building additions. The acquisition of MCM bolsters JFs General Contracting offering and expands its General Contracting reach across the Southeast and Gulf Coast regions. The Company has included MCMs operating results from the date of the acquisition in the accompanying consolidated financial statements. This acquisition resulted in goodwill of approximately $4.6 million related to customer relationships, synergies, and opportunities for growth through geographic expansion. The goodwill is expected to be deductible for tax purposes. Acquisition related costs of approximately $0.3 million are included in selling, general and administrative expenses in the accompanying consolidated statement of operations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fair value of the tangible and intangible assets and the liabilities acquired, and recorded goodwill based on the excess of fair value of the acquisition consideration over such fair values,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7"/>
        <w:gridCol w:w="395"/>
        <w:gridCol w:w="147"/>
        <w:gridCol w:w="1081"/>
        <w:gridCol w:w="159"/>
      </w:tblGrid>
      <w:tr>
        <w:trPr/>
        <w:tc>
          <w:tcPr>
            <w:tcW w:w="5157"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3,543,000</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cash consideration</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2,000,000</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consideration transferred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5,543,000</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Identifiable assets acquired and liabilities assumed:</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3,305,031</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463,945</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(2,262,694</w:t>
            </w:r>
          </w:p>
        </w:tc>
        <w:tc>
          <w:tcPr>
            <w:tcW w:w="159" w:type="dxa"/>
            <w:tcBorders/>
            <w:vAlign w:val="bottom"/>
          </w:tcPr>
          <w:p>
            <w:pPr>
              <w:pStyle w:val="TableContents"/>
              <w:bidi w:val="0"/>
              <w:spacing w:before="0" w:after="283"/>
              <w:jc w:val="left"/>
              <w:rPr>
                <w:b/>
              </w:rPr>
            </w:pPr>
            <w:r>
              <w:rPr>
                <w:b/>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(530,570</w:t>
            </w:r>
          </w:p>
        </w:tc>
        <w:tc>
          <w:tcPr>
            <w:tcW w:w="159" w:type="dxa"/>
            <w:tcBorders/>
            <w:shd w:fill="CCEEFF" w:val="clear"/>
            <w:vAlign w:val="bottom"/>
          </w:tcPr>
          <w:p>
            <w:pPr>
              <w:pStyle w:val="TableContents"/>
              <w:bidi w:val="0"/>
              <w:spacing w:before="0" w:after="283"/>
              <w:jc w:val="left"/>
              <w:rPr>
                <w:b/>
              </w:rPr>
            </w:pPr>
            <w:r>
              <w:rPr>
                <w:b/>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975,712</w:t>
            </w:r>
          </w:p>
        </w:tc>
        <w:tc>
          <w:tcPr>
            <w:tcW w:w="159" w:type="dxa"/>
            <w:tcBorders/>
            <w:vAlign w:val="bottom"/>
          </w:tcPr>
          <w:p>
            <w:pPr>
              <w:pStyle w:val="TableContents"/>
              <w:bidi w:val="0"/>
              <w:spacing w:before="0" w:after="283"/>
              <w:jc w:val="left"/>
              <w:rPr/>
            </w:pPr>
            <w:r>
              <w:rPr/>
              <w:t> </w:t>
            </w:r>
          </w:p>
        </w:tc>
      </w:tr>
      <w:tr>
        <w:trPr/>
        <w:tc>
          <w:tcPr>
            <w:tcW w:w="5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b/>
              </w:rPr>
            </w:pPr>
            <w:r>
              <w:rPr>
                <w:b/>
              </w:rPr>
              <w:t>4,567,288</w:t>
            </w:r>
          </w:p>
        </w:tc>
        <w:tc>
          <w:tcPr>
            <w:tcW w:w="159" w:type="dxa"/>
            <w:tcBorders/>
            <w:shd w:fill="CCEEFF" w:val="clear"/>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57" w:type="dxa"/>
            <w:tcBorders/>
          </w:tcPr>
          <w:p>
            <w:pPr>
              <w:pStyle w:val="TableContents"/>
              <w:bidi w:val="0"/>
              <w:spacing w:before="0" w:after="0"/>
              <w:jc w:val="left"/>
              <w:rPr>
                <w:rFonts w:ascii="Times New Roman" w:hAnsi="Times New Roman"/>
                <w:sz w:val="20"/>
              </w:rPr>
            </w:pPr>
            <w:r>
              <w:rPr>
                <w:rFonts w:ascii="Times New Roman" w:hAnsi="Times New Roman"/>
                <w:sz w:val="20"/>
              </w:rPr>
              <w:t>Total net assets acquired</w:t>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5,543,000</w:t>
            </w:r>
          </w:p>
        </w:tc>
        <w:tc>
          <w:tcPr>
            <w:tcW w:w="159" w:type="dxa"/>
            <w:tcBorders/>
            <w:vAlign w:val="bottom"/>
          </w:tcPr>
          <w:p>
            <w:pPr>
              <w:pStyle w:val="TableContents"/>
              <w:bidi w:val="0"/>
              <w:spacing w:before="0" w:after="283"/>
              <w:jc w:val="left"/>
              <w:rPr/>
            </w:pPr>
            <w:r>
              <w:rPr/>
              <w:t> </w:t>
            </w:r>
          </w:p>
        </w:tc>
      </w:tr>
      <w:tr>
        <w:trPr/>
        <w:tc>
          <w:tcPr>
            <w:tcW w:w="515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acquisition date through December 31, 2023, MCM contributed net sales of approximately $10.2 million and net profit of approximately $0.1 million, which has been included in the Companys consolidated statement of operations. The $2.0 million of deferred cash is expected to be paid in installments for approximately $0.5 million commencing January 2024 and continuing every six months until July 2025. As of December 31, 2024, $1.0 million of deferred cash is included in other current liabilities on the accompanying consolidated balance sheet. As of December 31, 2023, $1.0 million of deferred cash consideration is included in other current liabilities on the accompanying consolidated balance sheet, and $1.0 million is included in other liabilities on the accompanying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and intangible assets consisted of the following as of December 31: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79"/>
        <w:gridCol w:w="215"/>
        <w:gridCol w:w="98"/>
        <w:gridCol w:w="1233"/>
        <w:gridCol w:w="60"/>
        <w:gridCol w:w="215"/>
        <w:gridCol w:w="140"/>
        <w:gridCol w:w="1104"/>
        <w:gridCol w:w="60"/>
        <w:gridCol w:w="215"/>
        <w:gridCol w:w="145"/>
        <w:gridCol w:w="1243"/>
        <w:gridCol w:w="155"/>
        <w:gridCol w:w="175"/>
        <w:gridCol w:w="140"/>
        <w:gridCol w:w="1144"/>
        <w:gridCol w:w="67"/>
      </w:tblGrid>
      <w:tr>
        <w:trPr/>
        <w:tc>
          <w:tcPr>
            <w:tcW w:w="297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7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1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remaining</w:t>
            </w:r>
            <w:r>
              <w:rPr/>
              <w:br/>
            </w:r>
            <w:r>
              <w:rPr>
                <w:b/>
              </w:rPr>
              <w:t>amortization</w:t>
            </w:r>
            <w:r>
              <w:rPr/>
              <w:br/>
            </w:r>
            <w:r>
              <w:rPr>
                <w:b/>
              </w:rPr>
              <w:t>period</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b/>
              </w:rPr>
              <w:t>Gross</w:t>
            </w:r>
            <w:r>
              <w:rPr/>
              <w:br/>
            </w:r>
            <w:r>
              <w:rPr>
                <w:b/>
              </w:rPr>
              <w:t>carrying</w:t>
            </w:r>
            <w:r>
              <w:rPr/>
              <w:br/>
            </w:r>
            <w:r>
              <w:rPr>
                <w:b/>
              </w:rPr>
              <w:t>amount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Amortizing intangible assets:</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3 years</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45,750,499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(39,185,266</w:t>
            </w:r>
          </w:p>
        </w:tc>
        <w:tc>
          <w:tcPr>
            <w:tcW w:w="155"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4" w:type="dxa"/>
            <w:tcBorders/>
            <w:vAlign w:val="bottom"/>
          </w:tcPr>
          <w:p>
            <w:pPr>
              <w:pStyle w:val="TableContents"/>
              <w:bidi w:val="0"/>
              <w:spacing w:before="0" w:after="283"/>
              <w:jc w:val="right"/>
              <w:rPr>
                <w:b/>
              </w:rPr>
            </w:pPr>
            <w:r>
              <w:rPr>
                <w:b/>
              </w:rPr>
              <w:t>6,565,233</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 and tradename</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3 years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b/>
              </w:rPr>
            </w:pPr>
            <w:r>
              <w:rPr>
                <w:b/>
              </w:rPr>
              <w:t>30,209,000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b/>
              </w:rPr>
            </w:pPr>
            <w:r>
              <w:rPr>
                <w:b/>
              </w:rPr>
              <w:t>(22,320,484</w:t>
            </w:r>
          </w:p>
        </w:tc>
        <w:tc>
          <w:tcPr>
            <w:tcW w:w="155"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7,888,516</w:t>
            </w:r>
          </w:p>
        </w:tc>
        <w:tc>
          <w:tcPr>
            <w:tcW w:w="67"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75,959,499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(61,505,750</w:t>
            </w:r>
          </w:p>
        </w:tc>
        <w:tc>
          <w:tcPr>
            <w:tcW w:w="155" w:type="dxa"/>
            <w:tcBorders/>
            <w:vAlign w:val="bottom"/>
          </w:tcPr>
          <w:p>
            <w:pPr>
              <w:pStyle w:val="TableContents"/>
              <w:bidi w:val="0"/>
              <w:spacing w:before="0" w:after="283"/>
              <w:jc w:val="left"/>
              <w:rPr>
                <w:b/>
              </w:rPr>
            </w:pPr>
            <w:r>
              <w:rPr>
                <w:b/>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4" w:type="dxa"/>
            <w:tcBorders/>
            <w:vAlign w:val="bottom"/>
          </w:tcPr>
          <w:p>
            <w:pPr>
              <w:pStyle w:val="TableContents"/>
              <w:bidi w:val="0"/>
              <w:spacing w:before="0" w:after="283"/>
              <w:jc w:val="right"/>
              <w:rPr>
                <w:b/>
              </w:rPr>
            </w:pPr>
            <w:r>
              <w:rPr>
                <w:b/>
              </w:rPr>
              <w:t>14,453,749</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b/>
              </w:rPr>
            </w:pPr>
            <w:r>
              <w:rPr>
                <w:b/>
              </w:rPr>
              <w:t>7 years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64,651,249</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3" w:type="dxa"/>
            <w:tcBorders/>
            <w:shd w:fill="CCEEFF" w:val="clear"/>
            <w:vAlign w:val="bottom"/>
          </w:tcPr>
          <w:p>
            <w:pPr>
              <w:pStyle w:val="TableContents"/>
              <w:bidi w:val="0"/>
              <w:spacing w:before="0" w:after="283"/>
              <w:jc w:val="right"/>
              <w:rPr>
                <w:b/>
              </w:rPr>
            </w:pPr>
            <w:r>
              <w:rPr>
                <w:b/>
              </w:rPr>
              <w:t>(18,799,759</w:t>
            </w:r>
          </w:p>
        </w:tc>
        <w:tc>
          <w:tcPr>
            <w:tcW w:w="155"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44" w:type="dxa"/>
            <w:tcBorders/>
            <w:shd w:fill="CCEEFF" w:val="clear"/>
            <w:vAlign w:val="bottom"/>
          </w:tcPr>
          <w:p>
            <w:pPr>
              <w:pStyle w:val="TableContents"/>
              <w:bidi w:val="0"/>
              <w:spacing w:before="0" w:after="283"/>
              <w:jc w:val="right"/>
              <w:rPr>
                <w:b/>
              </w:rPr>
            </w:pPr>
            <w:r>
              <w:rPr>
                <w:b/>
              </w:rPr>
              <w:t>45,851,491</w:t>
            </w:r>
          </w:p>
        </w:tc>
        <w:tc>
          <w:tcPr>
            <w:tcW w:w="67"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240" w:hRule="atLeast"/>
        </w:trPr>
        <w:tc>
          <w:tcPr>
            <w:tcW w:w="2979" w:type="dxa"/>
            <w:tcBorders/>
            <w:vAlign w:val="center"/>
          </w:tcPr>
          <w:p>
            <w:pPr>
              <w:pStyle w:val="TableContents"/>
              <w:bidi w:val="0"/>
              <w:spacing w:before="0" w:after="283"/>
              <w:jc w:val="left"/>
              <w:rPr>
                <w:sz w:val="4"/>
                <w:szCs w:val="4"/>
              </w:rPr>
            </w:pPr>
            <w:r>
              <w:rPr>
                <w:sz w:val="4"/>
                <w:szCs w:val="4"/>
              </w:rPr>
            </w:r>
          </w:p>
        </w:tc>
        <w:tc>
          <w:tcPr>
            <w:tcW w:w="6409" w:type="dxa"/>
            <w:gridSpan w:val="16"/>
            <w:tcBorders/>
            <w:vAlign w:val="center"/>
          </w:tcPr>
          <w:p>
            <w:pPr>
              <w:pStyle w:val="TableContents"/>
              <w:bidi w:val="0"/>
              <w:spacing w:before="0" w:after="283"/>
              <w:jc w:val="left"/>
              <w:rPr>
                <w:sz w:val="4"/>
                <w:szCs w:val="4"/>
              </w:rPr>
            </w:pPr>
            <w:r>
              <w:rPr>
                <w:sz w:val="4"/>
                <w:szCs w:val="4"/>
              </w:rPr>
            </w:r>
          </w:p>
        </w:tc>
      </w:tr>
      <w:tr>
        <w:trPr/>
        <w:tc>
          <w:tcPr>
            <w:tcW w:w="297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1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7" w:type="dxa"/>
            <w:tcBorders/>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remaining</w:t>
            </w:r>
            <w:r>
              <w:rPr/>
              <w:br/>
            </w:r>
            <w:r>
              <w:rPr>
                <w:b/>
              </w:rPr>
              <w:t>amortization</w:t>
            </w:r>
            <w:r>
              <w:rPr/>
              <w:br/>
            </w:r>
            <w:r>
              <w:rPr>
                <w:b/>
              </w:rPr>
              <w:t>period</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Amortizing intangible assets:</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 years</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45,750,499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(36,135,233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9,615,266</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 and tradename</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4 years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30,209,000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(19,561,531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10,647,469</w:t>
            </w:r>
          </w:p>
        </w:tc>
        <w:tc>
          <w:tcPr>
            <w:tcW w:w="67"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75,959,499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(55,696,764</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20,262,735</w:t>
            </w:r>
          </w:p>
        </w:tc>
        <w:tc>
          <w:tcPr>
            <w:tcW w:w="67"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 years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64,651,249</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(12,342,535</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52,308,714</w:t>
            </w:r>
          </w:p>
        </w:tc>
        <w:tc>
          <w:tcPr>
            <w:tcW w:w="67"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changes in the carrying amount of goodwill and intangible assets are as follows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283"/>
        <w:gridCol w:w="145"/>
        <w:gridCol w:w="1153"/>
        <w:gridCol w:w="155"/>
        <w:gridCol w:w="232"/>
        <w:gridCol w:w="145"/>
        <w:gridCol w:w="1153"/>
        <w:gridCol w:w="163"/>
      </w:tblGrid>
      <w:tr>
        <w:trPr/>
        <w:tc>
          <w:tcPr>
            <w:tcW w:w="432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2024</w:t>
            </w:r>
          </w:p>
        </w:tc>
        <w:tc>
          <w:tcPr>
            <w:tcW w:w="283"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Goodwill</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Intangibles</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52,308,714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20,262,735</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b/>
              </w:rPr>
            </w:pPr>
            <w:r>
              <w:rPr>
                <w:b/>
              </w:rPr>
              <w:t>(6,457,223</w:t>
            </w:r>
          </w:p>
        </w:tc>
        <w:tc>
          <w:tcPr>
            <w:tcW w:w="155" w:type="dxa"/>
            <w:tcBorders/>
            <w:vAlign w:val="bottom"/>
          </w:tcPr>
          <w:p>
            <w:pPr>
              <w:pStyle w:val="TableContents"/>
              <w:bidi w:val="0"/>
              <w:spacing w:before="0" w:after="283"/>
              <w:jc w:val="left"/>
              <w:rPr>
                <w:b/>
              </w:rPr>
            </w:pPr>
            <w:r>
              <w:rPr>
                <w:b/>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b/>
              </w:rPr>
            </w:pPr>
            <w:r>
              <w:rPr>
                <w:b/>
              </w:rPr>
              <w:t>(5,808,986</w:t>
            </w:r>
          </w:p>
        </w:tc>
        <w:tc>
          <w:tcPr>
            <w:tcW w:w="163" w:type="dxa"/>
            <w:tcBorders/>
            <w:vAlign w:val="bottom"/>
          </w:tcPr>
          <w:p>
            <w:pPr>
              <w:pStyle w:val="TableContents"/>
              <w:bidi w:val="0"/>
              <w:spacing w:before="0" w:after="283"/>
              <w:jc w:val="left"/>
              <w:rPr>
                <w:b/>
              </w:rPr>
            </w:pPr>
            <w:r>
              <w:rPr>
                <w:b/>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45,851,491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14,453,749</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240" w:hRule="atLeast"/>
        </w:trPr>
        <w:tc>
          <w:tcPr>
            <w:tcW w:w="4326" w:type="dxa"/>
            <w:tcBorders/>
            <w:vAlign w:val="center"/>
          </w:tcPr>
          <w:p>
            <w:pPr>
              <w:pStyle w:val="TableContents"/>
              <w:bidi w:val="0"/>
              <w:spacing w:before="0" w:after="283"/>
              <w:jc w:val="left"/>
              <w:rPr>
                <w:sz w:val="4"/>
                <w:szCs w:val="4"/>
              </w:rPr>
            </w:pPr>
            <w:r>
              <w:rPr>
                <w:sz w:val="4"/>
                <w:szCs w:val="4"/>
              </w:rPr>
            </w:r>
          </w:p>
        </w:tc>
        <w:tc>
          <w:tcPr>
            <w:tcW w:w="1736" w:type="dxa"/>
            <w:gridSpan w:val="4"/>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2023</w:t>
            </w:r>
          </w:p>
        </w:tc>
        <w:tc>
          <w:tcPr>
            <w:tcW w:w="283"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Goodwill</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Intangibles</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25,593,898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23,787,217</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Acquired</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30,651,449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3,000,000</w:t>
            </w:r>
          </w:p>
        </w:tc>
        <w:tc>
          <w:tcPr>
            <w:tcW w:w="1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8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(3,936,633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(6,524,481</w:t>
            </w:r>
          </w:p>
        </w:tc>
        <w:tc>
          <w:tcPr>
            <w:tcW w:w="163"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52,308,714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20,262,735</w:t>
            </w:r>
          </w:p>
        </w:tc>
        <w:tc>
          <w:tcPr>
            <w:tcW w:w="1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Estimated amortization expense for each of the next five years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16"/>
        <w:gridCol w:w="296"/>
        <w:gridCol w:w="140"/>
        <w:gridCol w:w="1224"/>
        <w:gridCol w:w="63"/>
      </w:tblGrid>
      <w:tr>
        <w:trPr/>
        <w:tc>
          <w:tcPr>
            <w:tcW w:w="5216"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11,967,451</w:t>
            </w:r>
          </w:p>
        </w:tc>
        <w:tc>
          <w:tcPr>
            <w:tcW w:w="63" w:type="dxa"/>
            <w:tcBorders/>
            <w:shd w:fill="CCEEFF" w:val="clear"/>
            <w:vAlign w:val="bottom"/>
          </w:tcPr>
          <w:p>
            <w:pPr>
              <w:pStyle w:val="TableContents"/>
              <w:bidi w:val="0"/>
              <w:spacing w:before="0" w:after="283"/>
              <w:jc w:val="left"/>
              <w:rPr/>
            </w:pPr>
            <w:r>
              <w:rPr/>
              <w:t> </w:t>
            </w:r>
          </w:p>
        </w:tc>
      </w:tr>
      <w:tr>
        <w:trPr/>
        <w:tc>
          <w:tcPr>
            <w:tcW w:w="521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11,207,459</w:t>
            </w:r>
          </w:p>
        </w:tc>
        <w:tc>
          <w:tcPr>
            <w:tcW w:w="63" w:type="dxa"/>
            <w:tcBorders/>
            <w:vAlign w:val="bottom"/>
          </w:tcPr>
          <w:p>
            <w:pPr>
              <w:pStyle w:val="TableContents"/>
              <w:bidi w:val="0"/>
              <w:spacing w:before="0" w:after="283"/>
              <w:jc w:val="left"/>
              <w:rPr/>
            </w:pPr>
            <w:r>
              <w:rPr/>
              <w:t> </w:t>
            </w:r>
          </w:p>
        </w:tc>
      </w:tr>
      <w:tr>
        <w:trPr/>
        <w:tc>
          <w:tcPr>
            <w:tcW w:w="5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b/>
              </w:rPr>
            </w:pPr>
            <w:r>
              <w:rPr>
                <w:b/>
              </w:rPr>
              <w:t>7,921,992</w:t>
            </w:r>
          </w:p>
        </w:tc>
        <w:tc>
          <w:tcPr>
            <w:tcW w:w="63" w:type="dxa"/>
            <w:tcBorders/>
            <w:shd w:fill="CCEEFF" w:val="clear"/>
            <w:vAlign w:val="bottom"/>
          </w:tcPr>
          <w:p>
            <w:pPr>
              <w:pStyle w:val="TableContents"/>
              <w:bidi w:val="0"/>
              <w:spacing w:before="0" w:after="283"/>
              <w:jc w:val="left"/>
              <w:rPr/>
            </w:pPr>
            <w:r>
              <w:rPr/>
              <w:t> </w:t>
            </w:r>
          </w:p>
        </w:tc>
      </w:tr>
      <w:tr>
        <w:trPr/>
        <w:tc>
          <w:tcPr>
            <w:tcW w:w="521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7,230,025</w:t>
            </w:r>
          </w:p>
        </w:tc>
        <w:tc>
          <w:tcPr>
            <w:tcW w:w="63" w:type="dxa"/>
            <w:tcBorders/>
            <w:vAlign w:val="bottom"/>
          </w:tcPr>
          <w:p>
            <w:pPr>
              <w:pStyle w:val="TableContents"/>
              <w:bidi w:val="0"/>
              <w:spacing w:before="0" w:after="283"/>
              <w:jc w:val="left"/>
              <w:rPr/>
            </w:pPr>
            <w:r>
              <w:rPr/>
              <w:t> </w:t>
            </w:r>
          </w:p>
        </w:tc>
      </w:tr>
      <w:tr>
        <w:trPr/>
        <w:tc>
          <w:tcPr>
            <w:tcW w:w="5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b/>
              </w:rPr>
            </w:pPr>
            <w:r>
              <w:rPr>
                <w:b/>
              </w:rPr>
              <w:t>6,178,552</w:t>
            </w:r>
          </w:p>
        </w:tc>
        <w:tc>
          <w:tcPr>
            <w:tcW w:w="63" w:type="dxa"/>
            <w:tcBorders/>
            <w:shd w:fill="CCEEFF" w:val="clear"/>
            <w:vAlign w:val="bottom"/>
          </w:tcPr>
          <w:p>
            <w:pPr>
              <w:pStyle w:val="TableContents"/>
              <w:bidi w:val="0"/>
              <w:spacing w:before="0" w:after="283"/>
              <w:jc w:val="left"/>
              <w:rPr/>
            </w:pPr>
            <w:r>
              <w:rPr/>
              <w:t> </w:t>
            </w:r>
          </w:p>
        </w:tc>
      </w:tr>
      <w:tr>
        <w:trPr/>
        <w:tc>
          <w:tcPr>
            <w:tcW w:w="521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15,799,761</w:t>
            </w:r>
          </w:p>
        </w:tc>
        <w:tc>
          <w:tcPr>
            <w:tcW w:w="63" w:type="dxa"/>
            <w:tcBorders/>
            <w:vAlign w:val="bottom"/>
          </w:tcPr>
          <w:p>
            <w:pPr>
              <w:pStyle w:val="TableContents"/>
              <w:bidi w:val="0"/>
              <w:spacing w:before="0" w:after="283"/>
              <w:jc w:val="left"/>
              <w:rPr/>
            </w:pPr>
            <w:r>
              <w:rPr/>
              <w:t> </w:t>
            </w:r>
          </w:p>
        </w:tc>
      </w:tr>
      <w:tr>
        <w:trPr/>
        <w:tc>
          <w:tcPr>
            <w:tcW w:w="521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16" w:type="dxa"/>
            <w:tcBorders/>
            <w:shd w:fill="CCEEFF" w:val="clear"/>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60,305,240</w:t>
            </w:r>
          </w:p>
        </w:tc>
        <w:tc>
          <w:tcPr>
            <w:tcW w:w="63" w:type="dxa"/>
            <w:tcBorders/>
            <w:shd w:fill="CCEEFF" w:val="clear"/>
            <w:vAlign w:val="bottom"/>
          </w:tcPr>
          <w:p>
            <w:pPr>
              <w:pStyle w:val="TableContents"/>
              <w:bidi w:val="0"/>
              <w:spacing w:before="0" w:after="283"/>
              <w:jc w:val="left"/>
              <w:rPr/>
            </w:pPr>
            <w:r>
              <w:rPr/>
              <w:t> </w:t>
            </w:r>
          </w:p>
        </w:tc>
      </w:tr>
      <w:tr>
        <w:trPr/>
        <w:tc>
          <w:tcPr>
            <w:tcW w:w="521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receivable consisted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85"/>
        <w:gridCol w:w="281"/>
        <w:gridCol w:w="144"/>
        <w:gridCol w:w="1278"/>
        <w:gridCol w:w="155"/>
        <w:gridCol w:w="231"/>
        <w:gridCol w:w="144"/>
        <w:gridCol w:w="1278"/>
        <w:gridCol w:w="159"/>
      </w:tblGrid>
      <w:tr>
        <w:trPr/>
        <w:tc>
          <w:tcPr>
            <w:tcW w:w="4085"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106,058,376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97,556,368</w:t>
            </w:r>
          </w:p>
        </w:tc>
        <w:tc>
          <w:tcPr>
            <w:tcW w:w="159" w:type="dxa"/>
            <w:tcBorders/>
            <w:shd w:fill="CCEEFF" w:val="clear"/>
            <w:vAlign w:val="bottom"/>
          </w:tcPr>
          <w:p>
            <w:pPr>
              <w:pStyle w:val="TableContents"/>
              <w:bidi w:val="0"/>
              <w:spacing w:before="0" w:after="283"/>
              <w:jc w:val="left"/>
              <w:rPr/>
            </w:pPr>
            <w:r>
              <w:rPr/>
              <w:t> </w:t>
            </w:r>
          </w:p>
        </w:tc>
      </w:tr>
      <w:tr>
        <w:trPr/>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Retainage receivables</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8,909,625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4,100,081</w:t>
            </w:r>
          </w:p>
        </w:tc>
        <w:tc>
          <w:tcPr>
            <w:tcW w:w="159" w:type="dxa"/>
            <w:tcBorders/>
            <w:vAlign w:val="bottom"/>
          </w:tcPr>
          <w:p>
            <w:pPr>
              <w:pStyle w:val="TableContents"/>
              <w:bidi w:val="0"/>
              <w:spacing w:before="0" w:after="283"/>
              <w:jc w:val="left"/>
              <w:rPr/>
            </w:pPr>
            <w:r>
              <w:rPr/>
              <w:t> </w:t>
            </w:r>
          </w:p>
        </w:tc>
      </w:tr>
      <w:tr>
        <w:trPr/>
        <w:tc>
          <w:tcPr>
            <w:tcW w:w="4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b/>
              </w:rPr>
            </w:pPr>
            <w:r>
              <w:rPr>
                <w:b/>
              </w:rPr>
              <w:t>5,922,241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12,882,510</w:t>
            </w:r>
          </w:p>
        </w:tc>
        <w:tc>
          <w:tcPr>
            <w:tcW w:w="159" w:type="dxa"/>
            <w:tcBorders/>
            <w:shd w:fill="CCEEFF" w:val="clear"/>
            <w:vAlign w:val="bottom"/>
          </w:tcPr>
          <w:p>
            <w:pPr>
              <w:pStyle w:val="TableContents"/>
              <w:bidi w:val="0"/>
              <w:spacing w:before="0" w:after="283"/>
              <w:jc w:val="left"/>
              <w:rPr/>
            </w:pPr>
            <w:r>
              <w:rPr/>
              <w:t> </w:t>
            </w:r>
          </w:p>
        </w:tc>
      </w:tr>
      <w:tr>
        <w:trPr/>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2,360,440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1,306,194</w:t>
            </w:r>
          </w:p>
        </w:tc>
        <w:tc>
          <w:tcPr>
            <w:tcW w:w="159"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85" w:type="dxa"/>
            <w:tcBorders/>
            <w:shd w:fill="CCEEFF" w:val="clear"/>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b/>
              </w:rPr>
            </w:pPr>
            <w:r>
              <w:rPr>
                <w:b/>
              </w:rPr>
              <w:t>123,250,682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115,845,153</w:t>
            </w:r>
          </w:p>
        </w:tc>
        <w:tc>
          <w:tcPr>
            <w:tcW w:w="159" w:type="dxa"/>
            <w:tcBorders/>
            <w:shd w:fill="CCEEFF" w:val="clear"/>
            <w:vAlign w:val="bottom"/>
          </w:tcPr>
          <w:p>
            <w:pPr>
              <w:pStyle w:val="TableContents"/>
              <w:bidi w:val="0"/>
              <w:spacing w:before="0" w:after="283"/>
              <w:jc w:val="left"/>
              <w:rPr/>
            </w:pPr>
            <w:r>
              <w:rPr/>
              <w:t> </w:t>
            </w:r>
          </w:p>
        </w:tc>
      </w:tr>
      <w:tr>
        <w:trPr/>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(2,294,600</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(3,318,673</w:t>
            </w:r>
          </w:p>
        </w:tc>
        <w:tc>
          <w:tcPr>
            <w:tcW w:w="159"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85" w:type="dxa"/>
            <w:tcBorders/>
            <w:shd w:fill="CCEEFF" w:val="clear"/>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120,956,082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112,526,480</w:t>
            </w:r>
          </w:p>
        </w:tc>
        <w:tc>
          <w:tcPr>
            <w:tcW w:w="159"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consisted of the following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6"/>
        <w:gridCol w:w="248"/>
        <w:gridCol w:w="147"/>
        <w:gridCol w:w="1130"/>
        <w:gridCol w:w="60"/>
        <w:gridCol w:w="248"/>
        <w:gridCol w:w="140"/>
        <w:gridCol w:w="1179"/>
        <w:gridCol w:w="155"/>
        <w:gridCol w:w="219"/>
        <w:gridCol w:w="140"/>
        <w:gridCol w:w="1179"/>
        <w:gridCol w:w="161"/>
      </w:tblGrid>
      <w:tr>
        <w:trPr/>
        <w:tc>
          <w:tcPr>
            <w:tcW w:w="356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6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Useful Lives</w:t>
              <w:br/>
              <w:t>(Years)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Autos &amp; trucks</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center"/>
              <w:rPr/>
            </w:pPr>
            <w:r>
              <w:rPr/>
              <w:t>3-7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9" w:type="dxa"/>
            <w:tcBorders/>
            <w:shd w:fill="CCEEFF" w:val="clear"/>
            <w:vAlign w:val="bottom"/>
          </w:tcPr>
          <w:p>
            <w:pPr>
              <w:pStyle w:val="TableContents"/>
              <w:bidi w:val="0"/>
              <w:spacing w:before="0" w:after="283"/>
              <w:jc w:val="right"/>
              <w:rPr>
                <w:b/>
              </w:rPr>
            </w:pPr>
            <w:r>
              <w:rPr>
                <w:b/>
              </w:rPr>
              <w:t>9,715,133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10,163,071</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Furniture &amp; equipment</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center"/>
              <w:rPr/>
            </w:pPr>
            <w:r>
              <w:rPr/>
              <w:t>3-10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4,857,631</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4,323,228</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center"/>
              <w:rPr/>
            </w:pPr>
            <w:r>
              <w:rPr/>
              <w:t>3-5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9,287,077</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8,407,143</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Machinery &amp; equipment</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center"/>
              <w:rPr/>
            </w:pPr>
            <w:r>
              <w:rPr/>
              <w:t>3-10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6,526,907</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5,996,898</w:t>
            </w:r>
          </w:p>
        </w:tc>
        <w:tc>
          <w:tcPr>
            <w:tcW w:w="161" w:type="dxa"/>
            <w:tcBorders/>
            <w:vAlign w:val="bottom"/>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center"/>
              <w:rPr/>
            </w:pPr>
            <w:r>
              <w:rPr/>
              <w:t>3-10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1,892,012</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1,633,446</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6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b/>
              </w:rPr>
            </w:pPr>
            <w:r>
              <w:rPr>
                <w:b/>
              </w:rPr>
              <w:t>(25,061,540</w:t>
            </w:r>
          </w:p>
        </w:tc>
        <w:tc>
          <w:tcPr>
            <w:tcW w:w="155" w:type="dxa"/>
            <w:tcBorders/>
            <w:vAlign w:val="bottom"/>
          </w:tcPr>
          <w:p>
            <w:pPr>
              <w:pStyle w:val="TableContents"/>
              <w:bidi w:val="0"/>
              <w:spacing w:before="0" w:after="283"/>
              <w:jc w:val="left"/>
              <w:rPr>
                <w:b/>
              </w:rPr>
            </w:pPr>
            <w:r>
              <w:rPr>
                <w:b/>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(23,702,255</w:t>
            </w:r>
          </w:p>
        </w:tc>
        <w:tc>
          <w:tcPr>
            <w:tcW w:w="161" w:type="dxa"/>
            <w:tcBorders/>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66"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9" w:type="dxa"/>
            <w:tcBorders/>
            <w:shd w:fill="CCEEFF" w:val="clear"/>
            <w:vAlign w:val="bottom"/>
          </w:tcPr>
          <w:p>
            <w:pPr>
              <w:pStyle w:val="TableContents"/>
              <w:bidi w:val="0"/>
              <w:spacing w:before="0" w:after="283"/>
              <w:jc w:val="right"/>
              <w:rPr>
                <w:b/>
              </w:rPr>
            </w:pPr>
            <w:r>
              <w:rPr>
                <w:b/>
              </w:rPr>
              <w:t>7,217,221</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6,821,531</w:t>
            </w:r>
          </w:p>
        </w:tc>
        <w:tc>
          <w:tcPr>
            <w:tcW w:w="161" w:type="dxa"/>
            <w:tcBorders/>
            <w:shd w:fill="CCEEFF" w:val="clear"/>
            <w:vAlign w:val="bottom"/>
          </w:tcPr>
          <w:p>
            <w:pPr>
              <w:pStyle w:val="TableContents"/>
              <w:bidi w:val="0"/>
              <w:spacing w:before="0" w:after="283"/>
              <w:jc w:val="left"/>
              <w:rPr/>
            </w:pPr>
            <w:r>
              <w:rPr/>
              <w:t> </w:t>
            </w:r>
          </w:p>
        </w:tc>
      </w:tr>
      <w:tr>
        <w:trPr/>
        <w:tc>
          <w:tcPr>
            <w:tcW w:w="3566"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and equipment for the years ended December 31, 2024 and 2023 was approximately $1.4 million and $0.8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$119.5 million credit agreement on July 31, 2019, which includes a revolving line of credit and a debt facility. The credit facility includes multiple lenders, one of which is a stockholder of the Companys ultimate parent. During the years 2021, 2022, and 2023, the agreement was amended to increase the credit agreement by $17 million, $30 million and $60 million, respectively, for a total amount of $226.5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Revolving Line of Credit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$12.5 million revolving line of credit. Borrowings are secured by substantially all of the assets of the Company and guaranteed by the Companys stockholder. The revolving line of credit expires on July 31, 2026 and bears interest on either a floating rate equal to the Base Rate plus the Applicable Margin or SOFR plus the Applicable Margin. The Applicable Margin is based on the Companys leverage ratio and is 4.5% for Base Rate loans and 5.5% for SOFR loans. The effective interest rate was approximately 9.92% and 10.98% at December 31, 2024 and 2023, respectively. The Base Rate is equal to the higher of the Prime Rate or the Federal Funds Rate plus 0.5%, and SOFR is subject to a 1.0% minimum floor. The unused portion of the revolving line of credit bears interest at 0.5%. The balance totaled $7.0 million and zero at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Facility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credit agreement that includes a term note. Borrowings are secured by substantially all of the assets of the Company and guaranteed by the Companys stockholder. The term note matures on July 31, 2026 and bears interest on either a floating rate equal to the Base Rate plus the Applicable Margin or SOFR plus the Applicable Margin. The Applicable Margin is based on the Companys leverage ratio and is 4.5% for Base Rate loans and 5.5% for SOFR loans. The Base Rate is equal to the higher of the Prime Rate or the Federal Funds Rate plus 0.5%, and SOFR is subject to a 1.0% minimum floor. The effective interest rate was 9.92% and 10.98% at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Aggregate principal maturities required on the debt facility as of December 31, 2024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9"/>
        <w:gridCol w:w="288"/>
        <w:gridCol w:w="141"/>
        <w:gridCol w:w="1357"/>
        <w:gridCol w:w="64"/>
      </w:tblGrid>
      <w:tr>
        <w:trPr/>
        <w:tc>
          <w:tcPr>
            <w:tcW w:w="5089"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57" w:type="dxa"/>
            <w:tcBorders/>
            <w:shd w:fill="CCEEFF" w:val="clear"/>
            <w:vAlign w:val="bottom"/>
          </w:tcPr>
          <w:p>
            <w:pPr>
              <w:pStyle w:val="TableContents"/>
              <w:bidi w:val="0"/>
              <w:spacing w:before="0" w:after="283"/>
              <w:jc w:val="right"/>
              <w:rPr>
                <w:b/>
              </w:rPr>
            </w:pPr>
            <w:r>
              <w:rPr>
                <w:b/>
              </w:rPr>
              <w:t>2,127,630</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b/>
              </w:rPr>
            </w:pPr>
            <w:r>
              <w:rPr>
                <w:b/>
              </w:rPr>
              <w:t>205,071,832</w:t>
            </w:r>
          </w:p>
        </w:tc>
        <w:tc>
          <w:tcPr>
            <w:tcW w:w="64"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57" w:type="dxa"/>
            <w:tcBorders/>
            <w:shd w:fill="CCEEFF" w:val="clear"/>
            <w:vAlign w:val="bottom"/>
          </w:tcPr>
          <w:p>
            <w:pPr>
              <w:pStyle w:val="TableContents"/>
              <w:bidi w:val="0"/>
              <w:spacing w:before="0" w:after="283"/>
              <w:jc w:val="right"/>
              <w:rPr>
                <w:b/>
              </w:rPr>
            </w:pPr>
            <w:r>
              <w:rPr>
                <w:b/>
              </w:rPr>
              <w:t>207,199,462</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b/>
              </w:rPr>
            </w:pPr>
            <w:r>
              <w:rPr>
                <w:b/>
              </w:rPr>
              <w:t>1,247,636</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Current installments</w:t>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b/>
              </w:rPr>
            </w:pPr>
            <w:r>
              <w:rPr>
                <w:b/>
              </w:rPr>
              <w:t>2,127,630</w:t>
            </w:r>
          </w:p>
        </w:tc>
        <w:tc>
          <w:tcPr>
            <w:tcW w:w="64"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unamortized debt issuance costs</w:t>
            </w:r>
          </w:p>
        </w:tc>
        <w:tc>
          <w:tcPr>
            <w:tcW w:w="2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57" w:type="dxa"/>
            <w:tcBorders/>
            <w:shd w:fill="CCEEFF" w:val="clear"/>
            <w:vAlign w:val="bottom"/>
          </w:tcPr>
          <w:p>
            <w:pPr>
              <w:pStyle w:val="TableContents"/>
              <w:bidi w:val="0"/>
              <w:spacing w:before="0" w:after="283"/>
              <w:jc w:val="right"/>
              <w:rPr>
                <w:b/>
              </w:rPr>
            </w:pPr>
            <w:r>
              <w:rPr>
                <w:b/>
              </w:rPr>
              <w:t>203,824,196</w:t>
            </w:r>
          </w:p>
        </w:tc>
        <w:tc>
          <w:tcPr>
            <w:tcW w:w="64"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credit agreement contains certain covenants, which among other things, require the Company to maintain certain financial ratios. The Company was in compliance with these covenants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(benefit) consisted of the following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76"/>
        <w:gridCol w:w="250"/>
        <w:gridCol w:w="147"/>
        <w:gridCol w:w="858"/>
        <w:gridCol w:w="60"/>
        <w:gridCol w:w="250"/>
        <w:gridCol w:w="147"/>
        <w:gridCol w:w="906"/>
        <w:gridCol w:w="161"/>
      </w:tblGrid>
      <w:tr>
        <w:trPr/>
        <w:tc>
          <w:tcPr>
            <w:tcW w:w="4976"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61" w:type="dxa"/>
            <w:tcBorders/>
            <w:vAlign w:val="bottom"/>
          </w:tcPr>
          <w:p>
            <w:pPr>
              <w:pStyle w:val="TableContents"/>
              <w:bidi w:val="0"/>
              <w:spacing w:before="0" w:after="283"/>
              <w:jc w:val="left"/>
              <w:rPr/>
            </w:pPr>
            <w:r>
              <w:rPr/>
              <w:t> </w:t>
            </w:r>
          </w:p>
        </w:tc>
      </w:tr>
      <w:tr>
        <w:trPr/>
        <w:tc>
          <w:tcPr>
            <w:tcW w:w="4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income tax</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287,842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(966,630</w:t>
            </w:r>
          </w:p>
        </w:tc>
        <w:tc>
          <w:tcPr>
            <w:tcW w:w="161" w:type="dxa"/>
            <w:tcBorders/>
            <w:vAlign w:val="bottom"/>
          </w:tcPr>
          <w:p>
            <w:pPr>
              <w:pStyle w:val="TableContents"/>
              <w:bidi w:val="0"/>
              <w:spacing w:before="0" w:after="283"/>
              <w:jc w:val="left"/>
              <w:rPr/>
            </w:pPr>
            <w:r>
              <w:rPr/>
              <w:t>) </w:t>
            </w:r>
          </w:p>
        </w:tc>
      </w:tr>
      <w:tr>
        <w:trPr/>
        <w:tc>
          <w:tcPr>
            <w:tcW w:w="4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174,417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355,285</w:t>
            </w:r>
          </w:p>
        </w:tc>
        <w:tc>
          <w:tcPr>
            <w:tcW w:w="161" w:type="dxa"/>
            <w:tcBorders/>
            <w:shd w:fill="CCEEFF" w:val="clear"/>
            <w:vAlign w:val="bottom"/>
          </w:tcPr>
          <w:p>
            <w:pPr>
              <w:pStyle w:val="TableContents"/>
              <w:bidi w:val="0"/>
              <w:spacing w:before="0" w:after="283"/>
              <w:jc w:val="left"/>
              <w:rPr/>
            </w:pPr>
            <w:r>
              <w:rPr/>
              <w:t> </w:t>
            </w:r>
          </w:p>
        </w:tc>
      </w:tr>
      <w:tr>
        <w:trPr/>
        <w:tc>
          <w:tcPr>
            <w:tcW w:w="497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462,259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(611,345</w:t>
            </w:r>
          </w:p>
        </w:tc>
        <w:tc>
          <w:tcPr>
            <w:tcW w:w="161" w:type="dxa"/>
            <w:tcBorders/>
            <w:vAlign w:val="bottom"/>
          </w:tcPr>
          <w:p>
            <w:pPr>
              <w:pStyle w:val="TableContents"/>
              <w:bidi w:val="0"/>
              <w:spacing w:before="0" w:after="283"/>
              <w:jc w:val="left"/>
              <w:rPr/>
            </w:pPr>
            <w:r>
              <w:rPr/>
              <w:t>) </w:t>
            </w:r>
          </w:p>
        </w:tc>
      </w:tr>
      <w:tr>
        <w:trPr/>
        <w:tc>
          <w:tcPr>
            <w:tcW w:w="497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97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7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58" w:type="dxa"/>
            <w:tcBorders/>
            <w:shd w:fill="CCEEFF" w:val="clear"/>
            <w:vAlign w:val="bottom"/>
          </w:tcPr>
          <w:p>
            <w:pPr>
              <w:pStyle w:val="TableContents"/>
              <w:bidi w:val="0"/>
              <w:spacing w:before="0" w:after="283"/>
              <w:jc w:val="right"/>
              <w:rPr>
                <w:b/>
              </w:rPr>
            </w:pPr>
            <w:r>
              <w:rPr>
                <w:b/>
              </w:rPr>
              <w:t>462,259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(611,345</w:t>
            </w:r>
          </w:p>
        </w:tc>
        <w:tc>
          <w:tcPr>
            <w:tcW w:w="161" w:type="dxa"/>
            <w:tcBorders/>
            <w:shd w:fill="CCEEFF" w:val="clear"/>
            <w:vAlign w:val="bottom"/>
          </w:tcPr>
          <w:p>
            <w:pPr>
              <w:pStyle w:val="TableContents"/>
              <w:bidi w:val="0"/>
              <w:spacing w:before="0" w:after="283"/>
              <w:jc w:val="left"/>
              <w:rPr/>
            </w:pPr>
            <w:r>
              <w:rPr/>
              <w:t>) </w:t>
            </w:r>
          </w:p>
        </w:tc>
      </w:tr>
      <w:tr>
        <w:trPr/>
        <w:tc>
          <w:tcPr>
            <w:tcW w:w="497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tax expense differs from the amounts that would result from applying the federal statutory rate of 21% to the Companys loss before income tax expense as follows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67"/>
        <w:gridCol w:w="330"/>
        <w:gridCol w:w="140"/>
        <w:gridCol w:w="1075"/>
        <w:gridCol w:w="156"/>
        <w:gridCol w:w="280"/>
        <w:gridCol w:w="140"/>
        <w:gridCol w:w="1207"/>
        <w:gridCol w:w="160"/>
      </w:tblGrid>
      <w:tr>
        <w:trPr/>
        <w:tc>
          <w:tcPr>
            <w:tcW w:w="426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6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60" w:type="dxa"/>
            <w:tcBorders/>
            <w:vAlign w:val="bottom"/>
          </w:tcPr>
          <w:p>
            <w:pPr>
              <w:pStyle w:val="TableContents"/>
              <w:bidi w:val="0"/>
              <w:spacing w:before="0" w:after="283"/>
              <w:jc w:val="left"/>
              <w:rPr/>
            </w:pPr>
            <w:r>
              <w:rPr/>
              <w:t> </w:t>
            </w:r>
          </w:p>
        </w:tc>
      </w:tr>
      <w:tr>
        <w:trPr/>
        <w:tc>
          <w:tcPr>
            <w:tcW w:w="4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tax expense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75" w:type="dxa"/>
            <w:tcBorders/>
            <w:shd w:fill="CCEEFF" w:val="clear"/>
            <w:vAlign w:val="bottom"/>
          </w:tcPr>
          <w:p>
            <w:pPr>
              <w:pStyle w:val="TableContents"/>
              <w:bidi w:val="0"/>
              <w:spacing w:before="0" w:after="283"/>
              <w:jc w:val="right"/>
              <w:rPr>
                <w:b/>
              </w:rPr>
            </w:pPr>
            <w:r>
              <w:rPr>
                <w:b/>
              </w:rPr>
              <w:t>(2,780,082</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(4,819,723</w:t>
            </w:r>
          </w:p>
        </w:tc>
        <w:tc>
          <w:tcPr>
            <w:tcW w:w="160" w:type="dxa"/>
            <w:tcBorders/>
            <w:shd w:fill="CCEEFF" w:val="clear"/>
            <w:vAlign w:val="bottom"/>
          </w:tcPr>
          <w:p>
            <w:pPr>
              <w:pStyle w:val="TableContents"/>
              <w:bidi w:val="0"/>
              <w:spacing w:before="0" w:after="283"/>
              <w:jc w:val="left"/>
              <w:rPr/>
            </w:pPr>
            <w:r>
              <w:rPr/>
              <w:t>) </w:t>
            </w:r>
          </w:p>
        </w:tc>
      </w:tr>
      <w:tr>
        <w:trPr/>
        <w:tc>
          <w:tcPr>
            <w:tcW w:w="4267"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b/>
              </w:rPr>
            </w:pPr>
            <w:r>
              <w:rPr>
                <w:b/>
              </w:rPr>
              <w:t>(293,070</w:t>
            </w:r>
          </w:p>
        </w:tc>
        <w:tc>
          <w:tcPr>
            <w:tcW w:w="156" w:type="dxa"/>
            <w:tcBorders/>
            <w:vAlign w:val="bottom"/>
          </w:tcPr>
          <w:p>
            <w:pPr>
              <w:pStyle w:val="TableContents"/>
              <w:bidi w:val="0"/>
              <w:spacing w:before="0" w:after="283"/>
              <w:jc w:val="left"/>
              <w:rPr>
                <w:b/>
              </w:rPr>
            </w:pPr>
            <w:r>
              <w:rPr>
                <w:b/>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(486,455</w:t>
            </w:r>
          </w:p>
        </w:tc>
        <w:tc>
          <w:tcPr>
            <w:tcW w:w="160" w:type="dxa"/>
            <w:tcBorders/>
            <w:vAlign w:val="bottom"/>
          </w:tcPr>
          <w:p>
            <w:pPr>
              <w:pStyle w:val="TableContents"/>
              <w:bidi w:val="0"/>
              <w:spacing w:before="0" w:after="283"/>
              <w:jc w:val="left"/>
              <w:rPr/>
            </w:pPr>
            <w:r>
              <w:rPr/>
              <w:t>) </w:t>
            </w:r>
          </w:p>
        </w:tc>
      </w:tr>
      <w:tr>
        <w:trPr/>
        <w:tc>
          <w:tcPr>
            <w:tcW w:w="4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tax rate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b/>
              </w:rPr>
            </w:pPr>
            <w:r>
              <w:rPr>
                <w:b/>
              </w:rPr>
              <w:t>(943,727</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(192,833</w:t>
            </w:r>
          </w:p>
        </w:tc>
        <w:tc>
          <w:tcPr>
            <w:tcW w:w="160" w:type="dxa"/>
            <w:tcBorders/>
            <w:shd w:fill="CCEEFF" w:val="clear"/>
            <w:vAlign w:val="bottom"/>
          </w:tcPr>
          <w:p>
            <w:pPr>
              <w:pStyle w:val="TableContents"/>
              <w:bidi w:val="0"/>
              <w:spacing w:before="0" w:after="283"/>
              <w:jc w:val="left"/>
              <w:rPr/>
            </w:pPr>
            <w:r>
              <w:rPr/>
              <w:t>) </w:t>
            </w:r>
          </w:p>
        </w:tc>
      </w:tr>
      <w:tr>
        <w:trPr/>
        <w:tc>
          <w:tcPr>
            <w:tcW w:w="4267"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b/>
              </w:rPr>
            </w:pPr>
            <w:r>
              <w:rPr>
                <w:b/>
              </w:rPr>
              <w:t>4,913,319</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16,788,225</w:t>
            </w:r>
          </w:p>
        </w:tc>
        <w:tc>
          <w:tcPr>
            <w:tcW w:w="160" w:type="dxa"/>
            <w:tcBorders/>
            <w:vAlign w:val="bottom"/>
          </w:tcPr>
          <w:p>
            <w:pPr>
              <w:pStyle w:val="TableContents"/>
              <w:bidi w:val="0"/>
              <w:spacing w:before="0" w:after="283"/>
              <w:jc w:val="left"/>
              <w:rPr/>
            </w:pPr>
            <w:r>
              <w:rPr/>
              <w:t> </w:t>
            </w:r>
          </w:p>
        </w:tc>
      </w:tr>
      <w:tr>
        <w:trPr/>
        <w:tc>
          <w:tcPr>
            <w:tcW w:w="4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b/>
              </w:rPr>
            </w:pPr>
            <w:r>
              <w:rPr>
                <w:b/>
              </w:rPr>
              <w:t>(223,187</w:t>
            </w:r>
          </w:p>
        </w:tc>
        <w:tc>
          <w:tcPr>
            <w:tcW w:w="156" w:type="dxa"/>
            <w:tcBorders/>
            <w:shd w:fill="CCEEFF" w:val="cle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434,073</w:t>
            </w:r>
          </w:p>
        </w:tc>
        <w:tc>
          <w:tcPr>
            <w:tcW w:w="160" w:type="dxa"/>
            <w:tcBorders/>
            <w:shd w:fill="CCEEFF" w:val="clear"/>
            <w:vAlign w:val="bottom"/>
          </w:tcPr>
          <w:p>
            <w:pPr>
              <w:pStyle w:val="TableContents"/>
              <w:bidi w:val="0"/>
              <w:spacing w:before="0" w:after="283"/>
              <w:jc w:val="left"/>
              <w:rPr/>
            </w:pPr>
            <w:r>
              <w:rPr/>
              <w:t> </w:t>
            </w:r>
          </w:p>
        </w:tc>
      </w:tr>
      <w:tr>
        <w:trPr/>
        <w:tc>
          <w:tcPr>
            <w:tcW w:w="426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b/>
              </w:rPr>
            </w:pPr>
            <w:r>
              <w:rPr>
                <w:b/>
              </w:rPr>
              <w:t>(210,993</w:t>
            </w:r>
          </w:p>
        </w:tc>
        <w:tc>
          <w:tcPr>
            <w:tcW w:w="156" w:type="dxa"/>
            <w:tcBorders/>
            <w:vAlign w:val="bottom"/>
          </w:tcPr>
          <w:p>
            <w:pPr>
              <w:pStyle w:val="TableContents"/>
              <w:bidi w:val="0"/>
              <w:spacing w:before="0" w:after="283"/>
              <w:jc w:val="left"/>
              <w:rPr>
                <w:b/>
              </w:rPr>
            </w:pPr>
            <w:r>
              <w:rPr>
                <w:b/>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53,500</w:t>
            </w:r>
          </w:p>
        </w:tc>
        <w:tc>
          <w:tcPr>
            <w:tcW w:w="160" w:type="dxa"/>
            <w:tcBorders/>
            <w:vAlign w:val="bottom"/>
          </w:tcPr>
          <w:p>
            <w:pPr>
              <w:pStyle w:val="TableContents"/>
              <w:bidi w:val="0"/>
              <w:spacing w:before="0" w:after="283"/>
              <w:jc w:val="left"/>
              <w:rPr/>
            </w:pPr>
            <w:r>
              <w:rPr/>
              <w:t> </w:t>
            </w:r>
          </w:p>
        </w:tc>
      </w:tr>
      <w:tr>
        <w:trPr/>
        <w:tc>
          <w:tcPr>
            <w:tcW w:w="4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adjustment - Section 382 limitation</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b/>
              </w:rPr>
            </w:pPr>
            <w:r>
              <w:rPr>
                <w:b/>
              </w:rPr>
              <w:t> </w:t>
            </w:r>
          </w:p>
        </w:tc>
        <w:tc>
          <w:tcPr>
            <w:tcW w:w="15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(12,388,132</w:t>
            </w:r>
          </w:p>
        </w:tc>
        <w:tc>
          <w:tcPr>
            <w:tcW w:w="160" w:type="dxa"/>
            <w:tcBorders/>
            <w:shd w:fill="CCEEFF" w:val="clear"/>
            <w:vAlign w:val="bottom"/>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5" w:type="dxa"/>
            <w:tcBorders/>
            <w:vAlign w:val="bottom"/>
          </w:tcPr>
          <w:p>
            <w:pPr>
              <w:pStyle w:val="TableContents"/>
              <w:bidi w:val="0"/>
              <w:spacing w:before="0" w:after="283"/>
              <w:jc w:val="right"/>
              <w:rPr>
                <w:b/>
              </w:rPr>
            </w:pPr>
            <w:r>
              <w:rPr>
                <w:b/>
              </w:rPr>
              <w:t>462,259</w:t>
            </w:r>
          </w:p>
        </w:tc>
        <w:tc>
          <w:tcPr>
            <w:tcW w:w="15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(611,345</w:t>
            </w:r>
          </w:p>
        </w:tc>
        <w:tc>
          <w:tcPr>
            <w:tcW w:w="160" w:type="dxa"/>
            <w:tcBorders/>
            <w:vAlign w:val="bottom"/>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Temporary differences that give rise to the components of deferred tax assets and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4"/>
        <w:gridCol w:w="455"/>
        <w:gridCol w:w="140"/>
        <w:gridCol w:w="1181"/>
        <w:gridCol w:w="155"/>
        <w:gridCol w:w="410"/>
        <w:gridCol w:w="140"/>
        <w:gridCol w:w="1181"/>
        <w:gridCol w:w="159"/>
      </w:tblGrid>
      <w:tr>
        <w:trPr/>
        <w:tc>
          <w:tcPr>
            <w:tcW w:w="3934"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564,218</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695,517</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4,538,945</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3,940,016</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14,976,957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13,331,915</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1,150,290</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1,475,837</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and property and equipment</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3,450,629</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4,333,843</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8,942,102</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15,250,405</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9,022,097</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131,174</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162,818</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40,945,834</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41,020,931</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(4,226,434</w:t>
            </w:r>
          </w:p>
        </w:tc>
        <w:tc>
          <w:tcPr>
            <w:tcW w:w="155" w:type="dxa"/>
            <w:tcBorders/>
            <w:vAlign w:val="bottom"/>
          </w:tcPr>
          <w:p>
            <w:pPr>
              <w:pStyle w:val="TableContents"/>
              <w:bidi w:val="0"/>
              <w:spacing w:before="0" w:after="283"/>
              <w:jc w:val="left"/>
              <w:rPr>
                <w:b/>
              </w:rPr>
            </w:pPr>
            <w:r>
              <w:rPr>
                <w:b/>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(8,874,800</w:t>
            </w:r>
          </w:p>
        </w:tc>
        <w:tc>
          <w:tcPr>
            <w:tcW w:w="159"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 and property and equipment</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(4,102,821</w:t>
            </w:r>
          </w:p>
        </w:tc>
        <w:tc>
          <w:tcPr>
            <w:tcW w:w="155" w:type="dxa"/>
            <w:tcBorders/>
            <w:shd w:fill="CCEEFF" w:val="clear"/>
            <w:vAlign w:val="bottom"/>
          </w:tcPr>
          <w:p>
            <w:pPr>
              <w:pStyle w:val="TableContents"/>
              <w:bidi w:val="0"/>
              <w:spacing w:before="0" w:after="283"/>
              <w:jc w:val="left"/>
              <w:rPr>
                <w:b/>
              </w:rPr>
            </w:pPr>
            <w:r>
              <w:rPr>
                <w:b/>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(8,329,256</w:t>
            </w:r>
          </w:p>
        </w:tc>
        <w:tc>
          <w:tcPr>
            <w:tcW w:w="155" w:type="dxa"/>
            <w:tcBorders/>
            <w:vAlign w:val="bottom"/>
          </w:tcPr>
          <w:p>
            <w:pPr>
              <w:pStyle w:val="TableContents"/>
              <w:bidi w:val="0"/>
              <w:spacing w:before="0" w:after="283"/>
              <w:jc w:val="left"/>
              <w:rPr>
                <w:b/>
              </w:rPr>
            </w:pPr>
            <w:r>
              <w:rPr>
                <w:b/>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(8,874,800</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32,616,957</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32,146,131</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b/>
              </w:rPr>
            </w:pPr>
            <w:r>
              <w:rPr>
                <w:b/>
              </w:rPr>
              <w:t>(32,616,957</w:t>
            </w:r>
          </w:p>
        </w:tc>
        <w:tc>
          <w:tcPr>
            <w:tcW w:w="155" w:type="dxa"/>
            <w:tcBorders/>
            <w:vAlign w:val="bottom"/>
          </w:tcPr>
          <w:p>
            <w:pPr>
              <w:pStyle w:val="TableContents"/>
              <w:bidi w:val="0"/>
              <w:spacing w:before="0" w:after="283"/>
              <w:jc w:val="left"/>
              <w:rPr>
                <w:b/>
              </w:rPr>
            </w:pPr>
            <w:r>
              <w:rPr>
                <w:b/>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(32,146,131</w:t>
            </w:r>
          </w:p>
        </w:tc>
        <w:tc>
          <w:tcPr>
            <w:tcW w:w="159"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Deferred Tax Asset</w:t>
            </w:r>
          </w:p>
        </w:tc>
        <w:tc>
          <w:tcPr>
            <w:tcW w:w="4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has federal net operating losses of $57.2 million and $53.9 million, respectively. The net operating loss of $41 million, generated pre-2018 will expire between 2034 and 2037. The $20 million generated in 2018  2023 can be carried forward indefinitely, subject to 80% taxable income limitation.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exclusive of scheduled reversal of deferred tax liabilities, and tax-planning strategies in making this assessment. Based upon the level of historical book losses, management believes it is not more-likely than-not that the Company will realize the benefits of these deductible differences, and accordingly, has a valuation allowance in the amount of approximately $32.6 million and $32.1 million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does not have any material unrecognized tax benefits and accordingly has not recorded any interest or penalties related to unrecognized tax benefits. The Companys policy is to record interest as part of tax expense. The Company files a consolidated federal return and various state returns. These returns remain subject to examination by taxing authorities for the years 2013 through 2023 due to net operating loss carryforward.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382 of the Internal Revenue Code, or IRC, annual use of the Companys net operating loss (NOL) carryforwards may be limited in the event a cumulative change in ownership of more than 50% occurs within a three-year period. Such ownership change could result in annual limitations on the utilization of tax attributes, including NOL carryforwards and tax credits. The Company is in process of performing an estimated analysis to determine if any ownership changes occurred would limit the utilization of the tax attributes. </w:t>
      </w:r>
    </w:p>
    <w:p>
      <w:pPr>
        <w:pStyle w:val="TextBody"/>
        <w:bidi w:val="0"/>
        <w:spacing w:before="360" w:after="0"/>
        <w:jc w:val="left"/>
        <w:rPr>
          <w:rFonts w:ascii="Times New Roman" w:hAnsi="Times New Roman"/>
          <w:b/>
          <w:sz w:val="20"/>
        </w:rPr>
      </w:pPr>
      <w:r>
        <w:rPr>
          <w:rFonts w:ascii="Times New Roman" w:hAnsi="Times New Roman"/>
          <w:b/>
          <w:sz w:val="20"/>
        </w:rPr>
        <w:t xml:space="preserve">8.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lease commitments with third parties under various finance and operating leases for office facilities, trucks, machinery and office equipment. Operating leases generally contain renewal options for periods ranging from 5 to 7 years. Because the Company is not reasonably certain to exercise these non-binding renewal options, the options are not considered in determining the lease term and associated potential option payments are excluded from future minimum lease payments. Rent expense totaled $5.2 million and $4.1 million for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quantitative information concerning the Companys operating and finance leases as of and for the years ended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9"/>
        <w:gridCol w:w="310"/>
        <w:gridCol w:w="140"/>
        <w:gridCol w:w="1211"/>
        <w:gridCol w:w="321"/>
        <w:gridCol w:w="216"/>
        <w:gridCol w:w="140"/>
        <w:gridCol w:w="1211"/>
        <w:gridCol w:w="287"/>
      </w:tblGrid>
      <w:tr>
        <w:trPr/>
        <w:tc>
          <w:tcPr>
            <w:tcW w:w="391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right-to-use assets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11,899,021</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8,700,991</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1,948,586</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1,479,159</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5,260,683</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4,077,301</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1,434,739</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966,396</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20,543,029</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15,223,847</w:t>
            </w:r>
          </w:p>
        </w:tc>
        <w:tc>
          <w:tcPr>
            <w:tcW w:w="287"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 operating cash flows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1,936,034</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1,448,276</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 financing cash flows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11,652,936</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8,548,735</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 operating cash flows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8,783,992</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7,226,459</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Right-of-use Assets Obtained in Exchange for Lease Liabilities: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6,246,278</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6,985,242</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23,095,354</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11,684,403</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3.10 yrs</w:t>
            </w:r>
          </w:p>
        </w:tc>
        <w:tc>
          <w:tcPr>
            <w:tcW w:w="32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2.97 yrs</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4.97 yrs</w:t>
            </w:r>
          </w:p>
        </w:tc>
        <w:tc>
          <w:tcPr>
            <w:tcW w:w="32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4.77 yrs</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finance leases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6.64</w:t>
            </w:r>
          </w:p>
        </w:tc>
        <w:tc>
          <w:tcPr>
            <w:tcW w:w="321"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10.18</w:t>
            </w:r>
          </w:p>
        </w:tc>
        <w:tc>
          <w:tcPr>
            <w:tcW w:w="287"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 leases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8.49</w:t>
            </w:r>
          </w:p>
        </w:tc>
        <w:tc>
          <w:tcPr>
            <w:tcW w:w="321"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7.33</w:t>
            </w:r>
          </w:p>
        </w:tc>
        <w:tc>
          <w:tcPr>
            <w:tcW w:w="287" w:type="dxa"/>
            <w:tcBorders/>
            <w:shd w:fill="CCEEFF" w:val="clear"/>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is a maturity analysis of annual undiscounted cash flows for lease liabilities as of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7"/>
        <w:gridCol w:w="290"/>
        <w:gridCol w:w="145"/>
        <w:gridCol w:w="1149"/>
        <w:gridCol w:w="155"/>
        <w:gridCol w:w="237"/>
        <w:gridCol w:w="145"/>
        <w:gridCol w:w="1149"/>
        <w:gridCol w:w="158"/>
      </w:tblGrid>
      <w:tr>
        <w:trPr/>
        <w:tc>
          <w:tcPr>
            <w:tcW w:w="4327"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7"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center"/>
              <w:rPr>
                <w:b/>
              </w:rPr>
            </w:pPr>
            <w:r>
              <w:rPr>
                <w:b/>
              </w:rPr>
              <w:t>Operating</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center"/>
              <w:rPr>
                <w:b/>
              </w:rPr>
            </w:pPr>
            <w:r>
              <w:rPr>
                <w:b/>
              </w:rPr>
              <w:t>Finance</w:t>
            </w:r>
          </w:p>
        </w:tc>
        <w:tc>
          <w:tcPr>
            <w:tcW w:w="158" w:type="dxa"/>
            <w:tcBorders/>
            <w:vAlign w:val="bottom"/>
          </w:tcPr>
          <w:p>
            <w:pPr>
              <w:pStyle w:val="TableContents"/>
              <w:bidi w:val="0"/>
              <w:spacing w:before="0" w:after="283"/>
              <w:jc w:val="left"/>
              <w:rPr/>
            </w:pPr>
            <w:r>
              <w:rPr/>
              <w:t> </w:t>
            </w:r>
          </w:p>
        </w:tc>
      </w:tr>
      <w:tr>
        <w:trPr/>
        <w:tc>
          <w:tcPr>
            <w:tcW w:w="4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Maturity</w:t>
            </w:r>
          </w:p>
        </w:tc>
        <w:tc>
          <w:tcPr>
            <w:tcW w:w="290"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Leases</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Leases</w:t>
            </w:r>
          </w:p>
        </w:tc>
        <w:tc>
          <w:tcPr>
            <w:tcW w:w="158"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5,674,947</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14,463,522</w:t>
            </w:r>
          </w:p>
        </w:tc>
        <w:tc>
          <w:tcPr>
            <w:tcW w:w="158"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5,073,251</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10,687,547</w:t>
            </w:r>
          </w:p>
        </w:tc>
        <w:tc>
          <w:tcPr>
            <w:tcW w:w="158"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b/>
              </w:rPr>
            </w:pPr>
            <w:r>
              <w:rPr>
                <w:b/>
              </w:rPr>
              <w:t>3,952,499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b/>
              </w:rPr>
            </w:pPr>
            <w:r>
              <w:rPr>
                <w:b/>
              </w:rPr>
              <w:t>7,702,180</w:t>
            </w:r>
          </w:p>
        </w:tc>
        <w:tc>
          <w:tcPr>
            <w:tcW w:w="158"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2,985,665</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3,458,833</w:t>
            </w:r>
          </w:p>
        </w:tc>
        <w:tc>
          <w:tcPr>
            <w:tcW w:w="158"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b/>
              </w:rPr>
            </w:pPr>
            <w:r>
              <w:rPr>
                <w:b/>
              </w:rPr>
              <w:t>1,957,977</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b/>
              </w:rPr>
            </w:pPr>
            <w:r>
              <w:rPr>
                <w:b/>
              </w:rPr>
              <w:t>622,849</w:t>
            </w:r>
          </w:p>
        </w:tc>
        <w:tc>
          <w:tcPr>
            <w:tcW w:w="158"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In Agregate thereafter</w:t>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3,462,639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469,473</w:t>
            </w:r>
          </w:p>
        </w:tc>
        <w:tc>
          <w:tcPr>
            <w:tcW w:w="158" w:type="dxa"/>
            <w:tcBorders/>
            <w:vAlign w:val="bottom"/>
          </w:tcPr>
          <w:p>
            <w:pPr>
              <w:pStyle w:val="TableContents"/>
              <w:bidi w:val="0"/>
              <w:spacing w:before="0" w:after="283"/>
              <w:jc w:val="left"/>
              <w:rPr/>
            </w:pPr>
            <w:r>
              <w:rPr/>
              <w:t> </w:t>
            </w:r>
          </w:p>
        </w:tc>
      </w:tr>
      <w:tr>
        <w:trPr/>
        <w:tc>
          <w:tcPr>
            <w:tcW w:w="4327"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23,106,978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37,404,404</w:t>
            </w:r>
          </w:p>
        </w:tc>
        <w:tc>
          <w:tcPr>
            <w:tcW w:w="158" w:type="dxa"/>
            <w:tcBorders/>
            <w:shd w:fill="CCEEFF" w:val="clear"/>
            <w:vAlign w:val="bottom"/>
          </w:tcPr>
          <w:p>
            <w:pPr>
              <w:pStyle w:val="TableContents"/>
              <w:bidi w:val="0"/>
              <w:spacing w:before="0" w:after="283"/>
              <w:jc w:val="left"/>
              <w:rPr/>
            </w:pPr>
            <w:r>
              <w:rPr/>
              <w:t> </w:t>
            </w:r>
          </w:p>
        </w:tc>
      </w:tr>
      <w:tr>
        <w:trPr/>
        <w:tc>
          <w:tcPr>
            <w:tcW w:w="4327"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149" w:type="dxa"/>
            <w:tcBorders/>
            <w:vAlign w:val="bottom"/>
          </w:tcPr>
          <w:p>
            <w:pPr>
              <w:pStyle w:val="TableContents"/>
              <w:bidi w:val="0"/>
              <w:spacing w:before="0" w:after="283"/>
              <w:jc w:val="right"/>
              <w:rPr>
                <w:b/>
              </w:rPr>
            </w:pPr>
            <w:r>
              <w:rPr>
                <w:b/>
              </w:rPr>
              <w:t>(4,873,408</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149" w:type="dxa"/>
            <w:tcBorders/>
            <w:vAlign w:val="bottom"/>
          </w:tcPr>
          <w:p>
            <w:pPr>
              <w:pStyle w:val="TableContents"/>
              <w:bidi w:val="0"/>
              <w:spacing w:before="0" w:after="283"/>
              <w:jc w:val="right"/>
              <w:rPr>
                <w:b/>
              </w:rPr>
            </w:pPr>
            <w:r>
              <w:rPr>
                <w:b/>
              </w:rPr>
              <w:t>(4,019,827</w:t>
            </w:r>
          </w:p>
        </w:tc>
        <w:tc>
          <w:tcPr>
            <w:tcW w:w="158" w:type="dxa"/>
            <w:tcBorders/>
            <w:vAlign w:val="bottom"/>
          </w:tcPr>
          <w:p>
            <w:pPr>
              <w:pStyle w:val="TableContents"/>
              <w:bidi w:val="0"/>
              <w:spacing w:before="0" w:after="283"/>
              <w:jc w:val="left"/>
              <w:rPr>
                <w:b/>
              </w:rPr>
            </w:pPr>
            <w:r>
              <w:rPr>
                <w:b/>
              </w:rPr>
              <w:t>) </w:t>
            </w:r>
          </w:p>
        </w:tc>
      </w:tr>
      <w:tr>
        <w:trPr/>
        <w:tc>
          <w:tcPr>
            <w:tcW w:w="4327"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2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18,233,570</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49" w:type="dxa"/>
            <w:tcBorders/>
            <w:shd w:fill="CCEEFF" w:val="clear"/>
            <w:vAlign w:val="bottom"/>
          </w:tcPr>
          <w:p>
            <w:pPr>
              <w:pStyle w:val="TableContents"/>
              <w:bidi w:val="0"/>
              <w:spacing w:before="0" w:after="283"/>
              <w:jc w:val="right"/>
              <w:rPr>
                <w:b/>
              </w:rPr>
            </w:pPr>
            <w:r>
              <w:rPr>
                <w:b/>
              </w:rPr>
              <w:t>33,384,577</w:t>
            </w:r>
          </w:p>
        </w:tc>
        <w:tc>
          <w:tcPr>
            <w:tcW w:w="158" w:type="dxa"/>
            <w:tcBorders/>
            <w:shd w:fill="CCEEFF" w:val="clear"/>
            <w:vAlign w:val="bottom"/>
          </w:tcPr>
          <w:p>
            <w:pPr>
              <w:pStyle w:val="TableContents"/>
              <w:bidi w:val="0"/>
              <w:spacing w:before="0" w:after="283"/>
              <w:jc w:val="left"/>
              <w:rPr/>
            </w:pPr>
            <w:r>
              <w:rPr/>
              <w:t> </w:t>
            </w:r>
          </w:p>
        </w:tc>
      </w:tr>
      <w:tr>
        <w:trPr/>
        <w:tc>
          <w:tcPr>
            <w:tcW w:w="4327"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a tax-qualified employee savings and retirement plan, commonly known as a 401(k) plan (the Plan), which covers the Companys eligible employees. Pursuant to the Plan, employees may elect to reduce their current compensation up to the IRS annual contribution limit. The amount contributed to the Plan is on a pre-tax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provides for discretionary matching contributions as determined by the Board of Directors for each calendar year. All matching contributions vest based on length of service, participants are 100% vested after 4 years of service. The program during fiscal 2024 and 2023 matched $0.50 for every Dollar contributed by the employee up to the first 3% of pay in 2023, and starting January 1, 2024, up to the first 4% of pay. The Companys matching contributions to the Plan totaled approximately $3.8 million and $1.9 million for the years ended December 31, 2024 and 2023,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10.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MCM acquisition described in Note 2 resulted in $2 million of deferred cash consideration to the seller. This seller has continued with the acquired entity as a key member of management. </w:t>
      </w:r>
    </w:p>
    <w:p>
      <w:pPr>
        <w:pStyle w:val="TextBody"/>
        <w:bidi w:val="0"/>
        <w:spacing w:before="240" w:after="0"/>
        <w:jc w:val="left"/>
        <w:rPr>
          <w:rFonts w:ascii="Times New Roman" w:hAnsi="Times New Roman"/>
          <w:sz w:val="20"/>
        </w:rPr>
      </w:pPr>
      <w:r>
        <w:rPr>
          <w:rFonts w:ascii="Times New Roman" w:hAnsi="Times New Roman"/>
          <w:sz w:val="20"/>
        </w:rPr>
        <w:t xml:space="preserve">A stockholder of the Companys ultimate parent is one of the lenders in the Companys credit facility (Note 6). The stockholders portion of the credit facility was approximately $60 million as of December 31, 2024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JF Holdings Corp.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11.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credit risks consist principally of uninsured bank deposits and trade accounts receivable. The Companys policy is to place its cash deposits with high-credit quality financial institutions and at times cash accounts may exceed FDIC insurance limits. The Company has never experienced any losses related to these balances. The Company routinely assesses the financial strength of its customers and believes that its trade receivable credit risk exposure is limited. The Company does not require collateral relating to its trade receivables.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had sales to one customer totaling approximately 15% of total revenues. During the year ended December 31, 2023, the Company had no customer that accounted for more than 10% of total revenues.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2024 and 2023, the Company made purchases from one vendor totaling approximately 21% and 26% of total purchases,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periodically involved in legal actions and claims that arise as a result of events that occur in the normal course of operations. Management does not expect the ultimate resolution of these actions to have a material effect on the Companys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13.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the effects of all subsequent events from December 31, 2024, through April 28, 2025, the date the consolidated financial statements were available for issuance, and did not identify any additional items that would materially affect the consolidated financial statements or require additional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83414/000119312507075646/dex99a.htm" TargetMode="External"/><Relationship Id="rId3" Type="http://schemas.openxmlformats.org/officeDocument/2006/relationships/hyperlink" Target="http://www.sec.gov/Archives/edgar/data/1383414/000095017024092751/pnnt-ex3_2.htm" TargetMode="External"/><Relationship Id="rId4" Type="http://schemas.openxmlformats.org/officeDocument/2006/relationships/hyperlink" Target="http://www.sec.gov/Archives/edgar/data/1383414/000156459020024172/pnnt-ex32_163.htm" TargetMode="External"/><Relationship Id="rId5" Type="http://schemas.openxmlformats.org/officeDocument/2006/relationships/hyperlink" Target="http://www.sec.gov/Archives/edgar/data/1383414/000119312508072557/dex99d1.htm" TargetMode="External"/><Relationship Id="rId6" Type="http://schemas.openxmlformats.org/officeDocument/2006/relationships/hyperlink" Target="http://www.sec.gov/Archives/edgar/data/1383414/000119312513018556/d470556dex99d8.htm" TargetMode="External"/><Relationship Id="rId7" Type="http://schemas.openxmlformats.org/officeDocument/2006/relationships/hyperlink" Target="http://www.sec.gov/Archives/edgar/data/1383414/000119312521125241/d124015dex41.htm" TargetMode="External"/><Relationship Id="rId8" Type="http://schemas.openxmlformats.org/officeDocument/2006/relationships/hyperlink" Target="http://www.sec.gov/Archives/edgar/data/1383414/000119312521125241/d124015dex41.htm" TargetMode="External"/><Relationship Id="rId9" Type="http://schemas.openxmlformats.org/officeDocument/2006/relationships/hyperlink" Target="http://www.sec.gov/Archives/edgar/data/1383414/000119312521303994/d236895dex41.htm" TargetMode="External"/><Relationship Id="rId10" Type="http://schemas.openxmlformats.org/officeDocument/2006/relationships/hyperlink" Target="http://www.sec.gov/Archives/edgar/data/1383414/000119312521303994/d236895dex41.htm" TargetMode="External"/><Relationship Id="rId11" Type="http://schemas.openxmlformats.org/officeDocument/2006/relationships/hyperlink" Target="http://www.sec.gov/Archives/edgar/data/1383414/000156459019044110/pnnt-ex47_7.htm" TargetMode="External"/><Relationship Id="rId12" Type="http://schemas.openxmlformats.org/officeDocument/2006/relationships/hyperlink" Target="http://www.sec.gov/Archives/edgar/data/1383414/000095017024092751/pnnt-ex10_2.htm" TargetMode="External"/><Relationship Id="rId13" Type="http://schemas.openxmlformats.org/officeDocument/2006/relationships/hyperlink" Target="http://www.sec.gov/Archives/edgar/data/1383414/000119312508072557/dex99e.htm" TargetMode="External"/><Relationship Id="rId14" Type="http://schemas.openxmlformats.org/officeDocument/2006/relationships/hyperlink" Target="http://www.sec.gov/Archives/edgar/data/1383414/000156459017015976/pnnt-ex101_12.htm" TargetMode="External"/><Relationship Id="rId15" Type="http://schemas.openxmlformats.org/officeDocument/2006/relationships/hyperlink" Target="http://www.sec.gov/Archives/edgar/data/1383414/000119312516773701/d285279dex105.htm" TargetMode="External"/><Relationship Id="rId16" Type="http://schemas.openxmlformats.org/officeDocument/2006/relationships/hyperlink" Target="http://www.sec.gov/Archives/edgar/data/1383414/000095017024092751/pnnt-ex10_1.htm" TargetMode="External"/><Relationship Id="rId17" Type="http://schemas.openxmlformats.org/officeDocument/2006/relationships/hyperlink" Target="http://www.sec.gov/Archives/edgar/data/1383414/000119312519240958/d761962dex101.htm" TargetMode="External"/><Relationship Id="rId18" Type="http://schemas.openxmlformats.org/officeDocument/2006/relationships/hyperlink" Target="http://www.sec.gov/Archives/edgar/data/1383414/000119312520208851/d41849dex101.htm" TargetMode="External"/><Relationship Id="rId19" Type="http://schemas.openxmlformats.org/officeDocument/2006/relationships/hyperlink" Target="http://www.sec.gov/Archives/edgar/data/1383414/000156459020054639/pnnt-ex1012_753.htm" TargetMode="External"/><Relationship Id="rId20" Type="http://schemas.openxmlformats.org/officeDocument/2006/relationships/hyperlink" Target="http://www.sec.gov/Archives/edgar/data/1383414/000095017022014227/pnnt-ex10_3.htm" TargetMode="External"/><Relationship Id="rId21" Type="http://schemas.openxmlformats.org/officeDocument/2006/relationships/hyperlink" Target="http://www.sec.gov/Archives/edgar/data/1383414/000095017022014227/pnnt-ex10_2.htm" TargetMode="External"/><Relationship Id="rId22" Type="http://schemas.openxmlformats.org/officeDocument/2006/relationships/hyperlink" Target="http://www.sec.gov/Archives/edgar/data/1383414/000119312524154397/d732456dex11.htm" TargetMode="External"/><Relationship Id="rId23" Type="http://schemas.openxmlformats.org/officeDocument/2006/relationships/hyperlink" Target="http://www.sec.gov/Archives/edgar/data/1383414/000119312524154397/d732456dex12.htm" TargetMode="External"/><Relationship Id="rId24" Type="http://schemas.openxmlformats.org/officeDocument/2006/relationships/hyperlink" Target="http://www.sec.gov/Archives/edgar/data/1383414/000095017024092751/pnnt-ex10_5.htm" TargetMode="External"/><Relationship Id="rId25" Type="http://schemas.openxmlformats.org/officeDocument/2006/relationships/hyperlink" Target="http://www.sec.gov/Archives/edgar/data/1383414/000095017023068909/pnnt-ex14_1.htm" TargetMode="External"/><Relationship Id="rId26" Type="http://schemas.openxmlformats.org/officeDocument/2006/relationships/hyperlink" Target="http://www.sec.gov/Archives/edgar/data/1383414/000095017023068909/pnnt-ex14_1.htm" TargetMode="External"/><Relationship Id="rId27" Type="http://schemas.openxmlformats.org/officeDocument/2006/relationships/hyperlink" Target="http://www.sec.gov/Archives/edgar/data/1383414/000095017022025352/pnnt-ex21_1.htm" TargetMode="External"/><Relationship Id="rId28" Type="http://schemas.openxmlformats.org/officeDocument/2006/relationships/hyperlink" Target="http://www.sec.gov/Archives/edgar/data/1383414/000095017023068909/pnnt-ex97_1.htm" TargetMode="External"/><Relationship Id="rId29" Type="http://schemas.openxmlformats.org/officeDocument/2006/relationships/hyperlink" Target="http://www.sec.gov/Archives/edgar/data/1383414/000095017023068909/pnnt-ex99_1.htm" TargetMode="External"/><Relationship Id="rId30" Type="http://schemas.openxmlformats.org/officeDocument/2006/relationships/hyperlink" Target="http://www.sec.gov/Archives/edgar/data/1383414/000095017024130670/pnnt-ex99_2.htm" TargetMode="External"/><Relationship Id="rId31" Type="http://schemas.openxmlformats.org/officeDocument/2006/relationships/image" Target="media/image1.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21226</Words>
  <Characters>119369</Characters>
  <CharactersWithSpaces>143815</CharactersWithSpaces>
  <Paragraphs>6990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