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left="1040" w:right="2000"/>
        <w:spacing w:after="0" w:line="266" w:lineRule="auto"/>
        <w:rPr>
          <w:sz w:val="20"/>
          <w:szCs w:val="20"/>
          <w:color w:val="auto"/>
        </w:rPr>
      </w:pPr>
      <w:r>
        <w:rPr>
          <w:rFonts w:ascii="Arial" w:cs="Arial" w:eastAsia="Arial" w:hAnsi="Arial"/>
          <w:sz w:val="18"/>
          <w:szCs w:val="18"/>
          <w:b w:val="1"/>
          <w:bCs w:val="1"/>
          <w:color w:val="auto"/>
        </w:rPr>
        <w:t>As filed with the Securities and Exchange Commission on January 29, 2020. Securities Act Registration No. 333-230014 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71755</wp:posOffset>
            </wp:positionV>
            <wp:extent cx="67233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3380" cy="8890"/>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114935</wp:posOffset>
            </wp:positionV>
            <wp:extent cx="67233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64"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177165</wp:posOffset>
            </wp:positionV>
            <wp:extent cx="6723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343535</wp:posOffset>
            </wp:positionV>
            <wp:extent cx="6723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2" w:lineRule="exact"/>
        <w:rPr>
          <w:sz w:val="24"/>
          <w:szCs w:val="24"/>
          <w:color w:val="auto"/>
        </w:rPr>
      </w:pPr>
    </w:p>
    <w:p>
      <w:pPr>
        <w:ind w:left="4660"/>
        <w:spacing w:after="0" w:line="207" w:lineRule="exact"/>
        <w:rPr>
          <w:sz w:val="20"/>
          <w:szCs w:val="20"/>
          <w:color w:val="auto"/>
        </w:rPr>
      </w:pPr>
      <w:r>
        <w:rPr>
          <w:rFonts w:ascii="Arial" w:cs="Arial" w:eastAsia="Arial" w:hAnsi="Arial"/>
          <w:sz w:val="18"/>
          <w:szCs w:val="18"/>
          <w:b w:val="1"/>
          <w:bCs w:val="1"/>
          <w:color w:val="auto"/>
        </w:rPr>
        <w:t xml:space="preserve">Post-Effective Amendment No. 3 </w:t>
      </w:r>
      <w:r>
        <w:rPr>
          <w:rFonts w:ascii="MS PGothic" w:cs="MS PGothic" w:eastAsia="MS PGothic" w:hAnsi="MS PGothic"/>
          <w:sz w:val="18"/>
          <w:szCs w:val="18"/>
          <w:color w:val="auto"/>
        </w:rPr>
        <w:t>☒</w:t>
      </w:r>
    </w:p>
    <w:p>
      <w:pPr>
        <w:spacing w:after="0" w:line="9"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b w:val="1"/>
          <w:bCs w:val="1"/>
          <w:color w:val="auto"/>
        </w:rPr>
        <w:t xml:space="preserve">Pre-Effective Amendment </w:t>
      </w:r>
      <w:r>
        <w:rPr>
          <w:rFonts w:ascii="MS PGothic" w:cs="MS PGothic" w:eastAsia="MS PGothic" w:hAnsi="MS PGothic"/>
          <w:sz w:val="18"/>
          <w:szCs w:val="18"/>
          <w:color w:val="auto"/>
        </w:rPr>
        <w:t>☐</w:t>
      </w:r>
    </w:p>
    <w:p>
      <w:pPr>
        <w:spacing w:after="0" w:line="297"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PennantPark Investment Corporation</w:t>
      </w:r>
    </w:p>
    <w:p>
      <w:pPr>
        <w:spacing w:after="0" w:line="40"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167640</wp:posOffset>
            </wp:positionV>
            <wp:extent cx="6723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34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590 Madison Avenue</w:t>
      </w:r>
    </w:p>
    <w:p>
      <w:pPr>
        <w:spacing w:after="0" w:line="2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(212) 905-1000</w:t>
      </w:r>
    </w:p>
    <w:p>
      <w:pPr>
        <w:spacing w:after="0" w:line="2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Arthur H. Penn</w:t>
      </w:r>
    </w:p>
    <w:p>
      <w:pPr>
        <w:spacing w:after="0" w:line="2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c/o PennantPark Investment Corporation</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168910</wp:posOffset>
            </wp:positionV>
            <wp:extent cx="6723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34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i w:val="1"/>
          <w:iCs w:val="1"/>
          <w:color w:val="auto"/>
        </w:rPr>
        <w:t>Copies to:</w:t>
      </w:r>
    </w:p>
    <w:p>
      <w:pPr>
        <w:spacing w:after="0" w:line="8"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Thomas Friedmann</w:t>
      </w:r>
    </w:p>
    <w:p>
      <w:pPr>
        <w:spacing w:after="0" w:line="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Washington, DC 20006-1110</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72"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180340</wp:posOffset>
            </wp:positionV>
            <wp:extent cx="67233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pacing w:after="0" w:line="304" w:lineRule="exact"/>
        <w:rPr>
          <w:sz w:val="24"/>
          <w:szCs w:val="24"/>
          <w:color w:val="auto"/>
        </w:rPr>
      </w:pPr>
    </w:p>
    <w:p>
      <w:pPr>
        <w:ind w:left="640" w:firstLine="10"/>
        <w:spacing w:after="0" w:line="233" w:lineRule="exact"/>
        <w:rPr>
          <w:sz w:val="20"/>
          <w:szCs w:val="20"/>
          <w:color w:val="auto"/>
        </w:rPr>
      </w:pPr>
      <w:r>
        <w:rPr>
          <w:rFonts w:ascii="Arial" w:cs="Arial" w:eastAsia="Arial" w:hAnsi="Arial"/>
          <w:sz w:val="17"/>
          <w:szCs w:val="17"/>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7"/>
          <w:szCs w:val="17"/>
          <w:color w:val="auto"/>
        </w:rPr>
        <w:t>☒</w:t>
      </w:r>
    </w:p>
    <w:p>
      <w:pPr>
        <w:spacing w:after="0" w:line="3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77" w:lineRule="exact"/>
        <w:rPr>
          <w:sz w:val="24"/>
          <w:szCs w:val="24"/>
          <w:color w:val="auto"/>
        </w:rPr>
      </w:pPr>
    </w:p>
    <w:p>
      <w:pPr>
        <w:ind w:left="860" w:hanging="206"/>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ectPr>
          <w:pgSz w:w="11900" w:h="16838" w:orient="portrait"/>
          <w:cols w:equalWidth="0" w:num="1">
            <w:col w:w="10620"/>
          </w:cols>
          <w:pgMar w:left="240" w:top="230" w:right="10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39"/>
        </w:trPr>
        <w:tc>
          <w:tcPr>
            <w:tcW w:w="3800" w:type="dxa"/>
            <w:vAlign w:val="bottom"/>
            <w:tcBorders>
              <w:top w:val="single" w:sz="8" w:color="auto"/>
              <w:left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1520" w:type="dxa"/>
            <w:vAlign w:val="bottom"/>
            <w:tcBorders>
              <w:top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4"/>
              </w:rPr>
              <w:t>Proposed Maximum</w:t>
            </w:r>
          </w:p>
        </w:tc>
        <w:tc>
          <w:tcPr>
            <w:tcW w:w="120" w:type="dxa"/>
            <w:vAlign w:val="bottom"/>
            <w:tcBorders>
              <w:top w:val="single" w:sz="8" w:color="auto"/>
            </w:tcBorders>
          </w:tcPr>
          <w:p>
            <w:pPr>
              <w:spacing w:after="0"/>
              <w:rPr>
                <w:sz w:val="12"/>
                <w:szCs w:val="12"/>
                <w:color w:val="auto"/>
              </w:rPr>
            </w:pPr>
          </w:p>
        </w:tc>
        <w:tc>
          <w:tcPr>
            <w:tcW w:w="1780" w:type="dxa"/>
            <w:vAlign w:val="bottom"/>
            <w:tcBorders>
              <w:top w:val="single" w:sz="8" w:color="auto"/>
              <w:right w:val="single" w:sz="8" w:color="auto"/>
            </w:tcBorders>
          </w:tcPr>
          <w:p>
            <w:pPr>
              <w:jc w:val="center"/>
              <w:ind w:right="428"/>
              <w:spacing w:after="0" w:line="139" w:lineRule="exact"/>
              <w:rPr>
                <w:sz w:val="20"/>
                <w:szCs w:val="20"/>
                <w:color w:val="auto"/>
              </w:rPr>
            </w:pPr>
            <w:r>
              <w:rPr>
                <w:rFonts w:ascii="Arial" w:cs="Arial" w:eastAsia="Arial" w:hAnsi="Arial"/>
                <w:sz w:val="14"/>
                <w:szCs w:val="14"/>
                <w:b w:val="1"/>
                <w:bCs w:val="1"/>
                <w:color w:val="auto"/>
                <w:w w:val="93"/>
              </w:rPr>
              <w:t>Proposed Maximum</w:t>
            </w:r>
          </w:p>
        </w:tc>
        <w:tc>
          <w:tcPr>
            <w:tcW w:w="120" w:type="dxa"/>
            <w:vAlign w:val="bottom"/>
            <w:tcBorders>
              <w:top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800" w:type="dxa"/>
            <w:vAlign w:val="bottom"/>
            <w:tcBorders>
              <w:left w:val="single" w:sz="8" w:color="auto"/>
              <w:right w:val="single" w:sz="8" w:color="auto"/>
            </w:tcBorders>
            <w:vMerge w:val="restart"/>
          </w:tcPr>
          <w:p>
            <w:pPr>
              <w:ind w:left="880"/>
              <w:spacing w:after="0"/>
              <w:rPr>
                <w:sz w:val="20"/>
                <w:szCs w:val="20"/>
                <w:color w:val="auto"/>
              </w:rPr>
            </w:pPr>
            <w:r>
              <w:rPr>
                <w:rFonts w:ascii="Arial" w:cs="Arial" w:eastAsia="Arial" w:hAnsi="Arial"/>
                <w:sz w:val="14"/>
                <w:szCs w:val="14"/>
                <w:b w:val="1"/>
                <w:bCs w:val="1"/>
                <w:color w:val="auto"/>
              </w:rPr>
              <w:t>Title of Securities Being Registered</w:t>
            </w:r>
          </w:p>
        </w:tc>
        <w:tc>
          <w:tcPr>
            <w:tcW w:w="1160" w:type="dxa"/>
            <w:vAlign w:val="bottom"/>
            <w:tcBorders>
              <w:right w:val="single" w:sz="8" w:color="auto"/>
            </w:tcBorders>
          </w:tcPr>
          <w:p>
            <w:pPr>
              <w:jc w:val="right"/>
              <w:ind w:right="88"/>
              <w:spacing w:after="0" w:line="158" w:lineRule="exact"/>
              <w:rPr>
                <w:sz w:val="20"/>
                <w:szCs w:val="20"/>
                <w:color w:val="auto"/>
              </w:rPr>
            </w:pPr>
            <w:r>
              <w:rPr>
                <w:rFonts w:ascii="Arial" w:cs="Arial" w:eastAsia="Arial" w:hAnsi="Arial"/>
                <w:sz w:val="14"/>
                <w:szCs w:val="14"/>
                <w:b w:val="1"/>
                <w:bCs w:val="1"/>
                <w:color w:val="auto"/>
              </w:rPr>
              <w:t>Amount Being</w:t>
            </w:r>
          </w:p>
        </w:tc>
        <w:tc>
          <w:tcPr>
            <w:tcW w:w="152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7"/>
              </w:rPr>
              <w:t>Offering Price</w:t>
            </w:r>
          </w:p>
        </w:tc>
        <w:tc>
          <w:tcPr>
            <w:tcW w:w="120" w:type="dxa"/>
            <w:vAlign w:val="bottom"/>
          </w:tcPr>
          <w:p>
            <w:pPr>
              <w:spacing w:after="0"/>
              <w:rPr>
                <w:sz w:val="13"/>
                <w:szCs w:val="13"/>
                <w:color w:val="auto"/>
              </w:rPr>
            </w:pPr>
          </w:p>
        </w:tc>
        <w:tc>
          <w:tcPr>
            <w:tcW w:w="1780" w:type="dxa"/>
            <w:vAlign w:val="bottom"/>
            <w:tcBorders>
              <w:right w:val="single" w:sz="8" w:color="auto"/>
            </w:tcBorders>
          </w:tcPr>
          <w:p>
            <w:pPr>
              <w:jc w:val="center"/>
              <w:ind w:right="428"/>
              <w:spacing w:after="0" w:line="158" w:lineRule="exact"/>
              <w:rPr>
                <w:sz w:val="20"/>
                <w:szCs w:val="20"/>
                <w:color w:val="auto"/>
              </w:rPr>
            </w:pPr>
            <w:r>
              <w:rPr>
                <w:rFonts w:ascii="Arial" w:cs="Arial" w:eastAsia="Arial" w:hAnsi="Arial"/>
                <w:sz w:val="14"/>
                <w:szCs w:val="14"/>
                <w:b w:val="1"/>
                <w:bCs w:val="1"/>
                <w:color w:val="auto"/>
                <w:w w:val="92"/>
              </w:rPr>
              <w:t>Aggregate</w:t>
            </w:r>
          </w:p>
        </w:tc>
        <w:tc>
          <w:tcPr>
            <w:tcW w:w="120" w:type="dxa"/>
            <w:vAlign w:val="bottom"/>
          </w:tcPr>
          <w:p>
            <w:pPr>
              <w:spacing w:after="0"/>
              <w:rPr>
                <w:sz w:val="13"/>
                <w:szCs w:val="13"/>
                <w:color w:val="auto"/>
              </w:rPr>
            </w:pPr>
          </w:p>
        </w:tc>
        <w:tc>
          <w:tcPr>
            <w:tcW w:w="1640" w:type="dxa"/>
            <w:vAlign w:val="bottom"/>
            <w:tcBorders>
              <w:right w:val="single" w:sz="8" w:color="auto"/>
            </w:tcBorders>
          </w:tcPr>
          <w:p>
            <w:pPr>
              <w:jc w:val="center"/>
              <w:ind w:right="428"/>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380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160" w:type="dxa"/>
            <w:vAlign w:val="bottom"/>
            <w:tcBorders>
              <w:bottom w:val="single" w:sz="8" w:color="auto"/>
              <w:right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Registered</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Per Unit</w:t>
            </w:r>
          </w:p>
        </w:tc>
        <w:tc>
          <w:tcPr>
            <w:tcW w:w="120" w:type="dxa"/>
            <w:vAlign w:val="bottom"/>
            <w:tcBorders>
              <w:bottom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jc w:val="center"/>
              <w:ind w:right="448"/>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(1)</w:t>
            </w: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Common Stock, $0.001 par value</w:t>
            </w:r>
            <w:r>
              <w:rPr>
                <w:rFonts w:ascii="Arial" w:cs="Arial" w:eastAsia="Arial" w:hAnsi="Arial"/>
                <w:sz w:val="12"/>
                <w:szCs w:val="12"/>
                <w:color w:val="auto"/>
              </w:rPr>
              <w:t>(2)</w:t>
            </w:r>
          </w:p>
        </w:tc>
        <w:tc>
          <w:tcPr>
            <w:tcW w:w="1160" w:type="dxa"/>
            <w:vAlign w:val="bottom"/>
            <w:tcBorders>
              <w:bottom w:val="single" w:sz="8" w:color="auto"/>
              <w:right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jc w:val="right"/>
              <w:ind w:right="13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Preferred Stock, $0.001 par value</w:t>
            </w:r>
            <w:r>
              <w:rPr>
                <w:rFonts w:ascii="Arial" w:cs="Arial" w:eastAsia="Arial" w:hAnsi="Arial"/>
                <w:sz w:val="12"/>
                <w:szCs w:val="12"/>
                <w:color w:val="auto"/>
              </w:rPr>
              <w:t>(2)</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Warrants</w:t>
            </w:r>
            <w:r>
              <w:rPr>
                <w:rFonts w:ascii="Arial" w:cs="Arial" w:eastAsia="Arial" w:hAnsi="Arial"/>
                <w:sz w:val="12"/>
                <w:szCs w:val="12"/>
                <w:color w:val="auto"/>
              </w:rPr>
              <w:t>(2)</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Subscription Rights</w:t>
            </w:r>
            <w:r>
              <w:rPr>
                <w:rFonts w:ascii="Arial" w:cs="Arial" w:eastAsia="Arial" w:hAnsi="Arial"/>
                <w:sz w:val="12"/>
                <w:szCs w:val="12"/>
                <w:color w:val="auto"/>
              </w:rPr>
              <w:t>(3)</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Debt Securities</w:t>
            </w:r>
            <w:r>
              <w:rPr>
                <w:rFonts w:ascii="Arial" w:cs="Arial" w:eastAsia="Arial" w:hAnsi="Arial"/>
                <w:sz w:val="12"/>
                <w:szCs w:val="12"/>
                <w:color w:val="auto"/>
              </w:rPr>
              <w:t>(4)</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Units</w:t>
            </w:r>
            <w:r>
              <w:rPr>
                <w:rFonts w:ascii="Arial" w:cs="Arial" w:eastAsia="Arial" w:hAnsi="Arial"/>
                <w:sz w:val="12"/>
                <w:szCs w:val="12"/>
                <w:color w:val="auto"/>
              </w:rPr>
              <w:t>(5)</w:t>
            </w:r>
          </w:p>
        </w:tc>
        <w:tc>
          <w:tcPr>
            <w:tcW w:w="116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3800" w:type="dxa"/>
            <w:vAlign w:val="bottom"/>
            <w:tcBorders>
              <w:left w:val="single" w:sz="8" w:color="auto"/>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Total</w:t>
            </w:r>
          </w:p>
        </w:tc>
        <w:tc>
          <w:tcPr>
            <w:tcW w:w="1160" w:type="dxa"/>
            <w:vAlign w:val="bottom"/>
            <w:tcBorders>
              <w:bottom w:val="single" w:sz="8" w:color="auto"/>
              <w:right w:val="single" w:sz="8" w:color="auto"/>
            </w:tcBorders>
          </w:tcPr>
          <w:p>
            <w:pPr>
              <w:jc w:val="right"/>
              <w:ind w:right="928"/>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right w:val="single" w:sz="8" w:color="auto"/>
            </w:tcBorders>
          </w:tcPr>
          <w:p>
            <w:pPr>
              <w:jc w:val="right"/>
              <w:ind w:right="132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780" w:type="dxa"/>
            <w:vAlign w:val="bottom"/>
            <w:tcBorders>
              <w:bottom w:val="single" w:sz="8" w:color="auto"/>
              <w:right w:val="single" w:sz="8" w:color="auto"/>
            </w:tcBorders>
          </w:tcPr>
          <w:p>
            <w:pPr>
              <w:jc w:val="right"/>
              <w:ind w:right="228"/>
              <w:spacing w:after="0" w:line="142" w:lineRule="exact"/>
              <w:rPr>
                <w:sz w:val="20"/>
                <w:szCs w:val="20"/>
                <w:color w:val="auto"/>
              </w:rPr>
            </w:pPr>
            <w:r>
              <w:rPr>
                <w:rFonts w:ascii="Arial" w:cs="Arial" w:eastAsia="Arial" w:hAnsi="Arial"/>
                <w:sz w:val="14"/>
                <w:szCs w:val="14"/>
                <w:color w:val="auto"/>
              </w:rPr>
              <w:t>750,000,000</w:t>
            </w:r>
            <w:r>
              <w:rPr>
                <w:rFonts w:ascii="Arial" w:cs="Arial" w:eastAsia="Arial" w:hAnsi="Arial"/>
                <w:sz w:val="12"/>
                <w:szCs w:val="12"/>
                <w:color w:val="auto"/>
              </w:rPr>
              <w:t>(6)</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right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86,925</w:t>
            </w:r>
            <w:r>
              <w:rPr>
                <w:rFonts w:ascii="Arial" w:cs="Arial" w:eastAsia="Arial" w:hAnsi="Arial"/>
                <w:sz w:val="12"/>
                <w:szCs w:val="12"/>
                <w:color w:val="auto"/>
              </w:rPr>
              <w:t>(7)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80" w:right="200" w:hanging="544"/>
        <w:spacing w:after="0" w:line="264"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86" w:lineRule="exact"/>
        <w:rPr>
          <w:rFonts w:ascii="Arial" w:cs="Arial" w:eastAsia="Arial" w:hAnsi="Arial"/>
          <w:sz w:val="18"/>
          <w:szCs w:val="18"/>
          <w:color w:val="auto"/>
        </w:rPr>
      </w:pPr>
    </w:p>
    <w:p>
      <w:pPr>
        <w:ind w:left="1180" w:right="480" w:hanging="544"/>
        <w:spacing w:after="0" w:line="342" w:lineRule="auto"/>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Subject to Note 6 below, there is being registered hereunder an indeterminate number of shares of common stock, preferred stock, or warrants as may be sold, from time to time. Warrants represent rights to purchase common stock, preferred stock or debt securities.</w:t>
      </w:r>
    </w:p>
    <w:p>
      <w:pPr>
        <w:spacing w:after="0" w:line="29" w:lineRule="exact"/>
        <w:rPr>
          <w:rFonts w:ascii="Arial" w:cs="Arial" w:eastAsia="Arial" w:hAnsi="Arial"/>
          <w:sz w:val="16"/>
          <w:szCs w:val="16"/>
          <w:color w:val="auto"/>
        </w:rPr>
      </w:pPr>
    </w:p>
    <w:p>
      <w:pPr>
        <w:ind w:left="1180" w:right="200" w:hanging="544"/>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Note 6 below, there is being registered hereunder an indeterminate number of subscription rights as may be sold, from time to time, representing rights to purchase common stock.</w:t>
      </w:r>
    </w:p>
    <w:p>
      <w:pPr>
        <w:spacing w:after="0" w:line="75" w:lineRule="exact"/>
        <w:rPr>
          <w:rFonts w:ascii="Arial" w:cs="Arial" w:eastAsia="Arial" w:hAnsi="Arial"/>
          <w:sz w:val="18"/>
          <w:szCs w:val="18"/>
          <w:color w:val="auto"/>
        </w:rPr>
      </w:pPr>
    </w:p>
    <w:p>
      <w:pPr>
        <w:ind w:left="1180" w:hanging="544"/>
        <w:spacing w:after="0" w:line="264"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spacing w:after="0" w:line="86" w:lineRule="exact"/>
        <w:rPr>
          <w:rFonts w:ascii="Arial" w:cs="Arial" w:eastAsia="Arial" w:hAnsi="Arial"/>
          <w:sz w:val="18"/>
          <w:szCs w:val="18"/>
          <w:color w:val="auto"/>
        </w:rPr>
      </w:pPr>
    </w:p>
    <w:p>
      <w:pPr>
        <w:ind w:left="1180" w:right="200" w:hanging="544"/>
        <w:spacing w:after="0" w:line="342" w:lineRule="auto"/>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Subject to Note 6 below, there is being registered hereunder an indeterminate principal amount of units. Each unit may consist of a combination of any one or more of the securities being registered hereunder and may also include securities issued by the U.S. Treasury.</w:t>
      </w:r>
    </w:p>
    <w:p>
      <w:pPr>
        <w:spacing w:after="0" w:line="29" w:lineRule="exact"/>
        <w:rPr>
          <w:rFonts w:ascii="Arial" w:cs="Arial" w:eastAsia="Arial" w:hAnsi="Arial"/>
          <w:sz w:val="16"/>
          <w:szCs w:val="16"/>
          <w:color w:val="auto"/>
        </w:rPr>
      </w:pPr>
    </w:p>
    <w:p>
      <w:pPr>
        <w:ind w:left="1180" w:right="600" w:hanging="544"/>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no event will the aggregate offering price of all securities issued from time to time pursuant to this registration statement exceed $750,000,000.</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113" w:lineRule="exact"/>
        <w:rPr>
          <w:sz w:val="20"/>
          <w:szCs w:val="20"/>
          <w:color w:val="auto"/>
        </w:rPr>
      </w:pPr>
    </w:p>
    <w:p>
      <w:pPr>
        <w:ind w:left="200" w:right="160" w:firstLine="441"/>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and sale is not permitted.</w:t>
      </w:r>
    </w:p>
    <w:p>
      <w:pPr>
        <w:spacing w:after="0" w:line="1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DE1A1E"/>
        </w:rPr>
        <w:t>Subject to Completion</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PROSPECTUS</w:t>
      </w:r>
    </w:p>
    <w:p>
      <w:pPr>
        <w:spacing w:after="0" w:line="37"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62865</wp:posOffset>
            </wp:positionV>
            <wp:extent cx="1766570" cy="4286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657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Common Stock</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Preferred Stock</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Warrants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Subscription Rights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Debt Securities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Units</w:t>
      </w:r>
    </w:p>
    <w:p>
      <w:pPr>
        <w:spacing w:after="0" w:line="29" w:lineRule="exact"/>
        <w:rPr>
          <w:sz w:val="20"/>
          <w:szCs w:val="20"/>
          <w:color w:val="auto"/>
        </w:rPr>
      </w:pPr>
    </w:p>
    <w:p>
      <w:pPr>
        <w:ind w:left="200" w:right="300" w:firstLine="551"/>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10" w:lineRule="exact"/>
        <w:rPr>
          <w:sz w:val="20"/>
          <w:szCs w:val="20"/>
          <w:color w:val="auto"/>
        </w:rPr>
      </w:pPr>
    </w:p>
    <w:p>
      <w:pPr>
        <w:ind w:left="200" w:right="140" w:firstLine="55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 We can offer no assurances that we will achieve our investment objectives.</w:t>
      </w:r>
    </w:p>
    <w:p>
      <w:pPr>
        <w:spacing w:after="0" w:line="19" w:lineRule="exact"/>
        <w:rPr>
          <w:sz w:val="20"/>
          <w:szCs w:val="20"/>
          <w:color w:val="auto"/>
        </w:rPr>
      </w:pPr>
    </w:p>
    <w:p>
      <w:pPr>
        <w:ind w:left="200" w:right="340" w:firstLine="55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10" w:lineRule="exact"/>
        <w:rPr>
          <w:sz w:val="20"/>
          <w:szCs w:val="20"/>
          <w:color w:val="auto"/>
        </w:rPr>
      </w:pPr>
    </w:p>
    <w:p>
      <w:pPr>
        <w:ind w:left="200" w:right="20" w:firstLine="551"/>
        <w:spacing w:after="0" w:line="306" w:lineRule="auto"/>
        <w:rPr>
          <w:rFonts w:ascii="Arial" w:cs="Arial" w:eastAsia="Arial" w:hAnsi="Arial"/>
          <w:sz w:val="15"/>
          <w:szCs w:val="15"/>
          <w:color w:val="auto"/>
        </w:rPr>
      </w:pPr>
      <w:r>
        <w:rPr>
          <w:rFonts w:ascii="Arial" w:cs="Arial" w:eastAsia="Arial" w:hAnsi="Arial"/>
          <w:sz w:val="15"/>
          <w:szCs w:val="15"/>
          <w:color w:val="auto"/>
        </w:rPr>
        <w:t>We may offer, from time to time, in one or more offerings or series, together or separately, up to $750,000,000 of our common stock, preferred stock, warrants representing rights to purchase shares of our common stock, preferred stock or debt securities, subscription rights, debt securities, or units,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hyperlink w:anchor="page12">
        <w:r>
          <w:rPr>
            <w:rFonts w:ascii="Arial" w:cs="Arial" w:eastAsia="Arial" w:hAnsi="Arial"/>
            <w:sz w:val="15"/>
            <w:szCs w:val="15"/>
            <w:u w:val="single" w:color="auto"/>
            <w:color w:val="0000EE"/>
          </w:rPr>
          <w:t>Risk Factors</w:t>
        </w:r>
      </w:hyperlink>
      <w:r>
        <w:rPr>
          <w:rFonts w:ascii="Arial" w:cs="Arial" w:eastAsia="Arial" w:hAnsi="Arial"/>
          <w:sz w:val="15"/>
          <w:szCs w:val="15"/>
          <w:color w:val="auto"/>
        </w:rPr>
        <w:t>” on page 7 and “</w:t>
      </w:r>
      <w:hyperlink w:anchor="page18">
        <w:r>
          <w:rPr>
            <w:rFonts w:ascii="Arial" w:cs="Arial" w:eastAsia="Arial" w:hAnsi="Arial"/>
            <w:sz w:val="15"/>
            <w:szCs w:val="15"/>
            <w:u w:val="single" w:color="auto"/>
            <w:color w:val="0000EE"/>
          </w:rPr>
          <w:t>Sales of Common Stock Below Net Asset Value</w:t>
        </w:r>
      </w:hyperlink>
      <w:r>
        <w:rPr>
          <w:rFonts w:ascii="Arial" w:cs="Arial" w:eastAsia="Arial" w:hAnsi="Arial"/>
          <w:sz w:val="15"/>
          <w:szCs w:val="15"/>
          <w:color w:val="auto"/>
        </w:rPr>
        <w:t>” on page 13 of this prospectus for more information.</w:t>
      </w:r>
    </w:p>
    <w:p>
      <w:pPr>
        <w:spacing w:after="0" w:line="2" w:lineRule="exact"/>
        <w:rPr>
          <w:sz w:val="20"/>
          <w:szCs w:val="20"/>
          <w:color w:val="auto"/>
        </w:rPr>
      </w:pPr>
    </w:p>
    <w:p>
      <w:pPr>
        <w:ind w:left="200" w:firstLine="551"/>
        <w:spacing w:after="0" w:line="256" w:lineRule="auto"/>
        <w:rPr>
          <w:sz w:val="20"/>
          <w:szCs w:val="20"/>
          <w:color w:val="auto"/>
        </w:rPr>
      </w:pPr>
      <w:r>
        <w:rPr>
          <w:rFonts w:ascii="Arial" w:cs="Arial" w:eastAsia="Arial" w:hAnsi="Arial"/>
          <w:sz w:val="18"/>
          <w:szCs w:val="18"/>
          <w:color w:val="auto"/>
        </w:rPr>
        <w:t>Our common stock is traded on The Nasdaq Global Select Market under the symbol “PNNT.” The last reported closing price for our common stock on January 28, 2020 was $6.58 per share, and our net asset value on September 30, 2019 was $8.68 per share. Our 5.50% notes due 2024, or the 2024 Notes, are traded on The Nasdaq Global Select Market under the symbol “PNNTG.” The last reported closing price of the 2024 Notes on January 28, 2020 was $25.65 per $25 unit.</w:t>
      </w:r>
    </w:p>
    <w:p>
      <w:pPr>
        <w:spacing w:after="0" w:line="22" w:lineRule="exact"/>
        <w:rPr>
          <w:sz w:val="20"/>
          <w:szCs w:val="20"/>
          <w:color w:val="auto"/>
        </w:rPr>
      </w:pPr>
    </w:p>
    <w:p>
      <w:pPr>
        <w:ind w:left="200" w:right="60" w:firstLine="551"/>
        <w:spacing w:after="0" w:line="289"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37465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6" w:lineRule="exact"/>
        <w:rPr>
          <w:sz w:val="20"/>
          <w:szCs w:val="20"/>
          <w:color w:val="auto"/>
        </w:rPr>
      </w:pPr>
    </w:p>
    <w:p>
      <w:pPr>
        <w:ind w:left="200" w:right="80" w:firstLine="441"/>
        <w:spacing w:after="0" w:line="243"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35560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6" w:lineRule="exact"/>
        <w:rPr>
          <w:sz w:val="20"/>
          <w:szCs w:val="20"/>
          <w:color w:val="auto"/>
        </w:rPr>
      </w:pPr>
    </w:p>
    <w:p>
      <w:pPr>
        <w:ind w:left="200" w:right="480" w:firstLine="441"/>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50" w:lineRule="exact"/>
        <w:rPr>
          <w:sz w:val="20"/>
          <w:szCs w:val="20"/>
          <w:color w:val="auto"/>
        </w:rPr>
      </w:pPr>
    </w:p>
    <w:tbl>
      <w:tblPr>
        <w:tblLayout w:type="fixed"/>
        <w:tblInd w:w="4400" w:type="dxa"/>
        <w:tblCellMar>
          <w:top w:w="0" w:type="dxa"/>
          <w:left w:w="0" w:type="dxa"/>
          <w:bottom w:w="0" w:type="dxa"/>
          <w:right w:w="0" w:type="dxa"/>
        </w:tblCellMar>
      </w:tblPr>
      <w:tr>
        <w:trPr>
          <w:trHeight w:val="228"/>
        </w:trPr>
        <w:tc>
          <w:tcPr>
            <w:tcW w:w="1740" w:type="dxa"/>
            <w:vAlign w:val="bottom"/>
          </w:tcPr>
          <w:p>
            <w:pPr>
              <w:spacing w:after="0"/>
              <w:rPr>
                <w:sz w:val="20"/>
                <w:szCs w:val="20"/>
                <w:color w:val="auto"/>
              </w:rPr>
            </w:pPr>
            <w:r>
              <w:rPr>
                <w:rFonts w:ascii="Arial" w:cs="Arial" w:eastAsia="Arial" w:hAnsi="Arial"/>
                <w:sz w:val="18"/>
                <w:szCs w:val="18"/>
                <w:b w:val="1"/>
                <w:bCs w:val="1"/>
                <w:color w:val="auto"/>
              </w:rPr>
              <w:t>Prospectus dated</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551"/>
        <w:spacing w:after="0" w:line="289" w:lineRule="auto"/>
        <w:rPr>
          <w:sz w:val="20"/>
          <w:szCs w:val="20"/>
          <w:color w:val="auto"/>
        </w:rPr>
      </w:pPr>
      <w:r>
        <w:rPr>
          <w:rFonts w:ascii="Arial" w:cs="Arial" w:eastAsia="Arial" w:hAnsi="Arial"/>
          <w:sz w:val="16"/>
          <w:szCs w:val="16"/>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20" w:type="dxa"/>
            <w:vAlign w:val="bottom"/>
            <w:gridSpan w:val="4"/>
          </w:tcPr>
          <w:p>
            <w:pPr>
              <w:ind w:left="60"/>
              <w:spacing w:after="0"/>
              <w:rPr>
                <w:sz w:val="20"/>
                <w:szCs w:val="20"/>
                <w:color w:val="auto"/>
              </w:rPr>
            </w:pPr>
            <w:r>
              <w:rPr>
                <w:rFonts w:ascii="Arial" w:cs="Arial" w:eastAsia="Arial" w:hAnsi="Arial"/>
                <w:sz w:val="18"/>
                <w:szCs w:val="18"/>
                <w:b w:val="1"/>
                <w:bCs w:val="1"/>
                <w:color w:val="auto"/>
              </w:rPr>
              <w:t>TABLE OF CONTENTS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40" w:type="dxa"/>
            <w:vAlign w:val="bottom"/>
            <w:gridSpan w:val="8"/>
            <w:vMerge w:val="restart"/>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PROSPECTUS SUMMARY</w:t>
              </w:r>
            </w:hyperlink>
          </w:p>
        </w:tc>
        <w:tc>
          <w:tcPr>
            <w:tcW w:w="6700" w:type="dxa"/>
            <w:vAlign w:val="bottom"/>
            <w:gridSpan w:val="18"/>
            <w:vMerge w:val="restart"/>
          </w:tcPr>
          <w:p>
            <w:pPr>
              <w:spacing w:after="0"/>
              <w:rPr>
                <w:sz w:val="24"/>
                <w:szCs w:val="24"/>
                <w:color w:val="auto"/>
              </w:rPr>
            </w:pPr>
          </w:p>
        </w:tc>
        <w:tc>
          <w:tcPr>
            <w:tcW w:w="22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40" w:type="dxa"/>
            <w:vAlign w:val="bottom"/>
            <w:tcBorders>
              <w:bottom w:val="single" w:sz="8" w:color="0000EE"/>
            </w:tcBorders>
            <w:gridSpan w:val="8"/>
            <w:vMerge w:val="continue"/>
          </w:tcPr>
          <w:p>
            <w:pPr>
              <w:spacing w:after="0"/>
              <w:rPr>
                <w:sz w:val="14"/>
                <w:szCs w:val="14"/>
                <w:color w:val="auto"/>
              </w:rPr>
            </w:pPr>
          </w:p>
        </w:tc>
        <w:tc>
          <w:tcPr>
            <w:tcW w:w="6700" w:type="dxa"/>
            <w:vAlign w:val="bottom"/>
            <w:gridSpan w:val="18"/>
            <w:vMerge w:val="continue"/>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FEES AND EXPENSES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7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7000" w:type="dxa"/>
            <w:vAlign w:val="bottom"/>
            <w:gridSpan w:val="20"/>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FORWARD-LOOKING STATEMENTS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USE OF PROCEEDS</w:t>
              </w:r>
            </w:hyperlink>
          </w:p>
        </w:tc>
        <w:tc>
          <w:tcPr>
            <w:tcW w:w="5880" w:type="dxa"/>
            <w:vAlign w:val="bottom"/>
            <w:gridSpan w:val="12"/>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SENIOR SECURITIES</w:t>
              </w:r>
            </w:hyperlink>
          </w:p>
        </w:tc>
        <w:tc>
          <w:tcPr>
            <w:tcW w:w="7060" w:type="dxa"/>
            <w:vAlign w:val="bottom"/>
            <w:gridSpan w:val="21"/>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PRICE RANGE OF COMMON STOCK</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SALES OF COMMON STOCK BELOW NET ASSET VALUE</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DISTRIBUTIONS</w:t>
              </w:r>
            </w:hyperlink>
          </w:p>
        </w:tc>
        <w:tc>
          <w:tcPr>
            <w:tcW w:w="3180" w:type="dxa"/>
            <w:vAlign w:val="bottom"/>
            <w:tcBorders>
              <w:top w:val="single" w:sz="8" w:color="0000EE"/>
            </w:tcBorders>
            <w:gridSpan w:val="20"/>
          </w:tcPr>
          <w:p>
            <w:pPr>
              <w:spacing w:after="0"/>
              <w:rPr>
                <w:sz w:val="17"/>
                <w:szCs w:val="17"/>
                <w:color w:val="auto"/>
              </w:rPr>
            </w:pPr>
          </w:p>
        </w:tc>
        <w:tc>
          <w:tcPr>
            <w:tcW w:w="4220" w:type="dxa"/>
            <w:vAlign w:val="bottom"/>
            <w:gridSpan w:val="4"/>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PORTFOLIO COMPANIES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PORTFOLIO MANAGEMENT</w:t>
              </w:r>
            </w:hyperlink>
          </w:p>
        </w:tc>
        <w:tc>
          <w:tcPr>
            <w:tcW w:w="6460" w:type="dxa"/>
            <w:vAlign w:val="bottom"/>
            <w:gridSpan w:val="16"/>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DETERMINATION OF NET ASSET VALUE</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DIVIDEND REINVESTMENT PLAN</w:t>
              </w:r>
            </w:hyperlink>
          </w:p>
        </w:tc>
        <w:tc>
          <w:tcPr>
            <w:tcW w:w="520" w:type="dxa"/>
            <w:vAlign w:val="bottom"/>
            <w:tcBorders>
              <w:top w:val="single" w:sz="8" w:color="0000EE"/>
            </w:tcBorders>
            <w:gridSpan w:val="5"/>
          </w:tcPr>
          <w:p>
            <w:pPr>
              <w:spacing w:after="0"/>
              <w:rPr>
                <w:sz w:val="17"/>
                <w:szCs w:val="17"/>
                <w:color w:val="auto"/>
              </w:rPr>
            </w:pPr>
          </w:p>
        </w:tc>
        <w:tc>
          <w:tcPr>
            <w:tcW w:w="5460" w:type="dxa"/>
            <w:vAlign w:val="bottom"/>
            <w:gridSpan w:val="9"/>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DESCRIPTION OF OUR CAPITAL STOCK</w:t>
              </w:r>
            </w:hyperlink>
          </w:p>
        </w:tc>
        <w:tc>
          <w:tcPr>
            <w:tcW w:w="5520" w:type="dxa"/>
            <w:vAlign w:val="bottom"/>
            <w:gridSpan w:val="10"/>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OUR PREFERRED STOCK</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8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DESCRIPTION OF OUR WARRANTS</w:t>
              </w:r>
            </w:hyperlink>
          </w:p>
        </w:tc>
        <w:tc>
          <w:tcPr>
            <w:tcW w:w="640" w:type="dxa"/>
            <w:vAlign w:val="bottom"/>
            <w:tcBorders>
              <w:top w:val="single" w:sz="8" w:color="0000EE"/>
            </w:tcBorders>
            <w:gridSpan w:val="6"/>
          </w:tcPr>
          <w:p>
            <w:pPr>
              <w:spacing w:after="0"/>
              <w:rPr>
                <w:sz w:val="17"/>
                <w:szCs w:val="17"/>
                <w:color w:val="auto"/>
              </w:rPr>
            </w:pPr>
          </w:p>
        </w:tc>
        <w:tc>
          <w:tcPr>
            <w:tcW w:w="5260" w:type="dxa"/>
            <w:vAlign w:val="bottom"/>
            <w:gridSpan w:val="7"/>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DESCRIPTION OF OUR SUBSCRIPTION RIGHTS</w:t>
              </w:r>
            </w:hyperlink>
          </w:p>
        </w:tc>
        <w:tc>
          <w:tcPr>
            <w:tcW w:w="4940" w:type="dxa"/>
            <w:vAlign w:val="bottom"/>
            <w:gridSpan w:val="6"/>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DESCRIPTION OF OUR DEBT SECURITIES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DESCRIPTION OF OUR UNITS</w:t>
              </w:r>
            </w:hyperlink>
          </w:p>
        </w:tc>
        <w:tc>
          <w:tcPr>
            <w:tcW w:w="5380" w:type="dxa"/>
            <w:vAlign w:val="bottom"/>
            <w:gridSpan w:val="8"/>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64">
              <w:r>
                <w:rPr>
                  <w:rFonts w:ascii="Arial" w:cs="Arial" w:eastAsia="Arial" w:hAnsi="Arial"/>
                  <w:sz w:val="18"/>
                  <w:szCs w:val="18"/>
                  <w:color w:val="0000EE"/>
                  <w:w w:val="93"/>
                </w:rPr>
                <w:t>BROKERAGE ALLOCATIONS AND OTHER PRACTICES</w:t>
              </w:r>
            </w:hyperlink>
          </w:p>
        </w:tc>
        <w:tc>
          <w:tcPr>
            <w:tcW w:w="4360" w:type="dxa"/>
            <w:vAlign w:val="bottom"/>
            <w:gridSpan w:val="5"/>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65">
              <w:r>
                <w:rPr>
                  <w:rFonts w:ascii="Arial" w:cs="Arial" w:eastAsia="Arial" w:hAnsi="Arial"/>
                  <w:sz w:val="18"/>
                  <w:szCs w:val="18"/>
                  <w:color w:val="0000EE"/>
                  <w:w w:val="94"/>
                </w:rPr>
                <w:t>MATERIAL U.S. FEDERAL INCOME TAX CONSIDERATIONS</w:t>
              </w:r>
            </w:hyperlink>
          </w:p>
        </w:tc>
        <w:tc>
          <w:tcPr>
            <w:tcW w:w="3980" w:type="dxa"/>
            <w:vAlign w:val="bottom"/>
            <w:gridSpan w:val="3"/>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PLAN OF DISTRIBUTION</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w:anchor="page74">
              <w:r>
                <w:rPr>
                  <w:rFonts w:ascii="Arial" w:cs="Arial" w:eastAsia="Arial" w:hAnsi="Arial"/>
                  <w:sz w:val="18"/>
                  <w:szCs w:val="18"/>
                  <w:color w:val="0000EE"/>
                  <w:w w:val="94"/>
                </w:rPr>
                <w:t>SUB-ADMINISTRATOR, CUSTODIAN, TRANSFER AGENT AND TRUSTEE</w:t>
              </w:r>
            </w:hyperlink>
          </w:p>
        </w:tc>
        <w:tc>
          <w:tcPr>
            <w:tcW w:w="2940" w:type="dxa"/>
            <w:vAlign w:val="bottom"/>
            <w:gridSpan w:val="2"/>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LEGAL MATTERS</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80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20" w:type="dxa"/>
            <w:vAlign w:val="bottom"/>
            <w:gridSpan w:val="13"/>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gridSpan w:val="2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INDEPENDENT REGISTERED PUBLIC ACCOUNTING FIRM/INDEPENDENT AUDITOR</w:t>
              </w:r>
            </w:hyperlink>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INCORPORATION BY REFERENCE</w:t>
              </w:r>
            </w:hyperlink>
          </w:p>
        </w:tc>
        <w:tc>
          <w:tcPr>
            <w:tcW w:w="4020" w:type="dxa"/>
            <w:vAlign w:val="bottom"/>
            <w:tcBorders>
              <w:top w:val="single" w:sz="8" w:color="0000EE"/>
            </w:tcBorders>
            <w:gridSpan w:val="13"/>
          </w:tcPr>
          <w:p>
            <w:pPr>
              <w:spacing w:after="0"/>
              <w:rPr>
                <w:sz w:val="17"/>
                <w:szCs w:val="17"/>
                <w:color w:val="auto"/>
              </w:rPr>
            </w:pPr>
          </w:p>
        </w:tc>
        <w:tc>
          <w:tcPr>
            <w:tcW w:w="1960" w:type="dxa"/>
            <w:vAlign w:val="bottom"/>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2220" w:type="dxa"/>
            <w:vAlign w:val="bottom"/>
            <w:tcBorders>
              <w:bottom w:val="single" w:sz="8" w:color="0000EE"/>
            </w:tcBorders>
            <w:gridSpan w:val="9"/>
          </w:tcPr>
          <w:p>
            <w:pPr>
              <w:spacing w:after="0" w:line="196" w:lineRule="exact"/>
              <w:rPr>
                <w:rFonts w:ascii="Arial" w:cs="Arial" w:eastAsia="Arial" w:hAnsi="Arial"/>
                <w:sz w:val="18"/>
                <w:szCs w:val="18"/>
                <w:color w:val="0000EE"/>
                <w:w w:val="96"/>
              </w:rPr>
            </w:pPr>
            <w:hyperlink w:anchor="page75">
              <w:r>
                <w:rPr>
                  <w:rFonts w:ascii="Arial" w:cs="Arial" w:eastAsia="Arial" w:hAnsi="Arial"/>
                  <w:sz w:val="18"/>
                  <w:szCs w:val="18"/>
                  <w:color w:val="0000EE"/>
                  <w:w w:val="96"/>
                </w:rPr>
                <w:t>AVAILABLE INFORMATION</w:t>
              </w:r>
            </w:hyperlink>
          </w:p>
        </w:tc>
        <w:tc>
          <w:tcPr>
            <w:tcW w:w="6520" w:type="dxa"/>
            <w:vAlign w:val="bottom"/>
            <w:gridSpan w:val="17"/>
          </w:tcPr>
          <w:p>
            <w:pPr>
              <w:spacing w:after="0"/>
              <w:rPr>
                <w:sz w:val="17"/>
                <w:szCs w:val="17"/>
                <w:color w:val="auto"/>
              </w:rPr>
            </w:pPr>
          </w:p>
        </w:tc>
        <w:tc>
          <w:tcPr>
            <w:tcW w:w="22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200" w:firstLine="551"/>
        <w:spacing w:after="0" w:line="306" w:lineRule="auto"/>
        <w:rPr>
          <w:sz w:val="20"/>
          <w:szCs w:val="20"/>
          <w:color w:val="auto"/>
        </w:rPr>
      </w:pPr>
      <w:r>
        <w:rPr>
          <w:rFonts w:ascii="Arial" w:cs="Arial" w:eastAsia="Arial" w:hAnsi="Arial"/>
          <w:sz w:val="15"/>
          <w:szCs w:val="15"/>
          <w:color w:val="auto"/>
        </w:rPr>
        <w:t>This prospectus is part of a registration statement that we have filed with the SEC using the “shelf” registration process. Under the shelf registration process, we may offer from time to time up to $750,000,000 of our common stock, preferred stock, warrants representing rights to purchase shares of our common stock, preferred stock or debt securities, subscription rights, debt securities, or units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24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64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02145" cy="59645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firstLine="426"/>
        <w:spacing w:after="0" w:line="284"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prior to dissolution and PennantPark SBIC II LP, or SBIC II, and its general partner, PennantPark SBIC GP II, LLC; “Funding I” refers to PennantPark Investment Funding I, LLC; “Taxable Subsidiaries” refers to PNNT Cascade Environmental Holdings, LLC, PNNT CI (Galls) Prime Investment Holdings, LLC, PNNT ecoserve, LLC, PNNT Investment Holdings, LLC and PNNT New Gulf Resources, LLC, all of which are consolidated with PennantPark Investment for financial reporting purposes; “PennantPark Investment Advisers” or “Investment Adviser” refers to PennantPark Investment Advisers, LLC; “PennantPark Investment Administration” or “Administrator” refers to PennantPark Investment Administration, LLC; “SBA” refers to the Small Business Administration; “BNP Credit Facility” refers to our revolving credit facility with BNP Paribas; “SunTrust Credit Facility” refers to our multi-currency, senior secured revolving credit facility with SunTrust Bank, as amended and restated; “Credit Facilities” refers to the BNP Credit Facility and SunTrust Credit Facility collectively; “2019 Notes” refers to our 4.50% notes due 2019 which were redeemed in March 2019; “2024 Notes” refers to our 5.50% Notes due 2024; “2025 Notes” refers to our 6.25% notes due 2025; “1940 Act” refers to the Investment Company Act of 1940, as amended; “1958 Act” refers to the Small Business Investment Act of 1958, as amended; “Code” refers to the Internal Revenue Code of 1986, as amended; “RIC” refers to a regulated investment company under the Code; and “BDC” refers to a business development company under the 1940 Act.</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1"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141" w:lineRule="exact"/>
        <w:rPr>
          <w:sz w:val="20"/>
          <w:szCs w:val="20"/>
          <w:color w:val="auto"/>
        </w:rPr>
      </w:pPr>
    </w:p>
    <w:p>
      <w:pPr>
        <w:ind w:left="380" w:right="40" w:firstLine="426"/>
        <w:spacing w:after="0" w:line="269" w:lineRule="auto"/>
        <w:rPr>
          <w:sz w:val="20"/>
          <w:szCs w:val="20"/>
          <w:color w:val="auto"/>
        </w:rPr>
      </w:pPr>
      <w:r>
        <w:rPr>
          <w:rFonts w:ascii="Arial" w:cs="Arial" w:eastAsia="Arial" w:hAnsi="Arial"/>
          <w:sz w:val="17"/>
          <w:szCs w:val="17"/>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or S&amp;P,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0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2145" cy="60502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please see “Management’s Discussion and Analysis of Financial Condition and Results of Operations—Liquidity and Capital Resources” in our most recent Annual Report on Form 10-K or Quarterly Report on Form 10-Q.</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121" w:lineRule="exact"/>
        <w:rPr>
          <w:sz w:val="20"/>
          <w:szCs w:val="20"/>
          <w:color w:val="auto"/>
        </w:rPr>
      </w:pPr>
    </w:p>
    <w:p>
      <w:pPr>
        <w:ind w:left="380" w:right="240" w:firstLine="426"/>
        <w:spacing w:after="0" w:line="264"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380" w:right="80" w:firstLine="426"/>
        <w:spacing w:after="0" w:line="255" w:lineRule="auto"/>
        <w:rPr>
          <w:sz w:val="20"/>
          <w:szCs w:val="20"/>
          <w:color w:val="auto"/>
        </w:rPr>
      </w:pPr>
      <w:r>
        <w:rPr>
          <w:rFonts w:ascii="Arial" w:cs="Arial" w:eastAsia="Arial" w:hAnsi="Arial"/>
          <w:sz w:val="18"/>
          <w:szCs w:val="18"/>
          <w:color w:val="auto"/>
        </w:rPr>
        <w:t>SBIC II, our wholly owned subsidiary, was organized in Delaware as a limited partnership in July 2012. SBIC II received a license from the SBA to operate as a Small Business Investment Company, or SBIC, under Section 301(c) of the Small Business Investment Act of 1958, as amended, or the 1958 Act, in 2013. SBIC II’s objectives are to generate both current income and capital appreciation through debt and equity investments generally by investing with us in SBA-eligible businesses that meet the investment selection criteria used by PennantPark Investment. SBIC II may rely on an exclusion from the definition of “investment company” under the 1940 Act. As such, it will not elect to be regulated as a BDC under the 1940 Act.</w:t>
      </w:r>
    </w:p>
    <w:p>
      <w:pPr>
        <w:spacing w:after="0" w:line="193" w:lineRule="exact"/>
        <w:rPr>
          <w:sz w:val="20"/>
          <w:szCs w:val="20"/>
          <w:color w:val="auto"/>
        </w:rPr>
      </w:pPr>
    </w:p>
    <w:p>
      <w:pPr>
        <w:ind w:left="380" w:right="180" w:firstLine="426"/>
        <w:spacing w:after="0" w:line="259"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does not increase our consolidated management fee.</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167" w:lineRule="exact"/>
        <w:rPr>
          <w:sz w:val="20"/>
          <w:szCs w:val="20"/>
          <w:color w:val="auto"/>
        </w:rPr>
      </w:pPr>
    </w:p>
    <w:p>
      <w:pPr>
        <w:ind w:left="380" w:right="240" w:firstLine="426"/>
        <w:spacing w:after="0" w:line="276"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131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59131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86" w:lineRule="auto"/>
        <w:rPr>
          <w:sz w:val="20"/>
          <w:szCs w:val="20"/>
          <w:color w:val="auto"/>
        </w:rPr>
      </w:pPr>
      <w:r>
        <w:rPr>
          <w:rFonts w:ascii="Arial" w:cs="Arial" w:eastAsia="Arial" w:hAnsi="Arial"/>
          <w:sz w:val="17"/>
          <w:szCs w:val="17"/>
          <w:color w:val="auto"/>
        </w:rPr>
        <w:t>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middle-market companies have faced difficulty in raising debt through private and public capital markets. We believe that, as a result of the difficulties in the credit markets and fewer sources of capital for middle-market companies, we see opportunities for improved risk-reward on our investments. Furthermore, we believe with a large pool of uninvested private equity capital seeking debt capital to complete private investments and a substantial supply of refinancing opportunities, there is an opportunity to attain attractive risk-reward returns with debt investments. See “Business” in our most recent Annual Report on Form 10-K for more information.</w:t>
      </w:r>
    </w:p>
    <w:p>
      <w:pPr>
        <w:spacing w:after="0" w:line="29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80" w:right="220" w:firstLine="42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Distributions may include a return of capital. See “Distributions” for more information.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80" w:firstLine="426"/>
        <w:spacing w:after="0" w:line="297"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Dividend Reinvestment Plan</w:t>
      </w:r>
    </w:p>
    <w:p>
      <w:pPr>
        <w:spacing w:after="0" w:line="121" w:lineRule="exact"/>
        <w:rPr>
          <w:sz w:val="20"/>
          <w:szCs w:val="20"/>
          <w:color w:val="auto"/>
        </w:rPr>
      </w:pPr>
    </w:p>
    <w:p>
      <w:pPr>
        <w:ind w:left="380" w:right="160" w:firstLine="533"/>
        <w:spacing w:after="0" w:line="276" w:lineRule="auto"/>
        <w:rPr>
          <w:sz w:val="20"/>
          <w:szCs w:val="20"/>
          <w:color w:val="auto"/>
        </w:rPr>
      </w:pPr>
      <w:r>
        <w:rPr>
          <w:rFonts w:ascii="Arial" w:cs="Arial" w:eastAsia="Arial" w:hAnsi="Arial"/>
          <w:sz w:val="17"/>
          <w:szCs w:val="17"/>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335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4335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80" w:right="380" w:firstLine="426"/>
        <w:spacing w:after="0" w:line="277" w:lineRule="auto"/>
        <w:rPr>
          <w:sz w:val="20"/>
          <w:szCs w:val="20"/>
          <w:color w:val="auto"/>
        </w:rPr>
      </w:pPr>
      <w:r>
        <w:rPr>
          <w:rFonts w:ascii="Arial" w:cs="Arial" w:eastAsia="Arial" w:hAnsi="Arial"/>
          <w:sz w:val="18"/>
          <w:szCs w:val="18"/>
          <w:color w:val="auto"/>
        </w:rPr>
        <w:t>We may offer, from time to time, up to $750 million of our securities, on terms to be determined at the time of each such offering and set forth in a supplement to this prospectus.</w:t>
      </w:r>
    </w:p>
    <w:p>
      <w:pPr>
        <w:spacing w:after="0" w:line="170" w:lineRule="exact"/>
        <w:rPr>
          <w:sz w:val="20"/>
          <w:szCs w:val="20"/>
          <w:color w:val="auto"/>
        </w:rPr>
      </w:pPr>
    </w:p>
    <w:p>
      <w:pPr>
        <w:ind w:left="380" w:right="20" w:firstLine="426"/>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380" w:right="48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80" w:firstLine="426"/>
        <w:spacing w:after="0" w:line="302"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right="80" w:firstLine="551"/>
        <w:spacing w:after="0" w:line="276"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Sales load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9"/>
                <w:szCs w:val="19"/>
                <w:color w:val="auto"/>
                <w:vertAlign w:val="superscript"/>
              </w:rPr>
              <w:t>(3)</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Management fees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0.85%</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0.98%</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
        </w:trPr>
        <w:tc>
          <w:tcPr>
            <w:tcW w:w="10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0240" w:type="dxa"/>
            <w:vAlign w:val="bottom"/>
            <w:gridSpan w:val="2"/>
            <w:vMerge w:val="continue"/>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11.25%</w:t>
            </w:r>
            <w:r>
              <w:rPr>
                <w:rFonts w:ascii="Arial" w:cs="Arial" w:eastAsia="Arial" w:hAnsi="Arial"/>
                <w:sz w:val="15"/>
                <w:szCs w:val="15"/>
                <w:color w:val="auto"/>
                <w:w w:val="95"/>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7632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4" w:lineRule="exact"/>
        <w:rPr>
          <w:sz w:val="20"/>
          <w:szCs w:val="20"/>
          <w:color w:val="auto"/>
        </w:rPr>
      </w:pPr>
    </w:p>
    <w:p>
      <w:pPr>
        <w:ind w:left="640" w:right="840" w:hanging="436"/>
        <w:spacing w:after="0" w:line="25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640" w:hanging="43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September 30, 2019.</w:t>
      </w:r>
    </w:p>
    <w:p>
      <w:pPr>
        <w:spacing w:after="0" w:line="9" w:lineRule="exact"/>
        <w:rPr>
          <w:rFonts w:ascii="Arial" w:cs="Arial" w:eastAsia="Arial" w:hAnsi="Arial"/>
          <w:sz w:val="18"/>
          <w:szCs w:val="18"/>
          <w:color w:val="auto"/>
        </w:rPr>
      </w:pPr>
    </w:p>
    <w:p>
      <w:pPr>
        <w:jc w:val="both"/>
        <w:ind w:left="640" w:right="100" w:hanging="436"/>
        <w:spacing w:after="0" w:line="281"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contractual management fee is calculated at an annual rate of 1.50% of our average adjusted gross assets up to 200% of the Company’s total net assets as of the immediately preceding quarter-end and 1.00% for amounts that exceed such amount on September 30, 2019. See “Business— Investment Management Agreement” and “Business—Management Fees” in our most recent Annual Report on Form 10-K for more information.</w:t>
      </w:r>
    </w:p>
    <w:p>
      <w:pPr>
        <w:spacing w:after="0" w:line="2" w:lineRule="exact"/>
        <w:rPr>
          <w:rFonts w:ascii="Arial" w:cs="Arial" w:eastAsia="Arial" w:hAnsi="Arial"/>
          <w:sz w:val="16"/>
          <w:szCs w:val="16"/>
          <w:color w:val="auto"/>
        </w:rPr>
      </w:pPr>
    </w:p>
    <w:p>
      <w:pPr>
        <w:ind w:left="640" w:right="60" w:hanging="436"/>
        <w:spacing w:after="0" w:line="265"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“Business—Investment Management Agreement” and “Business—Management Fees” in our most recent Annual Report on Form 10-K for more information.</w:t>
      </w:r>
    </w:p>
    <w:p>
      <w:pPr>
        <w:spacing w:after="0" w:line="2" w:lineRule="exact"/>
        <w:rPr>
          <w:rFonts w:ascii="Arial" w:cs="Arial" w:eastAsia="Arial" w:hAnsi="Arial"/>
          <w:sz w:val="17"/>
          <w:szCs w:val="17"/>
          <w:color w:val="auto"/>
        </w:rPr>
      </w:pPr>
    </w:p>
    <w:p>
      <w:pPr>
        <w:ind w:left="640" w:right="60" w:hanging="436"/>
        <w:spacing w:after="0" w:line="273"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As of September 30, 2019, we had $252.4 million of unused borrowing capacity, subject to maintenance of the applicable total assets to debt ratio, under the 1940 Act. As of such date, we had $301.6 million in borrowings outstanding under our $475.0 million SunTrust Credit Facility, $171.0 million in borrowings outstanding under our $250.0 million BNP Credit Facility and $75.0 million in aggregate principal of 2024 Notes. As of September 30, 2019, our SBIC Funds had debenture commitments from the SBA in the amount</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20"/>
        <w:spacing w:after="0" w:line="268" w:lineRule="auto"/>
        <w:rPr>
          <w:sz w:val="20"/>
          <w:szCs w:val="20"/>
          <w:color w:val="auto"/>
        </w:rPr>
      </w:pPr>
      <w:r>
        <w:rPr>
          <w:rFonts w:ascii="Arial" w:cs="Arial" w:eastAsia="Arial" w:hAnsi="Arial"/>
          <w:sz w:val="17"/>
          <w:szCs w:val="17"/>
          <w:color w:val="auto"/>
        </w:rPr>
        <w:t>of $150.0 million, all of which were outstanding with a weighted average interest rate of 3.11%, exclusive of the 3.43% of upfront fees. We may use proceeds of an offering of securities under this registration statement to repay outstanding obligations under our Credit Facilities. After completing any such offering, we may continue to borrow under our Credit Facilities to finance our investment objectives. Annual interest expense on borrowed funds represents actual interest expense incurred for the fiscal year ended September 30, 2019 and amendment costs and make-whole premiums, if any, and we caution you that our actual interest expense will depend on prevailing interest rates and our rate of borrowing, which may be substantially higher than the estimate provided in this table.</w:t>
      </w:r>
    </w:p>
    <w:p>
      <w:pPr>
        <w:spacing w:after="0" w:line="1" w:lineRule="exact"/>
        <w:rPr>
          <w:sz w:val="20"/>
          <w:szCs w:val="20"/>
          <w:color w:val="auto"/>
        </w:rPr>
      </w:pPr>
    </w:p>
    <w:p>
      <w:pPr>
        <w:ind w:left="640" w:right="200" w:hanging="436"/>
        <w:spacing w:after="0" w:line="28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2" w:lineRule="exact"/>
        <w:rPr>
          <w:rFonts w:ascii="Arial" w:cs="Arial" w:eastAsia="Arial" w:hAnsi="Arial"/>
          <w:sz w:val="16"/>
          <w:szCs w:val="16"/>
          <w:color w:val="auto"/>
        </w:rPr>
      </w:pPr>
    </w:p>
    <w:p>
      <w:pPr>
        <w:ind w:left="640" w:right="20" w:hanging="436"/>
        <w:spacing w:after="0" w:line="270"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5.39% of average total assets.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10.40% of average net assets attributable to common shares as set forth in the table above (other than performance-based incentive fees) and (3) a 5% annual return.</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You would pay the following expenses on a $1,000 common stock</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680" w:type="dxa"/>
            <w:vAlign w:val="bottom"/>
            <w:gridSpan w:val="2"/>
          </w:tcPr>
          <w:p>
            <w:pPr>
              <w:ind w:left="280"/>
              <w:spacing w:after="0"/>
              <w:rPr>
                <w:sz w:val="20"/>
                <w:szCs w:val="20"/>
                <w:color w:val="auto"/>
              </w:rPr>
            </w:pPr>
            <w:r>
              <w:rPr>
                <w:rFonts w:ascii="Arial" w:cs="Arial" w:eastAsia="Arial" w:hAnsi="Arial"/>
                <w:sz w:val="14"/>
                <w:szCs w:val="14"/>
                <w:b w:val="1"/>
                <w:bCs w:val="1"/>
                <w:color w:val="auto"/>
                <w:w w:val="90"/>
              </w:rPr>
              <w:t>1 Year</w:t>
            </w:r>
          </w:p>
        </w:tc>
        <w:tc>
          <w:tcPr>
            <w:tcW w:w="1020" w:type="dxa"/>
            <w:vAlign w:val="bottom"/>
            <w:gridSpan w:val="3"/>
          </w:tcPr>
          <w:p>
            <w:pPr>
              <w:ind w:left="560"/>
              <w:spacing w:after="0"/>
              <w:rPr>
                <w:sz w:val="20"/>
                <w:szCs w:val="20"/>
                <w:color w:val="auto"/>
              </w:rPr>
            </w:pPr>
            <w:r>
              <w:rPr>
                <w:rFonts w:ascii="Arial" w:cs="Arial" w:eastAsia="Arial" w:hAnsi="Arial"/>
                <w:sz w:val="14"/>
                <w:szCs w:val="14"/>
                <w:b w:val="1"/>
                <w:bCs w:val="1"/>
                <w:color w:val="auto"/>
                <w:w w:val="88"/>
              </w:rPr>
              <w:t>3 Years</w:t>
            </w:r>
          </w:p>
        </w:tc>
        <w:tc>
          <w:tcPr>
            <w:tcW w:w="1020" w:type="dxa"/>
            <w:vAlign w:val="bottom"/>
            <w:gridSpan w:val="3"/>
          </w:tcPr>
          <w:p>
            <w:pPr>
              <w:ind w:left="560"/>
              <w:spacing w:after="0"/>
              <w:rPr>
                <w:sz w:val="20"/>
                <w:szCs w:val="20"/>
                <w:color w:val="auto"/>
              </w:rPr>
            </w:pPr>
            <w:r>
              <w:rPr>
                <w:rFonts w:ascii="Arial" w:cs="Arial" w:eastAsia="Arial" w:hAnsi="Arial"/>
                <w:sz w:val="14"/>
                <w:szCs w:val="14"/>
                <w:b w:val="1"/>
                <w:bCs w:val="1"/>
                <w:color w:val="auto"/>
                <w:w w:val="88"/>
              </w:rPr>
              <w:t>5 Years</w:t>
            </w:r>
          </w:p>
        </w:tc>
        <w:tc>
          <w:tcPr>
            <w:tcW w:w="1160" w:type="dxa"/>
            <w:vAlign w:val="bottom"/>
            <w:gridSpan w:val="4"/>
          </w:tcPr>
          <w:p>
            <w:pPr>
              <w:ind w:left="580"/>
              <w:spacing w:after="0"/>
              <w:rPr>
                <w:sz w:val="20"/>
                <w:szCs w:val="20"/>
                <w:color w:val="auto"/>
              </w:rPr>
            </w:pPr>
            <w:r>
              <w:rPr>
                <w:rFonts w:ascii="Arial" w:cs="Arial" w:eastAsia="Arial" w:hAnsi="Arial"/>
                <w:sz w:val="14"/>
                <w:szCs w:val="14"/>
                <w:b w:val="1"/>
                <w:bCs w:val="1"/>
                <w:color w:val="auto"/>
                <w:w w:val="97"/>
              </w:rPr>
              <w:t>10 Years</w:t>
            </w: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CCEEFF"/>
            </w:tcBorders>
            <w:shd w:val="clear" w:color="auto" w:fill="000000"/>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2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Assuming a 5% annual return (assumes no return from net realized capital gains or</w:t>
            </w: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44"/>
        </w:trPr>
        <w:tc>
          <w:tcPr>
            <w:tcW w:w="20" w:type="dxa"/>
            <w:vAlign w:val="bottom"/>
          </w:tcPr>
          <w:p>
            <w:pPr>
              <w:spacing w:after="0"/>
              <w:rPr>
                <w:sz w:val="21"/>
                <w:szCs w:val="21"/>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unrealized capital appreciation)</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$ 133</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312</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473</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4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tcPr>
          <w:p>
            <w:pPr>
              <w:spacing w:after="0" w:line="201" w:lineRule="exact"/>
              <w:rPr>
                <w:sz w:val="20"/>
                <w:szCs w:val="20"/>
                <w:color w:val="auto"/>
              </w:rPr>
            </w:pPr>
            <w:r>
              <w:rPr>
                <w:rFonts w:ascii="Arial" w:cs="Arial" w:eastAsia="Arial" w:hAnsi="Arial"/>
                <w:sz w:val="18"/>
                <w:szCs w:val="18"/>
                <w:color w:val="auto"/>
                <w:w w:val="94"/>
              </w:rPr>
              <w:t>Assuming a 5% annual return (assumes return from only realized capital gains and</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thus subject to the capital gains incentive fee)</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w w:val="84"/>
              </w:rPr>
              <w:t>$ 140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332</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500</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836</w:t>
            </w:r>
          </w:p>
        </w:tc>
        <w:tc>
          <w:tcPr>
            <w:tcW w:w="40" w:type="dxa"/>
            <w:vAlign w:val="bottom"/>
          </w:tcPr>
          <w:p>
            <w:pPr>
              <w:spacing w:after="0"/>
              <w:rPr>
                <w:sz w:val="21"/>
                <w:szCs w:val="21"/>
                <w:color w:val="auto"/>
              </w:rPr>
            </w:pPr>
          </w:p>
        </w:tc>
      </w:tr>
    </w:tbl>
    <w:p>
      <w:pPr>
        <w:spacing w:after="0" w:line="202"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recent Annual Report on Form 10-K filed on November 21, 2019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net asset value and market price of our common stock could decline or the value of our preferred stock, warrants, subscription rights, debt securities or units may decline, and investors may lose all or part of their investment. Please also read carefully the section titled “Forward-Looking Statements.”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84" w:lineRule="exact"/>
        <w:rPr>
          <w:sz w:val="20"/>
          <w:szCs w:val="20"/>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w:t>
      </w:r>
    </w:p>
    <w:p>
      <w:pPr>
        <w:spacing w:after="0" w:line="46" w:lineRule="exact"/>
        <w:rPr>
          <w:sz w:val="20"/>
          <w:szCs w:val="20"/>
          <w:color w:val="auto"/>
        </w:rPr>
      </w:pPr>
    </w:p>
    <w:p>
      <w:pPr>
        <w:ind w:left="200" w:right="660" w:firstLine="4"/>
        <w:spacing w:after="0" w:line="323" w:lineRule="auto"/>
        <w:tabs>
          <w:tab w:leader="none" w:pos="485" w:val="left"/>
        </w:tabs>
        <w:numPr>
          <w:ilvl w:val="0"/>
          <w:numId w:val="6"/>
        </w:numPr>
        <w:rPr>
          <w:rFonts w:ascii="Arial" w:cs="Arial" w:eastAsia="Arial" w:hAnsi="Arial"/>
          <w:sz w:val="16"/>
          <w:szCs w:val="16"/>
          <w:color w:val="auto"/>
        </w:rPr>
      </w:pPr>
      <w:r>
        <w:rPr>
          <w:rFonts w:ascii="Arial" w:cs="Arial" w:eastAsia="Arial" w:hAnsi="Arial"/>
          <w:sz w:val="16"/>
          <w:szCs w:val="16"/>
          <w:color w:val="auto"/>
        </w:rPr>
        <w:t>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7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Information about our senior securities is shown in the following table as of September 30, 2019, 2018, 2017, 2016, 2015, 2014, 2013, 2012, 2011, and 2010,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Total Amount</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71"/>
              <w:spacing w:after="0"/>
              <w:rPr>
                <w:sz w:val="20"/>
                <w:szCs w:val="20"/>
                <w:color w:val="auto"/>
              </w:rPr>
            </w:pPr>
            <w:r>
              <w:rPr>
                <w:rFonts w:ascii="Arial" w:cs="Arial" w:eastAsia="Arial" w:hAnsi="Arial"/>
                <w:sz w:val="14"/>
                <w:szCs w:val="14"/>
                <w:b w:val="1"/>
                <w:bCs w:val="1"/>
                <w:color w:val="auto"/>
              </w:rPr>
              <w:t>Asset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25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51"/>
              <w:spacing w:after="0" w:line="149" w:lineRule="exact"/>
              <w:rPr>
                <w:sz w:val="20"/>
                <w:szCs w:val="20"/>
                <w:color w:val="auto"/>
              </w:rPr>
            </w:pPr>
            <w:r>
              <w:rPr>
                <w:rFonts w:ascii="Arial" w:cs="Arial" w:eastAsia="Arial" w:hAnsi="Arial"/>
                <w:sz w:val="14"/>
                <w:szCs w:val="14"/>
                <w:b w:val="1"/>
                <w:bCs w:val="1"/>
                <w:color w:val="auto"/>
                <w:w w:val="90"/>
              </w:rPr>
              <w:t>Coverage</w:t>
            </w:r>
          </w:p>
        </w:tc>
        <w:tc>
          <w:tcPr>
            <w:tcW w:w="172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58"/>
        </w:trPr>
        <w:tc>
          <w:tcPr>
            <w:tcW w:w="4400" w:type="dxa"/>
            <w:vAlign w:val="bottom"/>
            <w:gridSpan w:val="3"/>
            <w:vMerge w:val="continue"/>
          </w:tcPr>
          <w:p>
            <w:pPr>
              <w:spacing w:after="0"/>
              <w:rPr>
                <w:sz w:val="13"/>
                <w:szCs w:val="13"/>
                <w:color w:val="auto"/>
              </w:rPr>
            </w:pPr>
          </w:p>
        </w:tc>
        <w:tc>
          <w:tcPr>
            <w:tcW w:w="3440" w:type="dxa"/>
            <w:vAlign w:val="bottom"/>
            <w:gridSpan w:val="3"/>
          </w:tcPr>
          <w:p>
            <w:pPr>
              <w:ind w:left="2520"/>
              <w:spacing w:after="0" w:line="158" w:lineRule="exact"/>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1480" w:type="dxa"/>
            <w:vAlign w:val="bottom"/>
            <w:gridSpan w:val="3"/>
          </w:tcPr>
          <w:p>
            <w:pPr>
              <w:ind w:left="640"/>
              <w:spacing w:after="0" w:line="158" w:lineRule="exact"/>
              <w:rPr>
                <w:sz w:val="20"/>
                <w:szCs w:val="20"/>
                <w:color w:val="auto"/>
              </w:rPr>
            </w:pPr>
            <w:r>
              <w:rPr>
                <w:rFonts w:ascii="Arial" w:cs="Arial" w:eastAsia="Arial" w:hAnsi="Arial"/>
                <w:sz w:val="14"/>
                <w:szCs w:val="14"/>
                <w:b w:val="1"/>
                <w:bCs w:val="1"/>
                <w:color w:val="auto"/>
                <w:w w:val="95"/>
              </w:rPr>
              <w:t>per Unit</w:t>
            </w:r>
            <w:r>
              <w:rPr>
                <w:rFonts w:ascii="Arial" w:cs="Arial" w:eastAsia="Arial" w:hAnsi="Arial"/>
                <w:sz w:val="12"/>
                <w:szCs w:val="12"/>
                <w:b w:val="1"/>
                <w:bCs w:val="1"/>
                <w:color w:val="auto"/>
                <w:w w:val="95"/>
              </w:rPr>
              <w:t>(2),(3)</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SunTrust Credit Facility</w:t>
            </w:r>
          </w:p>
        </w:tc>
        <w:tc>
          <w:tcPr>
            <w:tcW w:w="2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274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301,636</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2,066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80,520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74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79,393</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2,998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74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136,864</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2,586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74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145,500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4,205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74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240,900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2,912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(6)</w:t>
            </w: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233,100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BNP Credit Facility</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2019 Notes</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274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2,998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74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2,586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2024 Notes</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24.87</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2025 Notes</w:t>
            </w: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24.68</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274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71,250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2,586</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25.13</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2740" w:type="dxa"/>
            <w:vAlign w:val="bottom"/>
            <w:gridSpan w:val="2"/>
            <w:shd w:val="clear" w:color="auto" w:fill="CCEEFF"/>
          </w:tcPr>
          <w:p>
            <w:pPr>
              <w:ind w:left="2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24.51</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274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71,250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4,205</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300"/>
              <w:spacing w:after="0"/>
              <w:rPr>
                <w:sz w:val="20"/>
                <w:szCs w:val="20"/>
                <w:color w:val="auto"/>
              </w:rPr>
            </w:pPr>
            <w:r>
              <w:rPr>
                <w:rFonts w:ascii="Arial" w:cs="Arial" w:eastAsia="Arial" w:hAnsi="Arial"/>
                <w:sz w:val="18"/>
                <w:szCs w:val="18"/>
                <w:color w:val="auto"/>
              </w:rPr>
              <w:t>24.79</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SBA Debentures</w:t>
            </w:r>
          </w:p>
        </w:tc>
        <w:tc>
          <w:tcPr>
            <w:tcW w:w="2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Fiscal 2010</w:t>
            </w:r>
            <w:r>
              <w:rPr>
                <w:rFonts w:ascii="Arial" w:cs="Arial" w:eastAsia="Arial" w:hAnsi="Arial"/>
                <w:sz w:val="15"/>
                <w:szCs w:val="15"/>
                <w:color w:val="auto"/>
              </w:rPr>
              <w:t>(6)</w:t>
            </w:r>
          </w:p>
        </w:tc>
        <w:tc>
          <w:tcPr>
            <w:tcW w:w="2740" w:type="dxa"/>
            <w:vAlign w:val="bottom"/>
            <w:gridSpan w:val="2"/>
          </w:tcPr>
          <w:p>
            <w:pPr>
              <w:ind w:left="25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14,500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7632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4" w:lineRule="exact"/>
        <w:rPr>
          <w:sz w:val="20"/>
          <w:szCs w:val="20"/>
          <w:color w:val="auto"/>
        </w:rPr>
      </w:pP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640" w:right="260" w:hanging="436"/>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640" w:right="380" w:hanging="436"/>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These amounts exclude SBA debentures from our total amount outstanding and asset coverage per unit computation pursuant to an exemptive relief letter provided by the SEC in June 2011.</w:t>
      </w:r>
    </w:p>
    <w:p>
      <w:pPr>
        <w:ind w:left="640" w:right="460" w:hanging="436"/>
        <w:spacing w:after="0" w:line="281"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1" w:lineRule="exact"/>
        <w:rPr>
          <w:rFonts w:ascii="Arial" w:cs="Arial" w:eastAsia="Arial" w:hAnsi="Arial"/>
          <w:sz w:val="16"/>
          <w:szCs w:val="16"/>
          <w:color w:val="auto"/>
        </w:rPr>
      </w:pPr>
    </w:p>
    <w:p>
      <w:pPr>
        <w:ind w:left="640" w:right="200" w:hanging="436"/>
        <w:spacing w:after="0" w:line="265"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 and no amounts were outstanding as of September 30, 2019.</w:t>
      </w:r>
    </w:p>
    <w:p>
      <w:pPr>
        <w:ind w:left="640" w:hanging="43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Fiscal 2010 includes SBIC LP’s SBA debentures in the total amount outstanding and our asset coverage per unit computation.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PRICE RANGE OF COMMON STOCK</w:t>
      </w:r>
    </w:p>
    <w:p>
      <w:pPr>
        <w:spacing w:after="0" w:line="202"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prices for our common stock, the closing sale prices as a premium or (discount) to our NAV and quarterly distributions per share since October 1, 2017. On January 28, 2020, the last reported closing price of our common stock was $6.58 per share.</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rPr>
              <w:t>Closing Sales Price</w:t>
            </w: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Premium (Discount)</w:t>
            </w:r>
          </w:p>
        </w:tc>
        <w:tc>
          <w:tcPr>
            <w:tcW w:w="1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Premium (Discount)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9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60" w:type="dxa"/>
            <w:vAlign w:val="bottom"/>
            <w:tcBorders>
              <w:bottom w:val="single" w:sz="8" w:color="auto"/>
            </w:tcBorders>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160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of High Sales</w:t>
            </w:r>
          </w:p>
        </w:tc>
        <w:tc>
          <w:tcPr>
            <w:tcW w:w="220" w:type="dxa"/>
            <w:vAlign w:val="bottom"/>
          </w:tcPr>
          <w:p>
            <w:pPr>
              <w:spacing w:after="0"/>
              <w:rPr>
                <w:sz w:val="6"/>
                <w:szCs w:val="6"/>
                <w:color w:val="auto"/>
              </w:rPr>
            </w:pPr>
          </w:p>
        </w:tc>
        <w:tc>
          <w:tcPr>
            <w:tcW w:w="162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of Low Sales</w:t>
            </w:r>
          </w:p>
        </w:tc>
        <w:tc>
          <w:tcPr>
            <w:tcW w:w="1080" w:type="dxa"/>
            <w:vAlign w:val="bottom"/>
            <w:gridSpan w:val="4"/>
            <w:vMerge w:val="restart"/>
          </w:tcPr>
          <w:p>
            <w:pPr>
              <w:jc w:val="right"/>
              <w:ind w:right="80"/>
              <w:spacing w:after="0" w:line="149" w:lineRule="exact"/>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52"/>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420" w:type="dxa"/>
            <w:vAlign w:val="bottom"/>
          </w:tcPr>
          <w:p>
            <w:pPr>
              <w:spacing w:after="0"/>
              <w:rPr>
                <w:sz w:val="4"/>
                <w:szCs w:val="4"/>
                <w:color w:val="auto"/>
              </w:rPr>
            </w:pPr>
          </w:p>
        </w:tc>
        <w:tc>
          <w:tcPr>
            <w:tcW w:w="5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440" w:type="dxa"/>
            <w:vAlign w:val="bottom"/>
          </w:tcPr>
          <w:p>
            <w:pPr>
              <w:spacing w:after="0"/>
              <w:rPr>
                <w:sz w:val="4"/>
                <w:szCs w:val="4"/>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Low</w:t>
            </w:r>
          </w:p>
        </w:tc>
        <w:tc>
          <w:tcPr>
            <w:tcW w:w="44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334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6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6"/>
              </w:rPr>
              <w:t>Price to NAV</w:t>
            </w:r>
            <w:r>
              <w:rPr>
                <w:rFonts w:ascii="Arial" w:cs="Arial" w:eastAsia="Arial" w:hAnsi="Arial"/>
                <w:sz w:val="12"/>
                <w:szCs w:val="12"/>
                <w:b w:val="1"/>
                <w:bCs w:val="1"/>
                <w:color w:val="auto"/>
                <w:w w:val="96"/>
              </w:rPr>
              <w:t>(2)</w:t>
            </w:r>
          </w:p>
        </w:tc>
        <w:tc>
          <w:tcPr>
            <w:tcW w:w="220" w:type="dxa"/>
            <w:vAlign w:val="bottom"/>
          </w:tcPr>
          <w:p>
            <w:pPr>
              <w:spacing w:after="0"/>
              <w:rPr>
                <w:sz w:val="13"/>
                <w:szCs w:val="13"/>
                <w:color w:val="auto"/>
              </w:rPr>
            </w:pPr>
          </w:p>
        </w:tc>
        <w:tc>
          <w:tcPr>
            <w:tcW w:w="16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Year Ending September 30, 2020</w:t>
            </w: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Second quarter (As of January 28, 2020)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N/A</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$ 6.68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6.54</w:t>
            </w:r>
          </w:p>
        </w:tc>
        <w:tc>
          <w:tcPr>
            <w:tcW w:w="440" w:type="dxa"/>
            <w:vAlign w:val="bottom"/>
          </w:tcPr>
          <w:p>
            <w:pPr>
              <w:spacing w:after="0"/>
              <w:rPr>
                <w:sz w:val="18"/>
                <w:szCs w:val="18"/>
                <w:color w:val="auto"/>
              </w:rPr>
            </w:pPr>
          </w:p>
        </w:tc>
        <w:tc>
          <w:tcPr>
            <w:tcW w:w="1600" w:type="dxa"/>
            <w:vAlign w:val="bottom"/>
            <w:gridSpan w:val="2"/>
          </w:tcPr>
          <w:p>
            <w:pPr>
              <w:jc w:val="center"/>
              <w:ind w:left="659"/>
              <w:spacing w:after="0"/>
              <w:rPr>
                <w:sz w:val="20"/>
                <w:szCs w:val="20"/>
                <w:color w:val="auto"/>
              </w:rPr>
            </w:pPr>
            <w:r>
              <w:rPr>
                <w:rFonts w:ascii="Arial" w:cs="Arial" w:eastAsia="Arial" w:hAnsi="Arial"/>
                <w:sz w:val="18"/>
                <w:szCs w:val="18"/>
                <w:color w:val="auto"/>
                <w:w w:val="99"/>
              </w:rPr>
              <w:t>N/A%</w:t>
            </w:r>
          </w:p>
        </w:tc>
        <w:tc>
          <w:tcPr>
            <w:tcW w:w="220" w:type="dxa"/>
            <w:vAlign w:val="bottom"/>
          </w:tcPr>
          <w:p>
            <w:pPr>
              <w:spacing w:after="0"/>
              <w:rPr>
                <w:sz w:val="18"/>
                <w:szCs w:val="18"/>
                <w:color w:val="auto"/>
              </w:rPr>
            </w:pPr>
          </w:p>
        </w:tc>
        <w:tc>
          <w:tcPr>
            <w:tcW w:w="1620" w:type="dxa"/>
            <w:vAlign w:val="bottom"/>
            <w:gridSpan w:val="2"/>
          </w:tcPr>
          <w:p>
            <w:pPr>
              <w:jc w:val="center"/>
              <w:ind w:left="639"/>
              <w:spacing w:after="0"/>
              <w:rPr>
                <w:sz w:val="20"/>
                <w:szCs w:val="20"/>
                <w:color w:val="auto"/>
              </w:rPr>
            </w:pPr>
            <w:r>
              <w:rPr>
                <w:rFonts w:ascii="Arial" w:cs="Arial" w:eastAsia="Arial" w:hAnsi="Arial"/>
                <w:sz w:val="18"/>
                <w:szCs w:val="18"/>
                <w:color w:val="auto"/>
                <w:w w:val="99"/>
              </w:rPr>
              <w:t>N/A%</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4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Year Ended September 30, 2019</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40" w:type="dxa"/>
            <w:vAlign w:val="bottom"/>
            <w:gridSpan w:val="3"/>
            <w:shd w:val="clear" w:color="auto" w:fill="CCEEFF"/>
          </w:tcPr>
          <w:p>
            <w:pPr>
              <w:jc w:val="center"/>
              <w:ind w:left="1052"/>
              <w:spacing w:after="0"/>
              <w:rPr>
                <w:sz w:val="20"/>
                <w:szCs w:val="20"/>
                <w:color w:val="auto"/>
              </w:rPr>
            </w:pPr>
            <w:r>
              <w:rPr>
                <w:rFonts w:ascii="Arial" w:cs="Arial" w:eastAsia="Arial" w:hAnsi="Arial"/>
                <w:sz w:val="18"/>
                <w:szCs w:val="18"/>
                <w:color w:val="auto"/>
                <w:w w:val="93"/>
              </w:rPr>
              <w:t>(23)</w:t>
            </w:r>
          </w:p>
        </w:tc>
        <w:tc>
          <w:tcPr>
            <w:tcW w:w="184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8.74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6.23</w:t>
            </w:r>
          </w:p>
        </w:tc>
        <w:tc>
          <w:tcPr>
            <w:tcW w:w="2040" w:type="dxa"/>
            <w:vAlign w:val="bottom"/>
            <w:gridSpan w:val="3"/>
          </w:tcPr>
          <w:p>
            <w:pPr>
              <w:jc w:val="center"/>
              <w:ind w:left="1052"/>
              <w:spacing w:after="0"/>
              <w:rPr>
                <w:sz w:val="20"/>
                <w:szCs w:val="20"/>
                <w:color w:val="auto"/>
              </w:rPr>
            </w:pPr>
            <w:r>
              <w:rPr>
                <w:rFonts w:ascii="Arial" w:cs="Arial" w:eastAsia="Arial" w:hAnsi="Arial"/>
                <w:sz w:val="18"/>
                <w:szCs w:val="18"/>
                <w:color w:val="auto"/>
                <w:w w:val="93"/>
              </w:rPr>
              <w:t>(18)</w:t>
            </w:r>
          </w:p>
        </w:tc>
        <w:tc>
          <w:tcPr>
            <w:tcW w:w="184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40" w:type="dxa"/>
            <w:vAlign w:val="bottom"/>
            <w:gridSpan w:val="3"/>
            <w:shd w:val="clear" w:color="auto" w:fill="CCEEFF"/>
          </w:tcPr>
          <w:p>
            <w:pPr>
              <w:jc w:val="center"/>
              <w:ind w:left="1052"/>
              <w:spacing w:after="0"/>
              <w:rPr>
                <w:sz w:val="20"/>
                <w:szCs w:val="20"/>
                <w:color w:val="auto"/>
              </w:rPr>
            </w:pPr>
            <w:r>
              <w:rPr>
                <w:rFonts w:ascii="Arial" w:cs="Arial" w:eastAsia="Arial" w:hAnsi="Arial"/>
                <w:sz w:val="18"/>
                <w:szCs w:val="18"/>
                <w:color w:val="auto"/>
                <w:w w:val="93"/>
              </w:rPr>
              <w:t>(17)</w:t>
            </w:r>
          </w:p>
        </w:tc>
        <w:tc>
          <w:tcPr>
            <w:tcW w:w="184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6.30</w:t>
            </w:r>
          </w:p>
        </w:tc>
        <w:tc>
          <w:tcPr>
            <w:tcW w:w="2040" w:type="dxa"/>
            <w:vAlign w:val="bottom"/>
            <w:gridSpan w:val="3"/>
          </w:tcPr>
          <w:p>
            <w:pPr>
              <w:jc w:val="center"/>
              <w:ind w:left="1052"/>
              <w:spacing w:after="0"/>
              <w:rPr>
                <w:sz w:val="20"/>
                <w:szCs w:val="20"/>
                <w:color w:val="auto"/>
              </w:rPr>
            </w:pPr>
            <w:r>
              <w:rPr>
                <w:rFonts w:ascii="Arial" w:cs="Arial" w:eastAsia="Arial" w:hAnsi="Arial"/>
                <w:sz w:val="18"/>
                <w:szCs w:val="18"/>
                <w:color w:val="auto"/>
                <w:w w:val="93"/>
              </w:rPr>
              <w:t>(16)</w:t>
            </w:r>
          </w:p>
        </w:tc>
        <w:tc>
          <w:tcPr>
            <w:tcW w:w="184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September 30, 2018</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7.84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2040" w:type="dxa"/>
            <w:vAlign w:val="bottom"/>
            <w:gridSpan w:val="3"/>
          </w:tcPr>
          <w:p>
            <w:pPr>
              <w:jc w:val="center"/>
              <w:ind w:left="1052"/>
              <w:spacing w:after="0"/>
              <w:rPr>
                <w:sz w:val="20"/>
                <w:szCs w:val="20"/>
                <w:color w:val="auto"/>
              </w:rPr>
            </w:pPr>
            <w:r>
              <w:rPr>
                <w:rFonts w:ascii="Arial" w:cs="Arial" w:eastAsia="Arial" w:hAnsi="Arial"/>
                <w:sz w:val="18"/>
                <w:szCs w:val="18"/>
                <w:color w:val="auto"/>
                <w:w w:val="93"/>
              </w:rPr>
              <w:t>(14)</w:t>
            </w:r>
          </w:p>
        </w:tc>
        <w:tc>
          <w:tcPr>
            <w:tcW w:w="184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40" w:type="dxa"/>
            <w:vAlign w:val="bottom"/>
            <w:gridSpan w:val="3"/>
            <w:shd w:val="clear" w:color="auto" w:fill="CCEEFF"/>
          </w:tcPr>
          <w:p>
            <w:pPr>
              <w:jc w:val="center"/>
              <w:ind w:left="1052"/>
              <w:spacing w:after="0"/>
              <w:rPr>
                <w:sz w:val="20"/>
                <w:szCs w:val="20"/>
                <w:color w:val="auto"/>
              </w:rPr>
            </w:pPr>
            <w:r>
              <w:rPr>
                <w:rFonts w:ascii="Arial" w:cs="Arial" w:eastAsia="Arial" w:hAnsi="Arial"/>
                <w:sz w:val="18"/>
                <w:szCs w:val="18"/>
                <w:color w:val="auto"/>
                <w:w w:val="93"/>
              </w:rPr>
              <w:t>(18)</w:t>
            </w:r>
          </w:p>
        </w:tc>
        <w:tc>
          <w:tcPr>
            <w:tcW w:w="184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6.41</w:t>
            </w:r>
          </w:p>
        </w:tc>
        <w:tc>
          <w:tcPr>
            <w:tcW w:w="2040" w:type="dxa"/>
            <w:vAlign w:val="bottom"/>
            <w:gridSpan w:val="3"/>
          </w:tcPr>
          <w:p>
            <w:pPr>
              <w:jc w:val="center"/>
              <w:ind w:left="1052"/>
              <w:spacing w:after="0"/>
              <w:rPr>
                <w:sz w:val="20"/>
                <w:szCs w:val="20"/>
                <w:color w:val="auto"/>
              </w:rPr>
            </w:pPr>
            <w:r>
              <w:rPr>
                <w:rFonts w:ascii="Arial" w:cs="Arial" w:eastAsia="Arial" w:hAnsi="Arial"/>
                <w:sz w:val="18"/>
                <w:szCs w:val="18"/>
                <w:color w:val="auto"/>
                <w:w w:val="93"/>
              </w:rPr>
              <w:t>(20)</w:t>
            </w:r>
          </w:p>
        </w:tc>
        <w:tc>
          <w:tcPr>
            <w:tcW w:w="1840" w:type="dxa"/>
            <w:vAlign w:val="bottom"/>
            <w:gridSpan w:val="3"/>
          </w:tcPr>
          <w:p>
            <w:pPr>
              <w:jc w:val="center"/>
              <w:ind w:left="852"/>
              <w:spacing w:after="0"/>
              <w:rPr>
                <w:sz w:val="20"/>
                <w:szCs w:val="20"/>
                <w:color w:val="auto"/>
              </w:rPr>
            </w:pPr>
            <w:r>
              <w:rPr>
                <w:rFonts w:ascii="Arial" w:cs="Arial" w:eastAsia="Arial" w:hAnsi="Arial"/>
                <w:sz w:val="18"/>
                <w:szCs w:val="18"/>
                <w:color w:val="auto"/>
                <w:w w:val="93"/>
              </w:rPr>
              <w:t>(29)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40" w:type="dxa"/>
            <w:vAlign w:val="bottom"/>
            <w:gridSpan w:val="3"/>
            <w:shd w:val="clear" w:color="auto" w:fill="CCEEFF"/>
          </w:tcPr>
          <w:p>
            <w:pPr>
              <w:jc w:val="center"/>
              <w:ind w:left="1052"/>
              <w:spacing w:after="0"/>
              <w:rPr>
                <w:sz w:val="20"/>
                <w:szCs w:val="20"/>
                <w:color w:val="auto"/>
              </w:rPr>
            </w:pPr>
            <w:r>
              <w:rPr>
                <w:rFonts w:ascii="Arial" w:cs="Arial" w:eastAsia="Arial" w:hAnsi="Arial"/>
                <w:sz w:val="18"/>
                <w:szCs w:val="18"/>
                <w:color w:val="auto"/>
                <w:w w:val="93"/>
              </w:rPr>
              <w:t>(14)</w:t>
            </w:r>
          </w:p>
        </w:tc>
        <w:tc>
          <w:tcPr>
            <w:tcW w:w="1840" w:type="dxa"/>
            <w:vAlign w:val="bottom"/>
            <w:gridSpan w:val="3"/>
            <w:shd w:val="clear" w:color="auto" w:fill="CCEEFF"/>
          </w:tcPr>
          <w:p>
            <w:pPr>
              <w:jc w:val="center"/>
              <w:ind w:left="852"/>
              <w:spacing w:after="0"/>
              <w:rPr>
                <w:sz w:val="20"/>
                <w:szCs w:val="20"/>
                <w:color w:val="auto"/>
              </w:rPr>
            </w:pPr>
            <w:r>
              <w:rPr>
                <w:rFonts w:ascii="Arial" w:cs="Arial" w:eastAsia="Arial" w:hAnsi="Arial"/>
                <w:sz w:val="18"/>
                <w:szCs w:val="18"/>
                <w:color w:val="auto"/>
                <w:w w:val="93"/>
              </w:rPr>
              <w:t>(24)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1" w:lineRule="exact"/>
        <w:rPr>
          <w:sz w:val="20"/>
          <w:szCs w:val="20"/>
          <w:color w:val="auto"/>
        </w:rPr>
      </w:pPr>
    </w:p>
    <w:p>
      <w:pPr>
        <w:ind w:left="640" w:right="160" w:hanging="436"/>
        <w:spacing w:after="0" w:line="258"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less NAV per share, divided by the quarter-end NAV per share.</w:t>
      </w:r>
    </w:p>
    <w:p>
      <w:pPr>
        <w:spacing w:after="0" w:line="211" w:lineRule="exact"/>
        <w:rPr>
          <w:sz w:val="20"/>
          <w:szCs w:val="20"/>
          <w:color w:val="auto"/>
        </w:rPr>
      </w:pPr>
    </w:p>
    <w:p>
      <w:pPr>
        <w:jc w:val="both"/>
        <w:ind w:left="200" w:right="80" w:firstLine="441"/>
        <w:spacing w:after="0" w:line="297"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$6.27 and $7.46 as of September 30, 2019 and 2018, respectively. Our NAV per share was $8.68 and $9.11 as of September 30, 2019 and 2018,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2019, we had 9 stockholders of record.</w:t>
      </w:r>
    </w:p>
    <w:p>
      <w:pPr>
        <w:spacing w:after="0" w:line="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180" w:right="4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180" w:right="40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200" w:right="160" w:firstLine="441"/>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130" w:lineRule="exact"/>
        <w:rPr>
          <w:rFonts w:ascii="Arial" w:cs="Arial" w:eastAsia="Arial" w:hAnsi="Arial"/>
          <w:sz w:val="18"/>
          <w:szCs w:val="18"/>
          <w:color w:val="auto"/>
        </w:rPr>
      </w:pPr>
    </w:p>
    <w:p>
      <w:pPr>
        <w:ind w:left="1180" w:right="20" w:hanging="436"/>
        <w:spacing w:after="0" w:line="277"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8"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2"/>
              </w:rPr>
              <w:t>Example 2</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3"/>
              <w:spacing w:after="0"/>
              <w:rPr>
                <w:sz w:val="20"/>
                <w:szCs w:val="20"/>
                <w:color w:val="auto"/>
              </w:rPr>
            </w:pPr>
            <w:r>
              <w:rPr>
                <w:rFonts w:ascii="Arial" w:cs="Arial" w:eastAsia="Arial" w:hAnsi="Arial"/>
                <w:sz w:val="14"/>
                <w:szCs w:val="14"/>
                <w:b w:val="1"/>
                <w:bCs w:val="1"/>
                <w:color w:val="auto"/>
                <w:w w:val="92"/>
              </w:rPr>
              <w:t>Example 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0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3"/>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NAV per share</w:t>
            </w:r>
          </w:p>
        </w:tc>
        <w:tc>
          <w:tcPr>
            <w:tcW w:w="520" w:type="dxa"/>
            <w:vAlign w:val="bottom"/>
            <w:gridSpan w:val="2"/>
          </w:tcPr>
          <w:p>
            <w:pPr>
              <w:ind w:left="4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4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(0.20)%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4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0.95%</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(5.00)%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0.91%</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(9.00)%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0.80%</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Example 1</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Example 2</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Example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9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w w:val="92"/>
              </w:rPr>
              <w:t>Prior to Sale</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at 5% Discount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at 10% Discount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6"/>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9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0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00" w:type="dxa"/>
            <w:vAlign w:val="bottom"/>
            <w:tcBorders>
              <w:top w:val="single" w:sz="8" w:color="auto"/>
            </w:tcBorders>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600" w:type="dxa"/>
            <w:vAlign w:val="bottom"/>
            <w:tcBorders>
              <w:top w:val="single" w:sz="8" w:color="auto"/>
            </w:tcBorders>
            <w:gridSpan w:val="2"/>
          </w:tcPr>
          <w:p>
            <w:pPr>
              <w:jc w:val="right"/>
              <w:ind w:right="72"/>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Below NAV</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Asset Values</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rPr>
              <w:t>Total NAV held by stockholder A</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100,000</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99,800</w:t>
            </w:r>
          </w:p>
        </w:tc>
        <w:tc>
          <w:tcPr>
            <w:tcW w:w="180" w:type="dxa"/>
            <w:vAlign w:val="bottom"/>
          </w:tcPr>
          <w:p>
            <w:pPr>
              <w:spacing w:after="0"/>
              <w:rPr>
                <w:sz w:val="17"/>
                <w:szCs w:val="17"/>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(0.20)%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99,100</w:t>
            </w:r>
          </w:p>
        </w:tc>
        <w:tc>
          <w:tcPr>
            <w:tcW w:w="180" w:type="dxa"/>
            <w:vAlign w:val="bottom"/>
          </w:tcPr>
          <w:p>
            <w:pPr>
              <w:spacing w:after="0"/>
              <w:rPr>
                <w:sz w:val="17"/>
                <w:szCs w:val="17"/>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(0.90)%</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95,000</w:t>
            </w:r>
          </w:p>
        </w:tc>
        <w:tc>
          <w:tcPr>
            <w:tcW w:w="180" w:type="dxa"/>
            <w:vAlign w:val="bottom"/>
          </w:tcPr>
          <w:p>
            <w:pPr>
              <w:spacing w:after="0"/>
              <w:rPr>
                <w:sz w:val="17"/>
                <w:szCs w:val="17"/>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6"/>
              </w:rPr>
              <w:t>Total investment by stockholder A (assumed to be $10.00 per</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rPr>
              <w:t>Total dilution to stockholder A (total NAV less total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6"/>
                <w:szCs w:val="16"/>
                <w:color w:val="auto"/>
              </w:rPr>
              <w:t>investment)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(900)</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Share Amounts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rPr>
              <w:t>NAV per share held by stockholder 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9"/>
              </w:rPr>
              <w:t>Investment per share held by stockholder A (assumed to be</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$10.00 per share on shares held prior to sale)</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tcPr>
          <w:p>
            <w:pPr>
              <w:ind w:left="300"/>
              <w:spacing w:after="0"/>
              <w:rPr>
                <w:sz w:val="20"/>
                <w:szCs w:val="20"/>
                <w:color w:val="auto"/>
              </w:rPr>
            </w:pPr>
            <w:r>
              <w:rPr>
                <w:rFonts w:ascii="Arial" w:cs="Arial" w:eastAsia="Arial" w:hAnsi="Arial"/>
                <w:sz w:val="16"/>
                <w:szCs w:val="16"/>
                <w:color w:val="auto"/>
                <w:w w:val="98"/>
              </w:rPr>
              <w:t>Dilution per share held by stockholder A (NAV per share less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tcPr>
          <w:p>
            <w:pPr>
              <w:ind w:left="480"/>
              <w:spacing w:after="0"/>
              <w:rPr>
                <w:sz w:val="20"/>
                <w:szCs w:val="20"/>
                <w:color w:val="auto"/>
              </w:rPr>
            </w:pPr>
            <w:r>
              <w:rPr>
                <w:rFonts w:ascii="Arial" w:cs="Arial" w:eastAsia="Arial" w:hAnsi="Arial"/>
                <w:sz w:val="16"/>
                <w:szCs w:val="16"/>
                <w:color w:val="auto"/>
              </w:rPr>
              <w:t>investment per share)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(0.09)</w:t>
            </w: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54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5"/>
              </w:rPr>
              <w:t>Percentage dilution to stockholder A (dilution per share divided</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by investment per share)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(0.20)%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(0.90)%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8"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 of the offering (i.e., 3,750 shares which is 1.50% of the offering of 250,000 shares rather than their 1.00% proportionate share).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2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Prior to Sale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50% Participation</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122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9" w:lineRule="exact"/>
              <w:rPr>
                <w:sz w:val="20"/>
                <w:szCs w:val="20"/>
                <w:color w:val="auto"/>
              </w:rPr>
            </w:pPr>
            <w:r>
              <w:rPr>
                <w:rFonts w:ascii="Arial" w:cs="Arial" w:eastAsia="Arial" w:hAnsi="Arial"/>
                <w:sz w:val="13"/>
                <w:szCs w:val="13"/>
                <w:b w:val="1"/>
                <w:bCs w:val="1"/>
                <w:color w:val="auto"/>
              </w:rPr>
              <w:t>Following</w:t>
            </w:r>
          </w:p>
        </w:tc>
        <w:tc>
          <w:tcPr>
            <w:tcW w:w="64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top w:val="single" w:sz="8" w:color="auto"/>
            </w:tcBorders>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Following</w:t>
            </w:r>
          </w:p>
        </w:tc>
        <w:tc>
          <w:tcPr>
            <w:tcW w:w="64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Below NAV</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Sale</w:t>
            </w:r>
          </w:p>
        </w:tc>
        <w:tc>
          <w:tcPr>
            <w:tcW w:w="8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b w:val="1"/>
                <w:bCs w:val="1"/>
                <w:i w:val="1"/>
                <w:iCs w:val="1"/>
                <w:color w:val="auto"/>
              </w:rPr>
              <w:t>Increases in Shares and Decrease to NAV</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25.00 %</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1,250,000</w:t>
            </w:r>
          </w:p>
        </w:tc>
        <w:tc>
          <w:tcPr>
            <w:tcW w:w="2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NAV per share</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28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(5.00)%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280" w:type="dxa"/>
            <w:vAlign w:val="bottom"/>
          </w:tcPr>
          <w:p>
            <w:pPr>
              <w:spacing w:after="0"/>
              <w:rPr>
                <w:sz w:val="17"/>
                <w:szCs w:val="17"/>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(Dilution)/Accretion to Participating Stockholder 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11,250</w:t>
            </w:r>
          </w:p>
        </w:tc>
        <w:tc>
          <w:tcPr>
            <w:tcW w:w="28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12.50 %</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13,750</w:t>
            </w:r>
          </w:p>
        </w:tc>
        <w:tc>
          <w:tcPr>
            <w:tcW w:w="2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37.50 %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0.90%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106,875</w:t>
            </w:r>
          </w:p>
        </w:tc>
        <w:tc>
          <w:tcPr>
            <w:tcW w:w="2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6.88 %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28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30.63 %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 held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Pr>
          <w:p>
            <w:pPr>
              <w:ind w:left="140"/>
              <w:spacing w:after="0"/>
              <w:rPr>
                <w:sz w:val="20"/>
                <w:szCs w:val="20"/>
                <w:color w:val="auto"/>
              </w:rPr>
            </w:pPr>
            <w:r>
              <w:rPr>
                <w:rFonts w:ascii="Arial" w:cs="Arial" w:eastAsia="Arial" w:hAnsi="Arial"/>
                <w:sz w:val="16"/>
                <w:szCs w:val="16"/>
                <w:color w:val="auto"/>
              </w:rPr>
              <w:t>prior to sale)</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2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109,863</w:t>
            </w:r>
          </w:p>
        </w:tc>
        <w:tc>
          <w:tcPr>
            <w:tcW w:w="280" w:type="dxa"/>
            <w:vAlign w:val="bottom"/>
          </w:tcPr>
          <w:p>
            <w:pPr>
              <w:spacing w:after="0"/>
              <w:rPr>
                <w:sz w:val="17"/>
                <w:szCs w:val="17"/>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6"/>
                <w:szCs w:val="16"/>
                <w:color w:val="auto"/>
              </w:rPr>
              <w:t>9.86 %</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129,588</w:t>
            </w:r>
          </w:p>
        </w:tc>
        <w:tc>
          <w:tcPr>
            <w:tcW w:w="280" w:type="dxa"/>
            <w:vAlign w:val="bottom"/>
          </w:tcPr>
          <w:p>
            <w:pPr>
              <w:spacing w:after="0"/>
              <w:rPr>
                <w:sz w:val="17"/>
                <w:szCs w:val="17"/>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29.59 %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Total (dilution)/accretion to stockholder A (total NAV less total investment)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(2,988)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NAV per share held by stockholder 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tcPr>
          <w:p>
            <w:pPr>
              <w:ind w:left="300"/>
              <w:spacing w:after="0"/>
              <w:rPr>
                <w:sz w:val="20"/>
                <w:szCs w:val="20"/>
                <w:color w:val="auto"/>
              </w:rPr>
            </w:pPr>
            <w:r>
              <w:rPr>
                <w:rFonts w:ascii="Arial" w:cs="Arial" w:eastAsia="Arial" w:hAnsi="Arial"/>
                <w:sz w:val="16"/>
                <w:szCs w:val="16"/>
                <w:color w:val="auto"/>
                <w:w w:val="92"/>
              </w:rPr>
              <w:t>Investment per share held by stockholder A (assumed to be $10.00 per share 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tcPr>
          <w:p>
            <w:pPr>
              <w:ind w:left="480"/>
              <w:spacing w:after="0"/>
              <w:rPr>
                <w:sz w:val="20"/>
                <w:szCs w:val="20"/>
                <w:color w:val="auto"/>
              </w:rPr>
            </w:pPr>
            <w:r>
              <w:rPr>
                <w:rFonts w:ascii="Arial" w:cs="Arial" w:eastAsia="Arial" w:hAnsi="Arial"/>
                <w:sz w:val="16"/>
                <w:szCs w:val="16"/>
                <w:color w:val="auto"/>
              </w:rPr>
              <w:t>shares held prior to sale)</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2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9.77</w:t>
            </w:r>
          </w:p>
        </w:tc>
        <w:tc>
          <w:tcPr>
            <w:tcW w:w="2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(2.30)%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9.42</w:t>
            </w:r>
          </w:p>
        </w:tc>
        <w:tc>
          <w:tcPr>
            <w:tcW w:w="2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(Dilution)/accretion per share held by stockholder A (NAV per share less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600" w:type="dxa"/>
            <w:vAlign w:val="bottom"/>
          </w:tcPr>
          <w:p>
            <w:pPr>
              <w:ind w:left="300"/>
              <w:spacing w:after="0"/>
              <w:rPr>
                <w:sz w:val="20"/>
                <w:szCs w:val="20"/>
                <w:color w:val="auto"/>
              </w:rPr>
            </w:pPr>
            <w:r>
              <w:rPr>
                <w:rFonts w:ascii="Arial" w:cs="Arial" w:eastAsia="Arial" w:hAnsi="Arial"/>
                <w:sz w:val="16"/>
                <w:szCs w:val="16"/>
                <w:color w:val="auto"/>
                <w:w w:val="97"/>
              </w:rPr>
              <w:t>Percentage (dilution)/accretion to stockholder A (dilution)/accretion per share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00" w:type="dxa"/>
            <w:vAlign w:val="bottom"/>
          </w:tcPr>
          <w:p>
            <w:pPr>
              <w:ind w:left="480"/>
              <w:spacing w:after="0"/>
              <w:rPr>
                <w:sz w:val="20"/>
                <w:szCs w:val="20"/>
                <w:color w:val="auto"/>
              </w:rPr>
            </w:pPr>
            <w:r>
              <w:rPr>
                <w:rFonts w:ascii="Arial" w:cs="Arial" w:eastAsia="Arial" w:hAnsi="Arial"/>
                <w:sz w:val="16"/>
                <w:szCs w:val="16"/>
                <w:color w:val="auto"/>
              </w:rPr>
              <w:t>divided by investment per share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6"/>
                <w:szCs w:val="16"/>
                <w:color w:val="auto"/>
              </w:rPr>
              <w:t>(2.76)%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24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2"/>
              </w:rPr>
              <w:t>Example 2</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92"/>
              </w:rPr>
              <w:t>Example 3</w:t>
            </w: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25% Offering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at 5% Discount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500" w:type="dxa"/>
            <w:vAlign w:val="bottom"/>
            <w:tcBorders>
              <w:top w:val="single" w:sz="8" w:color="auto"/>
            </w:tcBorders>
            <w:gridSpan w:val="2"/>
          </w:tcPr>
          <w:p>
            <w:pPr>
              <w:jc w:val="right"/>
              <w:ind w:right="79"/>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3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1,050,000</w:t>
            </w:r>
          </w:p>
        </w:tc>
        <w:tc>
          <w:tcPr>
            <w:tcW w:w="4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5.00 %</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4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25.00 %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NAV per share</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9.98</w:t>
            </w:r>
          </w:p>
        </w:tc>
        <w:tc>
          <w:tcPr>
            <w:tcW w:w="440" w:type="dxa"/>
            <w:vAlign w:val="bottom"/>
          </w:tcPr>
          <w:p>
            <w:pPr>
              <w:spacing w:after="0"/>
              <w:rPr>
                <w:sz w:val="17"/>
                <w:szCs w:val="17"/>
                <w:color w:val="auto"/>
              </w:rPr>
            </w:pPr>
          </w:p>
        </w:tc>
        <w:tc>
          <w:tcPr>
            <w:tcW w:w="840" w:type="dxa"/>
            <w:vAlign w:val="bottom"/>
            <w:gridSpan w:val="3"/>
          </w:tcPr>
          <w:p>
            <w:pPr>
              <w:ind w:left="160"/>
              <w:spacing w:after="0"/>
              <w:rPr>
                <w:sz w:val="20"/>
                <w:szCs w:val="20"/>
                <w:color w:val="auto"/>
              </w:rPr>
            </w:pPr>
            <w:r>
              <w:rPr>
                <w:rFonts w:ascii="Arial" w:cs="Arial" w:eastAsia="Arial" w:hAnsi="Arial"/>
                <w:sz w:val="16"/>
                <w:szCs w:val="16"/>
                <w:color w:val="auto"/>
              </w:rPr>
              <w:t>(0.20)%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7"/>
                <w:szCs w:val="17"/>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(0.90)%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9.50</w:t>
            </w:r>
          </w:p>
        </w:tc>
        <w:tc>
          <w:tcPr>
            <w:tcW w:w="440" w:type="dxa"/>
            <w:vAlign w:val="bottom"/>
          </w:tcPr>
          <w:p>
            <w:pPr>
              <w:spacing w:after="0"/>
              <w:rPr>
                <w:sz w:val="17"/>
                <w:szCs w:val="17"/>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0.05%</w:t>
            </w: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0.09%</w:t>
            </w: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0.20%</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NAV held by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300"/>
              <w:spacing w:after="0"/>
              <w:rPr>
                <w:sz w:val="20"/>
                <w:szCs w:val="20"/>
                <w:color w:val="auto"/>
              </w:rPr>
            </w:pPr>
            <w:r>
              <w:rPr>
                <w:rFonts w:ascii="Arial" w:cs="Arial" w:eastAsia="Arial" w:hAnsi="Arial"/>
                <w:sz w:val="16"/>
                <w:szCs w:val="16"/>
                <w:color w:val="auto"/>
              </w:rPr>
              <w:t>Total investment by stockholder A</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19,725</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(dilution)/accretion to stockholder A</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300"/>
              <w:spacing w:after="0"/>
              <w:rPr>
                <w:sz w:val="20"/>
                <w:szCs w:val="20"/>
                <w:color w:val="auto"/>
              </w:rPr>
            </w:pPr>
            <w:r>
              <w:rPr>
                <w:rFonts w:ascii="Arial" w:cs="Arial" w:eastAsia="Arial" w:hAnsi="Arial"/>
                <w:sz w:val="16"/>
                <w:szCs w:val="16"/>
                <w:color w:val="auto"/>
                <w:w w:val="98"/>
              </w:rPr>
              <w:t>Investment per share held by stockholder A</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7.89</w:t>
            </w: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(Dilution)/accretion per share held by</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(0.02)</w:t>
            </w:r>
          </w:p>
        </w:tc>
        <w:tc>
          <w:tcPr>
            <w:tcW w:w="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60" w:type="dxa"/>
            <w:vAlign w:val="bottom"/>
          </w:tcPr>
          <w:p>
            <w:pPr>
              <w:ind w:left="300"/>
              <w:spacing w:after="0"/>
              <w:rPr>
                <w:sz w:val="20"/>
                <w:szCs w:val="20"/>
                <w:color w:val="auto"/>
              </w:rPr>
            </w:pPr>
            <w:r>
              <w:rPr>
                <w:rFonts w:ascii="Arial" w:cs="Arial" w:eastAsia="Arial" w:hAnsi="Arial"/>
                <w:sz w:val="16"/>
                <w:szCs w:val="16"/>
                <w:color w:val="auto"/>
              </w:rPr>
              <w:t>Percentage (dilution)/accretion to</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480"/>
              <w:spacing w:after="0"/>
              <w:rPr>
                <w:sz w:val="20"/>
                <w:szCs w:val="20"/>
                <w:color w:val="auto"/>
              </w:rPr>
            </w:pPr>
            <w:r>
              <w:rPr>
                <w:rFonts w:ascii="Arial" w:cs="Arial" w:eastAsia="Arial" w:hAnsi="Arial"/>
                <w:sz w:val="16"/>
                <w:szCs w:val="16"/>
                <w:color w:val="auto"/>
              </w:rPr>
              <w:t>stockholder A (dilution)/ accretion per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6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200" w:type="dxa"/>
            <w:vAlign w:val="bottom"/>
          </w:tcPr>
          <w:p>
            <w:pPr>
              <w:spacing w:after="0"/>
              <w:rPr>
                <w:sz w:val="17"/>
                <w:szCs w:val="17"/>
                <w:color w:val="auto"/>
              </w:rPr>
            </w:pPr>
          </w:p>
        </w:tc>
        <w:tc>
          <w:tcPr>
            <w:tcW w:w="960" w:type="dxa"/>
            <w:vAlign w:val="bottom"/>
          </w:tcPr>
          <w:p>
            <w:pPr>
              <w:ind w:left="5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40" w:type="dxa"/>
            <w:vAlign w:val="bottom"/>
            <w:gridSpan w:val="3"/>
          </w:tcPr>
          <w:p>
            <w:pPr>
              <w:ind w:left="160"/>
              <w:spacing w:after="0"/>
              <w:rPr>
                <w:sz w:val="20"/>
                <w:szCs w:val="20"/>
                <w:color w:val="auto"/>
              </w:rPr>
            </w:pPr>
            <w:r>
              <w:rPr>
                <w:rFonts w:ascii="Arial" w:cs="Arial" w:eastAsia="Arial" w:hAnsi="Arial"/>
                <w:sz w:val="16"/>
                <w:szCs w:val="16"/>
                <w:color w:val="auto"/>
              </w:rPr>
              <w:t>(0.20)%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60" w:type="dxa"/>
            <w:vAlign w:val="bottom"/>
            <w:gridSpan w:val="3"/>
          </w:tcPr>
          <w:p>
            <w:pPr>
              <w:jc w:val="right"/>
              <w:ind w:right="240"/>
              <w:spacing w:after="0"/>
              <w:rPr>
                <w:sz w:val="20"/>
                <w:szCs w:val="20"/>
                <w:color w:val="auto"/>
              </w:rPr>
            </w:pPr>
            <w:r>
              <w:rPr>
                <w:rFonts w:ascii="Arial" w:cs="Arial" w:eastAsia="Arial" w:hAnsi="Arial"/>
                <w:sz w:val="16"/>
                <w:szCs w:val="16"/>
                <w:color w:val="auto"/>
              </w:rPr>
              <w:t>4.65 %</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740" w:type="dxa"/>
            <w:vAlign w:val="bottom"/>
            <w:gridSpan w:val="3"/>
          </w:tcPr>
          <w:p>
            <w:pPr>
              <w:jc w:val="right"/>
              <w:ind w:right="12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8"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provided information with respect to appropriate tax treatment of our distributions.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2019 and</w:t>
      </w:r>
    </w:p>
    <w:p>
      <w:pPr>
        <w:spacing w:after="0" w:line="46" w:lineRule="exact"/>
        <w:rPr>
          <w:sz w:val="20"/>
          <w:szCs w:val="20"/>
          <w:color w:val="auto"/>
        </w:rPr>
      </w:pPr>
    </w:p>
    <w:p>
      <w:pPr>
        <w:ind w:left="200" w:right="420"/>
        <w:spacing w:after="0" w:line="261" w:lineRule="auto"/>
        <w:rPr>
          <w:sz w:val="20"/>
          <w:szCs w:val="20"/>
          <w:color w:val="auto"/>
        </w:rPr>
      </w:pPr>
      <w:r>
        <w:rPr>
          <w:rFonts w:ascii="Arial" w:cs="Arial" w:eastAsia="Arial" w:hAnsi="Arial"/>
          <w:sz w:val="18"/>
          <w:szCs w:val="18"/>
          <w:color w:val="auto"/>
        </w:rPr>
        <w:t>2018 from ordinary income (including short-term gains, if any), totaled $48.4 million and $50.6 million, or $0.72 and $0.72 per share, respectively, based on weighted average shares outstanding for the respective periods.</w:t>
      </w:r>
    </w:p>
    <w:p>
      <w:pPr>
        <w:spacing w:after="0" w:line="184"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81"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2019 Consolidated Financial Statements included in our most recent Annual Report on Form 10-K.</w:t>
      </w:r>
    </w:p>
    <w:p>
      <w:pPr>
        <w:spacing w:after="0" w:line="18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Substantially all of our investments (except those of SBIC II) are pledged as collateral under our Credit Facilities. Unless otherwise noted, we held no voting board membership on any of our portfolio companies.</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 of Investment,</w:t>
            </w:r>
          </w:p>
        </w:tc>
        <w:tc>
          <w:tcPr>
            <w:tcW w:w="28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820" w:type="dxa"/>
            <w:vAlign w:val="bottom"/>
            <w:gridSpan w:val="3"/>
            <w:vMerge w:val="continue"/>
          </w:tcPr>
          <w:p>
            <w:pPr>
              <w:spacing w:after="0"/>
              <w:rPr>
                <w:sz w:val="12"/>
                <w:szCs w:val="12"/>
                <w:color w:val="auto"/>
              </w:rPr>
            </w:pPr>
          </w:p>
        </w:tc>
        <w:tc>
          <w:tcPr>
            <w:tcW w:w="1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Nature of Business</w:t>
            </w:r>
          </w:p>
        </w:tc>
        <w:tc>
          <w:tcPr>
            <w:tcW w:w="3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tcPr>
          <w:p>
            <w:pPr>
              <w:jc w:val="right"/>
              <w:ind w:right="34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60" w:type="dxa"/>
            <w:vAlign w:val="bottom"/>
            <w:gridSpan w:val="2"/>
            <w:vMerge w:val="continue"/>
          </w:tcPr>
          <w:p>
            <w:pPr>
              <w:spacing w:after="0"/>
              <w:rPr>
                <w:sz w:val="14"/>
                <w:szCs w:val="14"/>
                <w:color w:val="auto"/>
              </w:rPr>
            </w:pP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30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00" w:type="dxa"/>
            <w:vAlign w:val="bottom"/>
            <w:gridSpan w:val="2"/>
          </w:tcPr>
          <w:p>
            <w:pPr>
              <w:spacing w:after="0" w:line="130" w:lineRule="exact"/>
              <w:rPr>
                <w:sz w:val="20"/>
                <w:szCs w:val="20"/>
                <w:color w:val="auto"/>
              </w:rPr>
            </w:pPr>
            <w:r>
              <w:rPr>
                <w:rFonts w:ascii="Arial" w:cs="Arial" w:eastAsia="Arial" w:hAnsi="Arial"/>
                <w:sz w:val="14"/>
                <w:szCs w:val="14"/>
                <w:color w:val="auto"/>
              </w:rPr>
              <w:t>Affinion Group Holdings, Inc.</w:t>
            </w:r>
          </w:p>
        </w:tc>
        <w:tc>
          <w:tcPr>
            <w:tcW w:w="1760" w:type="dxa"/>
            <w:vAlign w:val="bottom"/>
            <w:gridSpan w:val="2"/>
          </w:tcPr>
          <w:p>
            <w:pPr>
              <w:jc w:val="center"/>
              <w:ind w:right="280"/>
              <w:spacing w:after="0" w:line="130" w:lineRule="exact"/>
              <w:rPr>
                <w:sz w:val="20"/>
                <w:szCs w:val="20"/>
                <w:color w:val="auto"/>
              </w:rPr>
            </w:pPr>
            <w:r>
              <w:rPr>
                <w:rFonts w:ascii="Arial" w:cs="Arial" w:eastAsia="Arial" w:hAnsi="Arial"/>
                <w:sz w:val="14"/>
                <w:szCs w:val="14"/>
                <w:color w:val="auto"/>
                <w:w w:val="92"/>
              </w:rPr>
              <w:t>Consumer</w:t>
            </w:r>
          </w:p>
        </w:tc>
        <w:tc>
          <w:tcPr>
            <w:tcW w:w="3000" w:type="dxa"/>
            <w:vAlign w:val="bottom"/>
          </w:tcPr>
          <w:p>
            <w:pPr>
              <w:jc w:val="center"/>
              <w:spacing w:after="0" w:line="130" w:lineRule="exact"/>
              <w:rPr>
                <w:sz w:val="20"/>
                <w:szCs w:val="20"/>
                <w:color w:val="auto"/>
              </w:rPr>
            </w:pPr>
            <w:r>
              <w:rPr>
                <w:rFonts w:ascii="Arial" w:cs="Arial" w:eastAsia="Arial" w:hAnsi="Arial"/>
                <w:sz w:val="14"/>
                <w:szCs w:val="14"/>
                <w:color w:val="auto"/>
                <w:w w:val="91"/>
              </w:rPr>
              <w:t>Warrants</w:t>
            </w:r>
          </w:p>
        </w:tc>
        <w:tc>
          <w:tcPr>
            <w:tcW w:w="280" w:type="dxa"/>
            <w:vAlign w:val="bottom"/>
          </w:tcPr>
          <w:p>
            <w:pPr>
              <w:spacing w:after="0"/>
              <w:rPr>
                <w:sz w:val="11"/>
                <w:szCs w:val="11"/>
                <w:color w:val="auto"/>
              </w:rPr>
            </w:pPr>
          </w:p>
        </w:tc>
        <w:tc>
          <w:tcPr>
            <w:tcW w:w="1080" w:type="dxa"/>
            <w:vAlign w:val="bottom"/>
            <w:gridSpan w:val="2"/>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30" w:lineRule="exact"/>
              <w:rPr>
                <w:sz w:val="20"/>
                <w:szCs w:val="20"/>
                <w:color w:val="auto"/>
              </w:rPr>
            </w:pPr>
            <w:r>
              <w:rPr>
                <w:rFonts w:ascii="Arial" w:cs="Arial" w:eastAsia="Arial" w:hAnsi="Arial"/>
                <w:sz w:val="14"/>
                <w:szCs w:val="14"/>
                <w:color w:val="auto"/>
              </w:rPr>
              <w:t>817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100 Connecticut Avenue</w:t>
            </w: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Products</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Norwalk, CT 06850</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AG Investco LP</w:t>
            </w:r>
            <w:r>
              <w:rPr>
                <w:rFonts w:ascii="Arial" w:cs="Arial" w:eastAsia="Arial" w:hAnsi="Arial"/>
                <w:sz w:val="12"/>
                <w:szCs w:val="12"/>
                <w:color w:val="auto"/>
              </w:rPr>
              <w:t>(5)</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Business Services</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Common Equity</w:t>
            </w:r>
            <w:r>
              <w:rPr>
                <w:rFonts w:ascii="Arial" w:cs="Arial" w:eastAsia="Arial" w:hAnsi="Arial"/>
                <w:sz w:val="12"/>
                <w:szCs w:val="12"/>
                <w:color w:val="auto"/>
                <w:w w:val="94"/>
              </w:rPr>
              <w:t>(4)</w:t>
            </w:r>
          </w:p>
        </w:tc>
        <w:tc>
          <w:tcPr>
            <w:tcW w:w="13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2.6%</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715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251 Little Falls Drive</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Herndon, VA 19808</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AH Holdings, Inc.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Healthcare, Education</w:t>
            </w:r>
          </w:p>
        </w:tc>
        <w:tc>
          <w:tcPr>
            <w:tcW w:w="3000" w:type="dxa"/>
            <w:vAlign w:val="bottom"/>
          </w:tcPr>
          <w:p>
            <w:pPr>
              <w:jc w:val="center"/>
              <w:spacing w:after="0"/>
              <w:rPr>
                <w:sz w:val="20"/>
                <w:szCs w:val="20"/>
                <w:color w:val="auto"/>
              </w:rPr>
            </w:pPr>
            <w:r>
              <w:rPr>
                <w:rFonts w:ascii="Arial" w:cs="Arial" w:eastAsia="Arial" w:hAnsi="Arial"/>
                <w:sz w:val="14"/>
                <w:szCs w:val="14"/>
                <w:color w:val="auto"/>
                <w:w w:val="94"/>
              </w:rPr>
              <w:t>Preferred Equity</w:t>
            </w:r>
          </w:p>
        </w:tc>
        <w:tc>
          <w:tcPr>
            <w:tcW w:w="2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10039 Bissonnet Street, Ste. 250</w:t>
            </w: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and Childcare</w:t>
            </w: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1"/>
              </w:rPr>
              <w:t>Warrants</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Houston, TX 77036</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Altamira Technologies, LLC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0"/>
              </w:rPr>
              <w:t>Aerospace and Defense</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6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1,125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L+600, 07/24/2025</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American Insulated Glass, LLC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Building Materials</w:t>
            </w:r>
          </w:p>
        </w:tc>
        <w:tc>
          <w:tcPr>
            <w:tcW w:w="30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60" w:type="dxa"/>
            <w:vAlign w:val="bottom"/>
            <w:gridSpan w:val="3"/>
          </w:tcPr>
          <w:p>
            <w:pPr>
              <w:jc w:val="right"/>
              <w:ind w:right="140"/>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31,247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(Go Dawgs Capital III, LP</w:t>
            </w:r>
            <w:r>
              <w:rPr>
                <w:rFonts w:ascii="Arial" w:cs="Arial" w:eastAsia="Arial" w:hAnsi="Arial"/>
                <w:sz w:val="12"/>
                <w:szCs w:val="12"/>
                <w:color w:val="auto"/>
              </w:rPr>
              <w:t>(5)</w:t>
            </w:r>
            <w:r>
              <w:rPr>
                <w:rFonts w:ascii="Arial" w:cs="Arial" w:eastAsia="Arial" w:hAnsi="Arial"/>
                <w:sz w:val="14"/>
                <w:szCs w:val="14"/>
                <w:color w:val="auto"/>
              </w:rPr>
              <w:t>)</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6"/>
              </w:rPr>
              <w:t>3M L+550, 12/21/2023</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3965 E. Conley Road</w:t>
            </w: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Conley, GA 30288</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ASP LCG Holdings, Inc.</w:t>
            </w:r>
          </w:p>
        </w:tc>
        <w:tc>
          <w:tcPr>
            <w:tcW w:w="17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3"/>
              </w:rPr>
              <w:t>Education</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Warrants</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2,260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21333 Haggerty Road, Ste. 300</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Novi, MI 48375</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20" w:type="dxa"/>
            <w:vAlign w:val="bottom"/>
            <w:gridSpan w:val="3"/>
          </w:tcPr>
          <w:p>
            <w:pPr>
              <w:spacing w:after="0"/>
              <w:rPr>
                <w:sz w:val="20"/>
                <w:szCs w:val="20"/>
                <w:color w:val="auto"/>
              </w:rPr>
            </w:pPr>
            <w:r>
              <w:rPr>
                <w:rFonts w:ascii="Arial" w:cs="Arial" w:eastAsia="Arial" w:hAnsi="Arial"/>
                <w:sz w:val="14"/>
                <w:szCs w:val="14"/>
                <w:color w:val="auto"/>
              </w:rPr>
              <w:t>Autumn Games, LLC</w:t>
            </w: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Broadcasting and</w:t>
            </w:r>
          </w:p>
        </w:tc>
        <w:tc>
          <w:tcPr>
            <w:tcW w:w="300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360" w:type="dxa"/>
            <w:vAlign w:val="bottom"/>
            <w:gridSpan w:val="3"/>
          </w:tcPr>
          <w:p>
            <w:pPr>
              <w:jc w:val="right"/>
              <w:ind w:right="140"/>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gridSpan w:val="3"/>
          </w:tcPr>
          <w:p>
            <w:pPr>
              <w:spacing w:after="0" w:line="149" w:lineRule="exact"/>
              <w:rPr>
                <w:sz w:val="20"/>
                <w:szCs w:val="20"/>
                <w:color w:val="auto"/>
              </w:rPr>
            </w:pPr>
            <w:r>
              <w:rPr>
                <w:rFonts w:ascii="Arial" w:cs="Arial" w:eastAsia="Arial" w:hAnsi="Arial"/>
                <w:sz w:val="14"/>
                <w:szCs w:val="14"/>
                <w:color w:val="auto"/>
              </w:rPr>
              <w:t>54 Thompson Street</w:t>
            </w: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Entertainment</w:t>
            </w:r>
          </w:p>
        </w:tc>
        <w:tc>
          <w:tcPr>
            <w:tcW w:w="3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20" w:type="dxa"/>
            <w:vAlign w:val="bottom"/>
            <w:gridSpan w:val="3"/>
          </w:tcPr>
          <w:p>
            <w:pPr>
              <w:spacing w:after="0"/>
              <w:rPr>
                <w:sz w:val="20"/>
                <w:szCs w:val="20"/>
                <w:color w:val="auto"/>
              </w:rPr>
            </w:pPr>
            <w:r>
              <w:rPr>
                <w:rFonts w:ascii="Arial" w:cs="Arial" w:eastAsia="Arial" w:hAnsi="Arial"/>
                <w:sz w:val="14"/>
                <w:szCs w:val="14"/>
                <w:color w:val="auto"/>
              </w:rPr>
              <w:t>New York, NY 10012</w:t>
            </w:r>
          </w:p>
        </w:tc>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Bazaarvoice, Inc.</w:t>
            </w:r>
          </w:p>
        </w:tc>
        <w:tc>
          <w:tcPr>
            <w:tcW w:w="17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Printing and Publishing</w:t>
            </w:r>
          </w:p>
        </w:tc>
        <w:tc>
          <w:tcPr>
            <w:tcW w:w="30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First Lien Secured Debt,</w:t>
            </w:r>
          </w:p>
        </w:tc>
        <w:tc>
          <w:tcPr>
            <w:tcW w:w="2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40"/>
              <w:spacing w:after="0" w:line="130"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14,628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10901 South Stonelake Blvd.</w:t>
            </w: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1M L+575, 02/01/2024</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Austin, TX 78759</w:t>
            </w: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60" w:type="dxa"/>
            <w:vAlign w:val="bottom"/>
            <w:gridSpan w:val="3"/>
            <w:vMerge w:val="continue"/>
          </w:tcPr>
          <w:p>
            <w:pPr>
              <w:spacing w:after="0"/>
              <w:rPr>
                <w:sz w:val="12"/>
                <w:szCs w:val="12"/>
                <w:color w:val="auto"/>
              </w:rPr>
            </w:pPr>
          </w:p>
        </w:tc>
        <w:tc>
          <w:tcPr>
            <w:tcW w:w="1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Nature of Business</w:t>
            </w:r>
          </w:p>
        </w:tc>
        <w:tc>
          <w:tcPr>
            <w:tcW w:w="3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40" w:type="dxa"/>
            <w:vAlign w:val="bottom"/>
            <w:gridSpan w:val="2"/>
            <w:vMerge w:val="continue"/>
          </w:tcPr>
          <w:p>
            <w:pPr>
              <w:spacing w:after="0"/>
              <w:rPr>
                <w:sz w:val="15"/>
                <w:szCs w:val="15"/>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Bottom Line Systems, LLC</w:t>
            </w:r>
          </w:p>
        </w:tc>
        <w:tc>
          <w:tcPr>
            <w:tcW w:w="1980" w:type="dxa"/>
            <w:vAlign w:val="bottom"/>
            <w:tcBorders>
              <w:top w:val="single" w:sz="8" w:color="CCEEFF"/>
            </w:tcBorders>
            <w:shd w:val="clear" w:color="auto" w:fill="CCEEFF"/>
          </w:tcPr>
          <w:p>
            <w:pPr>
              <w:spacing w:after="0"/>
              <w:rPr>
                <w:sz w:val="9"/>
                <w:szCs w:val="9"/>
                <w:color w:val="auto"/>
              </w:rPr>
            </w:pP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 and</w:t>
            </w:r>
          </w:p>
        </w:tc>
        <w:tc>
          <w:tcPr>
            <w:tcW w:w="200" w:type="dxa"/>
            <w:vAlign w:val="bottom"/>
            <w:tcBorders>
              <w:top w:val="single" w:sz="8" w:color="CCEEFF"/>
            </w:tcBorders>
            <w:shd w:val="clear" w:color="auto" w:fill="CCEEFF"/>
          </w:tcPr>
          <w:p>
            <w:pPr>
              <w:spacing w:after="0"/>
              <w:rPr>
                <w:sz w:val="9"/>
                <w:szCs w:val="9"/>
                <w:color w:val="auto"/>
              </w:rPr>
            </w:pPr>
          </w:p>
        </w:tc>
        <w:tc>
          <w:tcPr>
            <w:tcW w:w="31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21,718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541 Buttermilk Pike, Suite 401</w:t>
            </w:r>
          </w:p>
        </w:tc>
        <w:tc>
          <w:tcPr>
            <w:tcW w:w="17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L+600, 02/13/2023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Crescent Springs, KY 41017</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Broder Bros., Co.</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Consumer</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27,219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Six Neshaminy Interplex, 6 Floor</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L+850, 12/02/2022</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Trevose, PA 19053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Blackhawk Industrial Distribution,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Distribution</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Subordinated Debt,</w:t>
            </w:r>
          </w:p>
        </w:tc>
        <w:tc>
          <w:tcPr>
            <w:tcW w:w="12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1.5%</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16,052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(Cowboy Parent LLC)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12.0% fixed (PIK 2.0%), 03/17/2025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SW Expressway Drive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Broken Arrow, OK 74012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Cano Health, LLC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Healthcare, Education and</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rPr>
              <w:t>3.2%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36,185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(ITC Rumba, LLC</w:t>
            </w:r>
            <w:r>
              <w:rPr>
                <w:rFonts w:ascii="Arial" w:cs="Arial" w:eastAsia="Arial" w:hAnsi="Arial"/>
                <w:sz w:val="12"/>
                <w:szCs w:val="12"/>
                <w:color w:val="auto"/>
              </w:rPr>
              <w:t>(5)</w:t>
            </w:r>
            <w:r>
              <w:rPr>
                <w:rFonts w:ascii="Arial" w:cs="Arial" w:eastAsia="Arial" w:hAnsi="Arial"/>
                <w:sz w:val="14"/>
                <w:szCs w:val="14"/>
                <w:color w:val="auto"/>
              </w:rPr>
              <w:t>)</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12/23/2021</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680 N. University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Pembroke Pines, FL 33024</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Cascade Environmental LLC</w:t>
            </w:r>
            <w:r>
              <w:rPr>
                <w:rFonts w:ascii="Arial" w:cs="Arial" w:eastAsia="Arial" w:hAnsi="Arial"/>
                <w:sz w:val="12"/>
                <w:szCs w:val="12"/>
                <w:color w:val="auto"/>
              </w:rPr>
              <w:t>(5)</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Environmental Services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Subordinated Debt,</w:t>
            </w:r>
          </w:p>
        </w:tc>
        <w:tc>
          <w:tcPr>
            <w:tcW w:w="12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2.8%</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47,884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17270 Woodinville-Redmond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15.0% fixed (PIK 15.0%), 08/20/2021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Woodinville, WA 98072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CI (Summit) Investment Holdings, LLC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Buildings and Real Estate</w:t>
            </w:r>
          </w:p>
        </w:tc>
        <w:tc>
          <w:tcPr>
            <w:tcW w:w="312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rPr>
              <w:t>1.5%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1,505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575 Minnehaha Ave. W.</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St. Paul, MN 55103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0"/>
              </w:rPr>
              <w:t>Business Services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0.3%</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10,860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(6)</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L+875, 04/25/2025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(6)</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Confie Seguros Holding Co.</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Insurance</w:t>
            </w:r>
          </w:p>
        </w:tc>
        <w:tc>
          <w:tcPr>
            <w:tcW w:w="312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13,594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7711 Center Avenue, Suite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L+850, 10/31/2025</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Huntington Beach, CA 92647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DecoPac,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2"/>
              </w:rPr>
              <w:t>Beverage, Food</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2.0%</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26,279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(DecoPac Holdings Inc.)</w:t>
            </w:r>
          </w:p>
        </w:tc>
        <w:tc>
          <w:tcPr>
            <w:tcW w:w="17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88"/>
              </w:rPr>
              <w:t>and Tobacco</w:t>
            </w: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L+825, 03/31/2025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3500 Thurston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Anoka, MN 55303</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DermaRite Industries LLC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Manufacturing / Basic</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9,256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7777 West Side Avenue</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Industries</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L+700, 03/03/2022</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North Bergen, NJ 07047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2"/>
              </w:rPr>
              <w:t>Consumer</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4,486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L+550, 10/31/2023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(6)</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Financial Services</w:t>
            </w:r>
          </w:p>
        </w:tc>
        <w:tc>
          <w:tcPr>
            <w:tcW w:w="312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rPr>
              <w:t>1.3%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1,482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11612 Bee Caves Road, Building II,</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Suite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Austin, TX, 78738</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7"/>
              </w:rPr>
              <w:t>Building Materials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0.2%</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1,243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Halo Buyer,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Consumer</w:t>
            </w:r>
          </w:p>
        </w:tc>
        <w:tc>
          <w:tcPr>
            <w:tcW w:w="312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32,013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line="149" w:lineRule="exact"/>
              <w:rPr>
                <w:sz w:val="20"/>
                <w:szCs w:val="20"/>
                <w:color w:val="auto"/>
              </w:rPr>
            </w:pPr>
            <w:r>
              <w:rPr>
                <w:rFonts w:ascii="Arial" w:cs="Arial" w:eastAsia="Arial" w:hAnsi="Arial"/>
                <w:sz w:val="14"/>
                <w:szCs w:val="14"/>
                <w:color w:val="auto"/>
              </w:rPr>
              <w:t>1980 Industrial Drive</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Products</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L+825, 07/06/2026</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gridSpan w:val="3"/>
          </w:tcPr>
          <w:p>
            <w:pPr>
              <w:spacing w:after="0"/>
              <w:rPr>
                <w:sz w:val="20"/>
                <w:szCs w:val="20"/>
                <w:color w:val="auto"/>
              </w:rPr>
            </w:pPr>
            <w:r>
              <w:rPr>
                <w:rFonts w:ascii="Arial" w:cs="Arial" w:eastAsia="Arial" w:hAnsi="Arial"/>
                <w:sz w:val="14"/>
                <w:szCs w:val="14"/>
                <w:color w:val="auto"/>
              </w:rPr>
              <w:t>Sterling, IL 61081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HW Holdco, LLC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Media</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17,969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Suite 600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L+625, 12/10/2024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240" w:top="45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14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3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700" w:type="dxa"/>
            <w:vAlign w:val="bottom"/>
          </w:tcPr>
          <w:p>
            <w:pPr>
              <w:spacing w:after="0"/>
              <w:rPr>
                <w:sz w:val="15"/>
                <w:szCs w:val="15"/>
                <w:color w:val="auto"/>
              </w:rPr>
            </w:pPr>
          </w:p>
        </w:tc>
        <w:tc>
          <w:tcPr>
            <w:tcW w:w="1780" w:type="dxa"/>
            <w:vAlign w:val="bottom"/>
            <w:gridSpan w:val="2"/>
            <w:vMerge w:val="continue"/>
          </w:tcPr>
          <w:p>
            <w:pPr>
              <w:spacing w:after="0"/>
              <w:rPr>
                <w:sz w:val="15"/>
                <w:szCs w:val="15"/>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Impact Group, LLC</w:t>
            </w:r>
          </w:p>
        </w:tc>
        <w:tc>
          <w:tcPr>
            <w:tcW w:w="12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CCEEFF"/>
            </w:tcBorders>
            <w:shd w:val="clear" w:color="auto" w:fill="CCEEFF"/>
          </w:tcPr>
          <w:p>
            <w:pPr>
              <w:spacing w:after="0"/>
              <w:rPr>
                <w:sz w:val="9"/>
                <w:szCs w:val="9"/>
                <w:color w:val="auto"/>
              </w:rPr>
            </w:pPr>
          </w:p>
        </w:tc>
        <w:tc>
          <w:tcPr>
            <w:tcW w:w="16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Personal, Food</w:t>
            </w:r>
          </w:p>
        </w:tc>
        <w:tc>
          <w:tcPr>
            <w:tcW w:w="180" w:type="dxa"/>
            <w:vAlign w:val="bottom"/>
            <w:tcBorders>
              <w:top w:val="single" w:sz="8" w:color="CCEEFF"/>
            </w:tcBorders>
            <w:shd w:val="clear" w:color="auto" w:fill="CCEEFF"/>
          </w:tcPr>
          <w:p>
            <w:pPr>
              <w:spacing w:after="0"/>
              <w:rPr>
                <w:sz w:val="9"/>
                <w:szCs w:val="9"/>
                <w:color w:val="auto"/>
              </w:rPr>
            </w:pPr>
          </w:p>
        </w:tc>
        <w:tc>
          <w:tcPr>
            <w:tcW w:w="31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19,901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2480" w:type="dxa"/>
            <w:vAlign w:val="bottom"/>
            <w:gridSpan w:val="3"/>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1"/>
              </w:rPr>
              <w:t>and Miscelleneous Services</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L+650, 06/27/2023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Infogroup, Inc.</w:t>
            </w:r>
          </w:p>
        </w:tc>
        <w:tc>
          <w:tcPr>
            <w:tcW w:w="7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Other Media</w:t>
            </w:r>
          </w:p>
        </w:tc>
        <w:tc>
          <w:tcPr>
            <w:tcW w:w="310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rPr>
              <w:t>1.0%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22,213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(Infogroup Parent Holdings, Inc.)</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L+925, 04/03/2024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1020 E 1st Street</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color w:val="auto"/>
              </w:rPr>
              <w:t>Papillion, NE 68046</w:t>
            </w: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Juniper Landscaping of Florida, LLC</w:t>
            </w:r>
          </w:p>
        </w:tc>
        <w:tc>
          <w:tcPr>
            <w:tcW w:w="7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Personal, Food</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4.0%</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16,470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(ZS Juniper L.P.</w:t>
            </w:r>
            <w:r>
              <w:rPr>
                <w:rFonts w:ascii="Arial" w:cs="Arial" w:eastAsia="Arial" w:hAnsi="Arial"/>
                <w:sz w:val="12"/>
                <w:szCs w:val="12"/>
                <w:color w:val="auto"/>
              </w:rPr>
              <w:t>(5)</w:t>
            </w:r>
            <w:r>
              <w:rPr>
                <w:rFonts w:ascii="Arial" w:cs="Arial" w:eastAsia="Arial" w:hAnsi="Arial"/>
                <w:sz w:val="14"/>
                <w:szCs w:val="14"/>
                <w:color w:val="auto"/>
              </w:rPr>
              <w:t>)</w:t>
            </w:r>
          </w:p>
        </w:tc>
        <w:tc>
          <w:tcPr>
            <w:tcW w:w="2480" w:type="dxa"/>
            <w:vAlign w:val="bottom"/>
            <w:gridSpan w:val="3"/>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1"/>
              </w:rPr>
              <w:t>and Miscelleneous Services</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L+850, 12/22/2021</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5880 Staley Road</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Fort Myers, FL 33905</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Kadmon Holdings, Inc.</w:t>
            </w:r>
          </w:p>
        </w:tc>
        <w:tc>
          <w:tcPr>
            <w:tcW w:w="7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Healthcare, Education and</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Common Equity</w:t>
            </w:r>
          </w:p>
        </w:tc>
        <w:tc>
          <w:tcPr>
            <w:tcW w:w="1260" w:type="dxa"/>
            <w:vAlign w:val="bottom"/>
            <w:gridSpan w:val="3"/>
          </w:tcPr>
          <w:p>
            <w:pPr>
              <w:jc w:val="right"/>
              <w:ind w:right="120"/>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Alexandria Center for Life Sciences</w:t>
            </w:r>
          </w:p>
        </w:tc>
        <w:tc>
          <w:tcPr>
            <w:tcW w:w="70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450 East 29 Street, 5 Floor</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color w:val="auto"/>
              </w:rPr>
              <w:t>New York, NY 10016</w:t>
            </w: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K2 Pure Solutions NoCal, L.P.</w:t>
            </w:r>
          </w:p>
        </w:tc>
        <w:tc>
          <w:tcPr>
            <w:tcW w:w="7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5"/>
              </w:rPr>
              <w:t>Chemicals,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27,259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7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Plastics and Rubber</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L+475, 12/20/2023</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Uniontown, OH 44685</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Kentucky Downs, LLC</w:t>
            </w:r>
          </w:p>
        </w:tc>
        <w:tc>
          <w:tcPr>
            <w:tcW w:w="7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Hotels, Motels,</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10,332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(Kentucky Racing Holdco, LLC</w:t>
            </w:r>
            <w:r>
              <w:rPr>
                <w:rFonts w:ascii="Arial" w:cs="Arial" w:eastAsia="Arial" w:hAnsi="Arial"/>
                <w:sz w:val="12"/>
                <w:szCs w:val="12"/>
                <w:color w:val="auto"/>
              </w:rPr>
              <w:t>(5)</w:t>
            </w:r>
            <w:r>
              <w:rPr>
                <w:rFonts w:ascii="Arial" w:cs="Arial" w:eastAsia="Arial" w:hAnsi="Arial"/>
                <w:sz w:val="14"/>
                <w:szCs w:val="14"/>
                <w:color w:val="auto"/>
              </w:rPr>
              <w:t>)</w:t>
            </w:r>
          </w:p>
        </w:tc>
        <w:tc>
          <w:tcPr>
            <w:tcW w:w="700" w:type="dxa"/>
            <w:vAlign w:val="bottom"/>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Inns and Gaming</w:t>
            </w: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L+850, 03/07/2025</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5629 Nashville Road</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87"/>
              </w:rPr>
              <w:t>Warrants</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color w:val="auto"/>
              </w:rPr>
              <w:t>Franklin, KY 42134</w:t>
            </w: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Lariat ecoserv Co-invest Holdings, LLC</w:t>
            </w:r>
            <w:r>
              <w:rPr>
                <w:rFonts w:ascii="Arial" w:cs="Arial" w:eastAsia="Arial" w:hAnsi="Arial"/>
                <w:sz w:val="12"/>
                <w:szCs w:val="12"/>
                <w:color w:val="auto"/>
              </w:rPr>
              <w:t>(5)</w:t>
            </w:r>
          </w:p>
        </w:tc>
        <w:tc>
          <w:tcPr>
            <w:tcW w:w="7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Environmental Services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451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1331 17th Street, Ste. 812</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Denver, CO 80202</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Lombart Brothers, Inc.</w:t>
            </w:r>
          </w:p>
        </w:tc>
        <w:tc>
          <w:tcPr>
            <w:tcW w:w="7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Healthcare, Education and</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17,539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5358 Robin Hood Road</w:t>
            </w:r>
          </w:p>
        </w:tc>
        <w:tc>
          <w:tcPr>
            <w:tcW w:w="70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L+625, 04/13/2023</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color w:val="auto"/>
              </w:rPr>
              <w:t>Norfolk, VA 23513</w:t>
            </w: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7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Printing and Publishing</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35,724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12M L+925, 10/23/2024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MBS Holdings, Inc.</w:t>
            </w:r>
          </w:p>
        </w:tc>
        <w:tc>
          <w:tcPr>
            <w:tcW w:w="7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Telecommunications</w:t>
            </w:r>
          </w:p>
        </w:tc>
        <w:tc>
          <w:tcPr>
            <w:tcW w:w="310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19,624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880 Montclair Road Suite 400</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L+850, 01/02/2024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color w:val="auto"/>
              </w:rPr>
              <w:t>Birmingham, AL 35213</w:t>
            </w: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MeritDirect, LLC</w:t>
            </w:r>
          </w:p>
        </w:tc>
        <w:tc>
          <w:tcPr>
            <w:tcW w:w="7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9"/>
              </w:rPr>
              <w:t>Media</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0.6%</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19,828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(MeritDirect Holdings, LP)</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L+550, 05/23/2024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 International Drive</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Preferred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Rye Brook, NY 10573</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Common Equity</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Ox Two, LLC</w:t>
            </w:r>
          </w:p>
        </w:tc>
        <w:tc>
          <w:tcPr>
            <w:tcW w:w="7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Building Materials</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24,073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22260 Haggerty Road #365</w:t>
            </w:r>
          </w:p>
        </w:tc>
        <w:tc>
          <w:tcPr>
            <w:tcW w:w="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02/27/2023</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color w:val="auto"/>
              </w:rPr>
              <w:t>Northville, MI 48167</w:t>
            </w: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Peninsula Pacific Entertainment LLC</w:t>
            </w:r>
          </w:p>
        </w:tc>
        <w:tc>
          <w:tcPr>
            <w:tcW w:w="7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7"/>
              </w:rPr>
              <w:t>Hotels, Motels,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8,495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70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Inns and Gaming</w:t>
            </w: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L+725, 11/13/2024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Kent, VA 23124</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140" w:type="dxa"/>
            <w:vAlign w:val="bottom"/>
            <w:gridSpan w:val="3"/>
          </w:tcPr>
          <w:p>
            <w:pPr>
              <w:spacing w:after="0"/>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(6)</w:t>
            </w:r>
          </w:p>
        </w:tc>
        <w:tc>
          <w:tcPr>
            <w:tcW w:w="700" w:type="dxa"/>
            <w:vAlign w:val="bottom"/>
          </w:tcPr>
          <w:p>
            <w:pPr>
              <w:spacing w:after="0"/>
              <w:rPr>
                <w:sz w:val="20"/>
                <w:szCs w:val="20"/>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Beverage, Food</w:t>
            </w:r>
          </w:p>
        </w:tc>
        <w:tc>
          <w:tcPr>
            <w:tcW w:w="310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5,404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spacing w:after="0" w:line="149" w:lineRule="exact"/>
              <w:rPr>
                <w:sz w:val="20"/>
                <w:szCs w:val="20"/>
                <w:color w:val="auto"/>
              </w:rPr>
            </w:pPr>
            <w:r>
              <w:rPr>
                <w:rFonts w:ascii="Arial" w:cs="Arial" w:eastAsia="Arial" w:hAnsi="Arial"/>
                <w:sz w:val="14"/>
                <w:szCs w:val="14"/>
                <w:color w:val="auto"/>
              </w:rPr>
              <w:t>141 Hamilton Road</w:t>
            </w:r>
          </w:p>
        </w:tc>
        <w:tc>
          <w:tcPr>
            <w:tcW w:w="700" w:type="dxa"/>
            <w:vAlign w:val="bottom"/>
          </w:tcPr>
          <w:p>
            <w:pPr>
              <w:spacing w:after="0"/>
              <w:rPr>
                <w:sz w:val="12"/>
                <w:szCs w:val="12"/>
                <w:color w:val="auto"/>
              </w:rPr>
            </w:pPr>
          </w:p>
        </w:tc>
        <w:tc>
          <w:tcPr>
            <w:tcW w:w="1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and Tobacco</w:t>
            </w:r>
          </w:p>
        </w:tc>
        <w:tc>
          <w:tcPr>
            <w:tcW w:w="310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L+525, 06/01/2023</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40" w:type="dxa"/>
            <w:vAlign w:val="bottom"/>
            <w:gridSpan w:val="3"/>
          </w:tcPr>
          <w:p>
            <w:pPr>
              <w:spacing w:after="0"/>
              <w:rPr>
                <w:sz w:val="20"/>
                <w:szCs w:val="20"/>
                <w:color w:val="auto"/>
              </w:rPr>
            </w:pPr>
            <w:r>
              <w:rPr>
                <w:rFonts w:ascii="Arial" w:cs="Arial" w:eastAsia="Arial" w:hAnsi="Arial"/>
                <w:sz w:val="14"/>
                <w:szCs w:val="14"/>
                <w:color w:val="auto"/>
              </w:rPr>
              <w:t>New Hamburg, Ontario, Canada N3A 2H1</w:t>
            </w:r>
          </w:p>
        </w:tc>
        <w:tc>
          <w:tcPr>
            <w:tcW w:w="7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1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PlayPower, Inc.</w:t>
            </w:r>
          </w:p>
        </w:tc>
        <w:tc>
          <w:tcPr>
            <w:tcW w:w="7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Products</w:t>
            </w:r>
          </w:p>
        </w:tc>
        <w:tc>
          <w:tcPr>
            <w:tcW w:w="31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2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4,184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11515 Vanstory Drive, Suite 100</w:t>
            </w:r>
          </w:p>
        </w:tc>
        <w:tc>
          <w:tcPr>
            <w:tcW w:w="7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1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L+550, 05/08/2026</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Huntersville, NC 28078</w:t>
            </w:r>
          </w:p>
        </w:tc>
        <w:tc>
          <w:tcPr>
            <w:tcW w:w="7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200" w:type="dxa"/>
            <w:vAlign w:val="bottom"/>
          </w:tcPr>
          <w:p>
            <w:pPr>
              <w:spacing w:after="0"/>
              <w:rPr>
                <w:sz w:val="14"/>
                <w:szCs w:val="14"/>
                <w:color w:val="auto"/>
              </w:rPr>
            </w:pPr>
          </w:p>
        </w:tc>
        <w:tc>
          <w:tcPr>
            <w:tcW w:w="1080" w:type="dxa"/>
            <w:vAlign w:val="bottom"/>
            <w:gridSpan w:val="2"/>
          </w:tcPr>
          <w:p>
            <w:pPr>
              <w:jc w:val="center"/>
              <w:ind w:right="218"/>
              <w:spacing w:after="0"/>
              <w:rPr>
                <w:sz w:val="20"/>
                <w:szCs w:val="20"/>
                <w:color w:val="auto"/>
              </w:rPr>
            </w:pPr>
            <w:r>
              <w:rPr>
                <w:rFonts w:ascii="Arial" w:cs="Arial" w:eastAsia="Arial" w:hAnsi="Arial"/>
                <w:sz w:val="14"/>
                <w:szCs w:val="14"/>
                <w:b w:val="1"/>
                <w:bCs w:val="1"/>
                <w:color w:val="auto"/>
                <w:w w:val="91"/>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40" w:type="dxa"/>
            <w:vAlign w:val="bottom"/>
            <w:gridSpan w:val="3"/>
            <w:vMerge w:val="continue"/>
          </w:tcPr>
          <w:p>
            <w:pPr>
              <w:spacing w:after="0"/>
              <w:rPr>
                <w:sz w:val="12"/>
                <w:szCs w:val="12"/>
                <w:color w:val="auto"/>
              </w:rPr>
            </w:pPr>
          </w:p>
        </w:tc>
        <w:tc>
          <w:tcPr>
            <w:tcW w:w="1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Nature of Business</w:t>
            </w:r>
          </w:p>
        </w:tc>
        <w:tc>
          <w:tcPr>
            <w:tcW w:w="3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218"/>
              <w:spacing w:after="0" w:line="145" w:lineRule="exact"/>
              <w:rPr>
                <w:sz w:val="20"/>
                <w:szCs w:val="20"/>
                <w:color w:val="auto"/>
              </w:rPr>
            </w:pPr>
            <w:r>
              <w:rPr>
                <w:rFonts w:ascii="Arial" w:cs="Arial" w:eastAsia="Arial" w:hAnsi="Arial"/>
                <w:sz w:val="14"/>
                <w:szCs w:val="14"/>
                <w:b w:val="1"/>
                <w:bCs w:val="1"/>
                <w:color w:val="auto"/>
                <w:w w:val="90"/>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40" w:type="dxa"/>
            <w:vAlign w:val="bottom"/>
            <w:gridSpan w:val="2"/>
            <w:vMerge w:val="continue"/>
          </w:tcPr>
          <w:p>
            <w:pPr>
              <w:spacing w:after="0"/>
              <w:rPr>
                <w:sz w:val="15"/>
                <w:szCs w:val="15"/>
                <w:color w:val="auto"/>
              </w:rPr>
            </w:pPr>
          </w:p>
        </w:tc>
        <w:tc>
          <w:tcPr>
            <w:tcW w:w="312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PRA Events, Inc.</w:t>
            </w:r>
          </w:p>
        </w:tc>
        <w:tc>
          <w:tcPr>
            <w:tcW w:w="1960" w:type="dxa"/>
            <w:vAlign w:val="bottom"/>
            <w:tcBorders>
              <w:top w:val="single" w:sz="8" w:color="CCEEFF"/>
            </w:tcBorders>
            <w:shd w:val="clear" w:color="auto" w:fill="CCEEFF"/>
          </w:tcPr>
          <w:p>
            <w:pPr>
              <w:spacing w:after="0"/>
              <w:rPr>
                <w:sz w:val="9"/>
                <w:szCs w:val="9"/>
                <w:color w:val="auto"/>
              </w:rPr>
            </w:pP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Business Services</w:t>
            </w:r>
          </w:p>
        </w:tc>
        <w:tc>
          <w:tcPr>
            <w:tcW w:w="200" w:type="dxa"/>
            <w:vAlign w:val="bottom"/>
            <w:tcBorders>
              <w:top w:val="single" w:sz="8" w:color="CCEEFF"/>
            </w:tcBorders>
            <w:shd w:val="clear" w:color="auto" w:fill="CCEEFF"/>
          </w:tcPr>
          <w:p>
            <w:pPr>
              <w:spacing w:after="0"/>
              <w:rPr>
                <w:sz w:val="9"/>
                <w:szCs w:val="9"/>
                <w:color w:val="auto"/>
              </w:rPr>
            </w:pPr>
          </w:p>
        </w:tc>
        <w:tc>
          <w:tcPr>
            <w:tcW w:w="312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ind w:left="640"/>
              <w:spacing w:after="0" w:line="109" w:lineRule="exact"/>
              <w:rPr>
                <w:sz w:val="20"/>
                <w:szCs w:val="20"/>
                <w:color w:val="auto"/>
              </w:rPr>
            </w:pPr>
            <w:r>
              <w:rPr>
                <w:rFonts w:ascii="Arial" w:cs="Arial" w:eastAsia="Arial" w:hAnsi="Arial"/>
                <w:sz w:val="12"/>
                <w:szCs w:val="12"/>
                <w:color w:val="auto"/>
                <w:w w:val="95"/>
              </w:rPr>
              <w:t>1.5</w:t>
            </w:r>
          </w:p>
        </w:tc>
        <w:tc>
          <w:tcPr>
            <w:tcW w:w="260" w:type="dxa"/>
            <w:vAlign w:val="bottom"/>
            <w:tcBorders>
              <w:top w:val="single" w:sz="8" w:color="CCEEFF"/>
            </w:tcBorders>
            <w:shd w:val="clear" w:color="auto" w:fill="CCEEFF"/>
          </w:tcPr>
          <w:p>
            <w:pPr>
              <w:jc w:val="right"/>
              <w:ind w:right="78"/>
              <w:spacing w:after="0" w:line="109" w:lineRule="exact"/>
              <w:rPr>
                <w:sz w:val="20"/>
                <w:szCs w:val="20"/>
                <w:color w:val="auto"/>
              </w:rPr>
            </w:pPr>
            <w:r>
              <w:rPr>
                <w:rFonts w:ascii="Arial" w:cs="Arial" w:eastAsia="Arial" w:hAnsi="Arial"/>
                <w:sz w:val="12"/>
                <w:szCs w:val="12"/>
                <w:color w:val="auto"/>
                <w:w w:val="93"/>
              </w:rPr>
              <w:t>%</w:t>
            </w: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20,640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w:t>
            </w:r>
            <w:r>
              <w:rPr>
                <w:rFonts w:ascii="Arial" w:cs="Arial" w:eastAsia="Arial" w:hAnsi="Arial"/>
                <w:sz w:val="12"/>
                <w:szCs w:val="12"/>
                <w:color w:val="auto"/>
              </w:rPr>
              <w:t>(5)</w:t>
            </w:r>
            <w:r>
              <w:rPr>
                <w:rFonts w:ascii="Arial" w:cs="Arial" w:eastAsia="Arial" w:hAnsi="Arial"/>
                <w:sz w:val="14"/>
                <w:szCs w:val="14"/>
                <w:color w:val="auto"/>
              </w:rPr>
              <w: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L+700, 08/08/2022</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Provation Medical,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Electronics</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26,422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800 Washington Avenue North, Suite 400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L+700, 03/11/2024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Minneapolis, MN 55401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Quantum Spatial,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0"/>
              </w:rPr>
              <w:t>Aerospace and Defense</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14,775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421 SW 6th Ave #800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L+525, 09/04/2024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 97204</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Questex, LLC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Media</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L+500, 09/09/2024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Newton, MA 02466</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Radius Aerospace,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0"/>
              </w:rPr>
              <w:t>Aerospace and Defense</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8,882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153 Extrusion Place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L+575, 03/31/2025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Hot Springs, AR 71901</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Research Horizons, LLC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Media</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30,416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1140 Broadway, Suite 1002</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06/28/2022</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New York, NY 10001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Research Now Group, Inc. and Survey Sampling International</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0"/>
              </w:rPr>
              <w:t>Business Services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9,940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LLC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L+550, 12/20/2024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5800 Tennyson Parkway, Suite 600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Riverpoint Medical, LLC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Healthcare, Education and</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1,983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825 NE 25th Avenue</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Childcare</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L+500, 06/20/2025</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Portland, OR 97232</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Schlesinger Global, Inc.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0"/>
              </w:rPr>
              <w:t>Business Services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(7)</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393</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L+500, 07/14/2025</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Iselin, NJ 08830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Shift4 Payments,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Financial Services</w:t>
            </w:r>
          </w:p>
        </w:tc>
        <w:tc>
          <w:tcPr>
            <w:tcW w:w="312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1491 Center Crossing Road</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L+850, 11/28/2025</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Las Vegas, NV 89144</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Signature Systems Holding Company</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1"/>
              </w:rPr>
              <w:t>Chemicals, Plastics and</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80" w:type="dxa"/>
            <w:vAlign w:val="bottom"/>
            <w:gridSpan w:val="3"/>
            <w:shd w:val="clear" w:color="auto" w:fill="CCEEFF"/>
          </w:tcPr>
          <w:p>
            <w:pPr>
              <w:ind w:left="840"/>
              <w:spacing w:after="0" w:line="130" w:lineRule="exact"/>
              <w:rPr>
                <w:sz w:val="20"/>
                <w:szCs w:val="20"/>
                <w:color w:val="auto"/>
              </w:rPr>
            </w:pPr>
            <w:r>
              <w:rPr>
                <w:rFonts w:ascii="Arial" w:cs="Arial" w:eastAsia="Arial" w:hAnsi="Arial"/>
                <w:sz w:val="14"/>
                <w:szCs w:val="14"/>
                <w:color w:val="auto"/>
              </w:rPr>
              <w:t>1.9%</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16,354</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Rubber</w:t>
            </w: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P+650, 05/03/2024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Flower Mound, TX 75028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Solutionreach, Inc.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Communications</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13,061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2600 N. Ashton Blvd.</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L+575, 01/17/2024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Lehi, UT 84043</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SSC Dominion Holdings, LLC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3"/>
              </w:rPr>
              <w:t>Electronics</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p>
        </w:tc>
        <w:tc>
          <w:tcPr>
            <w:tcW w:w="1280" w:type="dxa"/>
            <w:vAlign w:val="bottom"/>
            <w:gridSpan w:val="3"/>
            <w:shd w:val="clear" w:color="auto" w:fill="CCEEFF"/>
          </w:tcPr>
          <w:p>
            <w:pPr>
              <w:ind w:left="840"/>
              <w:spacing w:after="0" w:line="130" w:lineRule="exact"/>
              <w:rPr>
                <w:sz w:val="20"/>
                <w:szCs w:val="20"/>
                <w:color w:val="auto"/>
              </w:rPr>
            </w:pPr>
            <w:r>
              <w:rPr>
                <w:rFonts w:ascii="Arial" w:cs="Arial" w:eastAsia="Arial" w:hAnsi="Arial"/>
                <w:sz w:val="14"/>
                <w:szCs w:val="14"/>
                <w:color w:val="auto"/>
              </w:rPr>
              <w:t>2.9%</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3,806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Avenue, Suite 200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40" w:type="dxa"/>
            <w:vAlign w:val="bottom"/>
            <w:gridSpan w:val="3"/>
          </w:tcPr>
          <w:p>
            <w:pPr>
              <w:spacing w:after="0"/>
              <w:rPr>
                <w:sz w:val="20"/>
                <w:szCs w:val="20"/>
                <w:color w:val="auto"/>
              </w:rPr>
            </w:pPr>
            <w:r>
              <w:rPr>
                <w:rFonts w:ascii="Arial" w:cs="Arial" w:eastAsia="Arial" w:hAnsi="Arial"/>
                <w:sz w:val="14"/>
                <w:szCs w:val="14"/>
                <w:color w:val="auto"/>
              </w:rPr>
              <w:t>Triad Manufacturing, Inc.</w:t>
            </w:r>
          </w:p>
        </w:tc>
        <w:tc>
          <w:tcPr>
            <w:tcW w:w="174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Manufacturing / Basic</w:t>
            </w:r>
          </w:p>
        </w:tc>
        <w:tc>
          <w:tcPr>
            <w:tcW w:w="312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200" w:type="dxa"/>
            <w:vAlign w:val="bottom"/>
          </w:tcPr>
          <w:p>
            <w:pPr>
              <w:spacing w:after="0"/>
              <w:rPr>
                <w:sz w:val="20"/>
                <w:szCs w:val="20"/>
                <w:color w:val="auto"/>
              </w:rPr>
            </w:pPr>
          </w:p>
        </w:tc>
        <w:tc>
          <w:tcPr>
            <w:tcW w:w="10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21,374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40" w:type="dxa"/>
            <w:vAlign w:val="bottom"/>
            <w:gridSpan w:val="3"/>
          </w:tcPr>
          <w:p>
            <w:pPr>
              <w:spacing w:after="0" w:line="149" w:lineRule="exact"/>
              <w:rPr>
                <w:sz w:val="20"/>
                <w:szCs w:val="20"/>
                <w:color w:val="auto"/>
              </w:rPr>
            </w:pPr>
            <w:r>
              <w:rPr>
                <w:rFonts w:ascii="Arial" w:cs="Arial" w:eastAsia="Arial" w:hAnsi="Arial"/>
                <w:sz w:val="14"/>
                <w:szCs w:val="14"/>
                <w:color w:val="auto"/>
              </w:rPr>
              <w:t>4321 Semple Avenue</w:t>
            </w:r>
          </w:p>
        </w:tc>
        <w:tc>
          <w:tcPr>
            <w:tcW w:w="17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2"/>
              </w:rPr>
              <w:t>Industries</w:t>
            </w:r>
          </w:p>
        </w:tc>
        <w:tc>
          <w:tcPr>
            <w:tcW w:w="312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L+1,325, 12/28/2020</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40" w:type="dxa"/>
            <w:vAlign w:val="bottom"/>
            <w:gridSpan w:val="3"/>
          </w:tcPr>
          <w:p>
            <w:pPr>
              <w:spacing w:after="0"/>
              <w:rPr>
                <w:sz w:val="20"/>
                <w:szCs w:val="20"/>
                <w:color w:val="auto"/>
              </w:rPr>
            </w:pPr>
            <w:r>
              <w:rPr>
                <w:rFonts w:ascii="Arial" w:cs="Arial" w:eastAsia="Arial" w:hAnsi="Arial"/>
                <w:sz w:val="14"/>
                <w:szCs w:val="14"/>
                <w:color w:val="auto"/>
              </w:rPr>
              <w:t>St. Louis, MO 63120</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TVC Enterprises, LLC</w:t>
            </w:r>
          </w:p>
        </w:tc>
        <w:tc>
          <w:tcPr>
            <w:tcW w:w="17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3"/>
              </w:rPr>
              <w:t>Transportation</w:t>
            </w:r>
          </w:p>
        </w:tc>
        <w:tc>
          <w:tcPr>
            <w:tcW w:w="31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80" w:type="dxa"/>
            <w:vAlign w:val="bottom"/>
            <w:gridSpan w:val="3"/>
            <w:shd w:val="clear" w:color="auto" w:fill="CCEEFF"/>
          </w:tcPr>
          <w:p>
            <w:pPr>
              <w:ind w:left="840"/>
              <w:spacing w:after="0" w:line="130" w:lineRule="exact"/>
              <w:rPr>
                <w:sz w:val="20"/>
                <w:szCs w:val="20"/>
                <w:color w:val="auto"/>
              </w:rPr>
            </w:pPr>
            <w:r>
              <w:rPr>
                <w:rFonts w:ascii="Arial" w:cs="Arial" w:eastAsia="Arial" w:hAnsi="Arial"/>
                <w:sz w:val="14"/>
                <w:szCs w:val="14"/>
                <w:color w:val="auto"/>
              </w:rPr>
              <w:t>1.4%</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34,757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TVC Coinvest, LLC)</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L+550, 01/18/2024</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6100 Lake Forrest Drive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1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30328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3880" w:type="dxa"/>
            <w:vAlign w:val="bottom"/>
            <w:gridSpan w:val="3"/>
            <w:vMerge w:val="continue"/>
          </w:tcPr>
          <w:p>
            <w:pPr>
              <w:spacing w:after="0"/>
              <w:rPr>
                <w:sz w:val="12"/>
                <w:szCs w:val="12"/>
                <w:color w:val="auto"/>
              </w:rPr>
            </w:pPr>
          </w:p>
        </w:tc>
        <w:tc>
          <w:tcPr>
            <w:tcW w:w="1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Nature of Business</w:t>
            </w:r>
          </w:p>
        </w:tc>
        <w:tc>
          <w:tcPr>
            <w:tcW w:w="30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440"/>
              <w:spacing w:after="0" w:line="145" w:lineRule="exact"/>
              <w:rPr>
                <w:sz w:val="20"/>
                <w:szCs w:val="20"/>
                <w:color w:val="auto"/>
              </w:rPr>
            </w:pPr>
            <w:r>
              <w:rPr>
                <w:rFonts w:ascii="Arial" w:cs="Arial" w:eastAsia="Arial" w:hAnsi="Arial"/>
                <w:sz w:val="14"/>
                <w:szCs w:val="14"/>
                <w:b w:val="1"/>
                <w:bCs w:val="1"/>
                <w:color w:val="auto"/>
                <w:w w:val="97"/>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680" w:type="dxa"/>
            <w:vAlign w:val="bottom"/>
            <w:gridSpan w:val="2"/>
            <w:vMerge w:val="continue"/>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3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Ownership</w:t>
            </w:r>
            <w:r>
              <w:rPr>
                <w:rFonts w:ascii="Arial" w:cs="Arial" w:eastAsia="Arial" w:hAnsi="Arial"/>
                <w:sz w:val="12"/>
                <w:szCs w:val="12"/>
                <w:b w:val="1"/>
                <w:bCs w:val="1"/>
                <w:color w:val="auto"/>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86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rPr>
              <w:t>TWS Acquisition Corporation</w:t>
            </w:r>
          </w:p>
        </w:tc>
        <w:tc>
          <w:tcPr>
            <w:tcW w:w="2000" w:type="dxa"/>
            <w:vAlign w:val="bottom"/>
            <w:tcBorders>
              <w:top w:val="single" w:sz="8" w:color="CCEEFF"/>
            </w:tcBorders>
            <w:shd w:val="clear" w:color="auto" w:fill="CCEEFF"/>
          </w:tcPr>
          <w:p>
            <w:pPr>
              <w:spacing w:after="0"/>
              <w:rPr>
                <w:sz w:val="9"/>
                <w:szCs w:val="9"/>
                <w:color w:val="auto"/>
              </w:rPr>
            </w:pPr>
          </w:p>
        </w:tc>
        <w:tc>
          <w:tcPr>
            <w:tcW w:w="150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Education</w:t>
            </w:r>
          </w:p>
        </w:tc>
        <w:tc>
          <w:tcPr>
            <w:tcW w:w="180" w:type="dxa"/>
            <w:vAlign w:val="bottom"/>
            <w:tcBorders>
              <w:top w:val="single" w:sz="8" w:color="CCEEFF"/>
            </w:tcBorders>
            <w:shd w:val="clear" w:color="auto" w:fill="CCEEFF"/>
          </w:tcPr>
          <w:p>
            <w:pPr>
              <w:spacing w:after="0"/>
              <w:rPr>
                <w:sz w:val="9"/>
                <w:szCs w:val="9"/>
                <w:color w:val="auto"/>
              </w:rPr>
            </w:pPr>
          </w:p>
        </w:tc>
        <w:tc>
          <w:tcPr>
            <w:tcW w:w="30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18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ind w:right="10"/>
              <w:spacing w:after="0" w:line="109"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9,146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 N. 44th Street #230</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L+625, 06/16/2025</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Phoenix, AZ 85034</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spacing w:after="0"/>
              <w:rPr>
                <w:sz w:val="20"/>
                <w:szCs w:val="20"/>
                <w:color w:val="auto"/>
              </w:rPr>
            </w:pPr>
            <w:r>
              <w:rPr>
                <w:rFonts w:ascii="Arial" w:cs="Arial" w:eastAsia="Arial" w:hAnsi="Arial"/>
                <w:sz w:val="14"/>
                <w:szCs w:val="14"/>
                <w:color w:val="auto"/>
              </w:rPr>
              <w:t>Tyto Athene, LLC</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Aerospace and Defense</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tcPr>
          <w:p>
            <w:pPr>
              <w:jc w:val="right"/>
              <w:ind w:right="260"/>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6,097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(NXOF Holdings, Inc.)</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L+575, 08/27/2024</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510 Spring Street, Suite 200</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Herndon, VA 20170</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UBEO, LLC</w:t>
            </w:r>
          </w:p>
        </w:tc>
        <w:tc>
          <w:tcPr>
            <w:tcW w:w="16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Printing and Publishing</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8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44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2,277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L+450, 04/03/2024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Antonio, TX 78258</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spacing w:after="0"/>
              <w:rPr>
                <w:sz w:val="20"/>
                <w:szCs w:val="20"/>
                <w:color w:val="auto"/>
              </w:rPr>
            </w:pPr>
            <w:r>
              <w:rPr>
                <w:rFonts w:ascii="Arial" w:cs="Arial" w:eastAsia="Arial" w:hAnsi="Arial"/>
                <w:sz w:val="14"/>
                <w:szCs w:val="14"/>
                <w:color w:val="auto"/>
              </w:rPr>
              <w:t>US Med Acquisition, Inc.</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Healthcare, Education</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8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8,389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8260 NW 27th Street, Suite 401</w:t>
            </w: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and Childcare</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L+900, 08/13/2021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Doral, FL 33122</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Well Services, Inc.</w:t>
            </w:r>
            <w:r>
              <w:rPr>
                <w:rFonts w:ascii="Arial" w:cs="Arial" w:eastAsia="Arial" w:hAnsi="Arial"/>
                <w:sz w:val="12"/>
                <w:szCs w:val="12"/>
                <w:color w:val="auto"/>
              </w:rPr>
              <w:t>(6)</w:t>
            </w:r>
          </w:p>
        </w:tc>
        <w:tc>
          <w:tcPr>
            <w:tcW w:w="16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1"/>
              </w:rPr>
              <w:t>Oil and Gas</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(8)</w:t>
            </w:r>
          </w:p>
        </w:tc>
        <w:tc>
          <w:tcPr>
            <w:tcW w:w="1380" w:type="dxa"/>
            <w:vAlign w:val="bottom"/>
            <w:gridSpan w:val="3"/>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4.0%</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2,632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(USWS Holdings, LLC</w:t>
            </w:r>
            <w:r>
              <w:rPr>
                <w:rFonts w:ascii="Arial" w:cs="Arial" w:eastAsia="Arial" w:hAnsi="Arial"/>
                <w:sz w:val="12"/>
                <w:szCs w:val="12"/>
                <w:color w:val="auto"/>
              </w:rPr>
              <w:t>(5)(6)</w:t>
            </w:r>
            <w:r>
              <w:rPr>
                <w:rFonts w:ascii="Arial" w:cs="Arial" w:eastAsia="Arial" w:hAnsi="Arial"/>
                <w:sz w:val="14"/>
                <w:szCs w:val="14"/>
                <w:color w:val="auto"/>
              </w:rPr>
              <w:t>)</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770 South Post Oak Lane, Suite 405</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77056</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spacing w:after="0"/>
              <w:rPr>
                <w:sz w:val="20"/>
                <w:szCs w:val="20"/>
                <w:color w:val="auto"/>
              </w:rPr>
            </w:pPr>
            <w:r>
              <w:rPr>
                <w:rFonts w:ascii="Arial" w:cs="Arial" w:eastAsia="Arial" w:hAnsi="Arial"/>
                <w:sz w:val="14"/>
                <w:szCs w:val="14"/>
                <w:color w:val="auto"/>
              </w:rPr>
              <w:t>Vision Purchaser Corporation</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Media</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8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3,407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7650 185th Street</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L+625, 06/10/2025</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Tinley Park, IL 60477</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VT Topco, Inc.</w:t>
            </w:r>
          </w:p>
        </w:tc>
        <w:tc>
          <w:tcPr>
            <w:tcW w:w="16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Business Services</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Second Lien Secured Debt,</w:t>
            </w:r>
          </w:p>
        </w:tc>
        <w:tc>
          <w:tcPr>
            <w:tcW w:w="1380" w:type="dxa"/>
            <w:vAlign w:val="bottom"/>
            <w:gridSpan w:val="3"/>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0.3%</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12,318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(Green Veracity Holdings, LP)</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3M L+700, 08/24/2026</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290 West Mount Pleasant Avenue,</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Suite 3200</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Livingston, NJ 07039</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spacing w:after="0"/>
              <w:rPr>
                <w:sz w:val="20"/>
                <w:szCs w:val="20"/>
                <w:color w:val="auto"/>
              </w:rPr>
            </w:pPr>
            <w:r>
              <w:rPr>
                <w:rFonts w:ascii="Arial" w:cs="Arial" w:eastAsia="Arial" w:hAnsi="Arial"/>
                <w:sz w:val="14"/>
                <w:szCs w:val="14"/>
                <w:color w:val="auto"/>
              </w:rPr>
              <w:t>Walker Edison Furniture Company LLC</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Home and Office</w:t>
            </w:r>
          </w:p>
        </w:tc>
        <w:tc>
          <w:tcPr>
            <w:tcW w:w="304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tcPr>
          <w:p>
            <w:pPr>
              <w:jc w:val="right"/>
              <w:ind w:right="260"/>
              <w:spacing w:after="0"/>
              <w:rPr>
                <w:sz w:val="20"/>
                <w:szCs w:val="20"/>
                <w:color w:val="auto"/>
              </w:rPr>
            </w:pPr>
            <w:r>
              <w:rPr>
                <w:rFonts w:ascii="Arial" w:cs="Arial" w:eastAsia="Arial" w:hAnsi="Arial"/>
                <w:sz w:val="14"/>
                <w:szCs w:val="14"/>
                <w:color w:val="auto"/>
              </w:rPr>
              <w:t>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27,205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(JWC-WE Holdings, L.P.)</w:t>
            </w: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Furnishings</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L+650, 09/26/2024</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Salt Lake City, UT 84120</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Whitney, Bradley &amp; Brown, Inc.</w:t>
            </w:r>
          </w:p>
        </w:tc>
        <w:tc>
          <w:tcPr>
            <w:tcW w:w="168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Aerospace and Defense</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shd w:val="clear" w:color="auto" w:fill="CCEEFF"/>
          </w:tcPr>
          <w:p>
            <w:pPr>
              <w:jc w:val="right"/>
              <w:ind w:right="260"/>
              <w:spacing w:after="0" w:line="130" w:lineRule="exact"/>
              <w:rPr>
                <w:sz w:val="20"/>
                <w:szCs w:val="20"/>
                <w:color w:val="auto"/>
              </w:rPr>
            </w:pPr>
            <w:r>
              <w:rPr>
                <w:rFonts w:ascii="Arial" w:cs="Arial" w:eastAsia="Arial" w:hAnsi="Arial"/>
                <w:sz w:val="14"/>
                <w:szCs w:val="14"/>
                <w:color w:val="auto"/>
              </w:rPr>
              <w:t>2.5%</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12,399</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(WBB Equity, LLC</w:t>
            </w:r>
            <w:r>
              <w:rPr>
                <w:rFonts w:ascii="Arial" w:cs="Arial" w:eastAsia="Arial" w:hAnsi="Arial"/>
                <w:sz w:val="12"/>
                <w:szCs w:val="12"/>
                <w:color w:val="auto"/>
              </w:rPr>
              <w:t>(5)</w:t>
            </w:r>
            <w:r>
              <w:rPr>
                <w:rFonts w:ascii="Arial" w:cs="Arial" w:eastAsia="Arial" w:hAnsi="Arial"/>
                <w:sz w:val="14"/>
                <w:szCs w:val="14"/>
                <w:color w:val="auto"/>
              </w:rPr>
              <w:t>)</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1M L+750, 10/18/2022</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11790 Sunrise Valley Drive</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Reston, VA 20191</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880" w:type="dxa"/>
            <w:vAlign w:val="bottom"/>
            <w:gridSpan w:val="3"/>
          </w:tcPr>
          <w:p>
            <w:pPr>
              <w:spacing w:after="0"/>
              <w:rPr>
                <w:sz w:val="20"/>
                <w:szCs w:val="20"/>
                <w:color w:val="auto"/>
              </w:rPr>
            </w:pPr>
            <w:r>
              <w:rPr>
                <w:rFonts w:ascii="Arial" w:cs="Arial" w:eastAsia="Arial" w:hAnsi="Arial"/>
                <w:sz w:val="14"/>
                <w:szCs w:val="14"/>
                <w:color w:val="auto"/>
              </w:rPr>
              <w:t>Winter Park Intermediate, Inc.</w:t>
            </w:r>
          </w:p>
        </w:tc>
        <w:tc>
          <w:tcPr>
            <w:tcW w:w="16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Auto Sector</w:t>
            </w:r>
          </w:p>
        </w:tc>
        <w:tc>
          <w:tcPr>
            <w:tcW w:w="3040" w:type="dxa"/>
            <w:vAlign w:val="bottom"/>
          </w:tcPr>
          <w:p>
            <w:pPr>
              <w:jc w:val="center"/>
              <w:spacing w:after="0"/>
              <w:rPr>
                <w:sz w:val="20"/>
                <w:szCs w:val="20"/>
                <w:color w:val="auto"/>
              </w:rPr>
            </w:pPr>
            <w:r>
              <w:rPr>
                <w:rFonts w:ascii="Arial" w:cs="Arial" w:eastAsia="Arial" w:hAnsi="Arial"/>
                <w:sz w:val="14"/>
                <w:szCs w:val="14"/>
                <w:color w:val="auto"/>
                <w:w w:val="92"/>
              </w:rPr>
              <w:t>Second Lien Secured Debt,</w:t>
            </w:r>
          </w:p>
        </w:tc>
        <w:tc>
          <w:tcPr>
            <w:tcW w:w="1380" w:type="dxa"/>
            <w:vAlign w:val="bottom"/>
            <w:gridSpan w:val="3"/>
          </w:tcPr>
          <w:p>
            <w:pPr>
              <w:jc w:val="right"/>
              <w:ind w:right="260"/>
              <w:spacing w:after="0"/>
              <w:rPr>
                <w:sz w:val="20"/>
                <w:szCs w:val="20"/>
                <w:color w:val="auto"/>
              </w:rPr>
            </w:pPr>
            <w:r>
              <w:rPr>
                <w:rFonts w:ascii="Arial" w:cs="Arial" w:eastAsia="Arial" w:hAnsi="Arial"/>
                <w:sz w:val="14"/>
                <w:szCs w:val="14"/>
                <w:color w:val="auto"/>
              </w:rPr>
              <w:t>2.5%</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49,955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(Wheel Pros Holdings, L.P.)</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1M L+850, 04/06/2026</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44 Union Boulevard, Suite 620</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Lakewood, CO 80228</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tcPr>
          <w:p>
            <w:pPr>
              <w:spacing w:after="0" w:line="130" w:lineRule="exact"/>
              <w:rPr>
                <w:sz w:val="20"/>
                <w:szCs w:val="20"/>
                <w:color w:val="auto"/>
              </w:rPr>
            </w:pPr>
            <w:r>
              <w:rPr>
                <w:rFonts w:ascii="Arial" w:cs="Arial" w:eastAsia="Arial" w:hAnsi="Arial"/>
                <w:sz w:val="14"/>
                <w:szCs w:val="14"/>
                <w:color w:val="auto"/>
              </w:rPr>
              <w:t>ETX Energy, LLC</w:t>
            </w:r>
            <w:r>
              <w:rPr>
                <w:rFonts w:ascii="Arial" w:cs="Arial" w:eastAsia="Arial" w:hAnsi="Arial"/>
                <w:sz w:val="12"/>
                <w:szCs w:val="12"/>
                <w:color w:val="auto"/>
              </w:rPr>
              <w:t>(5)</w:t>
            </w:r>
          </w:p>
        </w:tc>
        <w:tc>
          <w:tcPr>
            <w:tcW w:w="16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1"/>
              </w:rPr>
              <w:t>Oil and Gas</w:t>
            </w:r>
          </w:p>
        </w:tc>
        <w:tc>
          <w:tcPr>
            <w:tcW w:w="3040" w:type="dxa"/>
            <w:vAlign w:val="bottom"/>
          </w:tcPr>
          <w:p>
            <w:pPr>
              <w:jc w:val="center"/>
              <w:spacing w:after="0" w:line="130" w:lineRule="exact"/>
              <w:rPr>
                <w:sz w:val="20"/>
                <w:szCs w:val="20"/>
                <w:color w:val="auto"/>
              </w:rPr>
            </w:pPr>
            <w:r>
              <w:rPr>
                <w:rFonts w:ascii="Arial" w:cs="Arial" w:eastAsia="Arial" w:hAnsi="Arial"/>
                <w:sz w:val="14"/>
                <w:szCs w:val="14"/>
                <w:color w:val="auto"/>
                <w:w w:val="94"/>
              </w:rPr>
              <w:t>Preferred Equity</w:t>
            </w:r>
          </w:p>
        </w:tc>
        <w:tc>
          <w:tcPr>
            <w:tcW w:w="138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15.3%</w:t>
            </w:r>
            <w:r>
              <w:rPr>
                <w:rFonts w:ascii="Arial" w:cs="Arial" w:eastAsia="Arial" w:hAnsi="Arial"/>
                <w:sz w:val="12"/>
                <w:szCs w:val="12"/>
                <w:color w:val="auto"/>
              </w:rPr>
              <w:t>(3)</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22,717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(ETX Energy Management</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Company, LLC)</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10441 S. Regal Blvd. Ste. 210</w:t>
            </w: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Tulsa, OK 74133</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860" w:type="dxa"/>
            <w:vAlign w:val="bottom"/>
            <w:gridSpan w:val="2"/>
          </w:tcPr>
          <w:p>
            <w:pPr>
              <w:spacing w:after="0" w:line="130" w:lineRule="exact"/>
              <w:rPr>
                <w:sz w:val="20"/>
                <w:szCs w:val="20"/>
                <w:color w:val="auto"/>
              </w:rPr>
            </w:pPr>
            <w:r>
              <w:rPr>
                <w:rFonts w:ascii="Arial" w:cs="Arial" w:eastAsia="Arial" w:hAnsi="Arial"/>
                <w:sz w:val="14"/>
                <w:szCs w:val="14"/>
                <w:color w:val="auto"/>
              </w:rPr>
              <w:t>AKW Holdings Limited</w:t>
            </w:r>
            <w:r>
              <w:rPr>
                <w:rFonts w:ascii="Arial" w:cs="Arial" w:eastAsia="Arial" w:hAnsi="Arial"/>
                <w:sz w:val="12"/>
                <w:szCs w:val="12"/>
                <w:color w:val="auto"/>
              </w:rPr>
              <w:t>(6)</w:t>
            </w:r>
          </w:p>
        </w:tc>
        <w:tc>
          <w:tcPr>
            <w:tcW w:w="168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2"/>
              </w:rPr>
              <w:t>Healthcare, Education</w:t>
            </w:r>
          </w:p>
        </w:tc>
        <w:tc>
          <w:tcPr>
            <w:tcW w:w="3040" w:type="dxa"/>
            <w:vAlign w:val="bottom"/>
          </w:tcPr>
          <w:p>
            <w:pPr>
              <w:jc w:val="center"/>
              <w:spacing w:after="0" w:line="130" w:lineRule="exact"/>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83.5%</w:t>
            </w:r>
            <w:r>
              <w:rPr>
                <w:rFonts w:ascii="Arial" w:cs="Arial" w:eastAsia="Arial" w:hAnsi="Arial"/>
                <w:sz w:val="12"/>
                <w:szCs w:val="12"/>
                <w:color w:val="auto"/>
              </w:rPr>
              <w:t>(3)</w:t>
            </w:r>
          </w:p>
        </w:tc>
        <w:tc>
          <w:tcPr>
            <w:tcW w:w="102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37,059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80" w:type="dxa"/>
            <w:vAlign w:val="bottom"/>
            <w:gridSpan w:val="3"/>
          </w:tcPr>
          <w:p>
            <w:pPr>
              <w:spacing w:after="0" w:line="149" w:lineRule="exact"/>
              <w:rPr>
                <w:sz w:val="20"/>
                <w:szCs w:val="20"/>
                <w:color w:val="auto"/>
              </w:rPr>
            </w:pPr>
            <w:r>
              <w:rPr>
                <w:rFonts w:ascii="Arial" w:cs="Arial" w:eastAsia="Arial" w:hAnsi="Arial"/>
                <w:sz w:val="14"/>
                <w:szCs w:val="14"/>
                <w:color w:val="auto"/>
              </w:rPr>
              <w:t>Unit L, Snugborough Trading Estate</w:t>
            </w:r>
          </w:p>
        </w:tc>
        <w:tc>
          <w:tcPr>
            <w:tcW w:w="1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and Childcare</w:t>
            </w:r>
          </w:p>
        </w:tc>
        <w:tc>
          <w:tcPr>
            <w:tcW w:w="3040" w:type="dxa"/>
            <w:vAlign w:val="bottom"/>
          </w:tcPr>
          <w:p>
            <w:pPr>
              <w:jc w:val="center"/>
              <w:spacing w:after="0" w:line="149" w:lineRule="exact"/>
              <w:rPr>
                <w:sz w:val="20"/>
                <w:szCs w:val="20"/>
                <w:color w:val="auto"/>
              </w:rPr>
            </w:pPr>
            <w:r>
              <w:rPr>
                <w:rFonts w:ascii="Arial" w:cs="Arial" w:eastAsia="Arial" w:hAnsi="Arial"/>
                <w:sz w:val="14"/>
                <w:szCs w:val="14"/>
                <w:color w:val="auto"/>
                <w:w w:val="95"/>
              </w:rPr>
              <w:t>3M L+575, 03/13/2024</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80" w:type="dxa"/>
            <w:vAlign w:val="bottom"/>
            <w:gridSpan w:val="3"/>
          </w:tcPr>
          <w:p>
            <w:pPr>
              <w:spacing w:after="0"/>
              <w:rPr>
                <w:sz w:val="20"/>
                <w:szCs w:val="20"/>
                <w:color w:val="auto"/>
              </w:rPr>
            </w:pPr>
            <w:r>
              <w:rPr>
                <w:rFonts w:ascii="Arial" w:cs="Arial" w:eastAsia="Arial" w:hAnsi="Arial"/>
                <w:sz w:val="14"/>
                <w:szCs w:val="14"/>
                <w:color w:val="auto"/>
              </w:rPr>
              <w:t>Braddan, Isle of Man IM4 4LH</w:t>
            </w: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8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8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MidOcean JF Holdings Corp.</w:t>
            </w:r>
          </w:p>
        </w:tc>
        <w:tc>
          <w:tcPr>
            <w:tcW w:w="1680" w:type="dxa"/>
            <w:vAlign w:val="bottom"/>
            <w:gridSpan w:val="2"/>
            <w:shd w:val="clear" w:color="auto" w:fill="CCEEFF"/>
          </w:tcPr>
          <w:p>
            <w:pPr>
              <w:jc w:val="center"/>
              <w:ind w:right="180"/>
              <w:spacing w:after="0" w:line="130" w:lineRule="exact"/>
              <w:rPr>
                <w:sz w:val="20"/>
                <w:szCs w:val="20"/>
                <w:color w:val="auto"/>
              </w:rPr>
            </w:pPr>
            <w:r>
              <w:rPr>
                <w:rFonts w:ascii="Arial" w:cs="Arial" w:eastAsia="Arial" w:hAnsi="Arial"/>
                <w:sz w:val="14"/>
                <w:szCs w:val="14"/>
                <w:color w:val="auto"/>
                <w:w w:val="99"/>
              </w:rPr>
              <w:t>Distribution</w:t>
            </w:r>
          </w:p>
        </w:tc>
        <w:tc>
          <w:tcPr>
            <w:tcW w:w="30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4"/>
              </w:rPr>
              <w:t>Preferred Equity</w:t>
            </w:r>
          </w:p>
        </w:tc>
        <w:tc>
          <w:tcPr>
            <w:tcW w:w="1380" w:type="dxa"/>
            <w:vAlign w:val="bottom"/>
            <w:gridSpan w:val="3"/>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35.8%</w:t>
            </w:r>
            <w:r>
              <w:rPr>
                <w:rFonts w:ascii="Arial" w:cs="Arial" w:eastAsia="Arial" w:hAnsi="Arial"/>
                <w:sz w:val="12"/>
                <w:szCs w:val="12"/>
                <w:color w:val="auto"/>
              </w:rPr>
              <w:t>(3)</w:t>
            </w:r>
          </w:p>
        </w:tc>
        <w:tc>
          <w:tcPr>
            <w:tcW w:w="10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26,632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1330 St. Mary’s Street, Ste. 210</w:t>
            </w: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Raleigh, NC 27605</w:t>
            </w:r>
          </w:p>
        </w:tc>
        <w:tc>
          <w:tcPr>
            <w:tcW w:w="1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240" w:top="459" w:right="4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Type of Investment,</w:t>
            </w:r>
          </w:p>
        </w:tc>
        <w:tc>
          <w:tcPr>
            <w:tcW w:w="180" w:type="dxa"/>
            <w:vAlign w:val="bottom"/>
          </w:tcPr>
          <w:p>
            <w:pPr>
              <w:spacing w:after="0"/>
              <w:rPr>
                <w:sz w:val="14"/>
                <w:szCs w:val="14"/>
                <w:color w:val="auto"/>
              </w:rPr>
            </w:pPr>
          </w:p>
        </w:tc>
        <w:tc>
          <w:tcPr>
            <w:tcW w:w="1200" w:type="dxa"/>
            <w:vAlign w:val="bottom"/>
            <w:gridSpan w:val="2"/>
          </w:tcPr>
          <w:p>
            <w:pPr>
              <w:jc w:val="center"/>
              <w:ind w:right="298"/>
              <w:spacing w:after="0"/>
              <w:rPr>
                <w:sz w:val="20"/>
                <w:szCs w:val="20"/>
                <w:color w:val="auto"/>
              </w:rPr>
            </w:pPr>
            <w:r>
              <w:rPr>
                <w:rFonts w:ascii="Arial" w:cs="Arial" w:eastAsia="Arial" w:hAnsi="Arial"/>
                <w:sz w:val="14"/>
                <w:szCs w:val="14"/>
                <w:b w:val="1"/>
                <w:bCs w:val="1"/>
                <w:color w:val="auto"/>
                <w:w w:val="91"/>
              </w:rPr>
              <w:t>Voting</w:t>
            </w:r>
          </w:p>
        </w:tc>
        <w:tc>
          <w:tcPr>
            <w:tcW w:w="140" w:type="dxa"/>
            <w:vAlign w:val="bottom"/>
          </w:tcPr>
          <w:p>
            <w:pPr>
              <w:spacing w:after="0"/>
              <w:rPr>
                <w:sz w:val="14"/>
                <w:szCs w:val="14"/>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4"/>
        </w:trPr>
        <w:tc>
          <w:tcPr>
            <w:tcW w:w="2140" w:type="dxa"/>
            <w:vAlign w:val="bottom"/>
            <w:gridSpan w:val="3"/>
            <w:vMerge w:val="continue"/>
          </w:tcPr>
          <w:p>
            <w:pPr>
              <w:spacing w:after="0"/>
              <w:rPr>
                <w:sz w:val="12"/>
                <w:szCs w:val="12"/>
                <w:color w:val="auto"/>
              </w:rPr>
            </w:pPr>
          </w:p>
        </w:tc>
        <w:tc>
          <w:tcPr>
            <w:tcW w:w="1740" w:type="dxa"/>
            <w:vAlign w:val="bottom"/>
          </w:tcPr>
          <w:p>
            <w:pPr>
              <w:spacing w:after="0"/>
              <w:rPr>
                <w:sz w:val="12"/>
                <w:szCs w:val="12"/>
                <w:color w:val="auto"/>
              </w:rPr>
            </w:pPr>
          </w:p>
        </w:tc>
        <w:tc>
          <w:tcPr>
            <w:tcW w:w="16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3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98"/>
              <w:spacing w:after="0" w:line="145" w:lineRule="exact"/>
              <w:rPr>
                <w:sz w:val="20"/>
                <w:szCs w:val="20"/>
                <w:color w:val="auto"/>
              </w:rPr>
            </w:pPr>
            <w:r>
              <w:rPr>
                <w:rFonts w:ascii="Arial" w:cs="Arial" w:eastAsia="Arial" w:hAnsi="Arial"/>
                <w:sz w:val="14"/>
                <w:szCs w:val="14"/>
                <w:b w:val="1"/>
                <w:bCs w:val="1"/>
                <w:color w:val="auto"/>
                <w:w w:val="90"/>
              </w:rPr>
              <w:t>Percentage</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gridSpan w:val="3"/>
          </w:tcPr>
          <w:p>
            <w:pPr>
              <w:spacing w:after="0"/>
              <w:rPr>
                <w:sz w:val="20"/>
                <w:szCs w:val="20"/>
                <w:color w:val="auto"/>
              </w:rPr>
            </w:pPr>
            <w:r>
              <w:rPr>
                <w:rFonts w:ascii="Arial" w:cs="Arial" w:eastAsia="Arial" w:hAnsi="Arial"/>
                <w:sz w:val="14"/>
                <w:szCs w:val="14"/>
                <w:b w:val="1"/>
                <w:bCs w:val="1"/>
                <w:color w:val="auto"/>
              </w:rPr>
              <w:t>Address of Portfolio Company</w:t>
            </w:r>
          </w:p>
        </w:tc>
        <w:tc>
          <w:tcPr>
            <w:tcW w:w="17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380" w:type="dxa"/>
            <w:vAlign w:val="bottom"/>
            <w:gridSpan w:val="3"/>
          </w:tcPr>
          <w:p>
            <w:pPr>
              <w:jc w:val="center"/>
              <w:ind w:right="13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Borders>
              <w:bottom w:val="single" w:sz="8" w:color="CCEEFF"/>
            </w:tcBorders>
            <w:shd w:val="clear" w:color="auto" w:fill="000000"/>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2120" w:type="dxa"/>
            <w:vAlign w:val="bottom"/>
            <w:gridSpan w:val="2"/>
            <w:shd w:val="clear" w:color="auto" w:fill="CCEEFF"/>
          </w:tcPr>
          <w:p>
            <w:pPr>
              <w:spacing w:after="0" w:line="109" w:lineRule="exact"/>
              <w:rPr>
                <w:sz w:val="20"/>
                <w:szCs w:val="20"/>
                <w:color w:val="auto"/>
              </w:rPr>
            </w:pPr>
            <w:r>
              <w:rPr>
                <w:rFonts w:ascii="Arial" w:cs="Arial" w:eastAsia="Arial" w:hAnsi="Arial"/>
                <w:sz w:val="12"/>
                <w:szCs w:val="12"/>
                <w:color w:val="auto"/>
              </w:rPr>
              <w:t>PT Network Intermediate Holdings,</w:t>
            </w:r>
          </w:p>
        </w:tc>
        <w:tc>
          <w:tcPr>
            <w:tcW w:w="1740" w:type="dxa"/>
            <w:vAlign w:val="bottom"/>
            <w:shd w:val="clear" w:color="auto" w:fill="CCEEFF"/>
          </w:tcPr>
          <w:p>
            <w:pPr>
              <w:ind w:left="120"/>
              <w:spacing w:after="0" w:line="109" w:lineRule="exact"/>
              <w:rPr>
                <w:sz w:val="20"/>
                <w:szCs w:val="20"/>
                <w:color w:val="auto"/>
              </w:rPr>
            </w:pPr>
            <w:r>
              <w:rPr>
                <w:rFonts w:ascii="Arial" w:cs="Arial" w:eastAsia="Arial" w:hAnsi="Arial"/>
                <w:sz w:val="12"/>
                <w:szCs w:val="12"/>
                <w:color w:val="auto"/>
              </w:rPr>
              <w:t>LLC</w:t>
            </w:r>
            <w:r>
              <w:rPr>
                <w:rFonts w:ascii="Arial" w:cs="Arial" w:eastAsia="Arial" w:hAnsi="Arial"/>
                <w:sz w:val="10"/>
                <w:szCs w:val="10"/>
                <w:color w:val="auto"/>
              </w:rPr>
              <w:t>(5)</w:t>
            </w:r>
          </w:p>
        </w:tc>
        <w:tc>
          <w:tcPr>
            <w:tcW w:w="148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Healthcare, Education</w:t>
            </w:r>
          </w:p>
        </w:tc>
        <w:tc>
          <w:tcPr>
            <w:tcW w:w="180" w:type="dxa"/>
            <w:vAlign w:val="bottom"/>
            <w:shd w:val="clear" w:color="auto" w:fill="CCEEFF"/>
          </w:tcPr>
          <w:p>
            <w:pPr>
              <w:spacing w:after="0"/>
              <w:rPr>
                <w:sz w:val="9"/>
                <w:szCs w:val="9"/>
                <w:color w:val="auto"/>
              </w:rPr>
            </w:pPr>
          </w:p>
        </w:tc>
        <w:tc>
          <w:tcPr>
            <w:tcW w:w="3060" w:type="dxa"/>
            <w:vAlign w:val="bottom"/>
            <w:shd w:val="clear" w:color="auto" w:fill="CCEEFF"/>
          </w:tcPr>
          <w:p>
            <w:pPr>
              <w:jc w:val="center"/>
              <w:spacing w:after="0" w:line="109" w:lineRule="exact"/>
              <w:rPr>
                <w:sz w:val="20"/>
                <w:szCs w:val="20"/>
                <w:color w:val="auto"/>
              </w:rPr>
            </w:pPr>
            <w:r>
              <w:rPr>
                <w:rFonts w:ascii="Arial" w:cs="Arial" w:eastAsia="Arial" w:hAnsi="Arial"/>
                <w:sz w:val="12"/>
                <w:szCs w:val="12"/>
                <w:color w:val="auto"/>
              </w:rPr>
              <w:t>Second Lien Secured Debt,</w:t>
            </w: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62.1</w:t>
            </w:r>
          </w:p>
        </w:tc>
        <w:tc>
          <w:tcPr>
            <w:tcW w:w="360" w:type="dxa"/>
            <w:vAlign w:val="bottom"/>
            <w:shd w:val="clear" w:color="auto" w:fill="CCEEFF"/>
          </w:tcPr>
          <w:p>
            <w:pPr>
              <w:jc w:val="right"/>
              <w:ind w:right="58"/>
              <w:spacing w:after="0" w:line="109" w:lineRule="exact"/>
              <w:rPr>
                <w:sz w:val="20"/>
                <w:szCs w:val="20"/>
                <w:color w:val="auto"/>
              </w:rPr>
            </w:pPr>
            <w:r>
              <w:rPr>
                <w:rFonts w:ascii="Arial" w:cs="Arial" w:eastAsia="Arial" w:hAnsi="Arial"/>
                <w:sz w:val="12"/>
                <w:szCs w:val="12"/>
                <w:color w:val="auto"/>
                <w:w w:val="95"/>
              </w:rPr>
              <w:t>%</w:t>
            </w:r>
            <w:r>
              <w:rPr>
                <w:rFonts w:ascii="Arial" w:cs="Arial" w:eastAsia="Arial" w:hAnsi="Arial"/>
                <w:sz w:val="10"/>
                <w:szCs w:val="10"/>
                <w:color w:val="auto"/>
                <w:w w:val="95"/>
              </w:rPr>
              <w:t>(3)</w:t>
            </w: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72,434</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(PTN) Investment Holdings II,</w:t>
            </w:r>
          </w:p>
        </w:tc>
        <w:tc>
          <w:tcPr>
            <w:tcW w:w="17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LLC</w:t>
            </w:r>
            <w:r>
              <w:rPr>
                <w:rFonts w:ascii="Arial" w:cs="Arial" w:eastAsia="Arial" w:hAnsi="Arial"/>
                <w:sz w:val="12"/>
                <w:szCs w:val="12"/>
                <w:color w:val="auto"/>
              </w:rPr>
              <w:t>(5)</w:t>
            </w:r>
            <w:r>
              <w:rPr>
                <w:rFonts w:ascii="Arial" w:cs="Arial" w:eastAsia="Arial" w:hAnsi="Arial"/>
                <w:sz w:val="14"/>
                <w:szCs w:val="14"/>
                <w:color w:val="auto"/>
              </w:rPr>
              <w:t>)</w:t>
            </w:r>
          </w:p>
        </w:tc>
        <w:tc>
          <w:tcPr>
            <w:tcW w:w="16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and Childcare</w:t>
            </w:r>
          </w:p>
        </w:tc>
        <w:tc>
          <w:tcPr>
            <w:tcW w:w="3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3M L+1,000 PIK, 11/30/2024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501 Fairmount Avenue</w:t>
            </w:r>
          </w:p>
        </w:tc>
        <w:tc>
          <w:tcPr>
            <w:tcW w:w="17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Preferred Equity</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Towson, MD 21286</w:t>
            </w:r>
          </w:p>
        </w:tc>
        <w:tc>
          <w:tcPr>
            <w:tcW w:w="17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Common Equity</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40" w:type="dxa"/>
            <w:vAlign w:val="bottom"/>
            <w:gridSpan w:val="3"/>
          </w:tcPr>
          <w:p>
            <w:pPr>
              <w:spacing w:after="0"/>
              <w:rPr>
                <w:sz w:val="20"/>
                <w:szCs w:val="20"/>
                <w:color w:val="auto"/>
              </w:rPr>
            </w:pPr>
            <w:r>
              <w:rPr>
                <w:rFonts w:ascii="Arial" w:cs="Arial" w:eastAsia="Arial" w:hAnsi="Arial"/>
                <w:sz w:val="14"/>
                <w:szCs w:val="14"/>
                <w:color w:val="auto"/>
              </w:rPr>
              <w:t>RAM Energy LLC</w:t>
            </w:r>
          </w:p>
        </w:tc>
        <w:tc>
          <w:tcPr>
            <w:tcW w:w="1740" w:type="dxa"/>
            <w:vAlign w:val="bottom"/>
          </w:tcPr>
          <w:p>
            <w:pPr>
              <w:spacing w:after="0"/>
              <w:rPr>
                <w:sz w:val="20"/>
                <w:szCs w:val="20"/>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Energy and Utilities</w:t>
            </w:r>
          </w:p>
        </w:tc>
        <w:tc>
          <w:tcPr>
            <w:tcW w:w="3060" w:type="dxa"/>
            <w:vAlign w:val="bottom"/>
          </w:tcPr>
          <w:p>
            <w:pPr>
              <w:jc w:val="center"/>
              <w:spacing w:after="0"/>
              <w:rPr>
                <w:sz w:val="20"/>
                <w:szCs w:val="20"/>
                <w:color w:val="auto"/>
              </w:rPr>
            </w:pPr>
            <w:r>
              <w:rPr>
                <w:rFonts w:ascii="Arial" w:cs="Arial" w:eastAsia="Arial" w:hAnsi="Arial"/>
                <w:sz w:val="14"/>
                <w:szCs w:val="14"/>
                <w:color w:val="auto"/>
                <w:w w:val="94"/>
              </w:rPr>
              <w:t>First Lien Secured Debt,</w:t>
            </w:r>
          </w:p>
        </w:tc>
        <w:tc>
          <w:tcPr>
            <w:tcW w:w="1380" w:type="dxa"/>
            <w:vAlign w:val="bottom"/>
            <w:gridSpan w:val="3"/>
          </w:tcPr>
          <w:p>
            <w:pPr>
              <w:jc w:val="right"/>
              <w:ind w:right="58"/>
              <w:spacing w:after="0"/>
              <w:rPr>
                <w:sz w:val="20"/>
                <w:szCs w:val="20"/>
                <w:color w:val="auto"/>
              </w:rPr>
            </w:pPr>
            <w:r>
              <w:rPr>
                <w:rFonts w:ascii="Arial" w:cs="Arial" w:eastAsia="Arial" w:hAnsi="Arial"/>
                <w:sz w:val="14"/>
                <w:szCs w:val="14"/>
                <w:color w:val="auto"/>
              </w:rPr>
              <w:t>100.0%</w:t>
            </w:r>
            <w:r>
              <w:rPr>
                <w:rFonts w:ascii="Arial" w:cs="Arial" w:eastAsia="Arial" w:hAnsi="Arial"/>
                <w:sz w:val="12"/>
                <w:szCs w:val="12"/>
                <w:color w:val="auto"/>
              </w:rPr>
              <w:t>(3)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123,958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140" w:type="dxa"/>
            <w:vAlign w:val="bottom"/>
            <w:gridSpan w:val="3"/>
          </w:tcPr>
          <w:p>
            <w:pPr>
              <w:spacing w:after="0" w:line="149" w:lineRule="exact"/>
              <w:rPr>
                <w:sz w:val="20"/>
                <w:szCs w:val="20"/>
                <w:color w:val="auto"/>
              </w:rPr>
            </w:pPr>
            <w:r>
              <w:rPr>
                <w:rFonts w:ascii="Arial" w:cs="Arial" w:eastAsia="Arial" w:hAnsi="Arial"/>
                <w:sz w:val="14"/>
                <w:szCs w:val="14"/>
                <w:color w:val="auto"/>
              </w:rPr>
              <w:t>(RAM Energy Holdings LLC)</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94"/>
              </w:rPr>
              <w:t>8.0% fixed, 07/01/2022</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3"/>
          </w:tcPr>
          <w:p>
            <w:pPr>
              <w:spacing w:after="0" w:line="149" w:lineRule="exact"/>
              <w:rPr>
                <w:sz w:val="20"/>
                <w:szCs w:val="20"/>
                <w:color w:val="auto"/>
              </w:rPr>
            </w:pPr>
            <w:r>
              <w:rPr>
                <w:rFonts w:ascii="Arial" w:cs="Arial" w:eastAsia="Arial" w:hAnsi="Arial"/>
                <w:sz w:val="14"/>
                <w:szCs w:val="14"/>
                <w:color w:val="auto"/>
                <w:w w:val="96"/>
              </w:rPr>
              <w:t>2100 South Utica Avenue, Ste. 165</w:t>
            </w:r>
          </w:p>
        </w:tc>
        <w:tc>
          <w:tcPr>
            <w:tcW w:w="17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60" w:type="dxa"/>
            <w:vAlign w:val="bottom"/>
          </w:tcPr>
          <w:p>
            <w:pPr>
              <w:jc w:val="center"/>
              <w:spacing w:after="0" w:line="149" w:lineRule="exact"/>
              <w:rPr>
                <w:sz w:val="20"/>
                <w:szCs w:val="20"/>
                <w:color w:val="auto"/>
              </w:rPr>
            </w:pPr>
            <w:r>
              <w:rPr>
                <w:rFonts w:ascii="Arial" w:cs="Arial" w:eastAsia="Arial" w:hAnsi="Arial"/>
                <w:sz w:val="14"/>
                <w:szCs w:val="14"/>
                <w:color w:val="auto"/>
                <w:w w:val="96"/>
              </w:rPr>
              <w:t>Common Equity</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140" w:type="dxa"/>
            <w:vAlign w:val="bottom"/>
            <w:gridSpan w:val="3"/>
          </w:tcPr>
          <w:p>
            <w:pPr>
              <w:spacing w:after="0"/>
              <w:rPr>
                <w:sz w:val="20"/>
                <w:szCs w:val="20"/>
                <w:color w:val="auto"/>
              </w:rPr>
            </w:pPr>
            <w:r>
              <w:rPr>
                <w:rFonts w:ascii="Arial" w:cs="Arial" w:eastAsia="Arial" w:hAnsi="Arial"/>
                <w:sz w:val="14"/>
                <w:szCs w:val="14"/>
                <w:color w:val="auto"/>
              </w:rPr>
              <w:t>Tulsa, OK 74114</w:t>
            </w:r>
          </w:p>
        </w:tc>
        <w:tc>
          <w:tcPr>
            <w:tcW w:w="1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17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1,219,433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7632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4" w:lineRule="exact"/>
        <w:rPr>
          <w:sz w:val="20"/>
          <w:szCs w:val="20"/>
          <w:color w:val="auto"/>
        </w:rPr>
      </w:pPr>
    </w:p>
    <w:p>
      <w:pPr>
        <w:ind w:left="640" w:right="40" w:hanging="436"/>
        <w:spacing w:after="0" w:line="225"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basis point spread above index for floating rate instruments that accrue interest at a predetermined spread relative to an index, typically the applicable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 w:lineRule="exact"/>
        <w:rPr>
          <w:rFonts w:ascii="Arial" w:cs="Arial" w:eastAsia="Arial" w:hAnsi="Arial"/>
          <w:sz w:val="14"/>
          <w:szCs w:val="14"/>
          <w:color w:val="auto"/>
        </w:rPr>
      </w:pPr>
    </w:p>
    <w:p>
      <w:pPr>
        <w:ind w:left="640" w:hanging="436"/>
        <w:spacing w:after="0" w:line="221"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640" w:hanging="436"/>
        <w:spacing w:after="0" w:line="221"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ind w:left="640" w:right="60" w:hanging="436"/>
        <w:spacing w:after="0" w:line="221"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640" w:hanging="436"/>
        <w:spacing w:after="0" w:line="221"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Investment is held through our Taxable Subsidiaries.</w:t>
      </w:r>
    </w:p>
    <w:p>
      <w:pPr>
        <w:ind w:left="640" w:right="360" w:hanging="436"/>
        <w:spacing w:after="0" w:line="221"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96% of the Company’s total assets and non-qualifying assets represent 4% of the Company’s total assets.</w:t>
      </w:r>
    </w:p>
    <w:p>
      <w:pPr>
        <w:ind w:left="640" w:hanging="436"/>
        <w:spacing w:after="0" w:line="221" w:lineRule="auto"/>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Less than 0.1% voting ownership percentage.</w:t>
      </w:r>
    </w:p>
    <w:p>
      <w:pPr>
        <w:ind w:left="640" w:hanging="436"/>
        <w:spacing w:after="0"/>
        <w:tabs>
          <w:tab w:leader="none" w:pos="6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Portfolio company partially subject to temporary contractual restriction on sales as of September 30, 2019.</w:t>
      </w:r>
    </w:p>
    <w:p>
      <w:pPr>
        <w:spacing w:after="0" w:line="196"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Set forth below is a brief description of each portfolio company in which we have made an investment that represents greater than 5% of our total assets as of September 30, 2019:</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PT Network Intermediate Holdings, LLC (CI (PTN) Investment Holdings II, LLC) (Healthcare, Education and Childcare)</w:t>
      </w:r>
    </w:p>
    <w:p>
      <w:pPr>
        <w:spacing w:after="0" w:line="117" w:lineRule="exact"/>
        <w:rPr>
          <w:sz w:val="20"/>
          <w:szCs w:val="20"/>
          <w:color w:val="auto"/>
        </w:rPr>
      </w:pPr>
    </w:p>
    <w:p>
      <w:pPr>
        <w:ind w:left="1200" w:right="280"/>
        <w:spacing w:after="0" w:line="277" w:lineRule="auto"/>
        <w:rPr>
          <w:sz w:val="20"/>
          <w:szCs w:val="20"/>
          <w:color w:val="auto"/>
        </w:rPr>
      </w:pPr>
      <w:r>
        <w:rPr>
          <w:rFonts w:ascii="Arial" w:cs="Arial" w:eastAsia="Arial" w:hAnsi="Arial"/>
          <w:sz w:val="18"/>
          <w:szCs w:val="18"/>
          <w:color w:val="auto"/>
        </w:rPr>
        <w:t>PT Network Intermediate Holdings, LLC (CI (PTN) Investment Holdings II, LLC) is a provider of physical therapy, corporate wellness and occupational health services.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RAM Energy LLC (RAM Energy Holdings LLC) (Energy and Utilities)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RAM Energy LLC (RAM Energy Holdings LLC) is an exploration and production company focused on operations in the East Texas.</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 as of:</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1580" w:type="dxa"/>
            <w:vAlign w:val="bottom"/>
          </w:tcPr>
          <w:p>
            <w:pPr>
              <w:spacing w:after="0"/>
              <w:rPr>
                <w:sz w:val="14"/>
                <w:szCs w:val="14"/>
                <w:color w:val="auto"/>
              </w:rPr>
            </w:pPr>
          </w:p>
        </w:tc>
        <w:tc>
          <w:tcPr>
            <w:tcW w:w="244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90"/>
              </w:rPr>
              <w:t>September 30, 2019</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September 30,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CCEEFF"/>
            </w:tcBorders>
            <w:shd w:val="clear" w:color="auto" w:fill="000000"/>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Healthcare, Education and Childcare</w:t>
            </w:r>
          </w:p>
        </w:tc>
        <w:tc>
          <w:tcPr>
            <w:tcW w:w="1580" w:type="dxa"/>
            <w:vAlign w:val="bottom"/>
            <w:shd w:val="clear" w:color="auto" w:fill="CCEEFF"/>
          </w:tcPr>
          <w:p>
            <w:pPr>
              <w:spacing w:after="0"/>
              <w:rPr>
                <w:sz w:val="17"/>
                <w:szCs w:val="17"/>
                <w:color w:val="auto"/>
              </w:rPr>
            </w:pPr>
          </w:p>
        </w:tc>
        <w:tc>
          <w:tcPr>
            <w:tcW w:w="2440" w:type="dxa"/>
            <w:vAlign w:val="bottom"/>
            <w:gridSpan w:val="2"/>
            <w:shd w:val="clear" w:color="auto" w:fill="CCEEFF"/>
          </w:tcPr>
          <w:p>
            <w:pPr>
              <w:jc w:val="right"/>
              <w:ind w:right="1080"/>
              <w:spacing w:after="0" w:line="203" w:lineRule="exact"/>
              <w:rPr>
                <w:sz w:val="20"/>
                <w:szCs w:val="20"/>
                <w:color w:val="auto"/>
              </w:rPr>
            </w:pPr>
            <w:r>
              <w:rPr>
                <w:rFonts w:ascii="Arial" w:cs="Arial" w:eastAsia="Arial" w:hAnsi="Arial"/>
                <w:sz w:val="18"/>
                <w:szCs w:val="18"/>
                <w:color w:val="auto"/>
              </w:rPr>
              <w:t>16%</w:t>
            </w:r>
          </w:p>
        </w:tc>
        <w:tc>
          <w:tcPr>
            <w:tcW w:w="1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Energy and Utilities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6</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Materials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 Sector</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Publishing</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4</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Beverage, Food and Tobacco</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Manufacturing / Basic Industries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Personal, Food and Miscellaneous Services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Transportation</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Electronics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and Office Furnishings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 Media</w:t>
            </w:r>
          </w:p>
        </w:tc>
        <w:tc>
          <w:tcPr>
            <w:tcW w:w="4020" w:type="dxa"/>
            <w:vAlign w:val="bottom"/>
            <w:gridSpan w:val="3"/>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4020" w:type="dxa"/>
            <w:vAlign w:val="bottom"/>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2440" w:type="dxa"/>
            <w:vAlign w:val="bottom"/>
            <w:gridSpan w:val="2"/>
          </w:tcPr>
          <w:p>
            <w:pPr>
              <w:jc w:val="right"/>
              <w:ind w:right="124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100%</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80" w:type="dxa"/>
            <w:vAlign w:val="bottom"/>
            <w:vMerge w:val="restart"/>
          </w:tcPr>
          <w:p>
            <w:pPr>
              <w:jc w:val="right"/>
              <w:ind w:right="610"/>
              <w:spacing w:after="0"/>
              <w:rPr>
                <w:sz w:val="20"/>
                <w:szCs w:val="20"/>
                <w:color w:val="auto"/>
              </w:rPr>
            </w:pPr>
            <w:r>
              <w:rPr>
                <w:rFonts w:ascii="Arial" w:cs="Arial" w:eastAsia="Arial" w:hAnsi="Arial"/>
                <w:sz w:val="18"/>
                <w:szCs w:val="18"/>
                <w:color w:val="auto"/>
              </w:rPr>
              <w:t>25</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240" w:top="459" w:right="11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PORTFOLIO MANAGEMENT</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Arthur H. Penn became the Chief Executive Officer and a Director of PennantPark Investment at its inception in 2007.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78"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3"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addition to managing our investments, as of September 30, 2019, our portfolio managers also managed investments on behalf of the following entities: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780" w:type="dxa"/>
            <w:vAlign w:val="bottom"/>
            <w:vMerge w:val="restart"/>
          </w:tcPr>
          <w:p>
            <w:pPr>
              <w:spacing w:after="0"/>
              <w:rPr>
                <w:sz w:val="14"/>
                <w:szCs w:val="14"/>
                <w:color w:val="auto"/>
              </w:rPr>
            </w:pPr>
          </w:p>
        </w:tc>
        <w:tc>
          <w:tcPr>
            <w:tcW w:w="620" w:type="dxa"/>
            <w:vAlign w:val="bottom"/>
          </w:tcPr>
          <w:p>
            <w:pPr>
              <w:spacing w:after="0"/>
              <w:rPr>
                <w:sz w:val="14"/>
                <w:szCs w:val="14"/>
                <w:color w:val="auto"/>
              </w:rPr>
            </w:pPr>
          </w:p>
        </w:tc>
        <w:tc>
          <w:tcPr>
            <w:tcW w:w="19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Entity</w:t>
            </w:r>
          </w:p>
        </w:tc>
        <w:tc>
          <w:tcPr>
            <w:tcW w:w="220" w:type="dxa"/>
            <w:vAlign w:val="bottom"/>
          </w:tcPr>
          <w:p>
            <w:pPr>
              <w:spacing w:after="0"/>
              <w:rPr>
                <w:sz w:val="14"/>
                <w:szCs w:val="14"/>
                <w:color w:val="auto"/>
              </w:rPr>
            </w:pPr>
          </w:p>
        </w:tc>
        <w:tc>
          <w:tcPr>
            <w:tcW w:w="3980" w:type="dxa"/>
            <w:vAlign w:val="bottom"/>
            <w:vMerge w:val="restart"/>
          </w:tcPr>
          <w:p>
            <w:pPr>
              <w:ind w:left="1440"/>
              <w:spacing w:after="0"/>
              <w:rPr>
                <w:sz w:val="20"/>
                <w:szCs w:val="20"/>
                <w:color w:val="auto"/>
              </w:rPr>
            </w:pPr>
            <w:r>
              <w:rPr>
                <w:rFonts w:ascii="Arial" w:cs="Arial" w:eastAsia="Arial" w:hAnsi="Arial"/>
                <w:sz w:val="14"/>
                <w:szCs w:val="14"/>
                <w:b w:val="1"/>
                <w:bCs w:val="1"/>
                <w:color w:val="auto"/>
              </w:rPr>
              <w:t>Investment Focus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6"/>
              </w:rPr>
              <w:t>Gross Assets</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3980" w:type="dxa"/>
            <w:vAlign w:val="bottom"/>
            <w:vMerge w:val="continue"/>
          </w:tcPr>
          <w:p>
            <w:pPr>
              <w:spacing w:after="0"/>
              <w:rPr>
                <w:sz w:val="15"/>
                <w:szCs w:val="15"/>
                <w:color w:val="auto"/>
              </w:rPr>
            </w:pPr>
          </w:p>
        </w:tc>
        <w:tc>
          <w:tcPr>
            <w:tcW w:w="10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0" w:type="dxa"/>
            <w:vAlign w:val="bottom"/>
          </w:tcPr>
          <w:p>
            <w:pPr>
              <w:spacing w:after="0"/>
              <w:rPr>
                <w:sz w:val="1"/>
                <w:szCs w:val="1"/>
                <w:color w:val="auto"/>
              </w:rPr>
            </w:pPr>
          </w:p>
        </w:tc>
      </w:tr>
      <w:tr>
        <w:trPr>
          <w:trHeight w:val="180"/>
        </w:trPr>
        <w:tc>
          <w:tcPr>
            <w:tcW w:w="3160" w:type="dxa"/>
            <w:vAlign w:val="bottom"/>
            <w:gridSpan w:val="2"/>
          </w:tcPr>
          <w:p>
            <w:pPr>
              <w:spacing w:after="0" w:line="180" w:lineRule="exact"/>
              <w:rPr>
                <w:sz w:val="20"/>
                <w:szCs w:val="20"/>
                <w:color w:val="auto"/>
              </w:rPr>
            </w:pPr>
            <w:r>
              <w:rPr>
                <w:rFonts w:ascii="Arial" w:cs="Arial" w:eastAsia="Arial" w:hAnsi="Arial"/>
                <w:sz w:val="16"/>
                <w:szCs w:val="16"/>
                <w:color w:val="auto"/>
              </w:rPr>
              <w:t>PennantPark Floating Rate Capital Ltd.</w:t>
            </w:r>
          </w:p>
        </w:tc>
        <w:tc>
          <w:tcPr>
            <w:tcW w:w="620" w:type="dxa"/>
            <w:vAlign w:val="bottom"/>
          </w:tcPr>
          <w:p>
            <w:pPr>
              <w:spacing w:after="0"/>
              <w:rPr>
                <w:sz w:val="15"/>
                <w:szCs w:val="15"/>
                <w:color w:val="auto"/>
              </w:rPr>
            </w:pPr>
          </w:p>
        </w:tc>
        <w:tc>
          <w:tcPr>
            <w:tcW w:w="194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Business development</w:t>
            </w:r>
          </w:p>
        </w:tc>
        <w:tc>
          <w:tcPr>
            <w:tcW w:w="220" w:type="dxa"/>
            <w:vAlign w:val="bottom"/>
          </w:tcPr>
          <w:p>
            <w:pPr>
              <w:spacing w:after="0"/>
              <w:rPr>
                <w:sz w:val="15"/>
                <w:szCs w:val="15"/>
                <w:color w:val="auto"/>
              </w:rPr>
            </w:pPr>
          </w:p>
        </w:tc>
        <w:tc>
          <w:tcPr>
            <w:tcW w:w="3980" w:type="dxa"/>
            <w:vAlign w:val="bottom"/>
            <w:tcBorders>
              <w:top w:val="single" w:sz="8" w:color="auto"/>
            </w:tcBorders>
          </w:tcPr>
          <w:p>
            <w:pPr>
              <w:spacing w:after="0" w:line="180" w:lineRule="exact"/>
              <w:rPr>
                <w:sz w:val="20"/>
                <w:szCs w:val="20"/>
                <w:color w:val="auto"/>
              </w:rPr>
            </w:pPr>
            <w:r>
              <w:rPr>
                <w:rFonts w:ascii="Arial" w:cs="Arial" w:eastAsia="Arial" w:hAnsi="Arial"/>
                <w:sz w:val="16"/>
                <w:szCs w:val="16"/>
                <w:color w:val="auto"/>
              </w:rPr>
              <w:t>Primarily floating rate loans, with an emphasis on senior</w:t>
            </w:r>
          </w:p>
        </w:tc>
        <w:tc>
          <w:tcPr>
            <w:tcW w:w="220" w:type="dxa"/>
            <w:vAlign w:val="bottom"/>
          </w:tcPr>
          <w:p>
            <w:pPr>
              <w:spacing w:after="0"/>
              <w:rPr>
                <w:sz w:val="15"/>
                <w:szCs w:val="15"/>
                <w:color w:val="auto"/>
              </w:rPr>
            </w:pPr>
          </w:p>
        </w:tc>
        <w:tc>
          <w:tcPr>
            <w:tcW w:w="86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rPr>
              <w:t>$1,152</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company</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PennantPark Senior Secured</w:t>
            </w: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Joint Venture</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Primarily floating rate loans, with an emphasis on senior</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06"/>
        </w:trPr>
        <w:tc>
          <w:tcPr>
            <w:tcW w:w="3160" w:type="dxa"/>
            <w:vAlign w:val="bottom"/>
            <w:gridSpan w:val="2"/>
          </w:tcPr>
          <w:p>
            <w:pPr>
              <w:spacing w:after="0"/>
              <w:rPr>
                <w:sz w:val="20"/>
                <w:szCs w:val="20"/>
                <w:color w:val="auto"/>
              </w:rPr>
            </w:pPr>
            <w:r>
              <w:rPr>
                <w:rFonts w:ascii="Arial" w:cs="Arial" w:eastAsia="Arial" w:hAnsi="Arial"/>
                <w:sz w:val="16"/>
                <w:szCs w:val="16"/>
                <w:color w:val="auto"/>
              </w:rPr>
              <w:t>Loan Fund I LLC</w:t>
            </w:r>
          </w:p>
        </w:tc>
        <w:tc>
          <w:tcPr>
            <w:tcW w:w="6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secured loans, in middle-market leveraged companies.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3160" w:type="dxa"/>
            <w:vAlign w:val="bottom"/>
            <w:gridSpan w:val="2"/>
          </w:tcPr>
          <w:p>
            <w:pPr>
              <w:spacing w:after="0"/>
              <w:rPr>
                <w:sz w:val="20"/>
                <w:szCs w:val="20"/>
                <w:color w:val="auto"/>
              </w:rPr>
            </w:pPr>
            <w:r>
              <w:rPr>
                <w:rFonts w:ascii="Arial" w:cs="Arial" w:eastAsia="Arial" w:hAnsi="Arial"/>
                <w:sz w:val="16"/>
                <w:szCs w:val="16"/>
                <w:color w:val="auto"/>
              </w:rPr>
              <w:t>Other Managed Funds</w:t>
            </w: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Direct Lending</w:t>
            </w: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Other credit opportunities</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206"/>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560" w:type="dxa"/>
            <w:vAlign w:val="bottom"/>
            <w:gridSpan w:val="2"/>
          </w:tcPr>
          <w:p>
            <w:pPr>
              <w:ind w:left="620"/>
              <w:spacing w:after="0"/>
              <w:rPr>
                <w:sz w:val="20"/>
                <w:szCs w:val="20"/>
                <w:color w:val="auto"/>
              </w:rPr>
            </w:pPr>
            <w:r>
              <w:rPr>
                <w:rFonts w:ascii="Arial" w:cs="Arial" w:eastAsia="Arial" w:hAnsi="Arial"/>
                <w:sz w:val="16"/>
                <w:szCs w:val="16"/>
                <w:color w:val="auto"/>
              </w:rPr>
              <w:t>Funds</w:t>
            </w:r>
          </w:p>
        </w:tc>
        <w:tc>
          <w:tcPr>
            <w:tcW w:w="2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senior investment professionals as of January 28, 2020. Information as to the beneficial ownerships is based on information furnished to us by such persons. We are not part of a “family of investment companies,” as that term is defined in the 1940 Act.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the</w:t>
            </w: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 of</w:t>
            </w:r>
          </w:p>
        </w:tc>
      </w:tr>
      <w:tr>
        <w:trPr>
          <w:trHeight w:val="149"/>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PennantPark Investment</w:t>
            </w:r>
          </w:p>
        </w:tc>
      </w:tr>
      <w:tr>
        <w:trPr>
          <w:trHeight w:val="185"/>
        </w:trPr>
        <w:tc>
          <w:tcPr>
            <w:tcW w:w="20" w:type="dxa"/>
            <w:vAlign w:val="bottom"/>
          </w:tcPr>
          <w:p>
            <w:pPr>
              <w:spacing w:after="0"/>
              <w:rPr>
                <w:sz w:val="16"/>
                <w:szCs w:val="16"/>
                <w:color w:val="auto"/>
              </w:rPr>
            </w:pPr>
          </w:p>
        </w:tc>
        <w:tc>
          <w:tcPr>
            <w:tcW w:w="8800" w:type="dxa"/>
            <w:vAlign w:val="bottom"/>
            <w:tcBorders>
              <w:bottom w:val="single" w:sz="8" w:color="CCEEFF"/>
            </w:tcBorders>
          </w:tcPr>
          <w:p>
            <w:pPr>
              <w:spacing w:after="0"/>
              <w:rPr>
                <w:sz w:val="16"/>
                <w:szCs w:val="16"/>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Corporation</w:t>
            </w:r>
            <w:r>
              <w:rPr>
                <w:rFonts w:ascii="Arial" w:cs="Arial" w:eastAsia="Arial" w:hAnsi="Arial"/>
                <w:sz w:val="12"/>
                <w:szCs w:val="12"/>
                <w:b w:val="1"/>
                <w:bCs w:val="1"/>
                <w:color w:val="auto"/>
                <w:w w:val="97"/>
              </w:rPr>
              <w:t>(1)</w:t>
            </w: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Arthur H. Penn</w:t>
            </w:r>
            <w:r>
              <w:rPr>
                <w:rFonts w:ascii="Arial" w:cs="Arial" w:eastAsia="Arial" w:hAnsi="Arial"/>
                <w:sz w:val="22"/>
                <w:szCs w:val="22"/>
                <w:color w:val="auto"/>
                <w:vertAlign w:val="superscript"/>
              </w:rPr>
              <w:t>(2)</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Over $1,000,000</w:t>
            </w:r>
          </w:p>
        </w:tc>
      </w:tr>
      <w:tr>
        <w:trPr>
          <w:trHeight w:val="203"/>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Jose A. Briones</w:t>
            </w:r>
          </w:p>
        </w:tc>
        <w:tc>
          <w:tcPr>
            <w:tcW w:w="2220" w:type="dxa"/>
            <w:vAlign w:val="bottom"/>
          </w:tcPr>
          <w:p>
            <w:pPr>
              <w:jc w:val="right"/>
              <w:spacing w:after="0"/>
              <w:rPr>
                <w:sz w:val="20"/>
                <w:szCs w:val="20"/>
                <w:color w:val="auto"/>
              </w:rPr>
            </w:pPr>
            <w:r>
              <w:rPr>
                <w:rFonts w:ascii="Arial" w:cs="Arial" w:eastAsia="Arial" w:hAnsi="Arial"/>
                <w:sz w:val="16"/>
                <w:szCs w:val="16"/>
                <w:color w:val="auto"/>
              </w:rPr>
              <w:t>$500,001 - $1,000,000</w:t>
            </w:r>
          </w:p>
        </w:tc>
      </w:tr>
      <w:tr>
        <w:trPr>
          <w:trHeight w:val="203"/>
        </w:trPr>
        <w:tc>
          <w:tcPr>
            <w:tcW w:w="20" w:type="dxa"/>
            <w:vAlign w:val="bottom"/>
          </w:tcPr>
          <w:p>
            <w:pPr>
              <w:spacing w:after="0"/>
              <w:rPr>
                <w:sz w:val="17"/>
                <w:szCs w:val="17"/>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Salvatore Giannetti III</w:t>
            </w: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$500,001 - $1,000,000</w:t>
            </w:r>
          </w:p>
        </w:tc>
      </w:tr>
      <w:tr>
        <w:trPr>
          <w:trHeight w:val="206"/>
        </w:trPr>
        <w:tc>
          <w:tcPr>
            <w:tcW w:w="20" w:type="dxa"/>
            <w:vAlign w:val="bottom"/>
          </w:tcPr>
          <w:p>
            <w:pPr>
              <w:spacing w:after="0"/>
              <w:rPr>
                <w:sz w:val="17"/>
                <w:szCs w:val="17"/>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P. Whitridge Williams, Jr.</w:t>
            </w:r>
          </w:p>
        </w:tc>
        <w:tc>
          <w:tcPr>
            <w:tcW w:w="2220" w:type="dxa"/>
            <w:vAlign w:val="bottom"/>
          </w:tcPr>
          <w:p>
            <w:pPr>
              <w:jc w:val="right"/>
              <w:spacing w:after="0"/>
              <w:rPr>
                <w:sz w:val="20"/>
                <w:szCs w:val="20"/>
                <w:color w:val="auto"/>
              </w:rPr>
            </w:pPr>
            <w:r>
              <w:rPr>
                <w:rFonts w:ascii="Arial" w:cs="Arial" w:eastAsia="Arial" w:hAnsi="Arial"/>
                <w:sz w:val="16"/>
                <w:szCs w:val="16"/>
                <w:color w:val="auto"/>
              </w:rPr>
              <w:t>$500,001 -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7632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1" w:lineRule="exact"/>
        <w:rPr>
          <w:sz w:val="20"/>
          <w:szCs w:val="20"/>
          <w:color w:val="auto"/>
        </w:rPr>
      </w:pPr>
    </w:p>
    <w:p>
      <w:pPr>
        <w:ind w:left="640" w:right="680" w:hanging="436"/>
        <w:spacing w:after="0" w:line="291"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 Beneficial ownership has been determined in accordance with Rule 16a-1(a)(2) promulgated under the Exchange Act.</w:t>
      </w: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180" w:hanging="544"/>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180" w:right="140" w:hanging="544"/>
        <w:spacing w:after="0" w:line="279" w:lineRule="auto"/>
        <w:tabs>
          <w:tab w:leader="none" w:pos="1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180" w:right="60" w:hanging="544"/>
        <w:spacing w:after="0" w:line="312" w:lineRule="auto"/>
        <w:tabs>
          <w:tab w:leader="none" w:pos="1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2" w:lineRule="exact"/>
        <w:rPr>
          <w:rFonts w:ascii="Arial" w:cs="Arial" w:eastAsia="Arial" w:hAnsi="Arial"/>
          <w:sz w:val="16"/>
          <w:szCs w:val="16"/>
          <w:color w:val="auto"/>
        </w:rPr>
      </w:pPr>
    </w:p>
    <w:p>
      <w:pPr>
        <w:ind w:left="1180" w:right="140" w:hanging="544"/>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52" w:lineRule="exact"/>
        <w:rPr>
          <w:sz w:val="20"/>
          <w:szCs w:val="20"/>
          <w:color w:val="auto"/>
        </w:rPr>
      </w:pPr>
    </w:p>
    <w:p>
      <w:pPr>
        <w:ind w:left="1780" w:right="1180" w:hanging="1120"/>
        <w:spacing w:after="0" w:line="277" w:lineRule="auto"/>
        <w:tabs>
          <w:tab w:leader="none" w:pos="17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780" w:right="460" w:hanging="1120"/>
        <w:spacing w:after="0" w:line="264" w:lineRule="auto"/>
        <w:tabs>
          <w:tab w:leader="none" w:pos="17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3" w:lineRule="exact"/>
        <w:rPr>
          <w:sz w:val="20"/>
          <w:szCs w:val="20"/>
          <w:color w:val="auto"/>
        </w:rPr>
      </w:pPr>
    </w:p>
    <w:p>
      <w:pPr>
        <w:ind w:left="1780" w:right="900" w:hanging="1120"/>
        <w:spacing w:after="0" w:line="277" w:lineRule="auto"/>
        <w:tabs>
          <w:tab w:leader="none" w:pos="17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4" w:lineRule="exact"/>
        <w:rPr>
          <w:sz w:val="20"/>
          <w:szCs w:val="20"/>
          <w:color w:val="auto"/>
        </w:rPr>
      </w:pPr>
    </w:p>
    <w:p>
      <w:pPr>
        <w:ind w:left="1180" w:hanging="436"/>
        <w:spacing w:after="0"/>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90" w:lineRule="exact"/>
        <w:rPr>
          <w:rFonts w:ascii="Arial" w:cs="Arial" w:eastAsia="Arial" w:hAnsi="Arial"/>
          <w:sz w:val="18"/>
          <w:szCs w:val="18"/>
          <w:color w:val="auto"/>
        </w:rPr>
      </w:pPr>
    </w:p>
    <w:p>
      <w:pPr>
        <w:ind w:left="1180" w:right="120" w:hanging="436"/>
        <w:spacing w:after="0" w:line="312" w:lineRule="auto"/>
        <w:tabs>
          <w:tab w:leader="none" w:pos="1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180" w:right="20" w:hanging="436"/>
        <w:spacing w:after="0" w:line="279" w:lineRule="auto"/>
        <w:tabs>
          <w:tab w:leader="none" w:pos="1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24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left="200" w:right="460" w:firstLine="441"/>
        <w:spacing w:after="0" w:line="279" w:lineRule="auto"/>
        <w:rPr>
          <w:sz w:val="20"/>
          <w:szCs w:val="20"/>
          <w:color w:val="auto"/>
        </w:rPr>
      </w:pPr>
      <w:r>
        <w:rPr>
          <w:rFonts w:ascii="Arial" w:cs="Arial" w:eastAsia="Arial" w:hAnsi="Arial"/>
          <w:sz w:val="17"/>
          <w:szCs w:val="17"/>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7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6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70"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Generally, we intend to issue new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92" w:lineRule="exact"/>
        <w:rPr>
          <w:sz w:val="20"/>
          <w:szCs w:val="20"/>
          <w:color w:val="auto"/>
        </w:rPr>
      </w:pPr>
    </w:p>
    <w:p>
      <w:pPr>
        <w:ind w:left="200" w:right="340" w:firstLine="441"/>
        <w:spacing w:after="0" w:line="302"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54"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Stockholders who receive dividends and other distributions in the form of stock are generally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5"/>
          <w:szCs w:val="15"/>
          <w:color w:val="auto"/>
        </w:rPr>
        <w:t>th</w:t>
      </w:r>
      <w:r>
        <w:rPr>
          <w:rFonts w:ascii="Arial" w:cs="Arial" w:eastAsia="Arial" w:hAnsi="Arial"/>
          <w:sz w:val="18"/>
          <w:szCs w:val="18"/>
          <w:color w:val="auto"/>
        </w:rPr>
        <w:t xml:space="preserve"> Avenue, 3</w:t>
      </w:r>
      <w:r>
        <w:rPr>
          <w:rFonts w:ascii="Arial" w:cs="Arial" w:eastAsia="Arial" w:hAnsi="Arial"/>
          <w:sz w:val="15"/>
          <w:szCs w:val="15"/>
          <w:color w:val="auto"/>
        </w:rPr>
        <w:t>rd</w:t>
      </w:r>
      <w:r>
        <w:rPr>
          <w:rFonts w:ascii="Arial" w:cs="Arial" w:eastAsia="Arial" w:hAnsi="Arial"/>
          <w:sz w:val="18"/>
          <w:szCs w:val="18"/>
          <w:color w:val="auto"/>
        </w:rPr>
        <w:t xml:space="preserve"> Floor, Brooklyn, New York 11219, or by the plan administrator’s Interactive Voice Response System at 1-800-278-4353.</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of December 31, 2019,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last reported closing market price of our common stock on January 28, 2020 was $6.58 per share. As of December 31, 2019, we had 9 stockholders of record.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our outstanding classes of securities as of December 31, 2019:</w:t>
      </w:r>
    </w:p>
    <w:p>
      <w:pPr>
        <w:spacing w:after="0" w:line="23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6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9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5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160" w:type="dxa"/>
            <w:vAlign w:val="bottom"/>
            <w:gridSpan w:val="3"/>
            <w:vMerge w:val="continue"/>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Authorized</w:t>
            </w:r>
          </w:p>
        </w:tc>
        <w:tc>
          <w:tcPr>
            <w:tcW w:w="540" w:type="dxa"/>
            <w:vAlign w:val="bottom"/>
          </w:tcPr>
          <w:p>
            <w:pPr>
              <w:spacing w:after="0"/>
              <w:rPr>
                <w:sz w:val="13"/>
                <w:szCs w:val="13"/>
                <w:color w:val="auto"/>
              </w:rPr>
            </w:pPr>
          </w:p>
        </w:tc>
        <w:tc>
          <w:tcPr>
            <w:tcW w:w="156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89"/>
              </w:rPr>
              <w:t>Account</w:t>
            </w:r>
          </w:p>
        </w:tc>
        <w:tc>
          <w:tcPr>
            <w:tcW w:w="9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5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100,000,000</w:t>
            </w: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8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8"/>
              </w:rPr>
              <w:t>67,045,105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200" w:right="500" w:firstLine="441"/>
        <w:spacing w:after="0" w:line="264"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3"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78" w:lineRule="exact"/>
        <w:rPr>
          <w:sz w:val="20"/>
          <w:szCs w:val="20"/>
          <w:color w:val="auto"/>
        </w:rPr>
      </w:pPr>
    </w:p>
    <w:p>
      <w:pPr>
        <w:ind w:left="200" w:right="480" w:firstLine="441"/>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2020, 2021 and 2022,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9"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200" w:right="300" w:firstLine="441"/>
        <w:spacing w:after="0" w:line="302"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6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200" w:right="700" w:firstLine="441"/>
        <w:spacing w:after="0" w:line="308" w:lineRule="auto"/>
        <w:rPr>
          <w:sz w:val="20"/>
          <w:szCs w:val="20"/>
          <w:color w:val="auto"/>
        </w:rPr>
      </w:pPr>
      <w:r>
        <w:rPr>
          <w:rFonts w:ascii="Arial" w:cs="Arial" w:eastAsia="Arial" w:hAnsi="Arial"/>
          <w:sz w:val="17"/>
          <w:szCs w:val="17"/>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shares of our stock.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There can be no assurance that such provision will not be amended or eliminated at any time in the future to the extent permitted by the 1940 Act.</w:t>
      </w:r>
    </w:p>
    <w:p>
      <w:pPr>
        <w:spacing w:after="0" w:line="22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9" w:lineRule="exact"/>
        <w:rPr>
          <w:sz w:val="20"/>
          <w:szCs w:val="20"/>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4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130" w:lineRule="exact"/>
        <w:rPr>
          <w:rFonts w:ascii="Arial" w:cs="Arial" w:eastAsia="Arial" w:hAnsi="Arial"/>
          <w:sz w:val="18"/>
          <w:szCs w:val="18"/>
          <w:color w:val="auto"/>
        </w:rPr>
      </w:pPr>
    </w:p>
    <w:p>
      <w:pPr>
        <w:ind w:left="1180" w:right="420" w:hanging="436"/>
        <w:spacing w:after="0" w:line="342"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4" w:lineRule="exact"/>
        <w:rPr>
          <w:sz w:val="20"/>
          <w:szCs w:val="20"/>
          <w:color w:val="auto"/>
        </w:rPr>
      </w:pPr>
    </w:p>
    <w:p>
      <w:pPr>
        <w:jc w:val="both"/>
        <w:ind w:left="200" w:right="320" w:firstLine="441"/>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6"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1180" w:right="120" w:hanging="436"/>
        <w:spacing w:after="0" w:line="26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1"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8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1180" w:right="24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jc w:val="both"/>
        <w:ind w:left="1180" w:hanging="436"/>
        <w:spacing w:after="0" w:line="264"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75"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75"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200" w:right="460" w:firstLine="441"/>
        <w:spacing w:after="0" w:line="291" w:lineRule="auto"/>
        <w:rPr>
          <w:sz w:val="20"/>
          <w:szCs w:val="20"/>
          <w:color w:val="auto"/>
        </w:rPr>
      </w:pPr>
      <w:r>
        <w:rPr>
          <w:rFonts w:ascii="Arial" w:cs="Arial" w:eastAsia="Arial" w:hAnsi="Arial"/>
          <w:sz w:val="16"/>
          <w:szCs w:val="16"/>
          <w:color w:val="auto"/>
        </w:rPr>
        <w:t>In September 2019, we issued $75.0 million in aggregate principal amount of 2024 Notes, for net proceeds of $72.3 million after deducting underwriting discounts and offering costs. Interest on the 2024 Notes is paid quarterly on January 15, April 15, July 15 and October 15, at a rate of</w:t>
      </w:r>
    </w:p>
    <w:p>
      <w:pPr>
        <w:ind w:left="200" w:right="80"/>
        <w:spacing w:after="0" w:line="253" w:lineRule="auto"/>
        <w:rPr>
          <w:sz w:val="20"/>
          <w:szCs w:val="20"/>
          <w:color w:val="auto"/>
        </w:rPr>
      </w:pPr>
      <w:r>
        <w:rPr>
          <w:rFonts w:ascii="Arial" w:cs="Arial" w:eastAsia="Arial" w:hAnsi="Arial"/>
          <w:sz w:val="18"/>
          <w:szCs w:val="18"/>
          <w:color w:val="auto"/>
        </w:rPr>
        <w:t>5.50% per year, commencing January 15, 2020. The 2024 Notes mature on October 15, 2024. The 2024 Notes are direct unsecured obligations and rank pari passu in right of payment with our existing and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9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October 2019, we issued an additional $11.3 million in aggregate principal of the 2024 Notes at par value, generating net proceeds of $10.9 million after underwriting discounts and offering expenses payable by us, as a result of the underwriters’ full exercise of the option to purchase additional 2024 Notes we granted to them in connection with the offering that closed in September 2019. In total, the Company has issued $86.3 of 2024 Notes at par value, generating net proceeds of $83.2 million.</w:t>
      </w:r>
    </w:p>
    <w:p>
      <w:pPr>
        <w:spacing w:after="0" w:line="18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In September 2014, we issued $250.0 million in aggregate principal amount of 2019 Notes. Interest on the 2019 Notes accrued at a rate of 4.50% per year and was paid semi-annually. The 2019 Notes were prepaid at 100% of the principal amount, plus accrued and unpaid interest through the payment date of March 4, 2019, as well as a make-whole premium. As of September 30, 2019 and 2018, we had zero and $250.0 million in aggregate principal amount of 2019 Notes outstanding, respectively. The 2019 Notes had been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SunTrust Credit Facility.</w:t>
      </w:r>
    </w:p>
    <w:p>
      <w:pPr>
        <w:spacing w:after="0" w:line="165"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15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prospectus supplement, which will accompany this prospectus, will describe the particular series of debt securities being offered by including:</w:t>
      </w:r>
    </w:p>
    <w:p>
      <w:pPr>
        <w:spacing w:after="0" w:line="154" w:lineRule="exact"/>
        <w:rPr>
          <w:sz w:val="20"/>
          <w:szCs w:val="20"/>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180" w:hanging="436"/>
        <w:spacing w:after="0" w:line="264"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1180" w:right="6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180" w:right="20" w:hanging="436"/>
        <w:spacing w:after="0" w:line="342"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or offered debt securities, and any debt securities issuable upon the exercise of warrants or upon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conversion or exchange of other offered securities, or underlying debt securities may be issued under the indenture in one or more series.</w:t>
      </w:r>
    </w:p>
    <w:p>
      <w:pPr>
        <w:spacing w:after="0" w:line="225"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firstLine="441"/>
        <w:spacing w:after="0" w:line="297"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3"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73"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180" w:right="26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5" w:lineRule="exact"/>
        <w:rPr>
          <w:rFonts w:ascii="Arial" w:cs="Arial" w:eastAsia="Arial" w:hAnsi="Arial"/>
          <w:sz w:val="18"/>
          <w:szCs w:val="18"/>
          <w:color w:val="auto"/>
        </w:rPr>
      </w:pPr>
    </w:p>
    <w:p>
      <w:pPr>
        <w:ind w:left="1180" w:right="100" w:hanging="436"/>
        <w:spacing w:after="0" w:line="264"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6"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75" w:lineRule="exact"/>
        <w:rPr>
          <w:rFonts w:ascii="Arial" w:cs="Arial" w:eastAsia="Arial" w:hAnsi="Arial"/>
          <w:sz w:val="18"/>
          <w:szCs w:val="18"/>
          <w:color w:val="auto"/>
        </w:rPr>
      </w:pPr>
    </w:p>
    <w:p>
      <w:pPr>
        <w:ind w:left="1180" w:right="480" w:hanging="436"/>
        <w:spacing w:after="0" w:line="308"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1" w:lineRule="exact"/>
        <w:rPr>
          <w:rFonts w:ascii="Arial" w:cs="Arial" w:eastAsia="Arial" w:hAnsi="Arial"/>
          <w:sz w:val="17"/>
          <w:szCs w:val="17"/>
          <w:color w:val="auto"/>
        </w:rPr>
      </w:pPr>
    </w:p>
    <w:p>
      <w:pPr>
        <w:jc w:val="both"/>
        <w:ind w:left="1180" w:right="40" w:hanging="436"/>
        <w:spacing w:after="0" w:line="286"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70" w:lineRule="exact"/>
        <w:rPr>
          <w:rFonts w:ascii="Arial" w:cs="Arial" w:eastAsia="Arial" w:hAnsi="Arial"/>
          <w:sz w:val="17"/>
          <w:szCs w:val="17"/>
          <w:color w:val="auto"/>
        </w:rPr>
      </w:pPr>
    </w:p>
    <w:p>
      <w:pPr>
        <w:ind w:left="1180" w:right="140" w:hanging="436"/>
        <w:spacing w:after="0" w:line="277"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5" w:lineRule="exact"/>
        <w:rPr>
          <w:rFonts w:ascii="Arial" w:cs="Arial" w:eastAsia="Arial" w:hAnsi="Arial"/>
          <w:sz w:val="18"/>
          <w:szCs w:val="18"/>
          <w:color w:val="auto"/>
        </w:rPr>
      </w:pPr>
    </w:p>
    <w:p>
      <w:pPr>
        <w:jc w:val="both"/>
        <w:ind w:left="1180" w:right="460" w:hanging="436"/>
        <w:spacing w:after="0" w:line="264"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6" w:lineRule="exact"/>
        <w:rPr>
          <w:rFonts w:ascii="Arial" w:cs="Arial" w:eastAsia="Arial" w:hAnsi="Arial"/>
          <w:sz w:val="18"/>
          <w:szCs w:val="18"/>
          <w:color w:val="auto"/>
        </w:rPr>
      </w:pPr>
    </w:p>
    <w:p>
      <w:pPr>
        <w:ind w:left="1180" w:right="160" w:hanging="436"/>
        <w:spacing w:after="0" w:line="264"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6" w:lineRule="exact"/>
        <w:rPr>
          <w:rFonts w:ascii="Arial" w:cs="Arial" w:eastAsia="Arial" w:hAnsi="Arial"/>
          <w:sz w:val="18"/>
          <w:szCs w:val="18"/>
          <w:color w:val="auto"/>
        </w:rPr>
      </w:pPr>
    </w:p>
    <w:p>
      <w:pPr>
        <w:ind w:left="1180" w:right="80" w:hanging="436"/>
        <w:spacing w:after="0" w:line="259"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180" w:right="14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200" w:right="60" w:firstLine="441"/>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5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180" w:right="420" w:hanging="436"/>
        <w:spacing w:after="0" w:line="277"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 including certain defaults by any of our significant subsidiaries.</w:t>
      </w:r>
    </w:p>
    <w:p>
      <w:pPr>
        <w:spacing w:after="0" w:line="170"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24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180" w:right="240" w:hanging="436"/>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5620" w:right="4660" w:hanging="4876"/>
        <w:spacing w:after="0" w:line="490" w:lineRule="auto"/>
        <w:tabs>
          <w:tab w:leader="none" w:pos="1172"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 the stated maturity of the principal of or interest on a debt security; 52</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180" w:right="160" w:hanging="436"/>
        <w:spacing w:after="0" w:line="277" w:lineRule="auto"/>
        <w:tabs>
          <w:tab w:leader="none" w:pos="1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35" w:lineRule="exact"/>
        <w:rPr>
          <w:rFonts w:ascii="Arial" w:cs="Arial" w:eastAsia="Arial" w:hAnsi="Arial"/>
          <w:sz w:val="18"/>
          <w:szCs w:val="18"/>
          <w:color w:val="auto"/>
        </w:rPr>
      </w:pPr>
    </w:p>
    <w:p>
      <w:pPr>
        <w:ind w:left="1180" w:right="20" w:hanging="436"/>
        <w:spacing w:after="0" w:line="342" w:lineRule="auto"/>
        <w:tabs>
          <w:tab w:leader="none" w:pos="1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180" w:right="680" w:hanging="436"/>
        <w:spacing w:after="0" w:line="277" w:lineRule="auto"/>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80" w:hanging="436"/>
        <w:spacing w:after="0" w:line="27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200" w:right="120" w:firstLine="44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78" w:lineRule="exact"/>
        <w:rPr>
          <w:sz w:val="20"/>
          <w:szCs w:val="20"/>
          <w:color w:val="auto"/>
        </w:rPr>
      </w:pPr>
    </w:p>
    <w:p>
      <w:pPr>
        <w:ind w:left="1180" w:right="80" w:hanging="436"/>
        <w:spacing w:after="0" w:line="286" w:lineRule="auto"/>
        <w:tabs>
          <w:tab w:leader="none" w:pos="1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180" w:right="80" w:hanging="436"/>
        <w:spacing w:after="0" w:line="264" w:lineRule="auto"/>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180" w:right="100" w:hanging="436"/>
        <w:spacing w:after="0" w:line="286" w:lineRule="auto"/>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180" w:right="80" w:hanging="436"/>
        <w:spacing w:after="0" w:line="273" w:lineRule="auto"/>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3" w:lineRule="exact"/>
        <w:rPr>
          <w:rFonts w:ascii="Arial" w:cs="Arial" w:eastAsia="Arial" w:hAnsi="Arial"/>
          <w:sz w:val="17"/>
          <w:szCs w:val="17"/>
          <w:color w:val="auto"/>
        </w:rPr>
      </w:pPr>
    </w:p>
    <w:p>
      <w:pPr>
        <w:ind w:left="1180" w:right="360" w:hanging="436"/>
        <w:spacing w:after="0" w:line="308" w:lineRule="auto"/>
        <w:tabs>
          <w:tab w:leader="none" w:pos="1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ind w:left="200" w:right="400" w:firstLine="441"/>
        <w:spacing w:after="0" w:line="264"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180" w:right="360" w:hanging="436"/>
        <w:spacing w:after="0" w:line="279" w:lineRule="auto"/>
        <w:tabs>
          <w:tab w:leader="none" w:pos="1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180" w:hanging="436"/>
        <w:spacing w:after="0"/>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If this prospectus is being delivered in connection with the offering of a series of indenture securities denominated as subordinated debt securities, the prospectus supplement will set forth the approximate amount of our Senior Indebtedness outstanding as of a recent date.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200" w:right="440" w:firstLine="441"/>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24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92" w:lineRule="exact"/>
        <w:rPr>
          <w:sz w:val="20"/>
          <w:szCs w:val="20"/>
          <w:color w:val="auto"/>
        </w:rPr>
      </w:pPr>
    </w:p>
    <w:p>
      <w:pPr>
        <w:ind w:left="1180" w:right="420" w:hanging="436"/>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33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 (2) 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requirements of Section 63 of the 1940 Act are met, the price per share of common stock included in a unit may be below the Company’s then current NAV per share. See “Sales of Common Stock Below Net Asset Value” for more information.</w:t>
      </w:r>
    </w:p>
    <w:p>
      <w:pPr>
        <w:spacing w:after="0" w:line="192"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w:t>
      </w:r>
    </w:p>
    <w:p>
      <w:pPr>
        <w:ind w:left="200" w:right="20" w:firstLine="4"/>
        <w:spacing w:after="0" w:line="252" w:lineRule="auto"/>
        <w:tabs>
          <w:tab w:leader="none" w:pos="4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94"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7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12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180" w:right="80" w:hanging="436"/>
        <w:spacing w:after="0" w:line="277"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180" w:right="260" w:hanging="436"/>
        <w:spacing w:after="0" w:line="264"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left="200" w:right="140" w:firstLine="441"/>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Election to be Taxed as a RIC</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ind w:left="1620" w:right="180" w:hanging="430"/>
        <w:spacing w:after="0" w:line="264" w:lineRule="auto"/>
        <w:tabs>
          <w:tab w:leader="none" w:pos="1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6" w:lineRule="exact"/>
        <w:rPr>
          <w:rFonts w:ascii="Arial" w:cs="Arial" w:eastAsia="Arial" w:hAnsi="Arial"/>
          <w:sz w:val="18"/>
          <w:szCs w:val="18"/>
          <w:color w:val="auto"/>
        </w:rPr>
      </w:pPr>
    </w:p>
    <w:p>
      <w:pPr>
        <w:jc w:val="both"/>
        <w:ind w:left="1620" w:hanging="430"/>
        <w:spacing w:after="0" w:line="286" w:lineRule="auto"/>
        <w:tabs>
          <w:tab w:leader="none" w:pos="16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treated as a RIC, in order to provide us with additional liquidity.</w:t>
      </w:r>
    </w:p>
    <w:p>
      <w:pPr>
        <w:spacing w:after="0" w:line="193"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3"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Subsidiaries, which are classified as corporations for U.S. federal income tax</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purposes. The Taxable Subsidiaries generally will be subject to corporate income taxes on their earnings, which ultimately will reduce our return on such income and fees.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deemed to have been distributed) as dividends for U.S. federal income tax purposes to our stockholders.</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3" w:lineRule="exact"/>
        <w:rPr>
          <w:sz w:val="20"/>
          <w:szCs w:val="20"/>
          <w:color w:val="auto"/>
        </w:rPr>
      </w:pPr>
    </w:p>
    <w:p>
      <w:pPr>
        <w:ind w:left="200" w:right="600" w:firstLine="441"/>
        <w:spacing w:after="0" w:line="264"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the particular equity security or warrant.</w:t>
      </w:r>
    </w:p>
    <w:p>
      <w:pPr>
        <w:spacing w:after="0" w:line="18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may distribute our common stock as a dividend of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generally would be taxable income to a stockholder even though only a small portion of the dividend was paid in cash to pay any taxes due on the total dividend. We have not yet elected to distribute stock as a dividend but reserve the right to do so.</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8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6"/>
          <w:szCs w:val="16"/>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7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5"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subsequent years as provided in the Code. Corporate stockholders generally may not deduct any net capital losses for a year, but may carryback such losses for three taxable years or carry forward such losses for five taxable years.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3"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1"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302" w:lineRule="auto"/>
        <w:rPr>
          <w:sz w:val="20"/>
          <w:szCs w:val="20"/>
          <w:color w:val="auto"/>
        </w:rPr>
      </w:pPr>
      <w:r>
        <w:rPr>
          <w:rFonts w:ascii="Arial" w:cs="Arial" w:eastAsia="Arial" w:hAnsi="Arial"/>
          <w:sz w:val="16"/>
          <w:szCs w:val="16"/>
          <w:color w:val="auto"/>
        </w:rPr>
        <w:t>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4"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3"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180" w:hanging="436"/>
        <w:spacing w:after="0"/>
        <w:tabs>
          <w:tab w:leader="none" w:pos="1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180" w:right="160" w:hanging="436"/>
        <w:spacing w:after="0" w:line="27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1"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9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15th Avenue, 3</w:t>
      </w:r>
      <w:r>
        <w:rPr>
          <w:rFonts w:ascii="Arial" w:cs="Arial" w:eastAsia="Arial" w:hAnsi="Arial"/>
          <w:sz w:val="14"/>
          <w:szCs w:val="14"/>
          <w:color w:val="auto"/>
        </w:rPr>
        <w:t>rd</w:t>
      </w:r>
      <w:r>
        <w:rPr>
          <w:rFonts w:ascii="Arial" w:cs="Arial" w:eastAsia="Arial" w:hAnsi="Arial"/>
          <w:sz w:val="17"/>
          <w:szCs w:val="17"/>
          <w:color w:val="auto"/>
        </w:rPr>
        <w:t xml:space="preserve"> Floor, Brooklyn, NY 11219, telephone number: (800) 937-5449. American Stock Transfer &amp; Trust Company, LLC serves as trustee for our 2024 Notes.</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 Certain legal matters will be passed upon for underwriters, if any, by the counsel named in the prospectus supplement, if any.</w:t>
      </w:r>
    </w:p>
    <w:p>
      <w:pPr>
        <w:spacing w:after="0" w:line="28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INDEPENDENT REGISTERED PUBLIC ACCOUNTING FIRM/INDEPENDENT AUDITOR</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Our current independent registered public accounting firm, RSM US LLP, located at 151 West 42</w:t>
      </w:r>
      <w:r>
        <w:rPr>
          <w:rFonts w:ascii="Arial" w:cs="Arial" w:eastAsia="Arial" w:hAnsi="Arial"/>
          <w:sz w:val="14"/>
          <w:szCs w:val="14"/>
          <w:color w:val="auto"/>
        </w:rPr>
        <w:t>nd</w:t>
      </w:r>
      <w:r>
        <w:rPr>
          <w:rFonts w:ascii="Arial" w:cs="Arial" w:eastAsia="Arial" w:hAnsi="Arial"/>
          <w:sz w:val="17"/>
          <w:szCs w:val="17"/>
          <w:color w:val="auto"/>
        </w:rPr>
        <w:t xml:space="preserve">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17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consolidated financial statements of RAM Energy Holdings LLC and subsidiaries as of and for the year ended September 30, 2019 incorporated by reference in this Prospectus have been so incorporated in reliance on the report of BDO USA, LLP, an independent auditor, incorporated herein by reference, given on the authority of said firm as experts in auditing and accounting.</w:t>
      </w:r>
    </w:p>
    <w:p>
      <w:pPr>
        <w:spacing w:after="0" w:line="2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80"/>
        <w:spacing w:after="0" w:line="342" w:lineRule="auto"/>
        <w:rPr>
          <w:sz w:val="20"/>
          <w:szCs w:val="20"/>
          <w:color w:val="auto"/>
        </w:rPr>
      </w:pPr>
      <w:r>
        <w:rPr>
          <w:rFonts w:ascii="Arial" w:cs="Arial" w:eastAsia="Arial" w:hAnsi="Arial"/>
          <w:sz w:val="16"/>
          <w:szCs w:val="16"/>
          <w:color w:val="auto"/>
        </w:rPr>
        <w:t>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prospectus and any prospectus supplement incorporates by reference the documents set forth below that have previously been filed with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w:t>
      </w:r>
    </w:p>
    <w:p>
      <w:pPr>
        <w:spacing w:after="0" w:line="116" w:lineRule="exact"/>
        <w:rPr>
          <w:sz w:val="20"/>
          <w:szCs w:val="20"/>
          <w:color w:val="auto"/>
        </w:rPr>
      </w:pPr>
    </w:p>
    <w:p>
      <w:pPr>
        <w:jc w:val="both"/>
        <w:ind w:left="1180" w:right="140" w:hanging="436"/>
        <w:spacing w:after="0" w:line="264"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September 30, 2019, filed with the SEC on November 21, 2019, including the information specifically incorporated by reference to the Form 10-K from out Definitive Proxy Statement on Schedule 14A filed with the SEC on December 17, 2019; and</w:t>
      </w:r>
    </w:p>
    <w:p>
      <w:pPr>
        <w:spacing w:after="0" w:line="86" w:lineRule="exact"/>
        <w:rPr>
          <w:rFonts w:ascii="Arial" w:cs="Arial" w:eastAsia="Arial" w:hAnsi="Arial"/>
          <w:sz w:val="18"/>
          <w:szCs w:val="18"/>
          <w:color w:val="auto"/>
        </w:rPr>
      </w:pPr>
    </w:p>
    <w:p>
      <w:pPr>
        <w:ind w:left="1180" w:right="200" w:hanging="436"/>
        <w:spacing w:after="0" w:line="264"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description of our Common Stock referenced in our Registration Statement on Form 8-A (No. 001-33418), as filed with the SEC on April 19, 2007, including any amendment or report filed for the purpose of updating such description prior to the termination of the offering of the common stock registered hereby.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Except for the documents incorporated by reference into this prospectus and any accompanying prospectus supplement,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Copies of these reports, proxy and information statements and other information may be obtained, after paying a duplicating fee, by sending a request by email to: publicinfo@sec.gov.</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1240" w:hanging="87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17" w:lineRule="exact"/>
        <w:rPr>
          <w:rFonts w:ascii="Arial" w:cs="Arial" w:eastAsia="Arial" w:hAnsi="Arial"/>
          <w:sz w:val="18"/>
          <w:szCs w:val="18"/>
          <w:color w:val="auto"/>
        </w:rPr>
      </w:pPr>
    </w:p>
    <w:p>
      <w:pPr>
        <w:ind w:left="1240" w:right="180"/>
        <w:spacing w:after="0" w:line="298" w:lineRule="auto"/>
        <w:rPr>
          <w:rFonts w:ascii="Arial" w:cs="Arial" w:eastAsia="Arial" w:hAnsi="Arial"/>
          <w:sz w:val="18"/>
          <w:szCs w:val="18"/>
          <w:color w:val="auto"/>
        </w:rPr>
      </w:pPr>
      <w:r>
        <w:rPr>
          <w:rFonts w:ascii="Arial" w:cs="Arial" w:eastAsia="Arial" w:hAnsi="Arial"/>
          <w:sz w:val="16"/>
          <w:szCs w:val="16"/>
          <w:color w:val="auto"/>
        </w:rPr>
        <w:t>The consolidated financial statements as of September 30, 2019 and September 30, 2018 and for each of the three years in the period ended September 30, 2019 and management’s assessment of the effectiveness of internal control over financial reporting (which is included in Management’s Report on Internal Control over Financial Reporting) as of September 30, 2019 have been incorporated by reference in this registration statement in “Part A—Information Required in a Prospectus.”</w:t>
      </w:r>
    </w:p>
    <w:p>
      <w:pPr>
        <w:spacing w:after="0" w:line="126" w:lineRule="exact"/>
        <w:rPr>
          <w:sz w:val="20"/>
          <w:szCs w:val="20"/>
          <w:color w:val="auto"/>
        </w:rPr>
      </w:pPr>
    </w:p>
    <w:p>
      <w:pPr>
        <w:ind w:left="1240" w:hanging="871"/>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p>
      <w:pPr>
        <w:ind w:left="1240" w:right="520" w:hanging="880"/>
        <w:spacing w:after="0" w:line="332" w:lineRule="auto"/>
        <w:tabs>
          <w:tab w:leader="none" w:pos="12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Articles of Amendment and Restatement of the Registrant (Incorporated by reference to Exhibit 99(a) to the Registrant’s Pre-Effective Amendment No. 3 to the Registration Statement on Form N-2/A (File No. 333-140092), filed on April 5, 2007).</w:t>
      </w:r>
    </w:p>
    <w:p>
      <w:pPr>
        <w:spacing w:after="0" w:line="98" w:lineRule="exact"/>
        <w:rPr>
          <w:rFonts w:ascii="Arial" w:cs="Arial" w:eastAsia="Arial" w:hAnsi="Arial"/>
          <w:sz w:val="16"/>
          <w:szCs w:val="16"/>
          <w:color w:val="auto"/>
        </w:rPr>
      </w:pPr>
    </w:p>
    <w:p>
      <w:pPr>
        <w:ind w:left="1240" w:right="260" w:hanging="885"/>
        <w:spacing w:after="0" w:line="268" w:lineRule="auto"/>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3.1 to the Registrant’s Current Report on Form 8-K (File No. 814-00736), filed on December 2, 2015).</w:t>
      </w:r>
    </w:p>
    <w:p>
      <w:pPr>
        <w:spacing w:after="0" w:line="14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(d)(1)</w:t>
            </w:r>
          </w:p>
        </w:tc>
        <w:tc>
          <w:tcPr>
            <w:tcW w:w="10280" w:type="dxa"/>
            <w:vAlign w:val="bottom"/>
          </w:tcPr>
          <w:p>
            <w:pPr>
              <w:ind w:left="300"/>
              <w:spacing w:after="0"/>
              <w:rPr>
                <w:sz w:val="20"/>
                <w:szCs w:val="20"/>
                <w:color w:val="auto"/>
              </w:rPr>
            </w:pPr>
            <w:r>
              <w:rPr>
                <w:rFonts w:ascii="Arial" w:cs="Arial" w:eastAsia="Arial" w:hAnsi="Arial"/>
                <w:sz w:val="18"/>
                <w:szCs w:val="18"/>
                <w:color w:val="auto"/>
                <w:w w:val="91"/>
              </w:rPr>
              <w:t>Form of Share Certificate (Incorporated by reference to Exhibit 99.(d)(1) to the Registrant’s Registration Statement on Form N-2 (File No.</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333-150033), filed on April 2, 2008).</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(d)(2)</w:t>
            </w:r>
          </w:p>
        </w:tc>
        <w:tc>
          <w:tcPr>
            <w:tcW w:w="10280" w:type="dxa"/>
            <w:vAlign w:val="bottom"/>
          </w:tcPr>
          <w:p>
            <w:pPr>
              <w:ind w:left="300"/>
              <w:spacing w:after="0"/>
              <w:rPr>
                <w:sz w:val="20"/>
                <w:szCs w:val="20"/>
                <w:color w:val="auto"/>
              </w:rPr>
            </w:pPr>
            <w:r>
              <w:rPr>
                <w:rFonts w:ascii="Arial" w:cs="Arial" w:eastAsia="Arial" w:hAnsi="Arial"/>
                <w:sz w:val="18"/>
                <w:szCs w:val="18"/>
                <w:color w:val="auto"/>
                <w:w w:val="96"/>
              </w:rPr>
              <w:t>Form of Subscription Certificate (Incorporated by reference to Exhibit 99.(d)(2) to the Registrant’s Pre-Effective Amendment to the</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Registration Statement on Form N-2/A (File No. 333-150033), filed on May 30, 2008).</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(d)(3)</w:t>
            </w:r>
          </w:p>
        </w:tc>
        <w:tc>
          <w:tcPr>
            <w:tcW w:w="10280" w:type="dxa"/>
            <w:vAlign w:val="bottom"/>
          </w:tcPr>
          <w:p>
            <w:pPr>
              <w:ind w:left="300"/>
              <w:spacing w:after="0"/>
              <w:rPr>
                <w:sz w:val="20"/>
                <w:szCs w:val="20"/>
                <w:color w:val="auto"/>
              </w:rPr>
            </w:pPr>
            <w:r>
              <w:rPr>
                <w:rFonts w:ascii="Arial" w:cs="Arial" w:eastAsia="Arial" w:hAnsi="Arial"/>
                <w:sz w:val="18"/>
                <w:szCs w:val="18"/>
                <w:color w:val="auto"/>
                <w:w w:val="91"/>
              </w:rPr>
              <w:t>Form of Subscription Agent Agreement (Incorporated by reference to Exhibit 99.(d)(4) to the Registrant’s Pre-Effective Amendment to the</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Registration Statement on Form N-2/A (File No. 333-150033), filed on May 30, 2008).</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(d)(4)</w:t>
            </w:r>
          </w:p>
        </w:tc>
        <w:tc>
          <w:tcPr>
            <w:tcW w:w="10280" w:type="dxa"/>
            <w:vAlign w:val="bottom"/>
          </w:tcPr>
          <w:p>
            <w:pPr>
              <w:ind w:left="300"/>
              <w:spacing w:after="0"/>
              <w:rPr>
                <w:sz w:val="20"/>
                <w:szCs w:val="20"/>
                <w:color w:val="auto"/>
              </w:rPr>
            </w:pPr>
            <w:r>
              <w:rPr>
                <w:rFonts w:ascii="Arial" w:cs="Arial" w:eastAsia="Arial" w:hAnsi="Arial"/>
                <w:sz w:val="18"/>
                <w:szCs w:val="18"/>
                <w:color w:val="auto"/>
                <w:w w:val="90"/>
              </w:rPr>
              <w:t>Form of Warrant Agreement (Incorporated by reference to Exhibit 99.(d)(5) to the Registrant’s Pre-Effective Amendment to the Registration</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Statement on Form N-2/A (File No. 333-150033), filed on May 30, 2008).</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(d)(5)</w:t>
            </w:r>
          </w:p>
        </w:tc>
        <w:tc>
          <w:tcPr>
            <w:tcW w:w="10280" w:type="dxa"/>
            <w:vAlign w:val="bottom"/>
          </w:tcPr>
          <w:p>
            <w:pPr>
              <w:ind w:left="300"/>
              <w:spacing w:after="0"/>
              <w:rPr>
                <w:sz w:val="20"/>
                <w:szCs w:val="20"/>
                <w:color w:val="auto"/>
              </w:rPr>
            </w:pPr>
            <w:r>
              <w:rPr>
                <w:rFonts w:ascii="Arial" w:cs="Arial" w:eastAsia="Arial" w:hAnsi="Arial"/>
                <w:sz w:val="18"/>
                <w:szCs w:val="18"/>
                <w:color w:val="auto"/>
                <w:w w:val="90"/>
              </w:rPr>
              <w:t>Form T-1 Statement of Eligibility with respect to the Form of Indenture (Incorporated by reference to Exhibit 2(d)(6) to the Registrant’s Pre-</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Effective Amendment to the Registration Statement on Form N-2/A (File No. 333-172524), filed August 22, 2011).</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(d)(6)</w:t>
            </w:r>
          </w:p>
        </w:tc>
        <w:tc>
          <w:tcPr>
            <w:tcW w:w="10280" w:type="dxa"/>
            <w:vAlign w:val="bottom"/>
          </w:tcPr>
          <w:p>
            <w:pPr>
              <w:ind w:left="300"/>
              <w:spacing w:after="0"/>
              <w:rPr>
                <w:sz w:val="20"/>
                <w:szCs w:val="20"/>
                <w:color w:val="auto"/>
              </w:rPr>
            </w:pPr>
            <w:r>
              <w:rPr>
                <w:rFonts w:ascii="Arial" w:cs="Arial" w:eastAsia="Arial" w:hAnsi="Arial"/>
                <w:sz w:val="18"/>
                <w:szCs w:val="18"/>
                <w:color w:val="auto"/>
                <w:w w:val="97"/>
              </w:rPr>
              <w:t>Form of Articles Supplementary (Incorporated by reference to Exhibit 2(d)(7) to the Registrant’s Pre-Effective Amendment to the</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Registration Statement on Form N-2/A (File No. 333-172524), filed August 22, 2011).</w:t>
            </w: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(d)(7)</w:t>
            </w:r>
          </w:p>
        </w:tc>
        <w:tc>
          <w:tcPr>
            <w:tcW w:w="10280" w:type="dxa"/>
            <w:vAlign w:val="bottom"/>
          </w:tcPr>
          <w:p>
            <w:pPr>
              <w:ind w:left="300"/>
              <w:spacing w:after="0"/>
              <w:rPr>
                <w:sz w:val="20"/>
                <w:szCs w:val="20"/>
                <w:color w:val="auto"/>
              </w:rPr>
            </w:pPr>
            <w:r>
              <w:rPr>
                <w:rFonts w:ascii="Arial" w:cs="Arial" w:eastAsia="Arial" w:hAnsi="Arial"/>
                <w:sz w:val="18"/>
                <w:szCs w:val="18"/>
                <w:color w:val="auto"/>
                <w:w w:val="91"/>
              </w:rPr>
              <w:t>Base Indenture, dated as of January 22, 2013, relating to the 6.25% Senior Notes due 2025, between the Registrant and American Stock</w:t>
            </w:r>
          </w:p>
        </w:tc>
      </w:tr>
      <w:tr>
        <w:trPr>
          <w:trHeight w:val="216"/>
        </w:trPr>
        <w:tc>
          <w:tcPr>
            <w:tcW w:w="74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w w:val="89"/>
              </w:rPr>
              <w:t>Transfer &amp; Trust Company, LLC, as trustee (Incorporated by reference to Exhibit 99.(d)(8) to the Registrant’s Post-Effective Amendment No.</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4 to the Registration Statement on Form N-2/A (File No. 333-172524), filed on January 22, 2013).</w:t>
            </w:r>
          </w:p>
        </w:tc>
      </w:tr>
      <w:tr>
        <w:trPr>
          <w:trHeight w:val="372"/>
        </w:trPr>
        <w:tc>
          <w:tcPr>
            <w:tcW w:w="740" w:type="dxa"/>
            <w:vAlign w:val="bottom"/>
          </w:tcPr>
          <w:p>
            <w:pPr>
              <w:spacing w:after="0"/>
              <w:rPr>
                <w:sz w:val="20"/>
                <w:szCs w:val="20"/>
                <w:color w:val="auto"/>
              </w:rPr>
            </w:pPr>
            <w:r>
              <w:rPr>
                <w:rFonts w:ascii="Arial" w:cs="Arial" w:eastAsia="Arial" w:hAnsi="Arial"/>
                <w:sz w:val="18"/>
                <w:szCs w:val="18"/>
                <w:color w:val="auto"/>
              </w:rPr>
              <w:t>(d)(8)</w:t>
            </w:r>
          </w:p>
        </w:tc>
        <w:tc>
          <w:tcPr>
            <w:tcW w:w="10280" w:type="dxa"/>
            <w:vAlign w:val="bottom"/>
          </w:tcPr>
          <w:p>
            <w:pPr>
              <w:ind w:left="300"/>
              <w:spacing w:after="0"/>
              <w:rPr>
                <w:sz w:val="20"/>
                <w:szCs w:val="20"/>
                <w:color w:val="auto"/>
              </w:rPr>
            </w:pPr>
            <w:r>
              <w:rPr>
                <w:rFonts w:ascii="Arial" w:cs="Arial" w:eastAsia="Arial" w:hAnsi="Arial"/>
                <w:sz w:val="18"/>
                <w:szCs w:val="18"/>
                <w:color w:val="auto"/>
                <w:w w:val="93"/>
              </w:rPr>
              <w:t>Third Supplemental Indenture, dated as of September 27, 2019, by and between the Registrant and American Stock Transfer &amp; Trust</w:t>
            </w:r>
          </w:p>
        </w:tc>
      </w:tr>
      <w:tr>
        <w:trPr>
          <w:trHeight w:val="216"/>
        </w:trPr>
        <w:tc>
          <w:tcPr>
            <w:tcW w:w="74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w w:val="91"/>
              </w:rPr>
              <w:t>Company, LLC, as trustee (Incorporated by reference to Exhibit 4.1 to the Registrant’s Current Report on Form 8-K (File No. 814-00736),</w:t>
            </w:r>
          </w:p>
        </w:tc>
      </w:tr>
      <w:tr>
        <w:trPr>
          <w:trHeight w:val="222"/>
        </w:trPr>
        <w:tc>
          <w:tcPr>
            <w:tcW w:w="7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filed on September 27, 2019).</w:t>
            </w:r>
          </w:p>
        </w:tc>
      </w:tr>
      <w:tr>
        <w:trPr>
          <w:trHeight w:val="378"/>
        </w:trPr>
        <w:tc>
          <w:tcPr>
            <w:tcW w:w="740" w:type="dxa"/>
            <w:vAlign w:val="bottom"/>
          </w:tcPr>
          <w:p>
            <w:pPr>
              <w:spacing w:after="0"/>
              <w:rPr>
                <w:sz w:val="20"/>
                <w:szCs w:val="20"/>
                <w:color w:val="auto"/>
              </w:rPr>
            </w:pPr>
            <w:r>
              <w:rPr>
                <w:rFonts w:ascii="Arial" w:cs="Arial" w:eastAsia="Arial" w:hAnsi="Arial"/>
                <w:sz w:val="18"/>
                <w:szCs w:val="18"/>
                <w:color w:val="auto"/>
              </w:rPr>
              <w:t>(d)(9)</w:t>
            </w:r>
          </w:p>
        </w:tc>
        <w:tc>
          <w:tcPr>
            <w:tcW w:w="10280" w:type="dxa"/>
            <w:vAlign w:val="bottom"/>
          </w:tcPr>
          <w:p>
            <w:pPr>
              <w:ind w:left="300"/>
              <w:spacing w:after="0"/>
              <w:rPr>
                <w:sz w:val="20"/>
                <w:szCs w:val="20"/>
                <w:color w:val="auto"/>
              </w:rPr>
            </w:pPr>
            <w:r>
              <w:rPr>
                <w:rFonts w:ascii="Arial" w:cs="Arial" w:eastAsia="Arial" w:hAnsi="Arial"/>
                <w:sz w:val="18"/>
                <w:szCs w:val="18"/>
                <w:color w:val="auto"/>
              </w:rPr>
              <w:t>Form of 5.50% Notes due 2024 (included as part of Exhibit d(8)).</w:t>
            </w:r>
          </w:p>
        </w:tc>
      </w:tr>
      <w:tr>
        <w:trPr>
          <w:trHeight w:val="365"/>
        </w:trPr>
        <w:tc>
          <w:tcPr>
            <w:tcW w:w="740" w:type="dxa"/>
            <w:vAlign w:val="bottom"/>
          </w:tcPr>
          <w:p>
            <w:pPr>
              <w:spacing w:after="0"/>
              <w:rPr>
                <w:sz w:val="24"/>
                <w:szCs w:val="24"/>
                <w:color w:val="auto"/>
              </w:rPr>
            </w:pPr>
          </w:p>
        </w:tc>
        <w:tc>
          <w:tcPr>
            <w:tcW w:w="10280" w:type="dxa"/>
            <w:vAlign w:val="bottom"/>
          </w:tcPr>
          <w:p>
            <w:pPr>
              <w:ind w:left="4640"/>
              <w:spacing w:after="0"/>
              <w:rPr>
                <w:sz w:val="20"/>
                <w:szCs w:val="20"/>
                <w:color w:val="auto"/>
              </w:rPr>
            </w:pPr>
            <w:r>
              <w:rPr>
                <w:rFonts w:ascii="Arial" w:cs="Arial" w:eastAsia="Arial" w:hAnsi="Arial"/>
                <w:sz w:val="18"/>
                <w:szCs w:val="18"/>
                <w:color w:val="auto"/>
              </w:rPr>
              <w:t>C-1</w:t>
            </w:r>
          </w:p>
        </w:tc>
      </w:tr>
    </w:tbl>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96" w:lineRule="exact"/>
        <w:rPr>
          <w:sz w:val="20"/>
          <w:szCs w:val="20"/>
          <w:color w:val="auto"/>
        </w:rPr>
      </w:pPr>
    </w:p>
    <w:p>
      <w:pPr>
        <w:ind w:left="1220" w:hanging="722"/>
        <w:spacing w:after="0"/>
        <w:tabs>
          <w:tab w:leader="none" w:pos="122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71" w:lineRule="exact"/>
        <w:rPr>
          <w:sz w:val="20"/>
          <w:szCs w:val="20"/>
          <w:color w:val="auto"/>
        </w:rPr>
      </w:pPr>
    </w:p>
    <w:p>
      <w:pPr>
        <w:ind w:left="1220" w:right="120" w:hanging="1019"/>
        <w:spacing w:after="0" w:line="268" w:lineRule="auto"/>
        <w:tabs>
          <w:tab w:leader="none" w:pos="1200" w:val="left"/>
        </w:tabs>
        <w:rPr>
          <w:sz w:val="20"/>
          <w:szCs w:val="20"/>
          <w:color w:val="auto"/>
        </w:rPr>
      </w:pPr>
      <w:r>
        <w:rPr>
          <w:rFonts w:ascii="Arial" w:cs="Arial" w:eastAsia="Arial" w:hAnsi="Arial"/>
          <w:sz w:val="18"/>
          <w:szCs w:val="18"/>
          <w:color w:val="auto"/>
        </w:rPr>
        <w:t>(d)(10)</w:t>
      </w:r>
      <w:r>
        <w:rPr>
          <w:sz w:val="20"/>
          <w:szCs w:val="20"/>
          <w:color w:val="auto"/>
        </w:rPr>
        <w:tab/>
      </w:r>
      <w:r>
        <w:rPr>
          <w:rFonts w:ascii="Arial" w:cs="Arial" w:eastAsia="Arial" w:hAnsi="Arial"/>
          <w:sz w:val="18"/>
          <w:szCs w:val="18"/>
          <w:color w:val="auto"/>
        </w:rPr>
        <w:t>Form T-1 Statement of Eligibility (Incorporated by reference to Exhibit 99.D.5 to the Registrant’s Post-Effective Amendment No. 1 on Form N-2 (File No. 333-230014), filed on September 26, 2019).</w:t>
      </w:r>
    </w:p>
    <w:p>
      <w:pPr>
        <w:spacing w:after="0" w:line="132" w:lineRule="exact"/>
        <w:rPr>
          <w:sz w:val="20"/>
          <w:szCs w:val="20"/>
          <w:color w:val="auto"/>
        </w:rPr>
      </w:pPr>
    </w:p>
    <w:p>
      <w:pPr>
        <w:ind w:left="1220" w:right="240" w:hanging="820"/>
        <w:spacing w:after="0" w:line="268" w:lineRule="auto"/>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333-150033), filed on April 2, 2008).</w:t>
      </w:r>
    </w:p>
    <w:p>
      <w:pPr>
        <w:spacing w:after="0" w:line="132" w:lineRule="exact"/>
        <w:rPr>
          <w:sz w:val="20"/>
          <w:szCs w:val="20"/>
          <w:color w:val="auto"/>
        </w:rPr>
      </w:pPr>
    </w:p>
    <w:p>
      <w:pPr>
        <w:ind w:left="1220" w:right="280" w:hanging="979"/>
        <w:spacing w:after="0" w:line="370" w:lineRule="auto"/>
        <w:tabs>
          <w:tab w:leader="none" w:pos="1200" w:val="left"/>
        </w:tabs>
        <w:rPr>
          <w:sz w:val="20"/>
          <w:szCs w:val="20"/>
          <w:color w:val="auto"/>
        </w:rPr>
      </w:pPr>
      <w:r>
        <w:rPr>
          <w:rFonts w:ascii="Arial" w:cs="Arial" w:eastAsia="Arial" w:hAnsi="Arial"/>
          <w:sz w:val="15"/>
          <w:szCs w:val="15"/>
          <w:color w:val="auto"/>
        </w:rPr>
        <w:t>(g)(1)</w:t>
      </w:r>
      <w:r>
        <w:rPr>
          <w:sz w:val="20"/>
          <w:szCs w:val="20"/>
          <w:color w:val="auto"/>
        </w:rPr>
        <w:tab/>
      </w:r>
      <w:r>
        <w:rPr>
          <w:rFonts w:ascii="Arial" w:cs="Arial" w:eastAsia="Arial" w:hAnsi="Arial"/>
          <w:sz w:val="15"/>
          <w:szCs w:val="15"/>
          <w:color w:val="auto"/>
        </w:rPr>
        <w:t>First Amended and Restated Investment Advisory Management Agreement between the Registrant and PennantPark Investment Advisers, LLC (Incorporated by reference to the Registrant’s Quarterly Report on Form 10-Q (File No. 814-00736), filed on February 3, 2016).</w:t>
      </w:r>
    </w:p>
    <w:p>
      <w:pPr>
        <w:spacing w:after="0" w:line="76" w:lineRule="exact"/>
        <w:rPr>
          <w:sz w:val="20"/>
          <w:szCs w:val="20"/>
          <w:color w:val="auto"/>
        </w:rPr>
      </w:pPr>
    </w:p>
    <w:p>
      <w:pPr>
        <w:ind w:left="1220" w:right="220" w:hanging="979"/>
        <w:spacing w:after="0" w:line="259" w:lineRule="auto"/>
        <w:tabs>
          <w:tab w:leader="none" w:pos="1200" w:val="left"/>
        </w:tabs>
        <w:rPr>
          <w:sz w:val="20"/>
          <w:szCs w:val="20"/>
          <w:color w:val="auto"/>
        </w:rPr>
      </w:pPr>
      <w:r>
        <w:rPr>
          <w:rFonts w:ascii="Arial" w:cs="Arial" w:eastAsia="Arial" w:hAnsi="Arial"/>
          <w:sz w:val="18"/>
          <w:szCs w:val="18"/>
          <w:color w:val="auto"/>
        </w:rPr>
        <w:t>(g)(2)</w:t>
      </w:r>
      <w:r>
        <w:rPr>
          <w:sz w:val="20"/>
          <w:szCs w:val="20"/>
          <w:color w:val="auto"/>
        </w:rPr>
        <w:tab/>
      </w:r>
      <w:r>
        <w:rPr>
          <w:rFonts w:ascii="Arial" w:cs="Arial" w:eastAsia="Arial" w:hAnsi="Arial"/>
          <w:sz w:val="18"/>
          <w:szCs w:val="18"/>
          <w:color w:val="auto"/>
        </w:rPr>
        <w:t>Second Amended and Restated Investment Advisory Management Agreement, dated as of February 6, 2018, between the Registrant and PennantPark Investment Advisers, LLC (Incorporated by reference to Exhibit 10.1 to the Registrant’s Quarterly Report on Form 10-Q (File No. 814-00736), filed on February 7, 2018).</w:t>
      </w:r>
    </w:p>
    <w:p>
      <w:pPr>
        <w:spacing w:after="0" w:line="140" w:lineRule="exact"/>
        <w:rPr>
          <w:sz w:val="20"/>
          <w:szCs w:val="20"/>
          <w:color w:val="auto"/>
        </w:rPr>
      </w:pPr>
    </w:p>
    <w:p>
      <w:pPr>
        <w:ind w:left="1220" w:right="20" w:hanging="979"/>
        <w:spacing w:after="0" w:line="259" w:lineRule="auto"/>
        <w:tabs>
          <w:tab w:leader="none" w:pos="1200" w:val="left"/>
        </w:tabs>
        <w:rPr>
          <w:sz w:val="20"/>
          <w:szCs w:val="20"/>
          <w:color w:val="auto"/>
        </w:rPr>
      </w:pPr>
      <w:r>
        <w:rPr>
          <w:rFonts w:ascii="Arial" w:cs="Arial" w:eastAsia="Arial" w:hAnsi="Arial"/>
          <w:sz w:val="18"/>
          <w:szCs w:val="18"/>
          <w:color w:val="auto"/>
        </w:rPr>
        <w:t>(g)(3)</w:t>
      </w:r>
      <w:r>
        <w:rPr>
          <w:sz w:val="20"/>
          <w:szCs w:val="20"/>
          <w:color w:val="auto"/>
        </w:rPr>
        <w:tab/>
      </w:r>
      <w:r>
        <w:rPr>
          <w:rFonts w:ascii="Arial" w:cs="Arial" w:eastAsia="Arial" w:hAnsi="Arial"/>
          <w:sz w:val="18"/>
          <w:szCs w:val="18"/>
          <w:color w:val="auto"/>
        </w:rPr>
        <w:t>Third Amended and Restated Investment Advisory Management Agreement, dated as of April 12, 2019, between the Registrant and PennantPark Investment Advisers, LLC (Incorporated by reference to Exhibit 99.(G)(3) to the Registrant’s Pre-Effective Amendment No. 1 to the Registration Statement on Form N-2 (File No. 333-230014), filed on April 12, 2019).</w:t>
      </w:r>
    </w:p>
    <w:p>
      <w:pPr>
        <w:spacing w:after="0" w:line="140" w:lineRule="exact"/>
        <w:rPr>
          <w:sz w:val="20"/>
          <w:szCs w:val="20"/>
          <w:color w:val="auto"/>
        </w:rPr>
      </w:pPr>
    </w:p>
    <w:p>
      <w:pPr>
        <w:ind w:left="1220" w:right="240" w:hanging="979"/>
        <w:spacing w:after="0" w:line="332" w:lineRule="auto"/>
        <w:tabs>
          <w:tab w:leader="none" w:pos="1200" w:val="left"/>
        </w:tabs>
        <w:rPr>
          <w:sz w:val="20"/>
          <w:szCs w:val="20"/>
          <w:color w:val="auto"/>
        </w:rPr>
      </w:pPr>
      <w:r>
        <w:rPr>
          <w:rFonts w:ascii="Arial" w:cs="Arial" w:eastAsia="Arial" w:hAnsi="Arial"/>
          <w:sz w:val="16"/>
          <w:szCs w:val="16"/>
          <w:color w:val="auto"/>
        </w:rPr>
        <w:t>(h)(1)</w:t>
      </w:r>
      <w:r>
        <w:rPr>
          <w:sz w:val="20"/>
          <w:szCs w:val="20"/>
          <w:color w:val="auto"/>
        </w:rPr>
        <w:tab/>
      </w:r>
      <w:r>
        <w:rPr>
          <w:rFonts w:ascii="Arial" w:cs="Arial" w:eastAsia="Arial" w:hAnsi="Arial"/>
          <w:sz w:val="16"/>
          <w:szCs w:val="16"/>
          <w:color w:val="auto"/>
        </w:rPr>
        <w:t>Form of Underwriting Agreement for equity (Incorporated by reference to Exhibit 99.(H)(1) to the Registrant’s Post-Effective Amendment No. 4 to the Registration Statement on Form N-2/A (File No. 333-150033), filed on February 22, 2010).</w:t>
      </w:r>
    </w:p>
    <w:p>
      <w:pPr>
        <w:spacing w:after="0" w:line="85" w:lineRule="exact"/>
        <w:rPr>
          <w:sz w:val="20"/>
          <w:szCs w:val="20"/>
          <w:color w:val="auto"/>
        </w:rPr>
      </w:pPr>
    </w:p>
    <w:p>
      <w:pPr>
        <w:ind w:left="1220" w:hanging="979"/>
        <w:spacing w:after="0" w:line="268" w:lineRule="auto"/>
        <w:tabs>
          <w:tab w:leader="none" w:pos="120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(Incorporated by reference to Exhibit 99.(H)(2) to the Registrant’s Pre-Effective Amendment to the Registration Statement on Form N-2/A (File No. 333-150033), filed on May 30, 2008).</w:t>
      </w:r>
    </w:p>
    <w:p>
      <w:pPr>
        <w:spacing w:after="0" w:line="132" w:lineRule="exact"/>
        <w:rPr>
          <w:sz w:val="20"/>
          <w:szCs w:val="20"/>
          <w:color w:val="auto"/>
        </w:rPr>
      </w:pPr>
    </w:p>
    <w:p>
      <w:pPr>
        <w:ind w:left="1220" w:right="20" w:hanging="979"/>
        <w:spacing w:after="0" w:line="256" w:lineRule="auto"/>
        <w:tabs>
          <w:tab w:leader="none" w:pos="1200" w:val="left"/>
        </w:tabs>
        <w:rPr>
          <w:sz w:val="20"/>
          <w:szCs w:val="20"/>
          <w:color w:val="auto"/>
        </w:rPr>
      </w:pPr>
      <w:r>
        <w:rPr>
          <w:rFonts w:ascii="Arial" w:cs="Arial" w:eastAsia="Arial" w:hAnsi="Arial"/>
          <w:sz w:val="18"/>
          <w:szCs w:val="18"/>
          <w:color w:val="auto"/>
        </w:rPr>
        <w:t>(h)(3)</w:t>
      </w:r>
      <w:r>
        <w:rPr>
          <w:sz w:val="20"/>
          <w:szCs w:val="20"/>
          <w:color w:val="auto"/>
        </w:rPr>
        <w:tab/>
      </w:r>
      <w:r>
        <w:rPr>
          <w:rFonts w:ascii="Arial" w:cs="Arial" w:eastAsia="Arial" w:hAnsi="Arial"/>
          <w:sz w:val="18"/>
          <w:szCs w:val="18"/>
          <w:color w:val="auto"/>
        </w:rPr>
        <w:t>Underwriting Agreement, dated September 24, 2019, by and among the Registrant, PennantPark Investment Advisers, LLC, PennantPark Investment Administration, LLC, and Keefe, Bruyette &amp; Woods, Inc. and Morgan Stanley &amp; Co. LLC, as representatives of the several underwriters named on Schedule A thereto (Incorporated by reference to Exhibit 1.1 to the Registrant’s Current Report on Form 8-K (File No. 814-00736), filed on September 27, 2019).</w:t>
      </w:r>
    </w:p>
    <w:p>
      <w:pPr>
        <w:spacing w:after="0" w:line="143" w:lineRule="exact"/>
        <w:rPr>
          <w:sz w:val="20"/>
          <w:szCs w:val="20"/>
          <w:color w:val="auto"/>
        </w:rPr>
      </w:pPr>
    </w:p>
    <w:p>
      <w:pPr>
        <w:ind w:left="1220" w:right="300" w:hanging="849"/>
        <w:spacing w:after="0" w:line="268" w:lineRule="auto"/>
        <w:tabs>
          <w:tab w:leader="none" w:pos="12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Custodian Agreement between the Registrant and PFPC Trust Company (Incorporated by reference to Exhibit 99.(J)(1) to the Registrant’s Registration Statement on Form N-2 (File No. 333-150033), filed on April 2, 2008).</w:t>
      </w:r>
    </w:p>
    <w:p>
      <w:pPr>
        <w:spacing w:after="0" w:line="132" w:lineRule="exact"/>
        <w:rPr>
          <w:sz w:val="20"/>
          <w:szCs w:val="20"/>
          <w:color w:val="auto"/>
        </w:rPr>
      </w:pPr>
    </w:p>
    <w:p>
      <w:pPr>
        <w:ind w:left="1220" w:right="220" w:hanging="979"/>
        <w:spacing w:after="0" w:line="332" w:lineRule="auto"/>
        <w:tabs>
          <w:tab w:leader="none" w:pos="1200" w:val="left"/>
        </w:tabs>
        <w:rPr>
          <w:sz w:val="20"/>
          <w:szCs w:val="20"/>
          <w:color w:val="auto"/>
        </w:rPr>
      </w:pPr>
      <w:r>
        <w:rPr>
          <w:rFonts w:ascii="Arial" w:cs="Arial" w:eastAsia="Arial" w:hAnsi="Arial"/>
          <w:sz w:val="16"/>
          <w:szCs w:val="16"/>
          <w:color w:val="auto"/>
        </w:rPr>
        <w:t>(k)(1)</w:t>
      </w:r>
      <w:r>
        <w:rPr>
          <w:sz w:val="20"/>
          <w:szCs w:val="20"/>
          <w:color w:val="auto"/>
        </w:rPr>
        <w:tab/>
      </w:r>
      <w:r>
        <w:rPr>
          <w:rFonts w:ascii="Arial" w:cs="Arial" w:eastAsia="Arial" w:hAnsi="Arial"/>
          <w:sz w:val="16"/>
          <w:szCs w:val="16"/>
          <w:color w:val="auto"/>
        </w:rPr>
        <w:t>Administration Agreement between the Registrant and PennantPark Investment Administration, LLC (Incorporated by reference to Exhibit 99.(K)(1) to the Registrant’s Registration Statement on Form N-2 (File No. 333-150033), filed on April 2, 2008).</w:t>
      </w:r>
    </w:p>
    <w:p>
      <w:pPr>
        <w:spacing w:after="0" w:line="85" w:lineRule="exact"/>
        <w:rPr>
          <w:sz w:val="20"/>
          <w:szCs w:val="20"/>
          <w:color w:val="auto"/>
        </w:rPr>
      </w:pPr>
    </w:p>
    <w:p>
      <w:pPr>
        <w:ind w:left="1220" w:right="260" w:hanging="979"/>
        <w:spacing w:after="0" w:line="332" w:lineRule="auto"/>
        <w:tabs>
          <w:tab w:leader="none" w:pos="1200" w:val="left"/>
        </w:tabs>
        <w:rPr>
          <w:sz w:val="20"/>
          <w:szCs w:val="20"/>
          <w:color w:val="auto"/>
        </w:rPr>
      </w:pPr>
      <w:r>
        <w:rPr>
          <w:rFonts w:ascii="Arial" w:cs="Arial" w:eastAsia="Arial" w:hAnsi="Arial"/>
          <w:sz w:val="16"/>
          <w:szCs w:val="16"/>
          <w:color w:val="auto"/>
        </w:rPr>
        <w:t>(k)(2)</w:t>
      </w:r>
      <w:r>
        <w:rPr>
          <w:sz w:val="20"/>
          <w:szCs w:val="20"/>
          <w:color w:val="auto"/>
        </w:rPr>
        <w:tab/>
      </w:r>
      <w:r>
        <w:rPr>
          <w:rFonts w:ascii="Arial" w:cs="Arial" w:eastAsia="Arial" w:hAnsi="Arial"/>
          <w:sz w:val="16"/>
          <w:szCs w:val="16"/>
          <w:color w:val="auto"/>
        </w:rPr>
        <w:t>Stock Transfer Agency Agreement between the Registrant and American Stock Transfer and Trust Company (Incorporated by reference to Exhibit 99.(K)(2) to the Registrant’s Registration Statement on Form N-2 (File No. 333-150033), filed on April 2, 2008).</w:t>
      </w:r>
    </w:p>
    <w:p>
      <w:pPr>
        <w:spacing w:after="0" w:line="85" w:lineRule="exact"/>
        <w:rPr>
          <w:sz w:val="20"/>
          <w:szCs w:val="20"/>
          <w:color w:val="auto"/>
        </w:rPr>
      </w:pPr>
    </w:p>
    <w:p>
      <w:pPr>
        <w:ind w:left="1220" w:right="160" w:hanging="979"/>
        <w:spacing w:after="0" w:line="268" w:lineRule="auto"/>
        <w:tabs>
          <w:tab w:leader="none" w:pos="120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Trademark License Agreement (Incorporated by reference to Exhibit 99.(K)(3) to the Registrant’s Registration Statement on Form N-2 (File No. 333-150033), filed on April 2, 2008).</w:t>
      </w:r>
    </w:p>
    <w:p>
      <w:pPr>
        <w:spacing w:after="0" w:line="145" w:lineRule="exact"/>
        <w:rPr>
          <w:sz w:val="20"/>
          <w:szCs w:val="20"/>
          <w:color w:val="auto"/>
        </w:rPr>
      </w:pPr>
    </w:p>
    <w:p>
      <w:pPr>
        <w:ind w:left="1220" w:hanging="979"/>
        <w:spacing w:after="0" w:line="294" w:lineRule="auto"/>
        <w:tabs>
          <w:tab w:leader="none" w:pos="1200" w:val="left"/>
        </w:tabs>
        <w:rPr>
          <w:sz w:val="20"/>
          <w:szCs w:val="20"/>
          <w:color w:val="auto"/>
        </w:rPr>
      </w:pPr>
      <w:r>
        <w:rPr>
          <w:rFonts w:ascii="Arial" w:cs="Arial" w:eastAsia="Arial" w:hAnsi="Arial"/>
          <w:sz w:val="16"/>
          <w:szCs w:val="16"/>
          <w:color w:val="auto"/>
        </w:rPr>
        <w:t>(k)(4)</w:t>
      </w:r>
      <w:r>
        <w:rPr>
          <w:sz w:val="20"/>
          <w:szCs w:val="20"/>
          <w:color w:val="auto"/>
        </w:rPr>
        <w:tab/>
      </w:r>
      <w:r>
        <w:rPr>
          <w:rFonts w:ascii="Arial" w:cs="Arial" w:eastAsia="Arial" w:hAnsi="Arial"/>
          <w:sz w:val="16"/>
          <w:szCs w:val="16"/>
          <w:color w:val="auto"/>
        </w:rPr>
        <w:t>Second Amendment to Second Amended and Restated Senior Secured Revolving Credit Agreement, dated as of September 4, 2019, by and among PennantPark Investment Corporation, as borrower, the lenders party thereto, SunTrust Bank, as administrative agent and collateral agent, and solely with respect to Section 4.9, PNNT CI (GALLS) Prime Investment Holdings, LLC, PNNT Investment Holdings, LLC, PNNT New Gulf Resources, LLC, PNNT ecoserve, LLC and PNNT Cascade Environmental Holdings, LLC (Incorporated by reference to Exhibit 10.1 to the Registrant’s Form 8-K (File No. 814-00736), filed on September 9, 2019).</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204" w:lineRule="exact"/>
        <w:rPr>
          <w:sz w:val="20"/>
          <w:szCs w:val="20"/>
          <w:color w:val="auto"/>
        </w:rPr>
      </w:pPr>
    </w:p>
    <w:p>
      <w:pPr>
        <w:ind w:left="1220" w:hanging="722"/>
        <w:spacing w:after="0"/>
        <w:tabs>
          <w:tab w:leader="none" w:pos="122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(k)(5)</w:t>
            </w: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Indemnification Agreement, dated as of November 15, 2016, between PennantPark Investment Corporation and each of the directors and</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1"/>
              </w:rPr>
              <w:t>officers listed on Schedule A attached thereto (Incorporated by reference to Exhibit 10.5 on the Registrant’s Annual Report on Form 10-K</w:t>
            </w:r>
          </w:p>
        </w:tc>
      </w:tr>
      <w:tr>
        <w:trPr>
          <w:trHeight w:val="222"/>
        </w:trPr>
        <w:tc>
          <w:tcPr>
            <w:tcW w:w="76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(File No. 814-00891), filed on November 21, 2016).</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(k)(6)</w:t>
            </w:r>
          </w:p>
        </w:tc>
        <w:tc>
          <w:tcPr>
            <w:tcW w:w="10220" w:type="dxa"/>
            <w:vAlign w:val="bottom"/>
          </w:tcPr>
          <w:p>
            <w:pPr>
              <w:ind w:left="260"/>
              <w:spacing w:after="0"/>
              <w:rPr>
                <w:sz w:val="20"/>
                <w:szCs w:val="20"/>
                <w:color w:val="auto"/>
              </w:rPr>
            </w:pPr>
            <w:r>
              <w:rPr>
                <w:rFonts w:ascii="Arial" w:cs="Arial" w:eastAsia="Arial" w:hAnsi="Arial"/>
                <w:sz w:val="18"/>
                <w:szCs w:val="18"/>
                <w:color w:val="auto"/>
                <w:w w:val="88"/>
              </w:rPr>
              <w:t>Revolving Credit and Security Agreement by and among PennantPark Investment Funding I, LLC, as borrower, the lenders from time to time</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3"/>
              </w:rPr>
              <w:t>parties thereto, BNP Paribas, as administrative agent, PennantPark Investment Corporation, as equityholder, PennantPark Investment</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4"/>
              </w:rPr>
              <w:t>Advisers, LLC, as servicer, and The Bank of New York Mellon Trust Company, National Association, as collateral agent, dated as of</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February 22, 2019 (Incorporated by reference to Exhibit 10.1 to the Registrant’s Current Report on Form 8-K (File No. 814-00736), filed on</w:t>
            </w:r>
          </w:p>
        </w:tc>
      </w:tr>
      <w:tr>
        <w:trPr>
          <w:trHeight w:val="222"/>
        </w:trPr>
        <w:tc>
          <w:tcPr>
            <w:tcW w:w="76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February 26, 2019).</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(k)(7)</w:t>
            </w:r>
          </w:p>
        </w:tc>
        <w:tc>
          <w:tcPr>
            <w:tcW w:w="10220" w:type="dxa"/>
            <w:vAlign w:val="bottom"/>
          </w:tcPr>
          <w:p>
            <w:pPr>
              <w:ind w:left="260"/>
              <w:spacing w:after="0"/>
              <w:rPr>
                <w:sz w:val="20"/>
                <w:szCs w:val="20"/>
                <w:color w:val="auto"/>
              </w:rPr>
            </w:pPr>
            <w:r>
              <w:rPr>
                <w:rFonts w:ascii="Arial" w:cs="Arial" w:eastAsia="Arial" w:hAnsi="Arial"/>
                <w:sz w:val="18"/>
                <w:szCs w:val="18"/>
                <w:color w:val="auto"/>
                <w:w w:val="94"/>
              </w:rPr>
              <w:t>Account Control Agreement by and among PennantPark Investment Funding I, LLC, as pledgor, The Bank of New York Mellon Trust</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Company, National Association, as secured party, PennantPark Investment Advisers, LLC, as servicer, and The Bank of New York Mellon</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88"/>
              </w:rPr>
              <w:t>Trust Company, National Association, as securities intermediary, dated as of February 22, 2019 (Incorporated by reference to Exhibit 10.2 to</w:t>
            </w:r>
          </w:p>
        </w:tc>
      </w:tr>
      <w:tr>
        <w:trPr>
          <w:trHeight w:val="222"/>
        </w:trPr>
        <w:tc>
          <w:tcPr>
            <w:tcW w:w="76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the Registrant’s Current Report on Form 8-K (File No. 814-00736), filed on February 26, 2019).</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(k)(8)</w:t>
            </w:r>
          </w:p>
        </w:tc>
        <w:tc>
          <w:tcPr>
            <w:tcW w:w="10220" w:type="dxa"/>
            <w:vAlign w:val="bottom"/>
          </w:tcPr>
          <w:p>
            <w:pPr>
              <w:ind w:left="260"/>
              <w:spacing w:after="0"/>
              <w:rPr>
                <w:sz w:val="20"/>
                <w:szCs w:val="20"/>
                <w:color w:val="auto"/>
              </w:rPr>
            </w:pPr>
            <w:r>
              <w:rPr>
                <w:rFonts w:ascii="Arial" w:cs="Arial" w:eastAsia="Arial" w:hAnsi="Arial"/>
                <w:sz w:val="18"/>
                <w:szCs w:val="18"/>
                <w:color w:val="auto"/>
                <w:w w:val="92"/>
              </w:rPr>
              <w:t>Custodian Agreement by and among PennantPark Investment Funding I, LLC, The Bank of New York Mellon Trust Company, National</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88"/>
              </w:rPr>
              <w:t>Association, as custodian, and The Bank of New York Mellon Trust Company, National Association, as collateral agent, dated as of February</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22, 2019 (Incorporated by reference to Exhibit 10.3 to the Registrant’s Current Report on Form 8-K (File No. 814-00736), filed on February</w:t>
            </w:r>
          </w:p>
        </w:tc>
      </w:tr>
      <w:tr>
        <w:trPr>
          <w:trHeight w:val="222"/>
        </w:trPr>
        <w:tc>
          <w:tcPr>
            <w:tcW w:w="76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26, 2019).</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(k)(9)</w:t>
            </w:r>
          </w:p>
        </w:tc>
        <w:tc>
          <w:tcPr>
            <w:tcW w:w="10220" w:type="dxa"/>
            <w:vAlign w:val="bottom"/>
          </w:tcPr>
          <w:p>
            <w:pPr>
              <w:ind w:left="260"/>
              <w:spacing w:after="0"/>
              <w:rPr>
                <w:sz w:val="20"/>
                <w:szCs w:val="20"/>
                <w:color w:val="auto"/>
              </w:rPr>
            </w:pPr>
            <w:r>
              <w:rPr>
                <w:rFonts w:ascii="Arial" w:cs="Arial" w:eastAsia="Arial" w:hAnsi="Arial"/>
                <w:sz w:val="18"/>
                <w:szCs w:val="18"/>
                <w:color w:val="auto"/>
                <w:w w:val="91"/>
              </w:rPr>
              <w:t>Purchase and Sale Agreement by and between PennantPark Investment Funding I, LLC, as the purchaser, and PennantPark Investment</w:t>
            </w:r>
          </w:p>
        </w:tc>
      </w:tr>
      <w:tr>
        <w:trPr>
          <w:trHeight w:val="216"/>
        </w:trPr>
        <w:tc>
          <w:tcPr>
            <w:tcW w:w="760" w:type="dxa"/>
            <w:vAlign w:val="bottom"/>
          </w:tcPr>
          <w:p>
            <w:pPr>
              <w:spacing w:after="0"/>
              <w:rPr>
                <w:sz w:val="18"/>
                <w:szCs w:val="18"/>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w w:val="91"/>
              </w:rPr>
              <w:t>Corporation, as the seller, dated as of February 22, 2019 (Incorporated by reference to Exhibit 10.4 to the Registrant’s Current Report on</w:t>
            </w:r>
          </w:p>
        </w:tc>
      </w:tr>
      <w:tr>
        <w:trPr>
          <w:trHeight w:val="222"/>
        </w:trPr>
        <w:tc>
          <w:tcPr>
            <w:tcW w:w="76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Form 8-K (File No. 814-00736), filed on February 26, 2019).</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9"/>
              </w:rPr>
              <w:t>(l)(1)</w:t>
            </w: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Opinion and Consent of Venable LLP. (Incorporated by reference to Exhibit (l)(1) to the Registration Statement on Form N-2 (File No. 333-</w:t>
            </w:r>
          </w:p>
        </w:tc>
      </w:tr>
      <w:tr>
        <w:trPr>
          <w:trHeight w:val="222"/>
        </w:trPr>
        <w:tc>
          <w:tcPr>
            <w:tcW w:w="76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230014), filed on March 1, 2019).</w:t>
            </w:r>
          </w:p>
        </w:tc>
      </w:tr>
      <w:tr>
        <w:trPr>
          <w:trHeight w:val="385"/>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9"/>
              </w:rPr>
              <w:t>(l)(2)</w:t>
            </w:r>
          </w:p>
        </w:tc>
        <w:tc>
          <w:tcPr>
            <w:tcW w:w="10220" w:type="dxa"/>
            <w:vAlign w:val="bottom"/>
          </w:tcPr>
          <w:p>
            <w:pPr>
              <w:ind w:left="260"/>
              <w:spacing w:after="0"/>
              <w:rPr>
                <w:sz w:val="20"/>
                <w:szCs w:val="20"/>
                <w:color w:val="auto"/>
              </w:rPr>
            </w:pPr>
            <w:r>
              <w:rPr>
                <w:rFonts w:ascii="Arial" w:cs="Arial" w:eastAsia="Arial" w:hAnsi="Arial"/>
                <w:sz w:val="18"/>
                <w:szCs w:val="18"/>
                <w:color w:val="auto"/>
                <w:w w:val="90"/>
              </w:rPr>
              <w:t>Opinion and Consent of Dechert LLP. (Incorporated by reference to Exhibit (l)(2) to the Registration Statement on Form N-2 (File No. 333-</w:t>
            </w:r>
          </w:p>
        </w:tc>
      </w:tr>
      <w:tr>
        <w:trPr>
          <w:trHeight w:val="222"/>
        </w:trPr>
        <w:tc>
          <w:tcPr>
            <w:tcW w:w="760" w:type="dxa"/>
            <w:vAlign w:val="bottom"/>
          </w:tcPr>
          <w:p>
            <w:pPr>
              <w:spacing w:after="0"/>
              <w:rPr>
                <w:sz w:val="19"/>
                <w:szCs w:val="19"/>
                <w:color w:val="auto"/>
              </w:rPr>
            </w:pPr>
          </w:p>
        </w:tc>
        <w:tc>
          <w:tcPr>
            <w:tcW w:w="10220" w:type="dxa"/>
            <w:vAlign w:val="bottom"/>
          </w:tcPr>
          <w:p>
            <w:pPr>
              <w:ind w:left="260"/>
              <w:spacing w:after="0"/>
              <w:rPr>
                <w:sz w:val="20"/>
                <w:szCs w:val="20"/>
                <w:color w:val="auto"/>
              </w:rPr>
            </w:pPr>
            <w:r>
              <w:rPr>
                <w:rFonts w:ascii="Arial" w:cs="Arial" w:eastAsia="Arial" w:hAnsi="Arial"/>
                <w:sz w:val="18"/>
                <w:szCs w:val="18"/>
                <w:color w:val="auto"/>
              </w:rPr>
              <w:t>230014), filed on March 1, 2019).</w:t>
            </w:r>
          </w:p>
        </w:tc>
      </w:tr>
      <w:tr>
        <w:trPr>
          <w:trHeight w:val="378"/>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(n)(1)*</w:t>
            </w:r>
          </w:p>
        </w:tc>
        <w:tc>
          <w:tcPr>
            <w:tcW w:w="10220" w:type="dxa"/>
            <w:vAlign w:val="bottom"/>
          </w:tcPr>
          <w:p>
            <w:pPr>
              <w:ind w:left="260"/>
              <w:spacing w:after="0"/>
              <w:rPr>
                <w:sz w:val="20"/>
                <w:szCs w:val="20"/>
                <w:color w:val="auto"/>
              </w:rPr>
            </w:pPr>
            <w:r>
              <w:rPr>
                <w:rFonts w:ascii="Arial" w:cs="Arial" w:eastAsia="Arial" w:hAnsi="Arial"/>
                <w:sz w:val="18"/>
                <w:szCs w:val="18"/>
                <w:color w:val="auto"/>
              </w:rPr>
              <w:t>Consent of RSM US LLP.</w:t>
            </w:r>
          </w:p>
        </w:tc>
      </w:tr>
      <w:tr>
        <w:trPr>
          <w:trHeight w:val="378"/>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(n)(2)*</w:t>
            </w:r>
          </w:p>
        </w:tc>
        <w:tc>
          <w:tcPr>
            <w:tcW w:w="10220" w:type="dxa"/>
            <w:vAlign w:val="bottom"/>
          </w:tcPr>
          <w:p>
            <w:pPr>
              <w:ind w:left="260"/>
              <w:spacing w:after="0"/>
              <w:rPr>
                <w:sz w:val="20"/>
                <w:szCs w:val="20"/>
                <w:color w:val="auto"/>
              </w:rPr>
            </w:pPr>
            <w:r>
              <w:rPr>
                <w:rFonts w:ascii="Arial" w:cs="Arial" w:eastAsia="Arial" w:hAnsi="Arial"/>
                <w:sz w:val="18"/>
                <w:szCs w:val="18"/>
                <w:color w:val="auto"/>
              </w:rPr>
              <w:t>Report of RSM US LLP regarding senior securities table contained herein.</w:t>
            </w:r>
          </w:p>
        </w:tc>
      </w:tr>
      <w:tr>
        <w:trPr>
          <w:trHeight w:val="378"/>
        </w:trPr>
        <w:tc>
          <w:tcPr>
            <w:tcW w:w="760" w:type="dxa"/>
            <w:vAlign w:val="bottom"/>
          </w:tcPr>
          <w:p>
            <w:pPr>
              <w:jc w:val="center"/>
              <w:ind w:right="172"/>
              <w:spacing w:after="0"/>
              <w:rPr>
                <w:sz w:val="20"/>
                <w:szCs w:val="20"/>
                <w:color w:val="auto"/>
              </w:rPr>
            </w:pPr>
            <w:r>
              <w:rPr>
                <w:rFonts w:ascii="Arial" w:cs="Arial" w:eastAsia="Arial" w:hAnsi="Arial"/>
                <w:sz w:val="18"/>
                <w:szCs w:val="18"/>
                <w:color w:val="auto"/>
                <w:w w:val="97"/>
              </w:rPr>
              <w:t>(n)(3)*</w:t>
            </w:r>
          </w:p>
        </w:tc>
        <w:tc>
          <w:tcPr>
            <w:tcW w:w="10220" w:type="dxa"/>
            <w:vAlign w:val="bottom"/>
          </w:tcPr>
          <w:p>
            <w:pPr>
              <w:ind w:left="260"/>
              <w:spacing w:after="0"/>
              <w:rPr>
                <w:sz w:val="20"/>
                <w:szCs w:val="20"/>
                <w:color w:val="auto"/>
              </w:rPr>
            </w:pPr>
            <w:r>
              <w:rPr>
                <w:rFonts w:ascii="Arial" w:cs="Arial" w:eastAsia="Arial" w:hAnsi="Arial"/>
                <w:sz w:val="18"/>
                <w:szCs w:val="18"/>
                <w:color w:val="auto"/>
              </w:rPr>
              <w:t>Consent of BDO USA, LLP.</w:t>
            </w:r>
          </w:p>
        </w:tc>
      </w:tr>
    </w:tbl>
    <w:p>
      <w:pPr>
        <w:spacing w:after="0" w:line="156" w:lineRule="exact"/>
        <w:rPr>
          <w:sz w:val="20"/>
          <w:szCs w:val="20"/>
          <w:color w:val="auto"/>
        </w:rPr>
      </w:pPr>
    </w:p>
    <w:p>
      <w:pPr>
        <w:ind w:left="1220" w:right="100" w:hanging="766"/>
        <w:spacing w:after="0" w:line="332" w:lineRule="auto"/>
        <w:tabs>
          <w:tab w:leader="none" w:pos="12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Joint Code of Ethics of the Registrant, PennantPark Floating Rate Capital Ltd. and PennantPark Investment Advisers, LLC (Incorporated by reference to Exhibit 14.1 to the Registrant’s Report on Form 10-K (File No. 814-00736), filed on November 21, 2019).</w:t>
      </w:r>
    </w:p>
    <w:p>
      <w:pPr>
        <w:spacing w:after="0" w:line="85" w:lineRule="exact"/>
        <w:rPr>
          <w:sz w:val="20"/>
          <w:szCs w:val="20"/>
          <w:color w:val="auto"/>
        </w:rPr>
      </w:pPr>
    </w:p>
    <w:p>
      <w:pPr>
        <w:ind w:left="1220" w:right="180" w:hanging="959"/>
        <w:spacing w:after="0" w:line="332" w:lineRule="auto"/>
        <w:tabs>
          <w:tab w:leader="none" w:pos="1200" w:val="left"/>
        </w:tabs>
        <w:rPr>
          <w:sz w:val="20"/>
          <w:szCs w:val="20"/>
          <w:color w:val="auto"/>
        </w:rPr>
      </w:pPr>
      <w:r>
        <w:rPr>
          <w:rFonts w:ascii="Arial" w:cs="Arial" w:eastAsia="Arial" w:hAnsi="Arial"/>
          <w:sz w:val="16"/>
          <w:szCs w:val="16"/>
          <w:color w:val="auto"/>
        </w:rPr>
        <w:t>(s)(1)</w:t>
      </w:r>
      <w:r>
        <w:rPr>
          <w:sz w:val="20"/>
          <w:szCs w:val="20"/>
          <w:color w:val="auto"/>
        </w:rPr>
        <w:tab/>
      </w:r>
      <w:r>
        <w:rPr>
          <w:rFonts w:ascii="Arial" w:cs="Arial" w:eastAsia="Arial" w:hAnsi="Arial"/>
          <w:sz w:val="16"/>
          <w:szCs w:val="16"/>
          <w:color w:val="auto"/>
        </w:rPr>
        <w:t>Form of Prospectus Supplement For Common Stock Offerings (Incorporated by reference to Exhibit (s)(1) to the Registrant’s Pre-Effective Amendment to the Registration Statement on Form N-2/A (File No. 333-172524), filed on August 22, 2011).</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80"/>
          </w:cols>
          <w:pgMar w:left="24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204" w:lineRule="exact"/>
        <w:rPr>
          <w:sz w:val="20"/>
          <w:szCs w:val="20"/>
          <w:color w:val="auto"/>
        </w:rPr>
      </w:pPr>
    </w:p>
    <w:p>
      <w:pPr>
        <w:ind w:left="1220" w:hanging="776"/>
        <w:spacing w:after="0"/>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(s)(2)</w:t>
            </w:r>
          </w:p>
        </w:tc>
        <w:tc>
          <w:tcPr>
            <w:tcW w:w="10280" w:type="dxa"/>
            <w:vAlign w:val="bottom"/>
          </w:tcPr>
          <w:p>
            <w:pPr>
              <w:ind w:left="320"/>
              <w:spacing w:after="0"/>
              <w:rPr>
                <w:sz w:val="20"/>
                <w:szCs w:val="20"/>
                <w:color w:val="auto"/>
              </w:rPr>
            </w:pPr>
            <w:r>
              <w:rPr>
                <w:rFonts w:ascii="Arial" w:cs="Arial" w:eastAsia="Arial" w:hAnsi="Arial"/>
                <w:sz w:val="18"/>
                <w:szCs w:val="18"/>
                <w:color w:val="auto"/>
                <w:w w:val="90"/>
              </w:rPr>
              <w:t>Form of Prospectus Supplement For Preferred Stock Offerings (Incorporated by reference to Exhibit (s)(2) to the Registrant’s Pre-Effective</w:t>
            </w:r>
          </w:p>
        </w:tc>
      </w:tr>
      <w:tr>
        <w:trPr>
          <w:trHeight w:val="222"/>
        </w:trPr>
        <w:tc>
          <w:tcPr>
            <w:tcW w:w="70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Amendment to the Registration Statement on Form N-2/A (File No. 333-172524), filed on August 22, 2011).</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(s)(3)</w:t>
            </w:r>
          </w:p>
        </w:tc>
        <w:tc>
          <w:tcPr>
            <w:tcW w:w="10280" w:type="dxa"/>
            <w:vAlign w:val="bottom"/>
          </w:tcPr>
          <w:p>
            <w:pPr>
              <w:ind w:left="320"/>
              <w:spacing w:after="0"/>
              <w:rPr>
                <w:sz w:val="20"/>
                <w:szCs w:val="20"/>
                <w:color w:val="auto"/>
              </w:rPr>
            </w:pPr>
            <w:r>
              <w:rPr>
                <w:rFonts w:ascii="Arial" w:cs="Arial" w:eastAsia="Arial" w:hAnsi="Arial"/>
                <w:sz w:val="18"/>
                <w:szCs w:val="18"/>
                <w:color w:val="auto"/>
                <w:w w:val="89"/>
              </w:rPr>
              <w:t>Form of Prospectus Supplement For Debt Offerings (Incorporated by reference to Exhibit (s)(3) to the Registrant’s Pre-Effective Amendment</w:t>
            </w:r>
          </w:p>
        </w:tc>
      </w:tr>
      <w:tr>
        <w:trPr>
          <w:trHeight w:val="222"/>
        </w:trPr>
        <w:tc>
          <w:tcPr>
            <w:tcW w:w="70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to the Registration Statement on Form N-2/A (File No. 333-172524), filed on August 22, 2011).</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(s)(4)</w:t>
            </w:r>
          </w:p>
        </w:tc>
        <w:tc>
          <w:tcPr>
            <w:tcW w:w="10280" w:type="dxa"/>
            <w:vAlign w:val="bottom"/>
          </w:tcPr>
          <w:p>
            <w:pPr>
              <w:ind w:left="320"/>
              <w:spacing w:after="0"/>
              <w:rPr>
                <w:sz w:val="20"/>
                <w:szCs w:val="20"/>
                <w:color w:val="auto"/>
              </w:rPr>
            </w:pPr>
            <w:r>
              <w:rPr>
                <w:rFonts w:ascii="Arial" w:cs="Arial" w:eastAsia="Arial" w:hAnsi="Arial"/>
                <w:sz w:val="18"/>
                <w:szCs w:val="18"/>
                <w:color w:val="auto"/>
                <w:w w:val="96"/>
              </w:rPr>
              <w:t>Form of Prospectus Supplement For Rights Offerings (Incorporated by reference to Exhibit (s)(4) to the Registrant’s Pre-Effective</w:t>
            </w:r>
          </w:p>
        </w:tc>
      </w:tr>
      <w:tr>
        <w:trPr>
          <w:trHeight w:val="222"/>
        </w:trPr>
        <w:tc>
          <w:tcPr>
            <w:tcW w:w="70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Amendment to the Registration Statement on Form N-2/A (File No. 333-172524), filed on August 22, 2011).</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(s)(5)</w:t>
            </w:r>
          </w:p>
        </w:tc>
        <w:tc>
          <w:tcPr>
            <w:tcW w:w="10280" w:type="dxa"/>
            <w:vAlign w:val="bottom"/>
          </w:tcPr>
          <w:p>
            <w:pPr>
              <w:ind w:left="320"/>
              <w:spacing w:after="0"/>
              <w:rPr>
                <w:sz w:val="20"/>
                <w:szCs w:val="20"/>
                <w:color w:val="auto"/>
              </w:rPr>
            </w:pPr>
            <w:r>
              <w:rPr>
                <w:rFonts w:ascii="Arial" w:cs="Arial" w:eastAsia="Arial" w:hAnsi="Arial"/>
                <w:sz w:val="18"/>
                <w:szCs w:val="18"/>
                <w:color w:val="auto"/>
                <w:w w:val="95"/>
              </w:rPr>
              <w:t>Form of Prospectus Supplement For Warrant Offerings (Incorporated by reference to Exhibit (s)(5) to the Registrant’s Pre-Effective</w:t>
            </w:r>
          </w:p>
        </w:tc>
      </w:tr>
      <w:tr>
        <w:trPr>
          <w:trHeight w:val="222"/>
        </w:trPr>
        <w:tc>
          <w:tcPr>
            <w:tcW w:w="70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Amendment to the Registration Statement on Form N-2/A (File No. 333-172524), filed on August 22, 2011).</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(s)(6)</w:t>
            </w:r>
          </w:p>
        </w:tc>
        <w:tc>
          <w:tcPr>
            <w:tcW w:w="10280" w:type="dxa"/>
            <w:vAlign w:val="bottom"/>
          </w:tcPr>
          <w:p>
            <w:pPr>
              <w:ind w:left="320"/>
              <w:spacing w:after="0"/>
              <w:rPr>
                <w:sz w:val="20"/>
                <w:szCs w:val="20"/>
                <w:color w:val="auto"/>
              </w:rPr>
            </w:pPr>
            <w:r>
              <w:rPr>
                <w:rFonts w:ascii="Arial" w:cs="Arial" w:eastAsia="Arial" w:hAnsi="Arial"/>
                <w:sz w:val="18"/>
                <w:szCs w:val="18"/>
                <w:color w:val="auto"/>
                <w:w w:val="88"/>
              </w:rPr>
              <w:t>Audited Financial Statements of RAM Energy Holdings LLC and Subsidiaries as of and for the year ended September 30, 2019 (Incorporated</w:t>
            </w:r>
          </w:p>
        </w:tc>
      </w:tr>
      <w:tr>
        <w:trPr>
          <w:trHeight w:val="222"/>
        </w:trPr>
        <w:tc>
          <w:tcPr>
            <w:tcW w:w="70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w w:val="97"/>
              </w:rPr>
              <w:t>by reference to Exhibit 99.2 to the Registrant’s Annual Report on Form 10-K (File No. 814-00736), filed on November 21, 2019).</w:t>
            </w:r>
          </w:p>
        </w:tc>
      </w:tr>
      <w:tr>
        <w:trPr>
          <w:trHeight w:val="372"/>
        </w:trPr>
        <w:tc>
          <w:tcPr>
            <w:tcW w:w="700" w:type="dxa"/>
            <w:vAlign w:val="bottom"/>
          </w:tcPr>
          <w:p>
            <w:pPr>
              <w:spacing w:after="0"/>
              <w:rPr>
                <w:sz w:val="20"/>
                <w:szCs w:val="20"/>
                <w:color w:val="auto"/>
              </w:rPr>
            </w:pPr>
            <w:r>
              <w:rPr>
                <w:rFonts w:ascii="Arial" w:cs="Arial" w:eastAsia="Arial" w:hAnsi="Arial"/>
                <w:sz w:val="18"/>
                <w:szCs w:val="18"/>
                <w:color w:val="auto"/>
              </w:rPr>
              <w:t>(s)(7)</w:t>
            </w:r>
          </w:p>
        </w:tc>
        <w:tc>
          <w:tcPr>
            <w:tcW w:w="10280" w:type="dxa"/>
            <w:vAlign w:val="bottom"/>
          </w:tcPr>
          <w:p>
            <w:pPr>
              <w:ind w:left="320"/>
              <w:spacing w:after="0"/>
              <w:rPr>
                <w:sz w:val="20"/>
                <w:szCs w:val="20"/>
                <w:color w:val="auto"/>
              </w:rPr>
            </w:pPr>
            <w:r>
              <w:rPr>
                <w:rFonts w:ascii="Arial" w:cs="Arial" w:eastAsia="Arial" w:hAnsi="Arial"/>
                <w:sz w:val="18"/>
                <w:szCs w:val="18"/>
                <w:color w:val="auto"/>
                <w:w w:val="89"/>
              </w:rPr>
              <w:t>Unaudited Consolidated Financial Statements of RAM Energy Holdings LLC and Subsidiaries for the Years Ended September 30, 2018 and</w:t>
            </w:r>
          </w:p>
        </w:tc>
      </w:tr>
      <w:tr>
        <w:trPr>
          <w:trHeight w:val="216"/>
        </w:trPr>
        <w:tc>
          <w:tcPr>
            <w:tcW w:w="700" w:type="dxa"/>
            <w:vAlign w:val="bottom"/>
          </w:tcPr>
          <w:p>
            <w:pPr>
              <w:spacing w:after="0"/>
              <w:rPr>
                <w:sz w:val="18"/>
                <w:szCs w:val="18"/>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w w:val="91"/>
              </w:rPr>
              <w:t>2017 (Incorporated by reference to Exhibit 99.3 to the Registrant’s Annual Report on Form 10-K (File No. 814-00736), filed on November</w:t>
            </w:r>
          </w:p>
        </w:tc>
      </w:tr>
      <w:tr>
        <w:trPr>
          <w:trHeight w:val="222"/>
        </w:trPr>
        <w:tc>
          <w:tcPr>
            <w:tcW w:w="700" w:type="dxa"/>
            <w:vAlign w:val="bottom"/>
          </w:tcPr>
          <w:p>
            <w:pPr>
              <w:spacing w:after="0"/>
              <w:rPr>
                <w:sz w:val="19"/>
                <w:szCs w:val="19"/>
                <w:color w:val="auto"/>
              </w:rPr>
            </w:pPr>
          </w:p>
        </w:tc>
        <w:tc>
          <w:tcPr>
            <w:tcW w:w="10280" w:type="dxa"/>
            <w:vAlign w:val="bottom"/>
          </w:tcPr>
          <w:p>
            <w:pPr>
              <w:ind w:left="320"/>
              <w:spacing w:after="0"/>
              <w:rPr>
                <w:sz w:val="20"/>
                <w:szCs w:val="20"/>
                <w:color w:val="auto"/>
              </w:rPr>
            </w:pPr>
            <w:r>
              <w:rPr>
                <w:rFonts w:ascii="Arial" w:cs="Arial" w:eastAsia="Arial" w:hAnsi="Arial"/>
                <w:sz w:val="18"/>
                <w:szCs w:val="18"/>
                <w:color w:val="auto"/>
              </w:rPr>
              <w:t>21, 2019).</w:t>
            </w:r>
          </w:p>
        </w:tc>
      </w:tr>
    </w:tbl>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Filed herewith.</w:t>
      </w:r>
    </w:p>
    <w:p>
      <w:pPr>
        <w:spacing w:after="0" w:line="206"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information contained under the heading “Plan of Distribution” in this Registration Statement is hereby incorporated by reference.</w:t>
      </w:r>
    </w:p>
    <w:p>
      <w:pPr>
        <w:spacing w:after="0" w:line="229"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ectPr>
          <w:pgSz w:w="11900" w:h="16838" w:orient="portrait"/>
          <w:cols w:equalWidth="0" w:num="1">
            <w:col w:w="11180"/>
          </w:cols>
          <w:pgMar w:left="240" w:top="459" w:right="479" w:bottom="1440" w:gutter="0" w:footer="0" w:header="0"/>
        </w:sectPr>
      </w:pPr>
    </w:p>
    <w:p>
      <w:pPr>
        <w:spacing w:after="0" w:line="17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-125730</wp:posOffset>
            </wp:positionV>
            <wp:extent cx="349885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98850" cy="13716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-129540</wp:posOffset>
            </wp:positionV>
            <wp:extent cx="349885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98850" cy="13716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color w:val="auto"/>
        </w:rPr>
        <w:t>Printing (other than certificates)</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-129540</wp:posOffset>
            </wp:positionV>
            <wp:extent cx="349885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98850" cy="137160"/>
                    </a:xfrm>
                    <a:prstGeom prst="rect">
                      <a:avLst/>
                    </a:prstGeom>
                    <a:noFill/>
                  </pic:spPr>
                </pic:pic>
              </a:graphicData>
            </a:graphic>
          </wp:anchor>
        </w:drawing>
      </w:r>
    </w:p>
    <w:p>
      <w:pPr>
        <w:ind w:left="296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Miscellaneous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-114935</wp:posOffset>
            </wp:positionV>
            <wp:extent cx="349885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98850" cy="137160"/>
                    </a:xfrm>
                    <a:prstGeom prst="rect">
                      <a:avLst/>
                    </a:prstGeom>
                    <a:noFill/>
                  </pic:spPr>
                </pic:pic>
              </a:graphicData>
            </a:graphic>
          </wp:anchor>
        </w:drawing>
      </w:r>
    </w:p>
    <w:p>
      <w:pPr>
        <w:spacing w:after="0" w:line="14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Total</w:t>
      </w:r>
    </w:p>
    <w:p>
      <w:pPr>
        <w:spacing w:after="0" w:line="30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All of the expenses set forth above shall be borne by the Registrant.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313" w:hanging="313"/>
        <w:spacing w:after="0"/>
        <w:tabs>
          <w:tab w:leader="none" w:pos="313" w:val="left"/>
        </w:tabs>
        <w:numPr>
          <w:ilvl w:val="0"/>
          <w:numId w:val="55"/>
        </w:numPr>
        <w:rPr>
          <w:rFonts w:ascii="Arial" w:cs="Arial" w:eastAsia="Arial" w:hAnsi="Arial"/>
          <w:sz w:val="16"/>
          <w:szCs w:val="16"/>
          <w:color w:val="auto"/>
        </w:rPr>
      </w:pPr>
      <w:r>
        <w:rPr>
          <w:rFonts w:ascii="Arial" w:cs="Arial" w:eastAsia="Arial" w:hAnsi="Arial"/>
          <w:sz w:val="16"/>
          <w:szCs w:val="16"/>
          <w:color w:val="auto"/>
        </w:rPr>
        <w:t>86,925*</w:t>
      </w:r>
    </w:p>
    <w:p>
      <w:pPr>
        <w:spacing w:after="0" w:line="38" w:lineRule="exact"/>
        <w:rPr>
          <w:rFonts w:ascii="Arial" w:cs="Arial" w:eastAsia="Arial" w:hAnsi="Arial"/>
          <w:sz w:val="16"/>
          <w:szCs w:val="16"/>
          <w:color w:val="auto"/>
        </w:rPr>
      </w:pPr>
    </w:p>
    <w:p>
      <w:pPr>
        <w:ind w:left="233"/>
        <w:spacing w:after="0"/>
        <w:rPr>
          <w:rFonts w:ascii="Arial" w:cs="Arial" w:eastAsia="Arial" w:hAnsi="Arial"/>
          <w:sz w:val="16"/>
          <w:szCs w:val="16"/>
          <w:color w:val="auto"/>
        </w:rPr>
      </w:pPr>
      <w:r>
        <w:rPr>
          <w:rFonts w:ascii="Arial" w:cs="Arial" w:eastAsia="Arial" w:hAnsi="Arial"/>
          <w:sz w:val="16"/>
          <w:szCs w:val="16"/>
          <w:color w:val="auto"/>
        </w:rPr>
        <w:t>65,000**</w:t>
      </w:r>
    </w:p>
    <w:p>
      <w:pPr>
        <w:spacing w:after="0" w:line="32" w:lineRule="exact"/>
        <w:rPr>
          <w:rFonts w:ascii="Arial" w:cs="Arial" w:eastAsia="Arial" w:hAnsi="Arial"/>
          <w:sz w:val="16"/>
          <w:szCs w:val="16"/>
          <w:color w:val="auto"/>
        </w:rPr>
      </w:pPr>
    </w:p>
    <w:p>
      <w:pPr>
        <w:ind w:left="233"/>
        <w:spacing w:after="0"/>
        <w:rPr>
          <w:rFonts w:ascii="Arial" w:cs="Arial" w:eastAsia="Arial" w:hAnsi="Arial"/>
          <w:sz w:val="16"/>
          <w:szCs w:val="16"/>
          <w:color w:val="auto"/>
        </w:rPr>
      </w:pPr>
      <w:r>
        <w:rPr>
          <w:rFonts w:ascii="Arial" w:cs="Arial" w:eastAsia="Arial" w:hAnsi="Arial"/>
          <w:sz w:val="16"/>
          <w:szCs w:val="16"/>
          <w:color w:val="auto"/>
        </w:rPr>
        <w:t>113,000*</w:t>
      </w:r>
    </w:p>
    <w:p>
      <w:pPr>
        <w:spacing w:after="0" w:line="32" w:lineRule="exact"/>
        <w:rPr>
          <w:rFonts w:ascii="Arial" w:cs="Arial" w:eastAsia="Arial" w:hAnsi="Arial"/>
          <w:sz w:val="16"/>
          <w:szCs w:val="16"/>
          <w:color w:val="auto"/>
        </w:rPr>
      </w:pPr>
    </w:p>
    <w:p>
      <w:pPr>
        <w:ind w:left="613"/>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13"/>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13"/>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613"/>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6985</wp:posOffset>
            </wp:positionV>
            <wp:extent cx="6172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18" w:lineRule="exact"/>
        <w:rPr>
          <w:sz w:val="20"/>
          <w:szCs w:val="20"/>
          <w:color w:val="auto"/>
        </w:rPr>
      </w:pPr>
    </w:p>
    <w:p>
      <w:pPr>
        <w:ind w:left="613" w:hanging="613"/>
        <w:spacing w:after="0"/>
        <w:tabs>
          <w:tab w:leader="none" w:pos="613" w:val="left"/>
        </w:tabs>
        <w:numPr>
          <w:ilvl w:val="0"/>
          <w:numId w:val="5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10795</wp:posOffset>
            </wp:positionV>
            <wp:extent cx="6172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-22860</wp:posOffset>
            </wp:positionH>
            <wp:positionV relativeFrom="paragraph">
              <wp:posOffset>27940</wp:posOffset>
            </wp:positionV>
            <wp:extent cx="6172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678" w:lineRule="exact"/>
        <w:rPr>
          <w:sz w:val="20"/>
          <w:szCs w:val="20"/>
          <w:color w:val="auto"/>
        </w:rPr>
      </w:pPr>
    </w:p>
    <w:p>
      <w:pPr>
        <w:sectPr>
          <w:pgSz w:w="11900" w:h="16838" w:orient="portrait"/>
          <w:cols w:equalWidth="0" w:num="2">
            <w:col w:w="6767" w:space="720"/>
            <w:col w:w="3693"/>
          </w:cols>
          <w:pgMar w:left="240" w:top="459" w:right="479" w:bottom="1440" w:gutter="0" w:footer="0" w:header="0"/>
          <w:type w:val="continuous"/>
        </w:sectPr>
      </w:pPr>
    </w:p>
    <w:p>
      <w:pPr>
        <w:spacing w:after="0" w:line="46" w:lineRule="exact"/>
        <w:rPr>
          <w:sz w:val="20"/>
          <w:szCs w:val="20"/>
          <w:color w:val="auto"/>
        </w:rPr>
      </w:pPr>
    </w:p>
    <w:p>
      <w:pPr>
        <w:ind w:left="740" w:hanging="536"/>
        <w:spacing w:after="0"/>
        <w:tabs>
          <w:tab w:leader="none" w:pos="74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This amount has been offset against a filing fee associated with unsold securities registered under a previous registration statement.</w:t>
      </w:r>
    </w:p>
    <w:p>
      <w:pPr>
        <w:spacing w:after="0" w:line="49"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5"/>
          <w:szCs w:val="15"/>
          <w:color w:val="auto"/>
        </w:rPr>
        <w:t>This amount is estimated.</w:t>
      </w:r>
    </w:p>
    <w:p>
      <w:pPr>
        <w:spacing w:after="0" w:line="9"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8"/>
          <w:szCs w:val="18"/>
          <w:color w:val="auto"/>
        </w:rPr>
        <w:t>***   To be provided by amendment.</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80"/>
          </w:cols>
          <w:pgMar w:left="240" w:top="459" w:right="47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28.</w:t>
            </w:r>
          </w:p>
        </w:tc>
        <w:tc>
          <w:tcPr>
            <w:tcW w:w="8040" w:type="dxa"/>
            <w:vAlign w:val="bottom"/>
            <w:gridSpan w:val="2"/>
          </w:tcPr>
          <w:p>
            <w:pPr>
              <w:ind w:left="420"/>
              <w:spacing w:after="0"/>
              <w:rPr>
                <w:sz w:val="20"/>
                <w:szCs w:val="20"/>
                <w:color w:val="auto"/>
              </w:rPr>
            </w:pPr>
            <w:r>
              <w:rPr>
                <w:rFonts w:ascii="Arial" w:cs="Arial" w:eastAsia="Arial" w:hAnsi="Arial"/>
                <w:sz w:val="18"/>
                <w:szCs w:val="18"/>
                <w:b w:val="1"/>
                <w:bCs w:val="1"/>
                <w:color w:val="auto"/>
              </w:rPr>
              <w:t>Persons controlled by or under common control with the Registrant</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Voting Securities</w:t>
            </w: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9060" w:type="dxa"/>
            <w:vAlign w:val="bottom"/>
            <w:gridSpan w:val="4"/>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16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Owned Percentage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gridSpan w:val="2"/>
            <w:shd w:val="clear" w:color="auto" w:fill="000000"/>
          </w:tcPr>
          <w:p>
            <w:pPr>
              <w:spacing w:after="0" w:line="20" w:lineRule="exact"/>
              <w:rPr>
                <w:sz w:val="1"/>
                <w:szCs w:val="1"/>
                <w:color w:val="auto"/>
              </w:rPr>
            </w:pPr>
          </w:p>
        </w:tc>
        <w:tc>
          <w:tcPr>
            <w:tcW w:w="3120" w:type="dxa"/>
            <w:vAlign w:val="bottom"/>
            <w:vMerge w:val="restart"/>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PennantPark Investment Funding I, LLC (Delaware)</w:t>
            </w:r>
          </w:p>
        </w:tc>
        <w:tc>
          <w:tcPr>
            <w:tcW w:w="312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PennantPark SBIC GP II, LLC (Delaware)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PennantPark SBIC II LP (Delaware)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PNNT Alabama Holdings Inc. (Delaware)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PNNT Cascade Environmental Holdings, LLC (Delaware)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PNNT CI (GALLS) Prime Investment Holdings, LLC (Delaware)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PNNT ecoserve, LLC (Delaware)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PNNT Investment Holdings, LLC (Delaware)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PNNT New Gulf Resources, LLC (Delaware)</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RAM Energy Holdings LLC (Delaware)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AKW Holdings Limited (Isle of Man)</w:t>
            </w: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40" w:type="dxa"/>
            <w:vAlign w:val="bottom"/>
            <w:gridSpan w:val="3"/>
          </w:tcPr>
          <w:p>
            <w:pPr>
              <w:spacing w:after="0"/>
              <w:rPr>
                <w:sz w:val="20"/>
                <w:szCs w:val="20"/>
                <w:color w:val="auto"/>
              </w:rPr>
            </w:pPr>
            <w:r>
              <w:rPr>
                <w:rFonts w:ascii="Arial" w:cs="Arial" w:eastAsia="Arial" w:hAnsi="Arial"/>
                <w:sz w:val="18"/>
                <w:szCs w:val="18"/>
                <w:color w:val="auto"/>
              </w:rPr>
              <w:t>PT Network Intermediate Holdings, LLC (Delaware)</w:t>
            </w: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wp:posOffset>
            </wp:positionV>
            <wp:extent cx="14662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4" w:lineRule="exact"/>
        <w:rPr>
          <w:sz w:val="20"/>
          <w:szCs w:val="20"/>
          <w:color w:val="auto"/>
        </w:rPr>
      </w:pPr>
    </w:p>
    <w:p>
      <w:pPr>
        <w:ind w:left="520" w:hanging="316"/>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entity is directly owned 99% by us and 1% by PennantPark SBIC GP II, LLC, which is effectively wholly-owned by us.</w:t>
      </w:r>
    </w:p>
    <w:p>
      <w:pPr>
        <w:spacing w:after="0" w:line="15" w:lineRule="exact"/>
        <w:rPr>
          <w:rFonts w:ascii="Arial" w:cs="Arial" w:eastAsia="Arial" w:hAnsi="Arial"/>
          <w:sz w:val="18"/>
          <w:szCs w:val="18"/>
          <w:color w:val="auto"/>
        </w:rPr>
      </w:pPr>
    </w:p>
    <w:p>
      <w:pPr>
        <w:ind w:left="520" w:hanging="316"/>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entity is not operational.</w:t>
      </w:r>
    </w:p>
    <w:p>
      <w:pPr>
        <w:spacing w:after="0" w:line="9" w:lineRule="exact"/>
        <w:rPr>
          <w:rFonts w:ascii="Arial" w:cs="Arial" w:eastAsia="Arial" w:hAnsi="Arial"/>
          <w:sz w:val="18"/>
          <w:szCs w:val="18"/>
          <w:color w:val="auto"/>
        </w:rPr>
      </w:pPr>
    </w:p>
    <w:p>
      <w:pPr>
        <w:ind w:left="520" w:hanging="316"/>
        <w:spacing w:after="0"/>
        <w:tabs>
          <w:tab w:leader="none" w:pos="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is a controlled affiliated investment.</w:t>
      </w:r>
    </w:p>
    <w:p>
      <w:pPr>
        <w:spacing w:after="0" w:line="28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w w:val="89"/>
              </w:rPr>
              <w:t>Item 29.</w:t>
            </w:r>
          </w:p>
        </w:tc>
        <w:tc>
          <w:tcPr>
            <w:tcW w:w="7040" w:type="dxa"/>
            <w:vAlign w:val="bottom"/>
            <w:gridSpan w:val="2"/>
          </w:tcPr>
          <w:p>
            <w:pPr>
              <w:ind w:left="820"/>
              <w:spacing w:after="0"/>
              <w:rPr>
                <w:sz w:val="20"/>
                <w:szCs w:val="20"/>
                <w:color w:val="auto"/>
              </w:rPr>
            </w:pPr>
            <w:r>
              <w:rPr>
                <w:rFonts w:ascii="Arial" w:cs="Arial" w:eastAsia="Arial" w:hAnsi="Arial"/>
                <w:sz w:val="18"/>
                <w:szCs w:val="18"/>
                <w:b w:val="1"/>
                <w:bCs w:val="1"/>
                <w:color w:val="auto"/>
              </w:rPr>
              <w:t>Number of holders of securities</w:t>
            </w: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640" w:type="dxa"/>
            <w:vAlign w:val="bottom"/>
            <w:gridSpan w:val="3"/>
          </w:tcPr>
          <w:p>
            <w:pPr>
              <w:ind w:left="420"/>
              <w:spacing w:after="0"/>
              <w:rPr>
                <w:sz w:val="20"/>
                <w:szCs w:val="20"/>
                <w:color w:val="auto"/>
              </w:rPr>
            </w:pPr>
            <w:r>
              <w:rPr>
                <w:rFonts w:ascii="Arial" w:cs="Arial" w:eastAsia="Arial" w:hAnsi="Arial"/>
                <w:sz w:val="18"/>
                <w:szCs w:val="18"/>
                <w:color w:val="auto"/>
              </w:rPr>
              <w:t>As of December 31, 2019</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4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rPr>
              <w:t>Title of Class</w:t>
            </w:r>
          </w:p>
        </w:tc>
        <w:tc>
          <w:tcPr>
            <w:tcW w:w="1980" w:type="dxa"/>
            <w:vAlign w:val="bottom"/>
          </w:tcPr>
          <w:p>
            <w:pPr>
              <w:jc w:val="right"/>
              <w:ind w:right="59"/>
              <w:spacing w:after="0"/>
              <w:rPr>
                <w:sz w:val="20"/>
                <w:szCs w:val="20"/>
                <w:color w:val="auto"/>
              </w:rPr>
            </w:pPr>
            <w:r>
              <w:rPr>
                <w:rFonts w:ascii="Arial" w:cs="Arial" w:eastAsia="Arial" w:hAnsi="Arial"/>
                <w:sz w:val="14"/>
                <w:szCs w:val="14"/>
                <w:b w:val="1"/>
                <w:bCs w:val="1"/>
                <w:color w:val="auto"/>
              </w:rPr>
              <w:t>Number of Record Holders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40" w:type="dxa"/>
            <w:vAlign w:val="bottom"/>
            <w:gridSpan w:val="2"/>
            <w:vMerge w:val="continue"/>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tcPr>
          <w:p>
            <w:pPr>
              <w:jc w:val="center"/>
              <w:ind w:right="536"/>
              <w:spacing w:after="0" w:line="195" w:lineRule="exact"/>
              <w:rPr>
                <w:sz w:val="20"/>
                <w:szCs w:val="20"/>
                <w:color w:val="auto"/>
              </w:rPr>
            </w:pPr>
            <w:r>
              <w:rPr>
                <w:rFonts w:ascii="Arial" w:cs="Arial" w:eastAsia="Arial" w:hAnsi="Arial"/>
                <w:sz w:val="18"/>
                <w:szCs w:val="18"/>
                <w:color w:val="auto"/>
                <w:w w:val="88"/>
              </w:rPr>
              <w:t>Common Stock, $0.001 par value</w:t>
            </w:r>
          </w:p>
        </w:tc>
        <w:tc>
          <w:tcPr>
            <w:tcW w:w="4020" w:type="dxa"/>
            <w:vAlign w:val="bottom"/>
          </w:tcPr>
          <w:p>
            <w:pPr>
              <w:spacing w:after="0"/>
              <w:rPr>
                <w:sz w:val="16"/>
                <w:szCs w:val="16"/>
                <w:color w:val="auto"/>
              </w:rPr>
            </w:pPr>
          </w:p>
        </w:tc>
        <w:tc>
          <w:tcPr>
            <w:tcW w:w="1980" w:type="dxa"/>
            <w:vAlign w:val="bottom"/>
          </w:tcPr>
          <w:p>
            <w:pPr>
              <w:jc w:val="right"/>
              <w:ind w:right="879"/>
              <w:spacing w:after="0" w:line="195"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40" w:type="dxa"/>
            <w:vAlign w:val="bottom"/>
            <w:gridSpan w:val="2"/>
          </w:tcPr>
          <w:p>
            <w:pPr>
              <w:jc w:val="center"/>
              <w:ind w:right="4640"/>
              <w:spacing w:after="0"/>
              <w:rPr>
                <w:sz w:val="20"/>
                <w:szCs w:val="20"/>
                <w:color w:val="auto"/>
              </w:rPr>
            </w:pPr>
            <w:r>
              <w:rPr>
                <w:rFonts w:ascii="Arial" w:cs="Arial" w:eastAsia="Arial" w:hAnsi="Arial"/>
                <w:sz w:val="18"/>
                <w:szCs w:val="18"/>
                <w:color w:val="auto"/>
                <w:w w:val="87"/>
              </w:rPr>
              <w:t>5.50% Notes due 2024</w:t>
            </w:r>
          </w:p>
        </w:tc>
        <w:tc>
          <w:tcPr>
            <w:tcW w:w="1980" w:type="dxa"/>
            <w:vAlign w:val="bottom"/>
          </w:tcPr>
          <w:p>
            <w:pPr>
              <w:jc w:val="right"/>
              <w:ind w:right="87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9"/>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w w:val="89"/>
              </w:rPr>
              <w:t>Item 30.</w:t>
            </w:r>
          </w:p>
        </w:tc>
        <w:tc>
          <w:tcPr>
            <w:tcW w:w="7040" w:type="dxa"/>
            <w:vAlign w:val="bottom"/>
            <w:gridSpan w:val="2"/>
          </w:tcPr>
          <w:p>
            <w:pPr>
              <w:ind w:left="820"/>
              <w:spacing w:after="0"/>
              <w:rPr>
                <w:sz w:val="20"/>
                <w:szCs w:val="20"/>
                <w:color w:val="auto"/>
              </w:rPr>
            </w:pPr>
            <w:r>
              <w:rPr>
                <w:rFonts w:ascii="Arial" w:cs="Arial" w:eastAsia="Arial" w:hAnsi="Arial"/>
                <w:sz w:val="18"/>
                <w:szCs w:val="18"/>
                <w:b w:val="1"/>
                <w:bCs w:val="1"/>
                <w:color w:val="auto"/>
              </w:rPr>
              <w:t>Indemnification</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200" w:right="60" w:firstLine="551"/>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66"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77" w:lineRule="exact"/>
        <w:rPr>
          <w:sz w:val="20"/>
          <w:szCs w:val="20"/>
          <w:color w:val="auto"/>
        </w:rPr>
      </w:pPr>
    </w:p>
    <w:p>
      <w:pPr>
        <w:ind w:left="200" w:right="200" w:firstLine="551"/>
        <w:spacing w:after="0" w:line="256" w:lineRule="auto"/>
        <w:rPr>
          <w:sz w:val="20"/>
          <w:szCs w:val="20"/>
          <w:color w:val="auto"/>
        </w:rPr>
      </w:pPr>
      <w:r>
        <w:rPr>
          <w:rFonts w:ascii="Arial" w:cs="Arial" w:eastAsia="Arial" w:hAnsi="Arial"/>
          <w:sz w:val="18"/>
          <w:szCs w:val="18"/>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“Portfolio Management” or is otherwise incorporated by reference. Additional information regarding the Adviser and its officers and directors is set forth in its Form ADV, as filed with the SEC (SEC File No. 801-67622), and is incorporated herein by reference.</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77" w:lineRule="exact"/>
        <w:rPr>
          <w:sz w:val="20"/>
          <w:szCs w:val="20"/>
          <w:color w:val="auto"/>
        </w:rPr>
      </w:pPr>
    </w:p>
    <w:p>
      <w:pPr>
        <w:ind w:left="200" w:right="40" w:firstLine="551"/>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32" w:lineRule="exact"/>
        <w:rPr>
          <w:sz w:val="20"/>
          <w:szCs w:val="20"/>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w:t>
      </w:r>
    </w:p>
    <w:p>
      <w:pPr>
        <w:spacing w:after="0" w:line="171"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Brooklyn, NY 11219;</w:t>
      </w:r>
    </w:p>
    <w:p>
      <w:pPr>
        <w:spacing w:after="0" w:line="171"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Custodian, The Bank of New York Mellon, 240 Greenwich Street, New York, NY 10286; and</w:t>
      </w:r>
    </w:p>
    <w:p>
      <w:pPr>
        <w:spacing w:after="0" w:line="171" w:lineRule="exact"/>
        <w:rPr>
          <w:rFonts w:ascii="Arial" w:cs="Arial" w:eastAsia="Arial" w:hAnsi="Arial"/>
          <w:sz w:val="18"/>
          <w:szCs w:val="18"/>
          <w:color w:val="auto"/>
        </w:rPr>
      </w:pPr>
    </w:p>
    <w:p>
      <w:pPr>
        <w:ind w:left="900" w:hanging="25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Investment Adviser, PennantPark Investment Advisers, LLC, 590 Madison Avenue, 15th Floor, New York, NY 10022.</w:t>
      </w:r>
    </w:p>
    <w:p>
      <w:pPr>
        <w:spacing w:after="0" w:line="206"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6" w:lineRule="exact"/>
        <w:rPr>
          <w:sz w:val="20"/>
          <w:szCs w:val="20"/>
          <w:color w:val="auto"/>
        </w:rPr>
      </w:pPr>
    </w:p>
    <w:p>
      <w:pPr>
        <w:ind w:left="200"/>
        <w:spacing w:after="0"/>
        <w:tabs>
          <w:tab w:leader="none" w:pos="16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left="200" w:right="60" w:firstLine="555"/>
        <w:spacing w:after="0" w:line="259"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suspend the offering of its shares until it amends its prospectus if (a) subsequent to the effective date of its registration statement, the NAV declines more than 10 percent from its NAV as of the effective date of the Registration Statement or (b) the NAV increases to an amount greater than its net proceeds as stated in the prospectus;</w:t>
      </w:r>
    </w:p>
    <w:p>
      <w:pPr>
        <w:spacing w:after="0" w:line="140" w:lineRule="exact"/>
        <w:rPr>
          <w:rFonts w:ascii="Arial" w:cs="Arial" w:eastAsia="Arial" w:hAnsi="Arial"/>
          <w:sz w:val="18"/>
          <w:szCs w:val="18"/>
          <w:color w:val="auto"/>
        </w:rPr>
      </w:pPr>
    </w:p>
    <w:p>
      <w:pPr>
        <w:ind w:left="1000" w:hanging="245"/>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200" w:firstLine="555"/>
        <w:spacing w:after="0" w:line="254"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280" w:hanging="211"/>
        <w:spacing w:after="0"/>
        <w:tabs>
          <w:tab w:leader="none" w:pos="12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540" w:right="60" w:firstLine="529"/>
        <w:spacing w:after="0" w:line="290" w:lineRule="auto"/>
        <w:tabs>
          <w:tab w:leader="none" w:pos="1333" w:val="left"/>
        </w:tabs>
        <w:numPr>
          <w:ilvl w:val="0"/>
          <w:numId w:val="6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or other applicable SEC rule under the Securities Act, if, in the aggregate, the changes in volume and price represent no more than 20% change in the maximum aggregate offering price set forth in the “Calculation of Registration Fee” table in the effective registration statement; and</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180"/>
          </w:cols>
          <w:pgMar w:left="24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40" w:right="240" w:firstLine="956"/>
        <w:spacing w:after="0" w:line="268" w:lineRule="auto"/>
        <w:tabs>
          <w:tab w:leader="none" w:pos="180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540" w:firstLine="534"/>
        <w:spacing w:after="0" w:line="298"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4(a)(i), (ii), and (iii) of this section do not apply if the information required to be included in a post-effective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by those paragraphs is contained in reports filed with or furnished to the SEC by the Registrant pursuant to section 13, section 14 or section 15(d) of the Exchange Act that are incorporated by reference into the registration statement, or is contained in a form of prospectus filed pursuant to Rule 424(b), or other applicable SEC rule under the Securities Act, that is part of the registration statement.</w:t>
      </w:r>
    </w:p>
    <w:p>
      <w:pPr>
        <w:spacing w:after="0" w:line="32" w:lineRule="exact"/>
        <w:rPr>
          <w:sz w:val="20"/>
          <w:szCs w:val="20"/>
          <w:color w:val="auto"/>
        </w:rPr>
      </w:pPr>
    </w:p>
    <w:p>
      <w:pPr>
        <w:jc w:val="both"/>
        <w:ind w:left="540" w:right="60" w:firstLine="529"/>
        <w:spacing w:after="0" w:line="259" w:lineRule="auto"/>
        <w:tabs>
          <w:tab w:leader="none" w:pos="132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540" w:right="500" w:firstLine="529"/>
        <w:spacing w:after="0" w:line="268" w:lineRule="auto"/>
        <w:tabs>
          <w:tab w:leader="none" w:pos="13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320" w:hanging="251"/>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90" w:lineRule="exact"/>
        <w:rPr>
          <w:rFonts w:ascii="Arial" w:cs="Arial" w:eastAsia="Arial" w:hAnsi="Arial"/>
          <w:sz w:val="18"/>
          <w:szCs w:val="18"/>
          <w:color w:val="auto"/>
        </w:rPr>
      </w:pPr>
    </w:p>
    <w:p>
      <w:pPr>
        <w:ind w:left="1700" w:hanging="204"/>
        <w:spacing w:after="0"/>
        <w:tabs>
          <w:tab w:leader="none" w:pos="17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the Registrant is relying on Rule 430B:</w:t>
      </w:r>
    </w:p>
    <w:p>
      <w:pPr>
        <w:spacing w:after="0" w:line="90" w:lineRule="exact"/>
        <w:rPr>
          <w:rFonts w:ascii="Arial" w:cs="Arial" w:eastAsia="Arial" w:hAnsi="Arial"/>
          <w:sz w:val="18"/>
          <w:szCs w:val="18"/>
          <w:color w:val="auto"/>
        </w:rPr>
      </w:pPr>
    </w:p>
    <w:p>
      <w:pPr>
        <w:ind w:left="1200" w:right="140" w:firstLine="397"/>
        <w:spacing w:after="0" w:line="268" w:lineRule="auto"/>
        <w:tabs>
          <w:tab w:leader="none" w:pos="1889" w:val="left"/>
        </w:tabs>
        <w:numPr>
          <w:ilvl w:val="2"/>
          <w:numId w:val="6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1200" w:right="80" w:firstLine="397"/>
        <w:spacing w:after="0" w:line="307" w:lineRule="auto"/>
        <w:tabs>
          <w:tab w:leader="none" w:pos="1879" w:val="left"/>
        </w:tabs>
        <w:numPr>
          <w:ilvl w:val="2"/>
          <w:numId w:val="63"/>
        </w:numPr>
        <w:rPr>
          <w:rFonts w:ascii="Arial" w:cs="Arial" w:eastAsia="Arial" w:hAnsi="Arial"/>
          <w:sz w:val="15"/>
          <w:szCs w:val="15"/>
          <w:color w:val="auto"/>
        </w:rPr>
      </w:pPr>
      <w:r>
        <w:rPr>
          <w:rFonts w:ascii="Arial" w:cs="Arial" w:eastAsia="Arial" w:hAnsi="Arial"/>
          <w:sz w:val="15"/>
          <w:szCs w:val="15"/>
          <w:color w:val="auto"/>
        </w:rPr>
        <w:t xml:space="preserve">each prospectus required to be filed pursuant to Rule 424(b)(2), (b)(5), or (b)(7) as part of a registration statement in reliance on Rule 430B relating to an offering made pursuant to Rule 415(a)(1)(i), (x), or (xi)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5"/>
          <w:szCs w:val="15"/>
          <w:i w:val="1"/>
          <w:iCs w:val="1"/>
          <w:color w:val="auto"/>
        </w:rPr>
        <w:t>Provided, however</w:t>
      </w:r>
      <w:r>
        <w:rPr>
          <w:rFonts w:ascii="Arial" w:cs="Arial" w:eastAsia="Arial" w:hAnsi="Arial"/>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30" w:lineRule="exact"/>
        <w:rPr>
          <w:rFonts w:ascii="Arial" w:cs="Arial" w:eastAsia="Arial" w:hAnsi="Arial"/>
          <w:sz w:val="15"/>
          <w:szCs w:val="15"/>
          <w:color w:val="auto"/>
        </w:rPr>
      </w:pPr>
    </w:p>
    <w:p>
      <w:pPr>
        <w:ind w:left="540" w:right="20" w:firstLine="956"/>
        <w:spacing w:after="0" w:line="312" w:lineRule="auto"/>
        <w:tabs>
          <w:tab w:leader="none" w:pos="1760" w:val="left"/>
        </w:tabs>
        <w:numPr>
          <w:ilvl w:val="1"/>
          <w:numId w:val="63"/>
        </w:numPr>
        <w:rPr>
          <w:rFonts w:ascii="Arial" w:cs="Arial" w:eastAsia="Arial" w:hAnsi="Arial"/>
          <w:sz w:val="15"/>
          <w:szCs w:val="15"/>
          <w:color w:val="auto"/>
        </w:rPr>
      </w:pPr>
      <w:r>
        <w:rPr>
          <w:rFonts w:ascii="Arial" w:cs="Arial" w:eastAsia="Arial" w:hAnsi="Arial"/>
          <w:sz w:val="15"/>
          <w:szCs w:val="15"/>
          <w:color w:val="auto"/>
        </w:rPr>
        <w:t xml:space="preserve">if the Registrant is subject to Rule 430C, each prospectus filed pursuant to Rule 424(b) or Rule 497(b), (c), (d), or (e) under the Securities Act, as applicable,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5"/>
          <w:szCs w:val="15"/>
          <w:i w:val="1"/>
          <w:iCs w:val="1"/>
          <w:color w:val="auto"/>
        </w:rPr>
        <w:t>Provided, however</w:t>
      </w:r>
      <w:r>
        <w:rPr>
          <w:rFonts w:ascii="Arial" w:cs="Arial" w:eastAsia="Arial" w:hAnsi="Arial"/>
          <w:sz w:val="15"/>
          <w:szCs w:val="15"/>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4" w:lineRule="exact"/>
        <w:rPr>
          <w:rFonts w:ascii="Arial" w:cs="Arial" w:eastAsia="Arial" w:hAnsi="Arial"/>
          <w:sz w:val="15"/>
          <w:szCs w:val="15"/>
          <w:color w:val="auto"/>
        </w:rPr>
      </w:pPr>
    </w:p>
    <w:p>
      <w:pPr>
        <w:ind w:left="540" w:right="420" w:firstLine="529"/>
        <w:spacing w:after="0" w:line="259" w:lineRule="auto"/>
        <w:tabs>
          <w:tab w:leader="none" w:pos="131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40"/>
        <w:spacing w:after="0" w:line="357" w:lineRule="auto"/>
        <w:rPr>
          <w:sz w:val="20"/>
          <w:szCs w:val="20"/>
          <w:color w:val="auto"/>
        </w:rPr>
      </w:pPr>
      <w:r>
        <w:rPr>
          <w:rFonts w:ascii="Arial" w:cs="Arial" w:eastAsia="Arial" w:hAnsi="Arial"/>
          <w:sz w:val="15"/>
          <w:szCs w:val="15"/>
          <w:color w:val="auto"/>
        </w:rPr>
        <w:t>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ind w:left="540" w:right="100" w:firstLine="529"/>
        <w:spacing w:after="0" w:line="268" w:lineRule="auto"/>
        <w:tabs>
          <w:tab w:leader="none" w:pos="1284"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 or Rule 497 under the Securities Act, as applicable;</w:t>
      </w:r>
    </w:p>
    <w:p>
      <w:pPr>
        <w:spacing w:after="0" w:line="50" w:lineRule="exact"/>
        <w:rPr>
          <w:rFonts w:ascii="Arial" w:cs="Arial" w:eastAsia="Arial" w:hAnsi="Arial"/>
          <w:sz w:val="18"/>
          <w:szCs w:val="18"/>
          <w:color w:val="auto"/>
        </w:rPr>
      </w:pPr>
    </w:p>
    <w:p>
      <w:pPr>
        <w:ind w:left="540" w:right="340" w:firstLine="529"/>
        <w:spacing w:after="0" w:line="268" w:lineRule="auto"/>
        <w:tabs>
          <w:tab w:leader="none" w:pos="1333"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540" w:right="320" w:firstLine="529"/>
        <w:spacing w:after="0" w:line="357" w:lineRule="auto"/>
        <w:tabs>
          <w:tab w:leader="none" w:pos="1381" w:val="left"/>
        </w:tabs>
        <w:numPr>
          <w:ilvl w:val="1"/>
          <w:numId w:val="64"/>
        </w:numPr>
        <w:rPr>
          <w:rFonts w:ascii="Arial" w:cs="Arial" w:eastAsia="Arial" w:hAnsi="Arial"/>
          <w:sz w:val="15"/>
          <w:szCs w:val="15"/>
          <w:color w:val="auto"/>
        </w:rPr>
      </w:pPr>
      <w:r>
        <w:rPr>
          <w:rFonts w:ascii="Arial" w:cs="Arial" w:eastAsia="Arial" w:hAnsi="Arial"/>
          <w:sz w:val="15"/>
          <w:szCs w:val="15"/>
          <w:color w:val="auto"/>
        </w:rPr>
        <w:t>the portion of any other free writing prospectus or advertisement pursuant to Rule 482 under the Securities Act relating to the offering containing material information about the undersigned Registrant or its securities provided by or on behalf of the undersigned Registrant; and</w:t>
      </w:r>
    </w:p>
    <w:p>
      <w:pPr>
        <w:ind w:left="1360" w:hanging="291"/>
        <w:spacing w:after="0"/>
        <w:tabs>
          <w:tab w:leader="none" w:pos="13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rFonts w:ascii="Arial" w:cs="Arial" w:eastAsia="Arial" w:hAnsi="Arial"/>
          <w:sz w:val="18"/>
          <w:szCs w:val="18"/>
          <w:color w:val="auto"/>
        </w:rPr>
      </w:pPr>
    </w:p>
    <w:p>
      <w:pPr>
        <w:ind w:left="1000" w:hanging="245"/>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left="200" w:right="20" w:firstLine="555"/>
        <w:spacing w:after="0" w:line="306"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each filing of the Registrant’s annual report pursuant to Section 13(a) or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6" w:lineRule="exact"/>
        <w:rPr>
          <w:rFonts w:ascii="Arial" w:cs="Arial" w:eastAsia="Arial" w:hAnsi="Arial"/>
          <w:sz w:val="16"/>
          <w:szCs w:val="16"/>
          <w:color w:val="auto"/>
        </w:rPr>
      </w:pPr>
    </w:p>
    <w:p>
      <w:pPr>
        <w:ind w:left="200" w:right="60" w:firstLine="555"/>
        <w:spacing w:after="0" w:line="290"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rFonts w:ascii="Arial" w:cs="Arial" w:eastAsia="Arial" w:hAnsi="Arial"/>
          <w:sz w:val="16"/>
          <w:szCs w:val="16"/>
          <w:color w:val="auto"/>
        </w:rPr>
      </w:pPr>
    </w:p>
    <w:p>
      <w:pPr>
        <w:ind w:left="1000" w:hanging="245"/>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100"/>
          </w:cols>
          <w:pgMar w:left="240" w:top="459" w:right="5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left="200" w:right="160" w:firstLine="5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3 to the Registration Statement on Form N-2 to be signed on its behalf by the undersigned, thereunto duly authorized, in the City of New York, and State of New York, on the 29th day of January 2020.</w:t>
      </w:r>
    </w:p>
    <w:p>
      <w:pPr>
        <w:spacing w:after="0" w:line="175" w:lineRule="exact"/>
        <w:rPr>
          <w:sz w:val="20"/>
          <w:szCs w:val="20"/>
          <w:color w:val="auto"/>
        </w:rPr>
      </w:pPr>
    </w:p>
    <w:tbl>
      <w:tblPr>
        <w:tblLayout w:type="fixed"/>
        <w:tblInd w:w="320" w:type="dxa"/>
        <w:tblCellMar>
          <w:top w:w="0" w:type="dxa"/>
          <w:left w:w="0" w:type="dxa"/>
          <w:bottom w:w="0" w:type="dxa"/>
          <w:right w:w="0" w:type="dxa"/>
        </w:tblCellMar>
      </w:tblPr>
      <w:tr>
        <w:trPr>
          <w:trHeight w:val="228"/>
        </w:trPr>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By:</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224"/>
        </w:trPr>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7"/>
              </w:rPr>
              <w:t>Name:</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r>
      <w:tr>
        <w:trPr>
          <w:trHeight w:val="351"/>
        </w:trPr>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Title:</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9"/>
              </w:rPr>
              <w:t>Chief Executive Officer and Chairman of the</w:t>
            </w:r>
          </w:p>
        </w:tc>
      </w:tr>
      <w:tr>
        <w:trPr>
          <w:trHeight w:val="228"/>
        </w:trPr>
        <w:tc>
          <w:tcPr>
            <w:tcW w:w="56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2"/>
              </w:rPr>
              <w:t>Board</w:t>
            </w:r>
          </w:p>
        </w:tc>
      </w:tr>
    </w:tbl>
    <w:p>
      <w:pPr>
        <w:spacing w:after="0" w:line="169" w:lineRule="exact"/>
        <w:rPr>
          <w:sz w:val="20"/>
          <w:szCs w:val="20"/>
          <w:color w:val="auto"/>
        </w:rPr>
      </w:pPr>
    </w:p>
    <w:p>
      <w:pPr>
        <w:ind w:left="200" w:right="340" w:firstLine="551"/>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3 to the Registration Statement on Form N-2 has been signed by the following persons in the capacities set forth below on the 29th day of January 2020.</w:t>
      </w:r>
    </w:p>
    <w:p>
      <w:pPr>
        <w:spacing w:after="0" w:line="166"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Name</w:t>
            </w:r>
          </w:p>
        </w:tc>
        <w:tc>
          <w:tcPr>
            <w:tcW w:w="680" w:type="dxa"/>
            <w:vAlign w:val="bottom"/>
          </w:tcPr>
          <w:p>
            <w:pPr>
              <w:spacing w:after="0"/>
              <w:rPr>
                <w:sz w:val="20"/>
                <w:szCs w:val="20"/>
                <w:color w:val="auto"/>
              </w:rPr>
            </w:pPr>
          </w:p>
        </w:tc>
        <w:tc>
          <w:tcPr>
            <w:tcW w:w="5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56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ARTHUR H. PENN</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17"/>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2"/>
              </w:rPr>
              <w:t>Arthur H. Penn</w:t>
            </w:r>
          </w:p>
        </w:tc>
        <w:tc>
          <w:tcPr>
            <w:tcW w:w="680" w:type="dxa"/>
            <w:vAlign w:val="bottom"/>
          </w:tcPr>
          <w:p>
            <w:pPr>
              <w:spacing w:after="0"/>
              <w:rPr>
                <w:sz w:val="18"/>
                <w:szCs w:val="18"/>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0"/>
              </w:rPr>
              <w:t>Chief Executive Officer and Chairman of the Board of Directors</w:t>
            </w:r>
          </w:p>
        </w:tc>
      </w:tr>
      <w:tr>
        <w:trPr>
          <w:trHeight w:val="222"/>
        </w:trPr>
        <w:tc>
          <w:tcPr>
            <w:tcW w:w="4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1"/>
              </w:rPr>
              <w:t>(Principal Executive Officer)</w:t>
            </w:r>
          </w:p>
        </w:tc>
      </w:tr>
      <w:tr>
        <w:trPr>
          <w:trHeight w:val="432"/>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AVIV EFRAT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2"/>
              </w:rPr>
              <w:t>Aviv Efrat</w:t>
            </w:r>
          </w:p>
        </w:tc>
        <w:tc>
          <w:tcPr>
            <w:tcW w:w="6540" w:type="dxa"/>
            <w:vAlign w:val="bottom"/>
            <w:gridSpan w:val="2"/>
          </w:tcPr>
          <w:p>
            <w:pPr>
              <w:jc w:val="center"/>
              <w:ind w:left="572"/>
              <w:spacing w:after="0"/>
              <w:rPr>
                <w:sz w:val="20"/>
                <w:szCs w:val="20"/>
                <w:color w:val="auto"/>
              </w:rPr>
            </w:pPr>
            <w:r>
              <w:rPr>
                <w:rFonts w:ascii="Arial" w:cs="Arial" w:eastAsia="Arial" w:hAnsi="Arial"/>
                <w:sz w:val="18"/>
                <w:szCs w:val="18"/>
                <w:color w:val="auto"/>
                <w:w w:val="90"/>
              </w:rPr>
              <w:t>Chief Financial Officer and Treasurer (Principal Financial and Accounting Officer)</w:t>
            </w:r>
          </w:p>
        </w:tc>
      </w:tr>
      <w:tr>
        <w:trPr>
          <w:trHeight w:val="43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Adam K. Bernstein</w:t>
            </w: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3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8"/>
              </w:rPr>
              <w:t>Jeffrey Flug</w:t>
            </w: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3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9"/>
              </w:rPr>
              <w:t>Marshall Brozost</w:t>
            </w: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43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224"/>
        </w:trPr>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90"/>
              </w:rPr>
              <w:t>Samuel L. Katz</w:t>
            </w:r>
          </w:p>
        </w:tc>
        <w:tc>
          <w:tcPr>
            <w:tcW w:w="680" w:type="dxa"/>
            <w:vAlign w:val="bottom"/>
          </w:tcPr>
          <w:p>
            <w:pPr>
              <w:spacing w:after="0"/>
              <w:rPr>
                <w:sz w:val="19"/>
                <w:szCs w:val="19"/>
                <w:color w:val="auto"/>
              </w:rPr>
            </w:pPr>
          </w:p>
        </w:tc>
        <w:tc>
          <w:tcPr>
            <w:tcW w:w="5860" w:type="dxa"/>
            <w:vAlign w:val="bottom"/>
          </w:tcPr>
          <w:p>
            <w:pPr>
              <w:jc w:val="center"/>
              <w:spacing w:after="0"/>
              <w:rPr>
                <w:sz w:val="20"/>
                <w:szCs w:val="20"/>
                <w:color w:val="auto"/>
              </w:rPr>
            </w:pPr>
            <w:r>
              <w:rPr>
                <w:rFonts w:ascii="Arial" w:cs="Arial" w:eastAsia="Arial" w:hAnsi="Arial"/>
                <w:sz w:val="18"/>
                <w:szCs w:val="18"/>
                <w:color w:val="auto"/>
                <w:w w:val="95"/>
              </w:rPr>
              <w:t>Director</w:t>
            </w:r>
          </w:p>
        </w:tc>
      </w:tr>
    </w:tbl>
    <w:p>
      <w:pPr>
        <w:spacing w:after="0" w:line="276" w:lineRule="exact"/>
        <w:rPr>
          <w:sz w:val="20"/>
          <w:szCs w:val="20"/>
          <w:color w:val="auto"/>
        </w:rPr>
      </w:pPr>
    </w:p>
    <w:p>
      <w:pPr>
        <w:ind w:left="5580" w:right="1900" w:hanging="5376"/>
        <w:spacing w:after="0" w:line="440" w:lineRule="auto"/>
        <w:tabs>
          <w:tab w:leader="none" w:pos="7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Signed by Aviv Efrat on behalf of those identified pursuant to his designation as attorney-in-fact signed on March 1, 2019. C-9</w:t>
      </w:r>
    </w:p>
    <w:p>
      <w:pPr>
        <w:sectPr>
          <w:pgSz w:w="11900" w:h="16838" w:orient="portrait"/>
          <w:cols w:equalWidth="0" w:num="1">
            <w:col w:w="11240"/>
          </w:cols>
          <w:pgMar w:left="240" w:top="459" w:right="41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(n)(1)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00"/>
        <w:spacing w:after="0" w:line="297" w:lineRule="auto"/>
        <w:rPr>
          <w:sz w:val="20"/>
          <w:szCs w:val="20"/>
          <w:color w:val="auto"/>
        </w:rPr>
      </w:pPr>
      <w:r>
        <w:rPr>
          <w:rFonts w:ascii="Arial" w:cs="Arial" w:eastAsia="Arial" w:hAnsi="Arial"/>
          <w:sz w:val="16"/>
          <w:szCs w:val="16"/>
          <w:color w:val="auto"/>
        </w:rPr>
        <w:t>We consent to the incorporation by reference in this Post-Effective Amendment No. 3 to the Registration Statement (No. 333-230014) on Form N-2 of PennantPark Investment Corporation of our reports dated November 21, 2019 relating to our audit of the consolidated financial statements and internal control over financial reporting of PennantPark Investment Corporation and its Subsidiaries, which appear in the September 30, 2019 Annual Report to Stockholders, which is also incorporated by reference into the Prospectus, which is part of this Registration Statement. We also consent to use in this Registration Statement of our report dated November 21, 2019 relating to the senior securities table appearing elsewhere in this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We also consent to the reference to our firm under the caption “Independent Registered Public Accounting Firm” in such Registration Statement.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29, 2020</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21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audit of the consolidated financial statements and internal control over financial reporting referred to in our reports dated November 21, 2019, (incorporated by reference in the accompanying registration statement on Form N-2) also included an audit of the senior securities table of PennantPark Investment Corporation and its Subsidiaries appearing in this Registration Statement on Form N-2. This table is the responsibility of PennantPark Investment Corporation and its Subsidiaries’ management. Our responsibility is to express an opinion based on our audit of the consolidated financial statements.</w:t>
      </w:r>
    </w:p>
    <w:p>
      <w:pPr>
        <w:spacing w:after="0" w:line="15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our opinion, the senior securities table, when considered in relation to the basic consolidated financial statements taken as a whole, presents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21, 2019</w:t>
      </w:r>
    </w:p>
    <w:p>
      <w:pPr>
        <w:sectPr>
          <w:pgSz w:w="11900" w:h="16838" w:orient="portrait"/>
          <w:cols w:equalWidth="0" w:num="1">
            <w:col w:w="11420"/>
          </w:cols>
          <w:pgMar w:left="240" w:top="12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(n)(3)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of our report dated November 15, 2019, relating to the consolidated financial statements of RAM Energy Holdings LLC and its subsidiaries appearing in PennantPark Investment Corporation’s Annual Report on Form 10-K for the year ended September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“Independent Auditor”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29, 2020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1)"/>
      <w:numFmt w:val="decimal"/>
      <w:start w:val="1"/>
    </w:lvl>
  </w:abstractNum>
  <w:abstractNum w:abstractNumId="3">
    <w:nsid w:val="5577F8E1"/>
    <w:multiLevelType w:val="hybridMultilevel"/>
    <w:lvl w:ilvl="0">
      <w:lvlJc w:val="left"/>
      <w:lvlText w:val="(%1)"/>
      <w:numFmt w:val="decimal"/>
      <w:start w:val="7"/>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1)"/>
      <w:numFmt w:val="upperLetter"/>
      <w:start w:val="2"/>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1)"/>
      <w:numFmt w:val="decimal"/>
      <w:start w:val="3"/>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lvl w:ilvl="1">
      <w:lvlJc w:val="left"/>
      <w:lvlText w:val="%2)"/>
      <w:numFmt w:val="decimal"/>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1"/>
      <w:numFmt w:val="bullet"/>
      <w:start w:val="1"/>
    </w:lvl>
  </w:abstractNum>
  <w:abstractNum w:abstractNumId="46">
    <w:nsid w:val="39386575"/>
    <w:multiLevelType w:val="hybridMultilevel"/>
    <w:lvl w:ilvl="0">
      <w:lvlJc w:val="left"/>
      <w:lvlText w:val="2"/>
      <w:numFmt w:val="bullet"/>
      <w:start w:val="1"/>
    </w:lvl>
  </w:abstractNum>
  <w:abstractNum w:abstractNumId="47">
    <w:nsid w:val="1CF10FD8"/>
    <w:multiLevelType w:val="hybridMultilevel"/>
    <w:lvl w:ilvl="0">
      <w:lvlJc w:val="left"/>
      <w:lvlText w:val="(%1)"/>
      <w:numFmt w:val="lowerLetter"/>
      <w:start w:val="1"/>
    </w:lvl>
  </w:abstractNum>
  <w:abstractNum w:abstractNumId="48">
    <w:nsid w:val="180115BE"/>
    <w:multiLevelType w:val="hybridMultilevel"/>
    <w:lvl w:ilvl="0">
      <w:lvlJc w:val="left"/>
      <w:lvlText w:val="2"/>
      <w:numFmt w:val="bullet"/>
      <w:start w:val="1"/>
    </w:lvl>
  </w:abstractNum>
  <w:abstractNum w:abstractNumId="49">
    <w:nsid w:val="235BA861"/>
    <w:multiLevelType w:val="hybridMultilevel"/>
    <w:lvl w:ilvl="0">
      <w:lvlJc w:val="left"/>
      <w:lvlText w:val="(%1)"/>
      <w:numFmt w:val="lowerLetter"/>
      <w:start w:val="5"/>
    </w:lvl>
  </w:abstractNum>
  <w:abstractNum w:abstractNumId="50">
    <w:nsid w:val="47398C89"/>
    <w:multiLevelType w:val="hybridMultilevel"/>
    <w:lvl w:ilvl="0">
      <w:lvlJc w:val="left"/>
      <w:lvlText w:val="(%1)"/>
      <w:numFmt w:val="lowerLetter"/>
      <w:start w:val="10"/>
    </w:lvl>
  </w:abstractNum>
  <w:abstractNum w:abstractNumId="51">
    <w:nsid w:val="354FE9F9"/>
    <w:multiLevelType w:val="hybridMultilevel"/>
    <w:lvl w:ilvl="0">
      <w:lvlJc w:val="left"/>
      <w:lvlText w:val="2"/>
      <w:numFmt w:val="bullet"/>
      <w:start w:val="1"/>
    </w:lvl>
  </w:abstractNum>
  <w:abstractNum w:abstractNumId="52">
    <w:nsid w:val="15B5AF5C"/>
    <w:multiLevelType w:val="hybridMultilevel"/>
    <w:lvl w:ilvl="0">
      <w:lvlJc w:val="left"/>
      <w:lvlText w:val="(%1)"/>
      <w:numFmt w:val="lowerLetter"/>
      <w:start w:val="18"/>
    </w:lvl>
  </w:abstractNum>
  <w:abstractNum w:abstractNumId="53">
    <w:nsid w:val="741226BB"/>
    <w:multiLevelType w:val="hybridMultilevel"/>
    <w:lvl w:ilvl="0">
      <w:lvlJc w:val="left"/>
      <w:lvlText w:val="2"/>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1)"/>
      <w:numFmt w:val="decimal"/>
      <w:start w:val="1"/>
    </w:lvl>
  </w:abstractNum>
  <w:abstractNum w:abstractNumId="59">
    <w:nsid w:val="77AE35EB"/>
    <w:multiLevelType w:val="hybridMultilevel"/>
    <w:lvl w:ilvl="0">
      <w:lvlJc w:val="left"/>
      <w:lvlText w:val="(%1)"/>
      <w:numFmt w:val="decimal"/>
      <w:start w:val="1"/>
    </w:lvl>
  </w:abstractNum>
  <w:abstractNum w:abstractNumId="60">
    <w:nsid w:val="579BE4F1"/>
    <w:multiLevelType w:val="hybridMultilevel"/>
    <w:lvl w:ilvl="0">
      <w:lvlJc w:val="left"/>
      <w:lvlText w:val="(%1)"/>
      <w:numFmt w:val="lowerRoman"/>
      <w:start w:val="1"/>
    </w:lvl>
  </w:abstractNum>
  <w:abstractNum w:abstractNumId="61">
    <w:nsid w:val="310C50B3"/>
    <w:multiLevelType w:val="hybridMultilevel"/>
    <w:lvl w:ilvl="0">
      <w:lvlJc w:val="left"/>
      <w:lvlText w:val="(%1)"/>
      <w:numFmt w:val="lowerRoman"/>
      <w:start w:val="3"/>
    </w:lvl>
  </w:abstractNum>
  <w:abstractNum w:abstractNumId="62">
    <w:nsid w:val="5FF87E0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3">
    <w:nsid w:val="2F305DEF"/>
    <w:multiLevelType w:val="hybridMultilevel"/>
    <w:lvl w:ilvl="0">
      <w:lvlJc w:val="left"/>
      <w:lvlText w:val="%1"/>
      <w:numFmt w:val="decimal"/>
      <w:start w:val="1"/>
    </w:lvl>
    <w:lvl w:ilvl="1">
      <w:lvlJc w:val="left"/>
      <w:lvlText w:val="(%2)"/>
      <w:numFmt w:val="lowerRoman"/>
      <w:start w:val="1"/>
    </w:lvl>
  </w:abstractNum>
  <w:abstractNum w:abstractNumId="64">
    <w:nsid w:val="25A70BF7"/>
    <w:multiLevelType w:val="hybridMultilevel"/>
    <w:lvl w:ilvl="0">
      <w:lvlJc w:val="left"/>
      <w:lvlText w:val="(%1)"/>
      <w:numFmt w:val="decimal"/>
      <w:start w:val="5"/>
    </w:lvl>
    <w:lvl w:ilvl="1">
      <w:lvlJc w:val="left"/>
      <w:lvlText w:val="%2"/>
      <w:numFmt w:val="lowerRoman"/>
      <w:start w:val="1"/>
    </w:lvl>
  </w:abstractNum>
  <w:abstractNum w:abstractNumId="65">
    <w:nsid w:val="1DBABF0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2020-01-30T05:07:22Z</dcterms:created>
  <dcterms:modified xsi:type="dcterms:W3CDTF">2020-01-30T05:07:22Z</dcterms:modified>
</cp:coreProperties>
</file>